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cs="ArialUnicodeMS"/>
          <w:kern w:val="0"/>
          <w:sz w:val="32"/>
          <w:szCs w:val="32"/>
        </w:rPr>
      </w:pPr>
    </w:p>
    <w:p>
      <w:pPr>
        <w:spacing w:line="540" w:lineRule="exact"/>
        <w:rPr>
          <w:rFonts w:ascii="黑体" w:eastAsia="黑体" w:cs="ArialUnicodeMS"/>
          <w:kern w:val="0"/>
          <w:sz w:val="72"/>
          <w:szCs w:val="72"/>
        </w:rPr>
      </w:pPr>
    </w:p>
    <w:p>
      <w:pPr>
        <w:spacing w:line="540" w:lineRule="exact"/>
        <w:rPr>
          <w:rFonts w:ascii="黑体" w:eastAsia="黑体" w:cs="ArialUnicodeMS"/>
          <w:kern w:val="0"/>
          <w:sz w:val="72"/>
          <w:szCs w:val="72"/>
        </w:rPr>
      </w:pPr>
    </w:p>
    <w:p>
      <w:pPr>
        <w:spacing w:line="540" w:lineRule="exact"/>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 xml:space="preserve"> 柳东新区征地办公室 </w:t>
      </w:r>
    </w:p>
    <w:p>
      <w:pPr>
        <w:spacing w:line="540" w:lineRule="exact"/>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spacing w:line="540" w:lineRule="exact"/>
        <w:ind w:firstLine="645"/>
        <w:rPr>
          <w:rFonts w:ascii="仿宋_GB2312" w:eastAsia="仿宋_GB2312"/>
          <w:b/>
          <w:sz w:val="32"/>
          <w:szCs w:val="32"/>
        </w:rPr>
      </w:pPr>
    </w:p>
    <w:p>
      <w:pPr>
        <w:spacing w:line="540" w:lineRule="exact"/>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 xml:space="preserve"> 柳东新区征地办公室 </w:t>
      </w:r>
      <w:r>
        <w:rPr>
          <w:rFonts w:hint="eastAsia" w:ascii="仿宋_GB2312" w:eastAsia="仿宋_GB2312"/>
          <w:b/>
          <w:sz w:val="32"/>
          <w:szCs w:val="32"/>
        </w:rPr>
        <w:t>概况</w:t>
      </w:r>
    </w:p>
    <w:p>
      <w:pPr>
        <w:spacing w:line="540" w:lineRule="exact"/>
        <w:ind w:firstLine="645"/>
        <w:rPr>
          <w:rFonts w:ascii="仿宋_GB2312" w:eastAsia="仿宋_GB2312"/>
          <w:sz w:val="32"/>
          <w:szCs w:val="32"/>
        </w:rPr>
      </w:pPr>
      <w:r>
        <w:rPr>
          <w:rFonts w:hint="eastAsia" w:ascii="仿宋_GB2312" w:eastAsia="仿宋_GB2312"/>
          <w:sz w:val="32"/>
          <w:szCs w:val="32"/>
        </w:rPr>
        <w:t>一、主要职能</w:t>
      </w:r>
    </w:p>
    <w:p>
      <w:pPr>
        <w:spacing w:line="540" w:lineRule="exact"/>
        <w:ind w:firstLine="645"/>
        <w:rPr>
          <w:rFonts w:ascii="仿宋_GB2312" w:eastAsia="仿宋_GB2312"/>
          <w:sz w:val="32"/>
          <w:szCs w:val="32"/>
        </w:rPr>
      </w:pPr>
      <w:r>
        <w:rPr>
          <w:rFonts w:hint="eastAsia" w:ascii="仿宋_GB2312" w:eastAsia="仿宋_GB2312"/>
          <w:sz w:val="32"/>
          <w:szCs w:val="32"/>
        </w:rPr>
        <w:t>二、机构及人员情况</w:t>
      </w:r>
    </w:p>
    <w:p>
      <w:pPr>
        <w:spacing w:line="540" w:lineRule="exact"/>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 xml:space="preserve"> 柳东新区征地办公室 </w:t>
      </w:r>
      <w:r>
        <w:rPr>
          <w:rFonts w:hint="eastAsia" w:ascii="仿宋_GB2312" w:eastAsia="仿宋_GB2312"/>
          <w:b/>
          <w:sz w:val="32"/>
          <w:szCs w:val="32"/>
        </w:rPr>
        <w:t>2019年部门决算报表</w:t>
      </w:r>
    </w:p>
    <w:p>
      <w:pPr>
        <w:spacing w:line="540" w:lineRule="exact"/>
        <w:ind w:left="645"/>
        <w:rPr>
          <w:rFonts w:ascii="仿宋_GB2312" w:eastAsia="仿宋_GB2312"/>
          <w:sz w:val="32"/>
          <w:szCs w:val="32"/>
        </w:rPr>
      </w:pPr>
      <w:r>
        <w:rPr>
          <w:rFonts w:hint="eastAsia" w:ascii="仿宋_GB2312" w:eastAsia="仿宋_GB2312"/>
          <w:sz w:val="32"/>
          <w:szCs w:val="32"/>
        </w:rPr>
        <w:t>表一：收入支出决算总表</w:t>
      </w:r>
    </w:p>
    <w:p>
      <w:pPr>
        <w:spacing w:line="540" w:lineRule="exact"/>
        <w:ind w:left="645"/>
        <w:rPr>
          <w:rFonts w:ascii="仿宋_GB2312" w:eastAsia="仿宋_GB2312"/>
          <w:sz w:val="32"/>
          <w:szCs w:val="32"/>
        </w:rPr>
      </w:pPr>
      <w:r>
        <w:rPr>
          <w:rFonts w:hint="eastAsia" w:ascii="仿宋_GB2312" w:eastAsia="仿宋_GB2312"/>
          <w:sz w:val="32"/>
          <w:szCs w:val="32"/>
        </w:rPr>
        <w:t>表二：收入决算表</w:t>
      </w:r>
    </w:p>
    <w:p>
      <w:pPr>
        <w:spacing w:line="540" w:lineRule="exact"/>
        <w:ind w:left="645"/>
        <w:rPr>
          <w:rFonts w:ascii="仿宋_GB2312" w:eastAsia="仿宋_GB2312"/>
          <w:sz w:val="32"/>
          <w:szCs w:val="32"/>
        </w:rPr>
      </w:pPr>
      <w:r>
        <w:rPr>
          <w:rFonts w:hint="eastAsia" w:ascii="仿宋_GB2312" w:eastAsia="仿宋_GB2312"/>
          <w:sz w:val="32"/>
          <w:szCs w:val="32"/>
        </w:rPr>
        <w:t>表三：支出决算表</w:t>
      </w:r>
    </w:p>
    <w:p>
      <w:pPr>
        <w:spacing w:line="540" w:lineRule="exact"/>
        <w:ind w:left="645"/>
        <w:rPr>
          <w:rFonts w:ascii="仿宋_GB2312" w:eastAsia="仿宋_GB2312"/>
          <w:sz w:val="32"/>
          <w:szCs w:val="32"/>
        </w:rPr>
      </w:pPr>
      <w:r>
        <w:rPr>
          <w:rFonts w:hint="eastAsia" w:ascii="仿宋_GB2312" w:eastAsia="仿宋_GB2312"/>
          <w:sz w:val="32"/>
          <w:szCs w:val="32"/>
        </w:rPr>
        <w:t>表四：财政拨款收入支出决算总表</w:t>
      </w:r>
    </w:p>
    <w:p>
      <w:pPr>
        <w:spacing w:line="540" w:lineRule="exact"/>
        <w:ind w:left="645"/>
        <w:rPr>
          <w:rFonts w:ascii="仿宋_GB2312" w:eastAsia="仿宋_GB2312"/>
          <w:sz w:val="32"/>
          <w:szCs w:val="32"/>
        </w:rPr>
      </w:pPr>
      <w:r>
        <w:rPr>
          <w:rFonts w:hint="eastAsia" w:ascii="仿宋_GB2312" w:eastAsia="仿宋_GB2312"/>
          <w:sz w:val="32"/>
          <w:szCs w:val="32"/>
        </w:rPr>
        <w:t>表五：一般公共预算财政拨款支出决算表</w:t>
      </w:r>
    </w:p>
    <w:p>
      <w:pPr>
        <w:spacing w:line="540" w:lineRule="exact"/>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spacing w:line="540" w:lineRule="exact"/>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spacing w:line="540" w:lineRule="exact"/>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40" w:lineRule="exact"/>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 xml:space="preserve"> 柳东新区征地办公室 </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bCs/>
          <w:kern w:val="0"/>
          <w:sz w:val="32"/>
          <w:szCs w:val="32"/>
        </w:rPr>
        <w:t>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201</w:t>
      </w:r>
      <w:r>
        <w:rPr>
          <w:rFonts w:hint="eastAsia" w:eastAsia="仿宋_GB2312"/>
          <w:kern w:val="0"/>
          <w:sz w:val="32"/>
          <w:szCs w:val="32"/>
        </w:rPr>
        <w:t>9</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spacing w:line="540" w:lineRule="exact"/>
        <w:ind w:firstLine="645"/>
        <w:rPr>
          <w:rFonts w:ascii="仿宋_GB2312" w:eastAsia="仿宋_GB2312"/>
          <w:b/>
          <w:sz w:val="32"/>
          <w:szCs w:val="32"/>
        </w:rPr>
      </w:pPr>
      <w:r>
        <w:rPr>
          <w:rFonts w:hint="eastAsia" w:ascii="仿宋_GB2312" w:eastAsia="仿宋_GB2312"/>
          <w:b/>
          <w:sz w:val="32"/>
          <w:szCs w:val="32"/>
        </w:rPr>
        <w:t>第四部分：名词解释</w:t>
      </w:r>
    </w:p>
    <w:p>
      <w:pPr>
        <w:spacing w:line="540" w:lineRule="exact"/>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 xml:space="preserve"> 柳东新区征地办公室 </w:t>
      </w:r>
      <w:r>
        <w:rPr>
          <w:rFonts w:hint="eastAsia" w:ascii="仿宋_GB2312" w:eastAsia="仿宋_GB2312"/>
          <w:b/>
          <w:sz w:val="32"/>
          <w:szCs w:val="32"/>
        </w:rPr>
        <w:t>概况</w:t>
      </w:r>
    </w:p>
    <w:p>
      <w:pPr>
        <w:spacing w:line="540" w:lineRule="exact"/>
        <w:ind w:firstLine="646"/>
        <w:jc w:val="center"/>
        <w:rPr>
          <w:rFonts w:ascii="仿宋_GB2312" w:eastAsia="仿宋_GB2312"/>
          <w:b/>
          <w:sz w:val="32"/>
          <w:szCs w:val="32"/>
        </w:rPr>
      </w:pPr>
    </w:p>
    <w:p>
      <w:pPr>
        <w:spacing w:line="540" w:lineRule="exact"/>
        <w:ind w:firstLine="646"/>
        <w:rPr>
          <w:rFonts w:ascii="仿宋_GB2312" w:eastAsia="仿宋_GB2312"/>
          <w:sz w:val="32"/>
          <w:szCs w:val="32"/>
        </w:rPr>
      </w:pPr>
      <w:r>
        <w:rPr>
          <w:rFonts w:hint="eastAsia" w:ascii="仿宋_GB2312" w:eastAsia="仿宋_GB2312"/>
          <w:sz w:val="32"/>
          <w:szCs w:val="32"/>
        </w:rPr>
        <w:t>一、主要职能</w:t>
      </w:r>
    </w:p>
    <w:p>
      <w:pPr>
        <w:ind w:firstLine="600" w:firstLineChars="200"/>
        <w:rPr>
          <w:rFonts w:ascii="Calibri" w:hAnsi="Calibri" w:eastAsia="仿宋_GB2312"/>
          <w:sz w:val="30"/>
          <w:szCs w:val="30"/>
        </w:rPr>
      </w:pPr>
      <w:r>
        <w:rPr>
          <w:rFonts w:hint="eastAsia" w:ascii="Calibri" w:hAnsi="Calibri" w:eastAsia="仿宋_GB2312"/>
          <w:sz w:val="30"/>
          <w:szCs w:val="30"/>
        </w:rPr>
        <w:t>征地办公室：为基础设施建设和重要项目建设提供用地保障。根据新区的建设规划，承办新</w:t>
      </w:r>
      <w:r>
        <w:rPr>
          <w:rFonts w:hint="eastAsia" w:ascii="仿宋_GB2312" w:hAnsi="宋体" w:eastAsia="仿宋_GB2312"/>
          <w:sz w:val="30"/>
          <w:szCs w:val="30"/>
        </w:rPr>
        <w:t>区征地工作，</w:t>
      </w:r>
      <w:r>
        <w:rPr>
          <w:rFonts w:hint="eastAsia" w:ascii="Calibri" w:hAnsi="Calibri" w:eastAsia="仿宋_GB2312"/>
          <w:sz w:val="30"/>
          <w:szCs w:val="30"/>
        </w:rPr>
        <w:t>协助和配合市国土资源主管部门做好新区的土地利用总体规划的地籍调查、资料收集等前期工作，协助和配合新区国土资源管理部门做好农用地转用的报批工作，负责集体土地的征收，草拟新区土地管理的政策措施报批后组织实施，配合新区国土资源管理部门做好新区土地资源的开发、利用、保护等前期工作。根据新区建设规划，负责制定并推进新区安置政策和安置方案的实施。负责新区被拆迁户的生活安置房筹建、调配及管理工作，做好引导被拆迁户选择新区安置房的思想工作，指导选择自建的村集体的生活安置项目开发建设工作。协助乡镇和村屯做好村屯集体公司组建工作，负责指导村电集体，做好生产安置用地的项目策划和开发利用，协助现代服务业局做好村屯生产安置项目的经营管理工作。</w:t>
      </w:r>
    </w:p>
    <w:p>
      <w:pPr>
        <w:ind w:firstLine="600" w:firstLineChars="200"/>
        <w:rPr>
          <w:rFonts w:ascii="仿宋_GB2312" w:eastAsia="仿宋_GB2312"/>
          <w:sz w:val="32"/>
          <w:szCs w:val="32"/>
        </w:rPr>
      </w:pPr>
      <w:r>
        <w:rPr>
          <w:rFonts w:hint="eastAsia" w:ascii="Calibri" w:hAnsi="Calibri" w:eastAsia="仿宋_GB2312"/>
          <w:sz w:val="30"/>
          <w:szCs w:val="30"/>
        </w:rPr>
        <w:t>房屋征收与补偿办公室：负责辖区范围内集体土地上房屋及附着物的拆迁及补偿工作；负责组织实施辖区范围内国有土地上房屋征收与补偿工作；负责制定辖区范围内集体土地上房屋及附着物的拆迁补偿标准。</w:t>
      </w:r>
    </w:p>
    <w:p>
      <w:pPr>
        <w:spacing w:line="540" w:lineRule="exact"/>
        <w:ind w:firstLine="646"/>
        <w:rPr>
          <w:rFonts w:ascii="仿宋_GB2312" w:eastAsia="仿宋_GB2312"/>
          <w:sz w:val="32"/>
          <w:szCs w:val="32"/>
        </w:rPr>
      </w:pPr>
      <w:r>
        <w:rPr>
          <w:rFonts w:hint="eastAsia" w:ascii="仿宋_GB2312" w:eastAsia="仿宋_GB2312"/>
          <w:sz w:val="32"/>
          <w:szCs w:val="32"/>
        </w:rPr>
        <w:t>二、机构设置</w:t>
      </w:r>
    </w:p>
    <w:p>
      <w:pPr>
        <w:ind w:firstLine="640" w:firstLineChars="200"/>
        <w:rPr>
          <w:rFonts w:ascii="Calibri" w:hAnsi="Calibri" w:eastAsia="仿宋_GB2312"/>
          <w:sz w:val="30"/>
          <w:szCs w:val="30"/>
        </w:rPr>
      </w:pPr>
      <w:r>
        <w:rPr>
          <w:rFonts w:hint="eastAsia" w:ascii="仿宋_GB2312" w:hAnsi="仿宋" w:eastAsia="仿宋_GB2312"/>
          <w:sz w:val="32"/>
          <w:szCs w:val="32"/>
        </w:rPr>
        <w:t>柳州市柳东新区征地办公室属于参照公务员管理法事业单位，</w:t>
      </w:r>
      <w:r>
        <w:rPr>
          <w:rFonts w:hint="eastAsia" w:ascii="Calibri" w:hAnsi="Calibri" w:eastAsia="仿宋_GB2312"/>
          <w:sz w:val="30"/>
          <w:szCs w:val="30"/>
        </w:rPr>
        <w:t>核定岗位：正职</w:t>
      </w:r>
      <w:r>
        <w:rPr>
          <w:rFonts w:ascii="Calibri" w:hAnsi="Calibri" w:eastAsia="仿宋_GB2312"/>
          <w:sz w:val="30"/>
          <w:szCs w:val="30"/>
        </w:rPr>
        <w:t>2</w:t>
      </w:r>
      <w:r>
        <w:rPr>
          <w:rFonts w:hint="eastAsia" w:ascii="Calibri" w:hAnsi="Calibri" w:eastAsia="仿宋_GB2312"/>
          <w:sz w:val="30"/>
          <w:szCs w:val="30"/>
        </w:rPr>
        <w:t>个，副职</w:t>
      </w:r>
      <w:r>
        <w:rPr>
          <w:rFonts w:ascii="Calibri" w:hAnsi="Calibri" w:eastAsia="仿宋_GB2312"/>
          <w:sz w:val="30"/>
          <w:szCs w:val="30"/>
        </w:rPr>
        <w:t>5</w:t>
      </w:r>
      <w:r>
        <w:rPr>
          <w:rFonts w:hint="eastAsia" w:ascii="Calibri" w:hAnsi="Calibri" w:eastAsia="仿宋_GB2312"/>
          <w:sz w:val="30"/>
          <w:szCs w:val="30"/>
        </w:rPr>
        <w:t>个，主管科员</w:t>
      </w:r>
      <w:r>
        <w:rPr>
          <w:rFonts w:ascii="Calibri" w:hAnsi="Calibri" w:eastAsia="仿宋_GB2312"/>
          <w:sz w:val="30"/>
          <w:szCs w:val="30"/>
        </w:rPr>
        <w:t>4</w:t>
      </w:r>
      <w:r>
        <w:rPr>
          <w:rFonts w:hint="eastAsia" w:ascii="Calibri" w:hAnsi="Calibri" w:eastAsia="仿宋_GB2312"/>
          <w:sz w:val="30"/>
          <w:szCs w:val="30"/>
        </w:rPr>
        <w:t>个，科员</w:t>
      </w:r>
      <w:r>
        <w:rPr>
          <w:rFonts w:ascii="Calibri" w:hAnsi="Calibri" w:eastAsia="仿宋_GB2312"/>
          <w:sz w:val="30"/>
          <w:szCs w:val="30"/>
        </w:rPr>
        <w:t>23</w:t>
      </w:r>
      <w:r>
        <w:rPr>
          <w:rFonts w:ascii="Calibri" w:hAnsi="Calibri" w:eastAsia="仿宋_GB2312"/>
          <w:sz w:val="30"/>
          <w:szCs w:val="30"/>
        </w:rPr>
        <w:br w:type="textWrapping"/>
      </w:r>
      <w:r>
        <w:rPr>
          <w:rFonts w:hint="eastAsia" w:ascii="Calibri" w:hAnsi="Calibri" w:eastAsia="仿宋_GB2312"/>
          <w:sz w:val="30"/>
          <w:szCs w:val="30"/>
        </w:rPr>
        <w:t>个，岗位总数：</w:t>
      </w:r>
      <w:r>
        <w:rPr>
          <w:rFonts w:ascii="Calibri" w:hAnsi="Calibri" w:eastAsia="仿宋_GB2312"/>
          <w:sz w:val="30"/>
          <w:szCs w:val="30"/>
        </w:rPr>
        <w:t>34</w:t>
      </w:r>
      <w:r>
        <w:rPr>
          <w:rFonts w:hint="eastAsia" w:ascii="Calibri" w:hAnsi="Calibri" w:eastAsia="仿宋_GB2312"/>
          <w:sz w:val="30"/>
          <w:szCs w:val="30"/>
        </w:rPr>
        <w:t>个。</w:t>
      </w:r>
    </w:p>
    <w:p>
      <w:pPr>
        <w:snapToGrid w:val="0"/>
        <w:spacing w:line="520" w:lineRule="exact"/>
        <w:ind w:firstLine="640" w:firstLineChars="200"/>
        <w:rPr>
          <w:rFonts w:ascii="仿宋_GB2312" w:hAnsi="仿宋" w:eastAsia="仿宋_GB2312"/>
          <w:sz w:val="32"/>
          <w:szCs w:val="32"/>
        </w:rP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sectPr>
          <w:headerReference r:id="rId3" w:type="default"/>
          <w:footerReference r:id="rId4" w:type="default"/>
          <w:pgSz w:w="11906" w:h="16838"/>
          <w:pgMar w:top="1701" w:right="1418" w:bottom="1134" w:left="1588" w:header="851" w:footer="992" w:gutter="0"/>
          <w:cols w:space="720" w:num="1"/>
          <w:docGrid w:type="lines" w:linePitch="312" w:charSpace="0"/>
        </w:sectPr>
      </w:pPr>
      <w:r>
        <w:br w:type="page"/>
      </w:r>
    </w:p>
    <w:p>
      <w:pPr>
        <w:spacing w:line="540" w:lineRule="exact"/>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 xml:space="preserve"> 柳东新区征地办公室 </w:t>
      </w:r>
      <w:r>
        <w:rPr>
          <w:rFonts w:hint="eastAsia" w:ascii="仿宋_GB2312" w:eastAsia="仿宋_GB2312"/>
          <w:b/>
          <w:sz w:val="32"/>
          <w:szCs w:val="32"/>
        </w:rPr>
        <w:t>2019年部门决算报表</w:t>
      </w:r>
    </w:p>
    <w:p>
      <w:pPr>
        <w:spacing w:line="540" w:lineRule="exact"/>
        <w:jc w:val="center"/>
        <w:rPr>
          <w:rFonts w:ascii="仿宋_GB2312" w:eastAsia="仿宋_GB2312"/>
          <w:b/>
          <w:sz w:val="32"/>
          <w:szCs w:val="32"/>
        </w:rPr>
      </w:pPr>
    </w:p>
    <w:tbl>
      <w:tblPr>
        <w:tblStyle w:val="4"/>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cs="宋体"/>
                <w:kern w:val="0"/>
                <w:sz w:val="22"/>
                <w:szCs w:val="22"/>
              </w:rPr>
            </w:pPr>
            <w:r>
              <w:rPr>
                <w:rFonts w:hint="eastAsia" w:ascii="宋体" w:hAnsi="宋体" w:cs="宋体"/>
                <w:kern w:val="0"/>
                <w:sz w:val="22"/>
                <w:szCs w:val="22"/>
              </w:rPr>
              <w:t>单位：万元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s="宋体"/>
                <w:color w:val="000000"/>
                <w:kern w:val="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color w:val="000000"/>
                <w:szCs w:val="21"/>
              </w:rPr>
              <w:t>555.5</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2525.9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color w:val="000000"/>
                <w:szCs w:val="21"/>
              </w:rPr>
              <w:t>4</w:t>
            </w:r>
            <w:r>
              <w:rPr>
                <w:rFonts w:hint="eastAsia"/>
                <w:color w:val="000000"/>
                <w:szCs w:val="21"/>
              </w:rPr>
              <w:t>.2</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4.6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rPr>
                <w:rFonts w:ascii="宋体" w:cs="宋体"/>
                <w:b/>
                <w:color w:val="000000"/>
                <w:kern w:val="0"/>
                <w:sz w:val="22"/>
                <w:szCs w:val="22"/>
              </w:rPr>
            </w:pPr>
            <w:r>
              <w:rPr>
                <w:rFonts w:hint="eastAsia"/>
                <w:color w:val="000000"/>
                <w:szCs w:val="21"/>
              </w:rPr>
              <w:t>559.8</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2570.4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2814.5</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803.8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rPr>
                <w:rFonts w:ascii="宋体" w:cs="宋体"/>
                <w:b/>
                <w:color w:val="000000"/>
                <w:kern w:val="0"/>
                <w:sz w:val="22"/>
                <w:szCs w:val="22"/>
              </w:rPr>
            </w:pPr>
            <w:r>
              <w:rPr>
                <w:rFonts w:hint="eastAsia"/>
                <w:color w:val="000000"/>
                <w:szCs w:val="21"/>
              </w:rPr>
              <w:t>3374.2</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b/>
                <w:color w:val="000000"/>
                <w:kern w:val="0"/>
                <w:sz w:val="22"/>
                <w:szCs w:val="22"/>
              </w:rPr>
            </w:pPr>
            <w:r>
              <w:rPr>
                <w:rFonts w:hint="eastAsia" w:ascii="宋体" w:hAnsi="宋体" w:cs="宋体"/>
                <w:b/>
                <w:color w:val="000000"/>
                <w:kern w:val="0"/>
                <w:sz w:val="22"/>
                <w:szCs w:val="22"/>
              </w:rPr>
              <w:t>3374.2</w:t>
            </w:r>
          </w:p>
        </w:tc>
      </w:tr>
    </w:tbl>
    <w:p>
      <w:pPr>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w:t>
      </w:r>
    </w:p>
    <w:p>
      <w:pPr>
        <w:spacing w:line="540" w:lineRule="exact"/>
        <w:rPr>
          <w:rFonts w:ascii="仿宋_GB2312" w:eastAsia="仿宋_GB2312"/>
          <w:b/>
          <w:sz w:val="32"/>
          <w:szCs w:val="32"/>
        </w:rPr>
        <w:sectPr>
          <w:pgSz w:w="16838" w:h="11906" w:orient="landscape"/>
          <w:pgMar w:top="1588" w:right="1701" w:bottom="1418" w:left="1134" w:header="851" w:footer="992" w:gutter="0"/>
          <w:cols w:space="720" w:num="1"/>
          <w:docGrid w:type="lines" w:linePitch="312" w:charSpace="0"/>
        </w:sectPr>
      </w:pP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r>
        <w:rPr>
          <w:sz w:val="22"/>
          <w:szCs w:val="22"/>
        </w:rPr>
        <w:t xml:space="preserve">                     </w:t>
      </w:r>
    </w:p>
    <w:tbl>
      <w:tblPr>
        <w:tblStyle w:val="4"/>
        <w:tblW w:w="14141" w:type="dxa"/>
        <w:jc w:val="center"/>
        <w:tblInd w:w="0" w:type="dxa"/>
        <w:tblLayout w:type="fixed"/>
        <w:tblCellMar>
          <w:top w:w="0" w:type="dxa"/>
          <w:left w:w="108" w:type="dxa"/>
          <w:bottom w:w="0" w:type="dxa"/>
          <w:right w:w="108" w:type="dxa"/>
        </w:tblCellMar>
      </w:tblPr>
      <w:tblGrid>
        <w:gridCol w:w="960"/>
        <w:gridCol w:w="2401"/>
        <w:gridCol w:w="1540"/>
        <w:gridCol w:w="1540"/>
        <w:gridCol w:w="1540"/>
        <w:gridCol w:w="1540"/>
        <w:gridCol w:w="1540"/>
        <w:gridCol w:w="1540"/>
        <w:gridCol w:w="1540"/>
      </w:tblGrid>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kern w:val="0"/>
                <w:sz w:val="22"/>
                <w:szCs w:val="22"/>
              </w:rPr>
            </w:pPr>
            <w:r>
              <w:rPr>
                <w:rFonts w:hint="eastAsia" w:ascii="宋体" w:hAnsi="宋体" w:cs="Arial"/>
                <w:kern w:val="0"/>
                <w:sz w:val="22"/>
                <w:szCs w:val="22"/>
              </w:rPr>
              <w:t>科目编码</w:t>
            </w:r>
          </w:p>
        </w:tc>
        <w:tc>
          <w:tcPr>
            <w:tcW w:w="24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Layout w:type="fixed"/>
        </w:tblPrEx>
        <w:trPr>
          <w:trHeight w:val="302" w:hRule="atLeast"/>
          <w:jc w:val="center"/>
        </w:trPr>
        <w:tc>
          <w:tcPr>
            <w:tcW w:w="336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7</w:t>
            </w:r>
          </w:p>
        </w:tc>
      </w:tr>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559.8</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555.5</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.2</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201</w:t>
            </w:r>
            <w:r>
              <w:rPr>
                <w:rFonts w:ascii="宋体" w:hAns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一般公共服务支出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515.2</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511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4.2</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20101</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人大事务</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511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511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2010101</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行政运行</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511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511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20199</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其他一般公共服务支出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4.2</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4.2</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2019999</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其他一般公共服务支出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4.2</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4.2</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卫生健康支出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44.6</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44.6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44.6</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44.6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2101101</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行政单位医疗</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34.7</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w:t>
            </w: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2101103</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公务员医疗补助</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9.9</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9.9</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bl>
    <w:p/>
    <w:p>
      <w:r>
        <w:rPr>
          <w:rFonts w:hint="eastAsia"/>
        </w:rPr>
        <w:t>注：本表反映部门本年度取得的各项收入情况。</w:t>
      </w:r>
    </w:p>
    <w:p>
      <w:pPr>
        <w:spacing w:line="540" w:lineRule="exact"/>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Ind w:w="0" w:type="dxa"/>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科目编码</w:t>
            </w:r>
          </w:p>
        </w:tc>
        <w:tc>
          <w:tcPr>
            <w:tcW w:w="181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2570.4</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527.4</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2043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201</w:t>
            </w:r>
            <w:r>
              <w:rPr>
                <w:rFonts w:ascii="宋体" w:hAns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一般公共服务支出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2525.9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2043</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人大事务</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2010101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行政运行</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20199</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其他一般公共服务支出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2043</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2043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2019999</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其他一般公共服务支出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2043　</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2043</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卫生健康支出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行政单位医疗</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34.7</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34.7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2101103</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公务员医疗补助</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9.9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9.9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4"/>
        <w:tblW w:w="13765" w:type="dxa"/>
        <w:jc w:val="center"/>
        <w:tblInd w:w="0" w:type="dxa"/>
        <w:tblLayout w:type="fixed"/>
        <w:tblCellMar>
          <w:top w:w="0" w:type="dxa"/>
          <w:left w:w="108" w:type="dxa"/>
          <w:bottom w:w="0" w:type="dxa"/>
          <w:right w:w="108" w:type="dxa"/>
        </w:tblCellMar>
      </w:tblPr>
      <w:tblGrid>
        <w:gridCol w:w="3864"/>
        <w:gridCol w:w="1080"/>
        <w:gridCol w:w="1620"/>
        <w:gridCol w:w="180"/>
        <w:gridCol w:w="2608"/>
        <w:gridCol w:w="681"/>
        <w:gridCol w:w="1267"/>
        <w:gridCol w:w="1149"/>
        <w:gridCol w:w="1316"/>
      </w:tblGrid>
      <w:tr>
        <w:tblPrEx>
          <w:tblLayout w:type="fixed"/>
          <w:tblCellMar>
            <w:top w:w="0" w:type="dxa"/>
            <w:left w:w="108" w:type="dxa"/>
            <w:bottom w:w="0" w:type="dxa"/>
            <w:right w:w="108" w:type="dxa"/>
          </w:tblCellMar>
        </w:tblPrEx>
        <w:trPr>
          <w:trHeight w:val="300" w:hRule="atLeast"/>
          <w:jc w:val="center"/>
        </w:trPr>
        <w:tc>
          <w:tcPr>
            <w:tcW w:w="6744" w:type="dxa"/>
            <w:gridSpan w:val="4"/>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w:t>
            </w:r>
            <w:r>
              <w:rPr>
                <w:rFonts w:ascii="MingLiU" w:hAnsi="MingLiU" w:eastAsia="MingLiU" w:cs="Arial"/>
                <w:kern w:val="0"/>
                <w:sz w:val="22"/>
                <w:szCs w:val="22"/>
              </w:rPr>
              <w:t xml:space="preserve"> </w:t>
            </w:r>
            <w:r>
              <w:rPr>
                <w:rFonts w:hint="eastAsia" w:ascii="MingLiU" w:hAnsi="MingLiU" w:eastAsia="MingLiU" w:cs="Arial"/>
                <w:kern w:val="0"/>
                <w:sz w:val="22"/>
                <w:szCs w:val="22"/>
              </w:rPr>
              <w:t>入</w:t>
            </w:r>
          </w:p>
        </w:tc>
        <w:tc>
          <w:tcPr>
            <w:tcW w:w="702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w:t>
            </w:r>
            <w:r>
              <w:rPr>
                <w:rFonts w:ascii="MingLiU" w:hAnsi="MingLiU" w:eastAsia="MingLiU" w:cs="Arial"/>
                <w:kern w:val="0"/>
                <w:sz w:val="22"/>
                <w:szCs w:val="22"/>
              </w:rPr>
              <w:t xml:space="preserve"> </w:t>
            </w:r>
            <w:r>
              <w:rPr>
                <w:rFonts w:hint="eastAsia" w:ascii="MingLiU" w:hAnsi="MingLiU" w:eastAsia="MingLiU" w:cs="Arial"/>
                <w:kern w:val="0"/>
                <w:sz w:val="22"/>
                <w:szCs w:val="22"/>
              </w:rPr>
              <w:t>出</w:t>
            </w:r>
          </w:p>
        </w:tc>
      </w:tr>
      <w:tr>
        <w:tblPrEx>
          <w:tblLayout w:type="fixed"/>
          <w:tblCellMar>
            <w:top w:w="0" w:type="dxa"/>
            <w:left w:w="108" w:type="dxa"/>
            <w:bottom w:w="0" w:type="dxa"/>
            <w:right w:w="108" w:type="dxa"/>
          </w:tblCellMar>
        </w:tblPrEx>
        <w:trPr>
          <w:trHeight w:val="732" w:hRule="atLeast"/>
          <w:jc w:val="center"/>
        </w:trPr>
        <w:tc>
          <w:tcPr>
            <w:tcW w:w="3864"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1080"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6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金额</w:t>
            </w:r>
          </w:p>
        </w:tc>
        <w:tc>
          <w:tcPr>
            <w:tcW w:w="2788"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681"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108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2788" w:type="dxa"/>
            <w:gridSpan w:val="2"/>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555</w:t>
            </w:r>
            <w:r>
              <w:rPr>
                <w:rFonts w:ascii="宋体" w:hAnsi="宋体" w:cs="Arial"/>
                <w:color w:val="000000"/>
                <w:kern w:val="0"/>
                <w:sz w:val="22"/>
                <w:szCs w:val="22"/>
              </w:rPr>
              <w:t>.5</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二、政府性基金预算财政拨款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62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五、文化体育与传媒支出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w:t>
            </w:r>
          </w:p>
        </w:tc>
        <w:tc>
          <w:tcPr>
            <w:tcW w:w="13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color w:val="000000"/>
                <w:kern w:val="0"/>
                <w:sz w:val="22"/>
                <w:szCs w:val="22"/>
              </w:rPr>
            </w:pPr>
            <w:r>
              <w:rPr>
                <w:rFonts w:hint="eastAsia" w:ascii="宋体" w:hAnsi="宋体" w:cs="Arial"/>
                <w:kern w:val="0"/>
                <w:sz w:val="22"/>
                <w:szCs w:val="22"/>
              </w:rPr>
              <w:t>本年收入合计</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555</w:t>
            </w:r>
            <w:r>
              <w:rPr>
                <w:rFonts w:ascii="宋体" w:hAnsi="宋体" w:cs="Arial"/>
                <w:color w:val="000000"/>
                <w:kern w:val="0"/>
                <w:sz w:val="22"/>
                <w:szCs w:val="22"/>
              </w:rPr>
              <w:t>.5</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527.4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年初财政拨款结转和结余</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40.2</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68.3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330" w:firstLineChars="150"/>
              <w:jc w:val="left"/>
              <w:rPr>
                <w:rFonts w:ascii="宋体" w:cs="Arial"/>
                <w:kern w:val="0"/>
                <w:sz w:val="22"/>
                <w:szCs w:val="22"/>
              </w:rPr>
            </w:pPr>
            <w:r>
              <w:rPr>
                <w:rFonts w:hint="eastAsia" w:ascii="宋体" w:hAnsi="宋体" w:cs="Arial"/>
                <w:kern w:val="0"/>
                <w:sz w:val="22"/>
                <w:szCs w:val="22"/>
              </w:rPr>
              <w:t>一般公共预算财政拨款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40.2</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330" w:firstLineChars="150"/>
              <w:jc w:val="left"/>
              <w:rPr>
                <w:rFonts w:ascii="宋体" w:cs="Arial"/>
                <w:color w:val="000000"/>
                <w:kern w:val="0"/>
                <w:sz w:val="22"/>
                <w:szCs w:val="22"/>
              </w:rPr>
            </w:pPr>
            <w:r>
              <w:rPr>
                <w:rFonts w:hint="eastAsia" w:ascii="宋体" w:hAnsi="宋体" w:cs="Arial"/>
                <w:kern w:val="0"/>
                <w:sz w:val="22"/>
                <w:szCs w:val="22"/>
              </w:rPr>
              <w:t>政府性基金预算财政拨款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62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695.7</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695.7</w:t>
            </w:r>
          </w:p>
        </w:tc>
      </w:tr>
    </w:tbl>
    <w:p>
      <w:r>
        <w:rPr>
          <w:rFonts w:hint="eastAsia"/>
        </w:rPr>
        <w:t>注：本表反映部门本年度一般公共预算财政拨款和政府性基金预算财政拨款的总收支和年末结转结余情况。</w:t>
      </w:r>
    </w:p>
    <w:p>
      <w:pPr>
        <w:spacing w:line="540" w:lineRule="exact"/>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4"/>
        <w:tblW w:w="13479" w:type="dxa"/>
        <w:jc w:val="center"/>
        <w:tblInd w:w="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w:t>
            </w:r>
            <w:r>
              <w:rPr>
                <w:rFonts w:ascii="MingLiU" w:hAnsi="MingLiU" w:eastAsia="MingLiU" w:cs="Arial"/>
                <w:kern w:val="0"/>
                <w:sz w:val="22"/>
                <w:szCs w:val="22"/>
              </w:rPr>
              <w:t xml:space="preserve"> </w:t>
            </w:r>
            <w:r>
              <w:rPr>
                <w:rFonts w:hint="eastAsia" w:ascii="MingLiU" w:hAnsi="MingLiU" w:eastAsia="MingLiU" w:cs="Arial"/>
                <w:kern w:val="0"/>
                <w:sz w:val="22"/>
                <w:szCs w:val="22"/>
              </w:rPr>
              <w:t>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36"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宋体" w:hAnsi="宋体" w:cs="Arial"/>
                <w:color w:val="000000"/>
                <w:kern w:val="0"/>
                <w:sz w:val="22"/>
                <w:szCs w:val="22"/>
              </w:rPr>
              <w:t>527.4</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hint="eastAsia" w:ascii="宋体" w:hAnsi="宋体" w:cs="Arial"/>
                <w:color w:val="000000"/>
                <w:kern w:val="0"/>
                <w:sz w:val="22"/>
                <w:szCs w:val="22"/>
              </w:rPr>
              <w:t>527.4</w:t>
            </w:r>
          </w:p>
        </w:tc>
        <w:tc>
          <w:tcPr>
            <w:tcW w:w="3396"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201</w:t>
            </w:r>
            <w:r>
              <w:rPr>
                <w:rFonts w:ascii="宋体" w:hAns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一般公共服务支出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20101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人大事务</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2010101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行政运行</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82.9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20199</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其他一般公共服务支出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2019999</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其他一般公共服务支出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卫生健康支出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　</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w:t>
            </w:r>
            <w:r>
              <w:rPr>
                <w:rFonts w:hint="eastAsia" w:ascii="宋体" w:hAnsi="宋体" w:cs="Arial"/>
                <w:color w:val="000000"/>
                <w:kern w:val="0"/>
                <w:sz w:val="22"/>
                <w:szCs w:val="22"/>
              </w:rPr>
              <w:t>4.6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行政单位医疗</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34.7</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34.7</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2101103</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公务员医疗补助</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9.9　</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9.9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bl>
    <w:p/>
    <w:p>
      <w:r>
        <w:rPr>
          <w:rFonts w:hint="eastAsia"/>
        </w:rPr>
        <w:t>注：本表反映部门本年度一般公共预算财政拨款实际支出情况。</w:t>
      </w: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4</w:t>
            </w:r>
            <w:r>
              <w:rPr>
                <w:rFonts w:hint="eastAsia" w:ascii="宋体" w:cs="Arial"/>
                <w:color w:val="000000"/>
                <w:kern w:val="0"/>
                <w:sz w:val="22"/>
                <w:szCs w:val="22"/>
              </w:rPr>
              <w:t>93.5</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商品和服务支出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33.9</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基本工资</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51.7</w:t>
            </w: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4.5</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30102</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津贴补贴</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w:t>
            </w:r>
            <w:r>
              <w:rPr>
                <w:rFonts w:hint="eastAsia" w:ascii="宋体" w:hAnsi="宋体" w:cs="Arial"/>
                <w:color w:val="000000"/>
                <w:kern w:val="0"/>
                <w:sz w:val="22"/>
                <w:szCs w:val="22"/>
              </w:rPr>
              <w:t>28</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工会经费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3.3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资金</w:t>
            </w:r>
            <w:r>
              <w:rPr>
                <w:rFonts w:ascii="宋体" w:hAnsi="宋体" w:cs="Arial"/>
                <w:color w:val="000000"/>
                <w:kern w:val="0"/>
                <w:sz w:val="22"/>
                <w:szCs w:val="22"/>
              </w:rPr>
              <w:t xml:space="preserve">  </w:t>
            </w:r>
            <w:r>
              <w:rPr>
                <w:rFonts w:hint="eastAsia"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w:t>
            </w:r>
            <w:r>
              <w:rPr>
                <w:rFonts w:hint="eastAsia" w:ascii="宋体" w:hAnsi="宋体" w:cs="Arial"/>
                <w:color w:val="000000"/>
                <w:kern w:val="0"/>
                <w:sz w:val="22"/>
                <w:szCs w:val="22"/>
              </w:rPr>
              <w:t>239</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其他交通费用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18.7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30104</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16.1</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手续费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w:t>
            </w:r>
            <w:r>
              <w:rPr>
                <w:rFonts w:hint="eastAsia" w:ascii="宋体" w:hAnsi="宋体" w:cs="Arial"/>
                <w:color w:val="000000"/>
                <w:kern w:val="0"/>
                <w:sz w:val="22"/>
                <w:szCs w:val="22"/>
              </w:rPr>
              <w:t>13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住房公积金</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cs="Arial"/>
                <w:color w:val="000000"/>
                <w:kern w:val="0"/>
                <w:sz w:val="22"/>
                <w:szCs w:val="22"/>
              </w:rPr>
              <w:t>38</w:t>
            </w: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30107</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绩效工资</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cs="Arial"/>
                <w:color w:val="000000"/>
                <w:kern w:val="0"/>
                <w:sz w:val="22"/>
                <w:szCs w:val="22"/>
              </w:rPr>
              <w:t>243</w:t>
            </w: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30108</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机关事业单位基本养老保险缴费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34.7</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邮电费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2.9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30111</w:t>
            </w:r>
          </w:p>
        </w:tc>
        <w:tc>
          <w:tcPr>
            <w:tcW w:w="32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公务员医疗补助</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9.9</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取暖费　</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37.5</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物业管理费　</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4.6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对个人家庭的补助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离休费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30302</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退休费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债务利息支出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其他支出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p>
          <w:p>
            <w:pPr>
              <w:widowControl/>
              <w:jc w:val="center"/>
              <w:rPr>
                <w:rFonts w:asci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4</w:t>
            </w:r>
            <w:r>
              <w:rPr>
                <w:rFonts w:hint="eastAsia" w:ascii="宋体" w:cs="Arial"/>
                <w:color w:val="000000"/>
                <w:kern w:val="0"/>
                <w:sz w:val="22"/>
                <w:szCs w:val="22"/>
              </w:rPr>
              <w:t>93.5</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33.9</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公共预算财政拨款安排的“三公”经费支出决算表</w:t>
      </w:r>
    </w:p>
    <w:p/>
    <w:p>
      <w:pPr>
        <w:jc w:val="right"/>
      </w:pPr>
      <w:r>
        <w:rPr>
          <w:rFonts w:hint="eastAsia"/>
        </w:rPr>
        <w:t>单位：万元</w:t>
      </w:r>
    </w:p>
    <w:tbl>
      <w:tblPr>
        <w:tblStyle w:val="4"/>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201</w:t>
            </w:r>
            <w:r>
              <w:rPr>
                <w:rFonts w:hint="eastAsia" w:ascii="宋体" w:hAnsi="宋体" w:cs="Arial"/>
                <w:kern w:val="0"/>
                <w:sz w:val="22"/>
                <w:szCs w:val="22"/>
              </w:rPr>
              <w:t>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201</w:t>
            </w:r>
            <w:r>
              <w:rPr>
                <w:rFonts w:hint="eastAsia" w:ascii="宋体" w:hAnsi="宋体" w:cs="Arial"/>
                <w:kern w:val="0"/>
                <w:sz w:val="22"/>
                <w:szCs w:val="22"/>
              </w:rPr>
              <w:t>9年度决算数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0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183"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r>
    </w:tbl>
    <w:p>
      <w:r>
        <w:rPr>
          <w:rFonts w:hint="eastAsia"/>
        </w:rPr>
        <w:t>注：本表反映部门本年度“三公”经费支出预决算情况。其中，</w:t>
      </w:r>
      <w:r>
        <w:t>2018</w:t>
      </w:r>
      <w:r>
        <w:rPr>
          <w:rFonts w:hint="eastAsia"/>
        </w:rPr>
        <w:t>年度预算数为“三公”经费年初预算数，决算数是包括当年一般公共预算财政拨款和以前年度结转资金安排的实际支出。</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sz w:val="32"/>
          <w:szCs w:val="32"/>
        </w:rPr>
        <w:t>柳州市柳东新区征地办公室无“三公”经费收入，也没有“三公”经费安排的支出，故本表无数据</w:t>
      </w:r>
    </w:p>
    <w:p>
      <w:pPr>
        <w:spacing w:line="540" w:lineRule="exact"/>
        <w:jc w:val="center"/>
        <w:rPr>
          <w:rFonts w:ascii="方正小标宋简体" w:hAnsi="宋体" w:eastAsia="方正小标宋简体" w:cs="宋体"/>
          <w:kern w:val="0"/>
          <w:sz w:val="36"/>
          <w:szCs w:val="36"/>
        </w:rPr>
      </w:pPr>
    </w:p>
    <w:tbl>
      <w:tblPr>
        <w:tblStyle w:val="4"/>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ind w:firstLine="420"/>
        <w:sectPr>
          <w:pgSz w:w="16838" w:h="11906" w:orient="landscape"/>
          <w:pgMar w:top="1797" w:right="1440" w:bottom="1797" w:left="1440" w:header="851" w:footer="992" w:gutter="0"/>
          <w:pgNumType w:fmt="numberInDash"/>
          <w:cols w:space="720" w:num="1"/>
          <w:docGrid w:type="lines" w:linePitch="312" w:charSpace="0"/>
        </w:sectPr>
      </w:pPr>
      <w:r>
        <w:rPr>
          <w:rFonts w:hint="eastAsia"/>
          <w:sz w:val="32"/>
          <w:szCs w:val="32"/>
        </w:rPr>
        <w:t>柳州市柳东新区征地办公室无政府性基金预算财政拨款收入，也没有“政府性基金预算财政拨款经费安排的支出，故本表无数据</w:t>
      </w:r>
    </w:p>
    <w:p>
      <w:pPr>
        <w:spacing w:line="540" w:lineRule="exact"/>
        <w:rPr>
          <w:rFonts w:ascii="方正小标宋简体" w:hAnsi="宋体" w:eastAsia="方正小标宋简体" w:cs="宋体"/>
          <w:kern w:val="0"/>
          <w:sz w:val="36"/>
          <w:szCs w:val="36"/>
        </w:rPr>
        <w:sectPr>
          <w:footerReference r:id="rId11" w:type="default"/>
          <w:pgSz w:w="16838" w:h="11906" w:orient="landscape"/>
          <w:pgMar w:top="1797" w:right="1440" w:bottom="1797" w:left="1440" w:header="851" w:footer="992" w:gutter="0"/>
          <w:pgNumType w:fmt="numberInDash"/>
          <w:cols w:space="720" w:num="1"/>
          <w:docGrid w:type="lines" w:linePitch="312" w:charSpace="0"/>
        </w:sectPr>
      </w:pPr>
    </w:p>
    <w:p>
      <w:pPr>
        <w:spacing w:line="54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 xml:space="preserve"> 柳州市柳东新区征地办公室 </w:t>
      </w:r>
      <w:r>
        <w:rPr>
          <w:rFonts w:hint="eastAsia" w:ascii="仿宋_GB2312" w:eastAsia="仿宋_GB2312"/>
          <w:b/>
          <w:sz w:val="32"/>
          <w:szCs w:val="32"/>
        </w:rPr>
        <w:t>2019年度部门决算情况说明</w:t>
      </w:r>
    </w:p>
    <w:p>
      <w:pPr>
        <w:spacing w:line="540" w:lineRule="exact"/>
        <w:jc w:val="center"/>
        <w:rPr>
          <w:rFonts w:ascii="仿宋_GB2312" w:eastAsia="仿宋_GB2312"/>
          <w:b/>
          <w:sz w:val="32"/>
          <w:szCs w:val="32"/>
        </w:rPr>
      </w:pP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年度收入支出决算总体情况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柳州市柳东新区征地办公室2019年度收入559.8万元，年度支出2570.4万元。2019年度收入559.8万元，与2018年相比减少4571.7万元，比上年减少89.1%。2019年度支出2570.4万元，与2018年相比减少1066万元，比上年减少29.3%。</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hAnsi="仿宋" w:eastAsia="仿宋_GB2312"/>
          <w:sz w:val="32"/>
          <w:szCs w:val="32"/>
        </w:rPr>
        <w:t>559.8</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，其中：财政拨款收入555</w:t>
      </w:r>
      <w:r>
        <w:rPr>
          <w:rFonts w:ascii="仿宋_GB2312" w:eastAsia="仿宋_GB2312" w:cs="仿宋_GB2312"/>
          <w:bCs/>
          <w:kern w:val="0"/>
          <w:sz w:val="32"/>
          <w:szCs w:val="32"/>
        </w:rPr>
        <w:t>.5</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9</w:t>
      </w:r>
      <w:r>
        <w:rPr>
          <w:rFonts w:hint="eastAsia" w:ascii="仿宋_GB2312" w:eastAsia="仿宋_GB2312" w:cs="仿宋_GB2312"/>
          <w:bCs/>
          <w:kern w:val="0"/>
          <w:sz w:val="32"/>
          <w:szCs w:val="32"/>
        </w:rPr>
        <w:t>9.2</w:t>
      </w:r>
      <w:r>
        <w:rPr>
          <w:rFonts w:ascii="仿宋_GB2312" w:eastAsia="仿宋_GB2312" w:cs="仿宋_GB2312"/>
          <w:bCs/>
          <w:kern w:val="0"/>
          <w:sz w:val="32"/>
          <w:szCs w:val="32"/>
        </w:rPr>
        <w:t>% </w:t>
      </w:r>
      <w:r>
        <w:rPr>
          <w:rFonts w:hint="eastAsia" w:ascii="仿宋_GB2312" w:eastAsia="仿宋_GB2312" w:cs="仿宋_GB2312"/>
          <w:bCs/>
          <w:kern w:val="0"/>
          <w:sz w:val="32"/>
          <w:szCs w:val="32"/>
        </w:rPr>
        <w:t>；上级补助收入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 xml:space="preserve">0% </w:t>
      </w:r>
      <w:r>
        <w:rPr>
          <w:rFonts w:hint="eastAsia" w:ascii="仿宋_GB2312" w:eastAsia="仿宋_GB2312" w:cs="仿宋_GB2312"/>
          <w:bCs/>
          <w:kern w:val="0"/>
          <w:sz w:val="32"/>
          <w:szCs w:val="32"/>
        </w:rPr>
        <w:t>；事业单位经营收入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；其他收入</w:t>
      </w:r>
      <w:r>
        <w:rPr>
          <w:rFonts w:ascii="仿宋_GB2312" w:eastAsia="仿宋_GB2312" w:cs="仿宋_GB2312"/>
          <w:bCs/>
          <w:kern w:val="0"/>
          <w:sz w:val="32"/>
          <w:szCs w:val="32"/>
        </w:rPr>
        <w:t>4</w:t>
      </w:r>
      <w:r>
        <w:rPr>
          <w:rFonts w:hint="eastAsia" w:ascii="仿宋_GB2312" w:eastAsia="仿宋_GB2312" w:cs="仿宋_GB2312"/>
          <w:bCs/>
          <w:kern w:val="0"/>
          <w:sz w:val="32"/>
          <w:szCs w:val="32"/>
        </w:rPr>
        <w:t>.3万元，占比0.08</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 xml:space="preserve"> </w:t>
      </w:r>
      <w:r>
        <w:rPr>
          <w:rFonts w:hint="eastAsia" w:ascii="仿宋_GB2312" w:hAnsi="仿宋" w:eastAsia="仿宋_GB2312"/>
          <w:sz w:val="32"/>
          <w:szCs w:val="32"/>
        </w:rPr>
        <w:t>2570.4</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527.4万元，占</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20.5</w:t>
      </w:r>
      <w:r>
        <w:rPr>
          <w:rFonts w:ascii="仿宋_GB2312" w:eastAsia="仿宋_GB2312" w:cs="仿宋_GB2312"/>
          <w:bCs/>
          <w:kern w:val="0"/>
          <w:sz w:val="32"/>
          <w:szCs w:val="32"/>
        </w:rPr>
        <w:t>%</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2043万元，</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占79.5</w:t>
      </w:r>
      <w:r>
        <w:rPr>
          <w:rFonts w:ascii="仿宋_GB2312" w:eastAsia="仿宋_GB2312" w:cs="仿宋_GB2312"/>
          <w:bCs/>
          <w:kern w:val="0"/>
          <w:sz w:val="32"/>
          <w:szCs w:val="32"/>
        </w:rPr>
        <w:t>%</w:t>
      </w:r>
      <w:r>
        <w:rPr>
          <w:rFonts w:hint="eastAsia" w:ascii="仿宋_GB2312" w:eastAsia="仿宋_GB2312" w:cs="仿宋_GB2312"/>
          <w:bCs/>
          <w:kern w:val="0"/>
          <w:sz w:val="32"/>
          <w:szCs w:val="32"/>
        </w:rPr>
        <w:t>；经营支出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本部门</w:t>
      </w: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9年度财政拨款收入555.5万元，与</w:t>
      </w: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8年相比增加95万元，比上年增加14.6%。</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9年度财政拨款支出527.4万元，与2018年相比增加70.3万元，比上年增加11.8%。</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201</w:t>
      </w:r>
      <w:r>
        <w:rPr>
          <w:rFonts w:hint="eastAsia" w:eastAsia="仿宋_GB2312"/>
          <w:b/>
          <w:kern w:val="0"/>
          <w:sz w:val="32"/>
          <w:szCs w:val="32"/>
        </w:rPr>
        <w:t>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w:t>
      </w: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9年度财政拨款支出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527.4万元，占本年支出合计的</w:t>
      </w:r>
      <w:r>
        <w:rPr>
          <w:rFonts w:ascii="仿宋_GB2312" w:eastAsia="仿宋_GB2312" w:cs="仿宋_GB2312"/>
          <w:bCs/>
          <w:kern w:val="0"/>
          <w:sz w:val="32"/>
          <w:szCs w:val="32"/>
        </w:rPr>
        <w:t xml:space="preserve"> </w:t>
      </w:r>
      <w:r>
        <w:rPr>
          <w:rFonts w:hint="eastAsia" w:ascii="仿宋_GB2312" w:hAnsi="仿宋" w:eastAsia="仿宋_GB2312"/>
          <w:sz w:val="32"/>
          <w:szCs w:val="32"/>
        </w:rPr>
        <w:t>20.52</w:t>
      </w:r>
      <w:r>
        <w:rPr>
          <w:rFonts w:ascii="仿宋_GB2312" w:eastAsia="仿宋_GB2312" w:cs="仿宋_GB2312"/>
          <w:bCs/>
          <w:kern w:val="0"/>
          <w:sz w:val="32"/>
          <w:szCs w:val="32"/>
        </w:rPr>
        <w:t>%</w:t>
      </w:r>
      <w:r>
        <w:rPr>
          <w:rFonts w:hint="eastAsia" w:ascii="仿宋_GB2312" w:eastAsia="仿宋_GB2312" w:cs="仿宋_GB2312"/>
          <w:bCs/>
          <w:kern w:val="0"/>
          <w:sz w:val="32"/>
          <w:szCs w:val="32"/>
        </w:rPr>
        <w:t>。与</w:t>
      </w:r>
      <w:r>
        <w:rPr>
          <w:rFonts w:ascii="仿宋_GB2312" w:eastAsia="仿宋_GB2312" w:cs="仿宋_GB2312"/>
          <w:bCs/>
          <w:kern w:val="0"/>
          <w:sz w:val="32"/>
          <w:szCs w:val="32"/>
        </w:rPr>
        <w:t>201</w:t>
      </w:r>
      <w:r>
        <w:rPr>
          <w:rFonts w:hint="eastAsia" w:ascii="仿宋_GB2312" w:eastAsia="仿宋_GB2312" w:cs="仿宋_GB2312"/>
          <w:bCs/>
          <w:kern w:val="0"/>
          <w:sz w:val="32"/>
          <w:szCs w:val="32"/>
        </w:rPr>
        <w:t>8年相比，财政拨款支出增加70.3万元，增加11.8</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9年度财政拨款支出527.4万元，主要用于以下方面：一般公共服务（类）支出</w:t>
      </w:r>
      <w:r>
        <w:rPr>
          <w:rFonts w:ascii="仿宋_GB2312" w:eastAsia="仿宋_GB2312" w:cs="仿宋_GB2312"/>
          <w:bCs/>
          <w:kern w:val="0"/>
          <w:sz w:val="32"/>
          <w:szCs w:val="32"/>
        </w:rPr>
        <w:t>4</w:t>
      </w:r>
      <w:r>
        <w:rPr>
          <w:rFonts w:hint="eastAsia" w:ascii="仿宋_GB2312" w:eastAsia="仿宋_GB2312" w:cs="仿宋_GB2312"/>
          <w:bCs/>
          <w:kern w:val="0"/>
          <w:sz w:val="32"/>
          <w:szCs w:val="32"/>
        </w:rPr>
        <w:t>82.9万元，占</w:t>
      </w:r>
      <w:r>
        <w:rPr>
          <w:rFonts w:ascii="仿宋_GB2312" w:eastAsia="仿宋_GB2312" w:cs="仿宋_GB2312"/>
          <w:bCs/>
          <w:kern w:val="0"/>
          <w:sz w:val="32"/>
          <w:szCs w:val="32"/>
        </w:rPr>
        <w:t>9</w:t>
      </w:r>
      <w:r>
        <w:rPr>
          <w:rFonts w:hint="eastAsia" w:ascii="仿宋_GB2312" w:eastAsia="仿宋_GB2312" w:cs="仿宋_GB2312"/>
          <w:bCs/>
          <w:kern w:val="0"/>
          <w:sz w:val="32"/>
          <w:szCs w:val="32"/>
        </w:rPr>
        <w:t>1.6</w:t>
      </w:r>
      <w:r>
        <w:rPr>
          <w:rFonts w:ascii="仿宋_GB2312" w:eastAsia="仿宋_GB2312" w:cs="仿宋_GB2312"/>
          <w:bCs/>
          <w:kern w:val="0"/>
          <w:sz w:val="32"/>
          <w:szCs w:val="32"/>
        </w:rPr>
        <w:t>%</w:t>
      </w:r>
      <w:r>
        <w:rPr>
          <w:rFonts w:hint="eastAsia" w:ascii="仿宋_GB2312" w:eastAsia="仿宋_GB2312" w:cs="仿宋_GB2312"/>
          <w:bCs/>
          <w:kern w:val="0"/>
          <w:sz w:val="32"/>
          <w:szCs w:val="32"/>
        </w:rPr>
        <w:t>；卫生健康（类）支出</w:t>
      </w:r>
      <w:r>
        <w:rPr>
          <w:rFonts w:ascii="仿宋_GB2312" w:eastAsia="仿宋_GB2312" w:cs="仿宋_GB2312"/>
          <w:bCs/>
          <w:kern w:val="0"/>
          <w:sz w:val="32"/>
          <w:szCs w:val="32"/>
        </w:rPr>
        <w:t>4</w:t>
      </w:r>
      <w:r>
        <w:rPr>
          <w:rFonts w:hint="eastAsia" w:ascii="仿宋_GB2312" w:eastAsia="仿宋_GB2312" w:cs="仿宋_GB2312"/>
          <w:bCs/>
          <w:kern w:val="0"/>
          <w:sz w:val="32"/>
          <w:szCs w:val="32"/>
        </w:rPr>
        <w:t>4.5万元，占8.4</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9年度财政拨款支出年初预算为527.4万元，支出决算为527.4万元，完成年初预算的</w:t>
      </w:r>
      <w:r>
        <w:rPr>
          <w:rFonts w:ascii="仿宋_GB2312" w:eastAsia="仿宋_GB2312" w:cs="仿宋_GB2312"/>
          <w:bCs/>
          <w:kern w:val="0"/>
          <w:sz w:val="32"/>
          <w:szCs w:val="32"/>
        </w:rPr>
        <w:t xml:space="preserve"> 100%</w:t>
      </w:r>
      <w:r>
        <w:rPr>
          <w:rFonts w:hint="eastAsia" w:ascii="仿宋_GB2312" w:eastAsia="仿宋_GB2312" w:cs="仿宋_GB2312"/>
          <w:bCs/>
          <w:kern w:val="0"/>
          <w:sz w:val="32"/>
          <w:szCs w:val="32"/>
        </w:rPr>
        <w:t>。其中：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一般公共服务（类）人大事务（款）行政运行（项）。</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年初预算为</w:t>
      </w:r>
      <w:r>
        <w:rPr>
          <w:rFonts w:ascii="仿宋_GB2312" w:eastAsia="仿宋_GB2312" w:cs="仿宋_GB2312"/>
          <w:bCs/>
          <w:kern w:val="0"/>
          <w:sz w:val="32"/>
          <w:szCs w:val="32"/>
        </w:rPr>
        <w:t>4</w:t>
      </w:r>
      <w:r>
        <w:rPr>
          <w:rFonts w:hint="eastAsia" w:ascii="仿宋_GB2312" w:eastAsia="仿宋_GB2312" w:cs="仿宋_GB2312"/>
          <w:bCs/>
          <w:kern w:val="0"/>
          <w:sz w:val="32"/>
          <w:szCs w:val="32"/>
        </w:rPr>
        <w:t>82.9万元，支出决算为</w:t>
      </w:r>
      <w:r>
        <w:rPr>
          <w:rFonts w:ascii="仿宋_GB2312" w:eastAsia="仿宋_GB2312" w:cs="仿宋_GB2312"/>
          <w:bCs/>
          <w:kern w:val="0"/>
          <w:sz w:val="32"/>
          <w:szCs w:val="32"/>
        </w:rPr>
        <w:t>4</w:t>
      </w:r>
      <w:r>
        <w:rPr>
          <w:rFonts w:hint="eastAsia" w:ascii="仿宋_GB2312" w:eastAsia="仿宋_GB2312" w:cs="仿宋_GB2312"/>
          <w:bCs/>
          <w:kern w:val="0"/>
          <w:sz w:val="32"/>
          <w:szCs w:val="32"/>
        </w:rPr>
        <w:t>82.9万元，完成年初预算的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一般公共服务（类）其他一般公共服务支出（款）其他一般公共服务支出（项）。年初预算为2043万元，支出决算为2043万元，完成年初预算的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卫生健康支出（类）行政事业单位医疗（款）</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行政单位医疗（项）。年初预算为34.7万元，支出决算为34.7万元，完成年初预算的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4. </w:t>
      </w:r>
      <w:r>
        <w:rPr>
          <w:rFonts w:hint="eastAsia" w:ascii="仿宋_GB2312" w:eastAsia="仿宋_GB2312" w:cs="仿宋_GB2312"/>
          <w:bCs/>
          <w:kern w:val="0"/>
          <w:sz w:val="32"/>
          <w:szCs w:val="32"/>
        </w:rPr>
        <w:t>卫生健康支出（类）行政事业单位医疗（款）公务员医疗补助（项）。年初预算为9.9万元，支出决算为9.9万元，完成年初预算的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201</w:t>
      </w:r>
      <w:r>
        <w:rPr>
          <w:rFonts w:hint="eastAsia" w:ascii="仿宋_GB2312" w:eastAsia="仿宋_GB2312" w:cs="仿宋_GB2312"/>
          <w:b/>
          <w:kern w:val="0"/>
          <w:sz w:val="32"/>
          <w:szCs w:val="32"/>
        </w:rPr>
        <w:t>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9年度财政拨款基本支出527.4万元，其中：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4</w:t>
      </w:r>
      <w:r>
        <w:rPr>
          <w:rFonts w:hint="eastAsia" w:ascii="仿宋_GB2312" w:eastAsia="仿宋_GB2312" w:cs="仿宋_GB2312"/>
          <w:bCs/>
          <w:kern w:val="0"/>
          <w:sz w:val="32"/>
          <w:szCs w:val="32"/>
        </w:rPr>
        <w:t>93.5万元，主要包括：基本工资、绩效工资、机关事业单位基本养老保险缴费、其他社会保障缴费、住房公积金；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公用经费33.9万元，主要包括：办公费、印刷费、水费、电费、差旅费、培训费、工会经费、其他交通费用、其他商品和服务支出、办公设备购置。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201</w:t>
      </w:r>
      <w:r>
        <w:rPr>
          <w:rFonts w:hint="eastAsia" w:ascii="仿宋_GB2312" w:eastAsia="仿宋_GB2312" w:cs="仿宋_GB2312"/>
          <w:b/>
          <w:kern w:val="0"/>
          <w:sz w:val="32"/>
          <w:szCs w:val="32"/>
        </w:rPr>
        <w:t>9年度一般公共预算财政拨款“三公”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9年度“三公”经费财政拨款支出预算为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201</w:t>
      </w:r>
      <w:r>
        <w:rPr>
          <w:rFonts w:hint="eastAsia" w:ascii="仿宋_GB2312" w:eastAsia="仿宋_GB2312" w:cs="仿宋_GB2312"/>
          <w:bCs/>
          <w:kern w:val="0"/>
          <w:sz w:val="32"/>
          <w:szCs w:val="32"/>
        </w:rPr>
        <w:t>8年度“三公”经费财政拨款支出决算数</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0 %</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万元。全年安排机关和所属单位因公出国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2018</w:t>
      </w:r>
      <w:r>
        <w:rPr>
          <w:rFonts w:hint="eastAsia" w:ascii="仿宋_GB2312" w:eastAsia="仿宋_GB2312" w:cs="仿宋_GB2312"/>
          <w:bCs/>
          <w:kern w:val="0"/>
          <w:sz w:val="32"/>
          <w:szCs w:val="32"/>
        </w:rPr>
        <w:t>年，机关所属单位开支财政拨款的公务用车保有量为</w:t>
      </w:r>
      <w:r>
        <w:rPr>
          <w:rFonts w:ascii="仿宋_GB2312" w:eastAsia="仿宋_GB2312" w:cs="仿宋_GB2312"/>
          <w:bCs/>
          <w:kern w:val="0"/>
          <w:sz w:val="32"/>
          <w:szCs w:val="32"/>
        </w:rPr>
        <w:t>0</w:t>
      </w:r>
      <w:r>
        <w:rPr>
          <w:rFonts w:hint="eastAsia" w:ascii="仿宋_GB2312" w:eastAsia="仿宋_GB2312" w:cs="仿宋_GB2312"/>
          <w:bCs/>
          <w:kern w:val="0"/>
          <w:sz w:val="32"/>
          <w:szCs w:val="32"/>
        </w:rPr>
        <w:t>辆。</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9年共接待国内来访团组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bCs/>
          <w:kern w:val="0"/>
          <w:sz w:val="32"/>
          <w:szCs w:val="32"/>
        </w:rPr>
        <w:t xml:space="preserve">  </w:t>
      </w:r>
      <w:bookmarkStart w:id="0" w:name="_GoBack"/>
      <w:r>
        <w:rPr>
          <w:rFonts w:ascii="仿宋_GB2312" w:eastAsia="仿宋_GB2312" w:cs="仿宋_GB2312"/>
          <w:b/>
          <w:bCs w:val="0"/>
          <w:kern w:val="0"/>
          <w:sz w:val="32"/>
          <w:szCs w:val="32"/>
        </w:rPr>
        <w:t xml:space="preserve"> </w:t>
      </w:r>
      <w:r>
        <w:rPr>
          <w:rFonts w:hint="eastAsia" w:ascii="仿宋_GB2312" w:eastAsia="仿宋_GB2312" w:cs="仿宋_GB2312"/>
          <w:b/>
          <w:bCs w:val="0"/>
          <w:kern w:val="0"/>
          <w:sz w:val="32"/>
          <w:szCs w:val="32"/>
        </w:rPr>
        <w:t>八、</w:t>
      </w:r>
      <w:bookmarkEnd w:id="0"/>
      <w:r>
        <w:rPr>
          <w:rFonts w:ascii="仿宋_GB2312" w:eastAsia="仿宋_GB2312" w:cs="仿宋_GB2312"/>
          <w:b/>
          <w:kern w:val="0"/>
          <w:sz w:val="32"/>
          <w:szCs w:val="32"/>
        </w:rPr>
        <w:t>201</w:t>
      </w:r>
      <w:r>
        <w:rPr>
          <w:rFonts w:hint="eastAsia" w:ascii="仿宋_GB2312" w:eastAsia="仿宋_GB2312" w:cs="仿宋_GB2312"/>
          <w:b/>
          <w:kern w:val="0"/>
          <w:sz w:val="32"/>
          <w:szCs w:val="32"/>
        </w:rPr>
        <w:t>9年度政府性基金预算财政拨款收入支出决算情况说明</w:t>
      </w:r>
      <w:r>
        <w:rPr>
          <w:rFonts w:ascii="仿宋_GB2312" w:eastAsia="仿宋_GB2312" w:cs="仿宋_GB2312"/>
          <w:b/>
          <w:kern w:val="0"/>
          <w:sz w:val="32"/>
          <w:szCs w:val="32"/>
        </w:rPr>
        <w:t xml:space="preserve"> </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9年度柳州市柳东新区征地办公室无政府性基金预算财政拨款收入，也没有“政府性基金预算财政拨款经费安排的支出。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1、根据财政预算管理要求，我部门组织对</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9年度一般公共预算项目支出全面开展绩效自评。其中，项目</w:t>
      </w:r>
      <w:r>
        <w:rPr>
          <w:rFonts w:ascii="仿宋_GB2312" w:eastAsia="仿宋_GB2312" w:cs="仿宋_GB2312"/>
          <w:bCs/>
          <w:kern w:val="0"/>
          <w:sz w:val="32"/>
          <w:szCs w:val="32"/>
        </w:rPr>
        <w:t>25</w:t>
      </w:r>
      <w:r>
        <w:rPr>
          <w:rFonts w:hint="eastAsia" w:ascii="仿宋_GB2312" w:eastAsia="仿宋_GB2312" w:cs="仿宋_GB2312"/>
          <w:bCs/>
          <w:kern w:val="0"/>
          <w:sz w:val="32"/>
          <w:szCs w:val="32"/>
        </w:rPr>
        <w:t>个，共涉及预算资金2570</w:t>
      </w:r>
      <w:r>
        <w:rPr>
          <w:rFonts w:ascii="仿宋_GB2312" w:eastAsia="仿宋_GB2312" w:cs="仿宋_GB2312"/>
          <w:bCs/>
          <w:kern w:val="0"/>
          <w:sz w:val="32"/>
          <w:szCs w:val="32"/>
        </w:rPr>
        <w:t>.4</w:t>
      </w:r>
      <w:r>
        <w:rPr>
          <w:rFonts w:hint="eastAsia" w:ascii="仿宋_GB2312" w:eastAsia="仿宋_GB2312" w:cs="仿宋_GB2312"/>
          <w:bCs/>
          <w:kern w:val="0"/>
          <w:sz w:val="32"/>
          <w:szCs w:val="32"/>
        </w:rPr>
        <w:t>万元，自评覆盖率达到</w:t>
      </w:r>
      <w:r>
        <w:rPr>
          <w:rFonts w:ascii="仿宋_GB2312" w:eastAsia="仿宋_GB2312" w:cs="仿宋_GB2312"/>
          <w:bCs/>
          <w:kern w:val="0"/>
          <w:sz w:val="32"/>
          <w:szCs w:val="32"/>
        </w:rPr>
        <w:t xml:space="preserve"> 100%</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p>
    <w:p>
      <w:pPr>
        <w:pStyle w:val="9"/>
        <w:numPr>
          <w:ilvl w:val="0"/>
          <w:numId w:val="2"/>
        </w:numPr>
        <w:autoSpaceDE w:val="0"/>
        <w:autoSpaceDN w:val="0"/>
        <w:adjustRightInd w:val="0"/>
        <w:ind w:firstLineChars="0"/>
        <w:jc w:val="left"/>
        <w:rPr>
          <w:rFonts w:ascii="仿宋_GB2312" w:eastAsia="仿宋_GB2312" w:cs="仿宋_GB2312"/>
          <w:kern w:val="0"/>
          <w:sz w:val="32"/>
          <w:szCs w:val="32"/>
        </w:rPr>
      </w:pPr>
      <w:r>
        <w:rPr>
          <w:rFonts w:ascii="仿宋_GB2312" w:eastAsia="仿宋_GB2312" w:cs="仿宋_GB2312"/>
          <w:kern w:val="0"/>
          <w:sz w:val="32"/>
          <w:szCs w:val="32"/>
        </w:rPr>
        <w:t>完成2019年部门预算整体绩效及项目绩效自评</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kern w:val="0"/>
          <w:sz w:val="32"/>
          <w:szCs w:val="32"/>
        </w:rPr>
      </w:pPr>
      <w:r>
        <w:rPr>
          <w:rFonts w:ascii="仿宋_GB2312" w:eastAsia="仿宋_GB2312" w:cs="仿宋_GB2312"/>
          <w:kern w:val="0"/>
          <w:sz w:val="32"/>
          <w:szCs w:val="32"/>
        </w:rPr>
        <w:t>3、完成2020年部门预算绩效、项目绩效目标申报</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（二）部门决算中项目绩效自评结果。（根据情况公开本部门预算绩效评价结果）</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项目支出绩效情况较理想，已达到项目申请时设定的各项绩效目标。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201</w:t>
      </w:r>
      <w:r>
        <w:rPr>
          <w:rFonts w:hint="eastAsia" w:ascii="仿宋_GB2312" w:eastAsia="仿宋_GB2312" w:cs="仿宋_GB2312"/>
          <w:kern w:val="0"/>
          <w:sz w:val="32"/>
          <w:szCs w:val="32"/>
        </w:rPr>
        <w:t>9年度部门机关运行经费支出33.9万元，比</w:t>
      </w:r>
      <w:r>
        <w:rPr>
          <w:rFonts w:ascii="仿宋_GB2312" w:eastAsia="仿宋_GB2312" w:cs="仿宋_GB2312"/>
          <w:kern w:val="0"/>
          <w:sz w:val="32"/>
          <w:szCs w:val="32"/>
        </w:rPr>
        <w:t xml:space="preserve"> 201</w:t>
      </w:r>
      <w:r>
        <w:rPr>
          <w:rFonts w:hint="eastAsia" w:ascii="仿宋_GB2312" w:eastAsia="仿宋_GB2312" w:cs="仿宋_GB2312"/>
          <w:kern w:val="0"/>
          <w:sz w:val="32"/>
          <w:szCs w:val="32"/>
        </w:rPr>
        <w:t>8年增加33.9万元，增长100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201</w:t>
      </w:r>
      <w:r>
        <w:rPr>
          <w:rFonts w:hint="eastAsia" w:ascii="仿宋_GB2312" w:eastAsia="仿宋_GB2312" w:cs="仿宋_GB2312"/>
          <w:kern w:val="0"/>
          <w:sz w:val="32"/>
          <w:szCs w:val="32"/>
        </w:rPr>
        <w:t>9年度部门政府采购支出总额</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highlight w:val="yellow"/>
        </w:rPr>
      </w:pPr>
      <w:r>
        <w:rPr>
          <w:rFonts w:hint="eastAsia" w:ascii="仿宋_GB2312" w:eastAsia="仿宋_GB2312" w:cs="仿宋_GB2312"/>
          <w:kern w:val="0"/>
          <w:sz w:val="32"/>
          <w:szCs w:val="32"/>
        </w:rPr>
        <w:t>（三）国有资产占用情况。截至年末部门共有车辆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r>
        <w:rPr>
          <w:rFonts w:ascii="仿宋_GB2312" w:eastAsia="仿宋_GB2312" w:cs="仿宋_GB2312"/>
          <w:kern w:val="0"/>
          <w:sz w:val="32"/>
          <w:szCs w:val="32"/>
          <w:highlight w:val="yellow"/>
        </w:rPr>
        <w:t xml:space="preserve"> </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p>
    <w:p>
      <w:pPr>
        <w:snapToGrid w:val="0"/>
        <w:spacing w:line="540" w:lineRule="exact"/>
        <w:ind w:firstLine="640" w:firstLineChars="200"/>
        <w:rPr>
          <w:rFonts w:ascii="仿宋_GB2312" w:hAnsi="仿宋" w:eastAsia="仿宋_GB2312"/>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40" w:lineRule="exact"/>
        <w:ind w:firstLine="627" w:firstLineChars="196"/>
        <w:jc w:val="left"/>
        <w:rPr>
          <w:rFonts w:ascii="仿宋_GB2312" w:eastAsia="仿宋_GB2312" w:cs="仿宋_GB2312"/>
          <w:kern w:val="0"/>
          <w:sz w:val="32"/>
          <w:szCs w:val="32"/>
        </w:rPr>
      </w:pPr>
    </w:p>
    <w:p>
      <w:pPr>
        <w:spacing w:line="540" w:lineRule="exact"/>
      </w:pPr>
    </w:p>
    <w:sectPr>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ascii="宋体" w:hAnsi="宋体"/>
        <w:sz w:val="24"/>
        <w:szCs w:val="24"/>
      </w:rPr>
      <w:t xml:space="preserve"> -</w: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- 18 -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2644"/>
    <w:multiLevelType w:val="multilevel"/>
    <w:tmpl w:val="1B4A2644"/>
    <w:lvl w:ilvl="0" w:tentative="0">
      <w:start w:val="2"/>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5B3C894F"/>
    <w:multiLevelType w:val="singleLevel"/>
    <w:tmpl w:val="5B3C894F"/>
    <w:lvl w:ilvl="0" w:tentative="0">
      <w:start w:val="1"/>
      <w:numFmt w:val="chineseCounting"/>
      <w:suff w:val="nothing"/>
      <w:lvlText w:val="（%1）"/>
      <w:lvlJc w:val="left"/>
      <w:rPr>
        <w:rFonts w:cs="Times New Roman"/>
      </w:rPr>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113C1"/>
    <w:rsid w:val="001557D0"/>
    <w:rsid w:val="0021232C"/>
    <w:rsid w:val="005502FD"/>
    <w:rsid w:val="006659C9"/>
    <w:rsid w:val="00677EB2"/>
    <w:rsid w:val="006902BB"/>
    <w:rsid w:val="00702C46"/>
    <w:rsid w:val="00774D9C"/>
    <w:rsid w:val="007E5358"/>
    <w:rsid w:val="007E75B5"/>
    <w:rsid w:val="008037A0"/>
    <w:rsid w:val="00855315"/>
    <w:rsid w:val="00870ED8"/>
    <w:rsid w:val="00896BF2"/>
    <w:rsid w:val="00926B6C"/>
    <w:rsid w:val="00B845B4"/>
    <w:rsid w:val="00BE3F21"/>
    <w:rsid w:val="00CC2CF9"/>
    <w:rsid w:val="00D717C9"/>
    <w:rsid w:val="00DC48EC"/>
    <w:rsid w:val="00E1180A"/>
    <w:rsid w:val="00E533A9"/>
    <w:rsid w:val="00E604A5"/>
    <w:rsid w:val="00ED1CBB"/>
    <w:rsid w:val="00ED5FC1"/>
    <w:rsid w:val="037742AA"/>
    <w:rsid w:val="0D7E1B35"/>
    <w:rsid w:val="18316A8F"/>
    <w:rsid w:val="18B345C0"/>
    <w:rsid w:val="18BE0585"/>
    <w:rsid w:val="19467BC2"/>
    <w:rsid w:val="1A001944"/>
    <w:rsid w:val="1BF37210"/>
    <w:rsid w:val="245C4FDE"/>
    <w:rsid w:val="26460DBA"/>
    <w:rsid w:val="2C4219FE"/>
    <w:rsid w:val="39A63F06"/>
    <w:rsid w:val="3AA16DBE"/>
    <w:rsid w:val="3D012F06"/>
    <w:rsid w:val="3ED1439F"/>
    <w:rsid w:val="450B2064"/>
    <w:rsid w:val="480666CB"/>
    <w:rsid w:val="494909DB"/>
    <w:rsid w:val="4C256E3D"/>
    <w:rsid w:val="4CB52F0F"/>
    <w:rsid w:val="532F1F9A"/>
    <w:rsid w:val="553A4B58"/>
    <w:rsid w:val="62163194"/>
    <w:rsid w:val="66351C88"/>
    <w:rsid w:val="6B0253EA"/>
    <w:rsid w:val="712F6C44"/>
    <w:rsid w:val="7C0839CA"/>
    <w:rsid w:val="7FC8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locked/>
    <w:uiPriority w:val="99"/>
    <w:rPr>
      <w:kern w:val="2"/>
      <w:sz w:val="18"/>
      <w:szCs w:val="18"/>
    </w:rPr>
  </w:style>
  <w:style w:type="character" w:customStyle="1" w:styleId="8">
    <w:name w:val="页脚 Char"/>
    <w:basedOn w:val="5"/>
    <w:link w:val="2"/>
    <w:locked/>
    <w:uiPriority w:val="99"/>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1213</Words>
  <Characters>6916</Characters>
  <Lines>57</Lines>
  <Paragraphs>16</Paragraphs>
  <TotalTime>106</TotalTime>
  <ScaleCrop>false</ScaleCrop>
  <LinksUpToDate>false</LinksUpToDate>
  <CharactersWithSpaces>8113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2020-08-10T09:00:00Z</dcterms:created>
  <dc:creator>陈冬雪</dc:creator>
  <cp:lastModifiedBy>Administrator</cp:lastModifiedBy>
  <dcterms:modified xsi:type="dcterms:W3CDTF">2020-08-25T07:51:00Z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