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cs="ArialUnicodeMS"/>
          <w:kern w:val="0"/>
          <w:sz w:val="32"/>
          <w:szCs w:val="32"/>
        </w:rPr>
      </w:pPr>
    </w:p>
    <w:p>
      <w:pPr>
        <w:spacing w:line="540" w:lineRule="exact"/>
        <w:rPr>
          <w:rFonts w:ascii="黑体" w:eastAsia="黑体" w:cs="ArialUnicodeMS"/>
          <w:kern w:val="0"/>
          <w:sz w:val="72"/>
          <w:szCs w:val="72"/>
        </w:rPr>
      </w:pPr>
    </w:p>
    <w:p>
      <w:pPr>
        <w:spacing w:line="540" w:lineRule="exact"/>
        <w:rPr>
          <w:rFonts w:ascii="黑体" w:eastAsia="黑体" w:cs="ArialUnicodeMS"/>
          <w:kern w:val="0"/>
          <w:sz w:val="72"/>
          <w:szCs w:val="72"/>
        </w:rPr>
      </w:pPr>
    </w:p>
    <w:p>
      <w:pPr>
        <w:spacing w:line="540" w:lineRule="exact"/>
        <w:jc w:val="center"/>
        <w:rPr>
          <w:rFonts w:ascii="黑体" w:hAnsi="黑体" w:eastAsia="黑体"/>
          <w:bCs/>
          <w:color w:val="000000"/>
          <w:sz w:val="52"/>
          <w:szCs w:val="52"/>
        </w:rPr>
      </w:pPr>
      <w:r>
        <w:rPr>
          <w:rFonts w:hint="eastAsia" w:ascii="黑体" w:eastAsia="黑体" w:cs="ArialUnicodeMS"/>
          <w:kern w:val="0"/>
          <w:sz w:val="52"/>
          <w:szCs w:val="52"/>
        </w:rPr>
        <w:t>柳州高新技术产业开发区</w:t>
      </w:r>
      <w:r>
        <w:rPr>
          <w:rFonts w:hint="eastAsia" w:ascii="黑体" w:hAnsi="黑体" w:eastAsia="黑体"/>
          <w:bCs/>
          <w:color w:val="000000"/>
          <w:sz w:val="52"/>
          <w:szCs w:val="52"/>
        </w:rPr>
        <w:t xml:space="preserve">土地储备中心 </w:t>
      </w:r>
    </w:p>
    <w:p>
      <w:pPr>
        <w:spacing w:line="540" w:lineRule="exact"/>
        <w:jc w:val="center"/>
        <w:rPr>
          <w:rFonts w:ascii="黑体" w:eastAsia="黑体" w:cs="ArialUnicodeMS"/>
          <w:kern w:val="0"/>
          <w:sz w:val="52"/>
          <w:szCs w:val="52"/>
        </w:rPr>
      </w:pPr>
      <w:r>
        <w:rPr>
          <w:rFonts w:hint="eastAsia" w:ascii="黑体" w:eastAsia="黑体"/>
          <w:kern w:val="0"/>
          <w:sz w:val="52"/>
          <w:szCs w:val="52"/>
        </w:rPr>
        <w:t>2019</w:t>
      </w:r>
      <w:r>
        <w:rPr>
          <w:rFonts w:hint="eastAsia" w:ascii="黑体" w:eastAsia="黑体" w:cs="ArialUnicodeMS"/>
          <w:kern w:val="0"/>
          <w:sz w:val="52"/>
          <w:szCs w:val="52"/>
        </w:rPr>
        <w:t>年度部门决算</w:t>
      </w: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rPr>
          <w:rFonts w:ascii="ArialUnicodeMS" w:eastAsia="ArialUnicodeMS" w:cs="ArialUnicodeMS"/>
          <w:kern w:val="0"/>
          <w:sz w:val="84"/>
          <w:szCs w:val="84"/>
        </w:rPr>
      </w:pPr>
    </w:p>
    <w:p>
      <w:pPr>
        <w:spacing w:line="540" w:lineRule="exact"/>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540" w:lineRule="exact"/>
        <w:ind w:firstLine="645"/>
        <w:rPr>
          <w:rFonts w:ascii="仿宋_GB2312" w:eastAsia="仿宋_GB2312"/>
          <w:b/>
          <w:sz w:val="32"/>
          <w:szCs w:val="32"/>
        </w:rPr>
      </w:pPr>
    </w:p>
    <w:p>
      <w:pPr>
        <w:spacing w:line="540" w:lineRule="exact"/>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 xml:space="preserve"> 柳州高新技术产业开发区土地储备中心</w:t>
      </w:r>
      <w:r>
        <w:rPr>
          <w:rFonts w:hint="eastAsia" w:ascii="仿宋_GB2312" w:eastAsia="仿宋_GB2312"/>
          <w:b/>
          <w:sz w:val="32"/>
          <w:szCs w:val="32"/>
        </w:rPr>
        <w:t>概况</w:t>
      </w:r>
    </w:p>
    <w:p>
      <w:pPr>
        <w:spacing w:line="540" w:lineRule="exact"/>
        <w:ind w:firstLine="645"/>
        <w:rPr>
          <w:rFonts w:ascii="仿宋_GB2312" w:eastAsia="仿宋_GB2312"/>
          <w:sz w:val="32"/>
          <w:szCs w:val="32"/>
        </w:rPr>
      </w:pPr>
      <w:r>
        <w:rPr>
          <w:rFonts w:hint="eastAsia" w:ascii="仿宋_GB2312" w:eastAsia="仿宋_GB2312"/>
          <w:sz w:val="32"/>
          <w:szCs w:val="32"/>
        </w:rPr>
        <w:t>一、主要职能</w:t>
      </w:r>
    </w:p>
    <w:p>
      <w:pPr>
        <w:spacing w:line="540" w:lineRule="exact"/>
        <w:ind w:firstLine="645"/>
        <w:rPr>
          <w:rFonts w:ascii="仿宋_GB2312" w:eastAsia="仿宋_GB2312"/>
          <w:sz w:val="32"/>
          <w:szCs w:val="32"/>
        </w:rPr>
      </w:pPr>
      <w:r>
        <w:rPr>
          <w:rFonts w:hint="eastAsia" w:ascii="仿宋_GB2312" w:eastAsia="仿宋_GB2312"/>
          <w:sz w:val="32"/>
          <w:szCs w:val="32"/>
        </w:rPr>
        <w:t>二、机构及人员情况</w:t>
      </w:r>
    </w:p>
    <w:p>
      <w:pPr>
        <w:spacing w:line="540" w:lineRule="exact"/>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柳州高新技术产业开发区土地储备中心</w:t>
      </w:r>
      <w:r>
        <w:rPr>
          <w:rFonts w:hint="eastAsia" w:ascii="仿宋_GB2312" w:eastAsia="仿宋_GB2312"/>
          <w:b/>
          <w:sz w:val="32"/>
          <w:szCs w:val="32"/>
        </w:rPr>
        <w:t>2019年部门决算报表</w:t>
      </w:r>
    </w:p>
    <w:p>
      <w:pPr>
        <w:spacing w:line="540" w:lineRule="exact"/>
        <w:ind w:left="645"/>
        <w:rPr>
          <w:rFonts w:ascii="仿宋_GB2312" w:eastAsia="仿宋_GB2312"/>
          <w:sz w:val="32"/>
          <w:szCs w:val="32"/>
        </w:rPr>
      </w:pPr>
      <w:r>
        <w:rPr>
          <w:rFonts w:hint="eastAsia" w:ascii="仿宋_GB2312" w:eastAsia="仿宋_GB2312"/>
          <w:sz w:val="32"/>
          <w:szCs w:val="32"/>
        </w:rPr>
        <w:t>表一：收入支出决算总表</w:t>
      </w:r>
    </w:p>
    <w:p>
      <w:pPr>
        <w:spacing w:line="540" w:lineRule="exact"/>
        <w:ind w:left="645"/>
        <w:rPr>
          <w:rFonts w:ascii="仿宋_GB2312" w:eastAsia="仿宋_GB2312"/>
          <w:sz w:val="32"/>
          <w:szCs w:val="32"/>
        </w:rPr>
      </w:pPr>
      <w:r>
        <w:rPr>
          <w:rFonts w:hint="eastAsia" w:ascii="仿宋_GB2312" w:eastAsia="仿宋_GB2312"/>
          <w:sz w:val="32"/>
          <w:szCs w:val="32"/>
        </w:rPr>
        <w:t>表二：收入决算表</w:t>
      </w:r>
    </w:p>
    <w:p>
      <w:pPr>
        <w:spacing w:line="540" w:lineRule="exact"/>
        <w:ind w:left="645"/>
        <w:rPr>
          <w:rFonts w:ascii="仿宋_GB2312" w:eastAsia="仿宋_GB2312"/>
          <w:sz w:val="32"/>
          <w:szCs w:val="32"/>
        </w:rPr>
      </w:pPr>
      <w:r>
        <w:rPr>
          <w:rFonts w:hint="eastAsia" w:ascii="仿宋_GB2312" w:eastAsia="仿宋_GB2312"/>
          <w:sz w:val="32"/>
          <w:szCs w:val="32"/>
        </w:rPr>
        <w:t>表三：支出决算表</w:t>
      </w:r>
    </w:p>
    <w:p>
      <w:pPr>
        <w:spacing w:line="540" w:lineRule="exact"/>
        <w:ind w:left="645"/>
        <w:rPr>
          <w:rFonts w:ascii="仿宋_GB2312" w:eastAsia="仿宋_GB2312"/>
          <w:sz w:val="32"/>
          <w:szCs w:val="32"/>
        </w:rPr>
      </w:pPr>
      <w:r>
        <w:rPr>
          <w:rFonts w:hint="eastAsia" w:ascii="仿宋_GB2312" w:eastAsia="仿宋_GB2312"/>
          <w:sz w:val="32"/>
          <w:szCs w:val="32"/>
        </w:rPr>
        <w:t>表四：财政拨款收入支出决算总表</w:t>
      </w:r>
    </w:p>
    <w:p>
      <w:pPr>
        <w:spacing w:line="540" w:lineRule="exact"/>
        <w:ind w:left="645"/>
        <w:rPr>
          <w:rFonts w:ascii="仿宋_GB2312" w:eastAsia="仿宋_GB2312"/>
          <w:sz w:val="32"/>
          <w:szCs w:val="32"/>
        </w:rPr>
      </w:pPr>
      <w:r>
        <w:rPr>
          <w:rFonts w:hint="eastAsia" w:ascii="仿宋_GB2312" w:eastAsia="仿宋_GB2312"/>
          <w:sz w:val="32"/>
          <w:szCs w:val="32"/>
        </w:rPr>
        <w:t>表五：一般公共预算财政拨款支出决算表</w:t>
      </w:r>
    </w:p>
    <w:p>
      <w:pPr>
        <w:spacing w:line="540" w:lineRule="exact"/>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spacing w:line="540" w:lineRule="exact"/>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spacing w:line="540" w:lineRule="exact"/>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40" w:lineRule="exact"/>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柳州高新技术产业开发区土地储备中心</w:t>
      </w:r>
      <w:r>
        <w:rPr>
          <w:rFonts w:hint="eastAsia" w:ascii="仿宋_GB2312" w:eastAsia="仿宋_GB2312"/>
          <w:b/>
          <w:sz w:val="32"/>
          <w:szCs w:val="32"/>
        </w:rPr>
        <w:t>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spacing w:line="540" w:lineRule="exact"/>
        <w:ind w:firstLine="645"/>
        <w:rPr>
          <w:rFonts w:ascii="仿宋_GB2312" w:eastAsia="仿宋_GB2312"/>
          <w:b/>
          <w:sz w:val="32"/>
          <w:szCs w:val="32"/>
        </w:rPr>
      </w:pPr>
      <w:r>
        <w:rPr>
          <w:rFonts w:hint="eastAsia" w:ascii="仿宋_GB2312" w:eastAsia="仿宋_GB2312"/>
          <w:b/>
          <w:sz w:val="32"/>
          <w:szCs w:val="32"/>
        </w:rPr>
        <w:t>第四部分：名词解释</w:t>
      </w:r>
    </w:p>
    <w:p>
      <w:pPr>
        <w:spacing w:line="540" w:lineRule="exact"/>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柳州高新技术产业开发区土地储备中心</w:t>
      </w:r>
      <w:r>
        <w:rPr>
          <w:rFonts w:hint="eastAsia" w:ascii="仿宋_GB2312" w:eastAsia="仿宋_GB2312"/>
          <w:b/>
          <w:sz w:val="32"/>
          <w:szCs w:val="32"/>
        </w:rPr>
        <w:t>概况</w:t>
      </w:r>
    </w:p>
    <w:p>
      <w:pPr>
        <w:spacing w:line="540" w:lineRule="exact"/>
        <w:ind w:firstLine="646"/>
        <w:jc w:val="center"/>
        <w:rPr>
          <w:rFonts w:ascii="仿宋_GB2312" w:eastAsia="仿宋_GB2312"/>
          <w:b/>
          <w:sz w:val="32"/>
          <w:szCs w:val="32"/>
        </w:rPr>
      </w:pPr>
    </w:p>
    <w:p>
      <w:pPr>
        <w:spacing w:line="540" w:lineRule="exact"/>
        <w:ind w:firstLine="646"/>
        <w:rPr>
          <w:rFonts w:ascii="仿宋_GB2312" w:eastAsia="仿宋_GB2312"/>
          <w:sz w:val="32"/>
          <w:szCs w:val="32"/>
        </w:rPr>
      </w:pPr>
      <w:r>
        <w:rPr>
          <w:rFonts w:hint="eastAsia" w:ascii="仿宋_GB2312" w:eastAsia="仿宋_GB2312"/>
          <w:sz w:val="32"/>
          <w:szCs w:val="32"/>
        </w:rPr>
        <w:t>一、主要职能</w:t>
      </w:r>
    </w:p>
    <w:p>
      <w:pPr>
        <w:spacing w:line="540" w:lineRule="exact"/>
        <w:ind w:firstLine="646"/>
        <w:rPr>
          <w:rFonts w:ascii="仿宋_GB2312" w:eastAsia="仿宋_GB2312"/>
          <w:sz w:val="32"/>
          <w:szCs w:val="32"/>
        </w:rPr>
      </w:pPr>
      <w:r>
        <w:rPr>
          <w:rFonts w:hint="eastAsia" w:ascii="仿宋_GB2312" w:eastAsia="仿宋_GB2312"/>
          <w:sz w:val="32"/>
          <w:szCs w:val="32"/>
        </w:rPr>
        <w:t>按照国家、省市关于土地储备工作的法律法规，负责新区土地储备的组织和管理工作；根据土地利用总体规划、城市规划和土地市场需求，会同有关部门编制新区年度土地储备计划；配合有关部门做好新区年度融资计划及土地供应计划；作为新区已征未用土地的监管主体，制定已征未用土地的管理方案，监督、指导已征未用土地的开发，保护、管理和临时利用；负责土地收购整理的成本核算；承担新区重点投资建设项目的土地储备工作：负责收集、整理土地储备信息资料，为土地储备、供应及房地产市场宏观调控提供决策依据；对口市土地交易储备中心工作。完成党工委、管委会布置的其他工作任务。</w:t>
      </w:r>
    </w:p>
    <w:p>
      <w:pPr>
        <w:spacing w:line="540" w:lineRule="exact"/>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Calibri" w:hAnsi="Calibri" w:eastAsia="仿宋_GB2312"/>
          <w:sz w:val="32"/>
          <w:szCs w:val="32"/>
        </w:rPr>
      </w:pPr>
      <w:r>
        <w:rPr>
          <w:rFonts w:hint="eastAsia" w:ascii="仿宋_GB2312" w:eastAsia="仿宋_GB2312"/>
          <w:sz w:val="32"/>
          <w:szCs w:val="32"/>
        </w:rPr>
        <w:t>柳州高新技术产业开发区土地储备中心属于行政类事业单位，</w:t>
      </w:r>
      <w:r>
        <w:rPr>
          <w:rFonts w:hint="eastAsia" w:ascii="Calibri" w:hAnsi="Calibri" w:eastAsia="仿宋_GB2312"/>
          <w:sz w:val="32"/>
          <w:szCs w:val="32"/>
        </w:rPr>
        <w:t>核定岗位：正职</w:t>
      </w:r>
      <w:r>
        <w:rPr>
          <w:rFonts w:ascii="Calibri" w:hAnsi="Calibri" w:eastAsia="仿宋_GB2312"/>
          <w:sz w:val="32"/>
          <w:szCs w:val="32"/>
        </w:rPr>
        <w:t>1</w:t>
      </w:r>
      <w:r>
        <w:rPr>
          <w:rFonts w:hint="eastAsia" w:ascii="Calibri" w:hAnsi="Calibri" w:eastAsia="仿宋_GB2312"/>
          <w:sz w:val="32"/>
          <w:szCs w:val="32"/>
        </w:rPr>
        <w:t>个，科员</w:t>
      </w:r>
      <w:r>
        <w:rPr>
          <w:rFonts w:ascii="Calibri" w:hAnsi="Calibri" w:eastAsia="仿宋_GB2312"/>
          <w:sz w:val="32"/>
          <w:szCs w:val="32"/>
        </w:rPr>
        <w:t>3</w:t>
      </w:r>
      <w:r>
        <w:rPr>
          <w:rFonts w:hint="eastAsia" w:ascii="Calibri" w:hAnsi="Calibri" w:eastAsia="仿宋_GB2312"/>
          <w:sz w:val="32"/>
          <w:szCs w:val="32"/>
        </w:rPr>
        <w:t>个，岗位总数：</w:t>
      </w:r>
      <w:r>
        <w:rPr>
          <w:rFonts w:ascii="Calibri" w:hAnsi="Calibri" w:eastAsia="仿宋_GB2312"/>
          <w:sz w:val="32"/>
          <w:szCs w:val="32"/>
        </w:rPr>
        <w:t>4</w:t>
      </w:r>
      <w:r>
        <w:rPr>
          <w:rFonts w:hint="eastAsia" w:ascii="Calibri" w:hAnsi="Calibri" w:eastAsia="仿宋_GB2312"/>
          <w:sz w:val="32"/>
          <w:szCs w:val="32"/>
        </w:rPr>
        <w:t>个。</w:t>
      </w:r>
    </w:p>
    <w:p>
      <w:pPr>
        <w:spacing w:line="540" w:lineRule="exact"/>
        <w:ind w:firstLine="645"/>
        <w:rPr>
          <w:rFonts w:ascii="仿宋_GB2312" w:eastAsia="仿宋_GB2312"/>
          <w:sz w:val="32"/>
          <w:szCs w:val="32"/>
        </w:rP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pPr>
    </w:p>
    <w:p>
      <w:pPr>
        <w:spacing w:line="540" w:lineRule="exact"/>
        <w:sectPr>
          <w:headerReference r:id="rId3" w:type="default"/>
          <w:footerReference r:id="rId4" w:type="default"/>
          <w:pgSz w:w="11906" w:h="16838"/>
          <w:pgMar w:top="1701" w:right="1418" w:bottom="1134" w:left="1588" w:header="851" w:footer="992" w:gutter="0"/>
          <w:cols w:space="720" w:num="1"/>
          <w:docGrid w:type="lines" w:linePitch="312" w:charSpace="0"/>
        </w:sectPr>
      </w:pPr>
      <w:r>
        <w:br w:type="page"/>
      </w:r>
    </w:p>
    <w:p>
      <w:pPr>
        <w:spacing w:line="540" w:lineRule="exact"/>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柳州高新技术产业开发区土地储备中心</w:t>
      </w:r>
      <w:r>
        <w:rPr>
          <w:rFonts w:hint="eastAsia" w:ascii="仿宋_GB2312" w:eastAsia="仿宋_GB2312"/>
          <w:b/>
          <w:sz w:val="32"/>
          <w:szCs w:val="32"/>
        </w:rPr>
        <w:t>2019年部门决算报表</w:t>
      </w:r>
    </w:p>
    <w:p>
      <w:pPr>
        <w:spacing w:line="540" w:lineRule="exact"/>
        <w:jc w:val="center"/>
        <w:rPr>
          <w:rFonts w:hint="eastAsia" w:ascii="仿宋_GB2312" w:eastAsia="仿宋_GB2312"/>
          <w:b/>
          <w:sz w:val="32"/>
          <w:szCs w:val="32"/>
        </w:rPr>
      </w:pPr>
    </w:p>
    <w:tbl>
      <w:tblPr>
        <w:tblStyle w:val="4"/>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color w:val="000000"/>
                <w:szCs w:val="21"/>
              </w:rPr>
              <w:t>1</w:t>
            </w:r>
            <w:r>
              <w:rPr>
                <w:rFonts w:hint="eastAsia"/>
                <w:color w:val="000000"/>
                <w:szCs w:val="21"/>
              </w:rPr>
              <w:t>86.7</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color w:val="000000"/>
                <w:szCs w:val="21"/>
              </w:rPr>
              <w:t>116230.3</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11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九、医疗卫生与计划生育支出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5.8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十、国土海洋气象等支出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53.1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十一、住房保障支出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6.9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十二、其他支出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117019.1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rPr>
                <w:rFonts w:ascii="宋体" w:cs="宋体"/>
                <w:b/>
                <w:color w:val="000000"/>
                <w:kern w:val="0"/>
                <w:sz w:val="22"/>
                <w:szCs w:val="22"/>
              </w:rPr>
            </w:pPr>
            <w:r>
              <w:rPr>
                <w:rFonts w:hint="eastAsia"/>
                <w:color w:val="000000"/>
                <w:szCs w:val="21"/>
              </w:rPr>
              <w:t>116417</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117205</w:t>
            </w:r>
            <w:r>
              <w:rPr>
                <w:rFonts w:hint="eastAsia" w:ascii="宋体" w:cs="宋体"/>
                <w:color w:val="000000"/>
                <w:kern w:val="0"/>
                <w:sz w:val="22"/>
                <w:szCs w:val="22"/>
              </w:rPr>
              <w:t>.7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22948.7</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221</w:t>
            </w:r>
            <w:r>
              <w:rPr>
                <w:rFonts w:hint="eastAsia" w:ascii="宋体" w:cs="宋体"/>
                <w:color w:val="000000"/>
                <w:kern w:val="0"/>
                <w:sz w:val="22"/>
                <w:szCs w:val="22"/>
              </w:rPr>
              <w:t>60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rPr>
                <w:rFonts w:ascii="宋体" w:cs="宋体"/>
                <w:b/>
                <w:color w:val="000000"/>
                <w:kern w:val="0"/>
                <w:sz w:val="22"/>
                <w:szCs w:val="22"/>
              </w:rPr>
            </w:pPr>
            <w:r>
              <w:rPr>
                <w:rFonts w:hint="eastAsia"/>
                <w:color w:val="000000"/>
                <w:szCs w:val="21"/>
              </w:rPr>
              <w:t>139365.7</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139365</w:t>
            </w:r>
            <w:r>
              <w:rPr>
                <w:rFonts w:hint="eastAsia" w:ascii="宋体" w:cs="宋体"/>
                <w:color w:val="000000"/>
                <w:kern w:val="0"/>
                <w:sz w:val="22"/>
                <w:szCs w:val="22"/>
              </w:rPr>
              <w:t>.7</w:t>
            </w:r>
          </w:p>
        </w:tc>
      </w:tr>
    </w:tbl>
    <w:p>
      <w:pPr>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4"/>
        <w:tblW w:w="14141" w:type="dxa"/>
        <w:jc w:val="center"/>
        <w:tblInd w:w="0" w:type="dxa"/>
        <w:tblLayout w:type="fixed"/>
        <w:tblCellMar>
          <w:top w:w="0" w:type="dxa"/>
          <w:left w:w="108" w:type="dxa"/>
          <w:bottom w:w="0" w:type="dxa"/>
          <w:right w:w="108" w:type="dxa"/>
        </w:tblCellMar>
      </w:tblPr>
      <w:tblGrid>
        <w:gridCol w:w="960"/>
        <w:gridCol w:w="2401"/>
        <w:gridCol w:w="1540"/>
        <w:gridCol w:w="1540"/>
        <w:gridCol w:w="1540"/>
        <w:gridCol w:w="1540"/>
        <w:gridCol w:w="1540"/>
        <w:gridCol w:w="1540"/>
        <w:gridCol w:w="1540"/>
      </w:tblGrid>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kern w:val="0"/>
                <w:sz w:val="22"/>
                <w:szCs w:val="22"/>
              </w:rPr>
            </w:pPr>
            <w:r>
              <w:rPr>
                <w:rFonts w:hint="eastAsia" w:ascii="宋体" w:hAnsi="宋体" w:cs="Arial"/>
                <w:kern w:val="0"/>
                <w:sz w:val="22"/>
                <w:szCs w:val="22"/>
              </w:rPr>
              <w:t>科目编码</w:t>
            </w:r>
          </w:p>
        </w:tc>
        <w:tc>
          <w:tcPr>
            <w:tcW w:w="24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7</w:t>
            </w:r>
          </w:p>
        </w:tc>
      </w:tr>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color w:val="000000"/>
                <w:szCs w:val="21"/>
              </w:rPr>
              <w:t>116417</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186.7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w:t>
            </w:r>
            <w:r>
              <w:rPr>
                <w:rFonts w:ascii="宋体" w:hAns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社会保障和就业支出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20805</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行政事业单位离退休</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机关事业单位基本养老保险缴费支出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医疗卫生与计划生育支出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2101102</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事业单位医疗</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w:t>
            </w:r>
            <w:r>
              <w:rPr>
                <w:rFonts w:asci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国土海洋气象等支出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53.1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53.1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国土资源事务</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53.1</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53.1</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2200150</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事业运行</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46.4</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46.4</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2200199</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其他国土资源事务支出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6.7</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6.7</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w:t>
            </w:r>
            <w:r>
              <w:rPr>
                <w:rFonts w:ascii="宋体" w:cs="Arial"/>
                <w:color w:val="000000"/>
                <w:kern w:val="0"/>
                <w:sz w:val="22"/>
                <w:szCs w:val="22"/>
              </w:rPr>
              <w:tab/>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住房保障支出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w:t>
            </w:r>
            <w:r>
              <w:rPr>
                <w:rFonts w:ascii="宋体" w:cs="Arial"/>
                <w:color w:val="000000"/>
                <w:kern w:val="0"/>
                <w:sz w:val="22"/>
                <w:szCs w:val="22"/>
              </w:rPr>
              <w:tab/>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住房改革支出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2210201</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住房公积金</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w:t>
            </w:r>
            <w:r>
              <w:rPr>
                <w:rFonts w:ascii="宋体" w:cs="Arial"/>
                <w:color w:val="000000"/>
                <w:kern w:val="0"/>
                <w:sz w:val="22"/>
                <w:szCs w:val="22"/>
              </w:rPr>
              <w:tab/>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color w:val="000000"/>
                <w:szCs w:val="21"/>
              </w:rPr>
              <w:t>116230.3</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color w:val="000000"/>
                <w:szCs w:val="21"/>
              </w:rPr>
              <w:t>116230.3</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color w:val="000000"/>
                <w:szCs w:val="21"/>
              </w:rPr>
              <w:t>116230.3</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color w:val="000000"/>
                <w:szCs w:val="21"/>
              </w:rPr>
              <w:t>116230.3</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2299901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color w:val="000000"/>
                <w:szCs w:val="21"/>
              </w:rPr>
              <w:t>116230.3</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color w:val="000000"/>
                <w:szCs w:val="21"/>
              </w:rPr>
              <w:t>116230.3</w:t>
            </w:r>
          </w:p>
        </w:tc>
      </w:tr>
    </w:tbl>
    <w:p/>
    <w:p>
      <w:r>
        <w:rPr>
          <w:rFonts w:hint="eastAsia"/>
        </w:rPr>
        <w:t>注：本表反映部门本年度取得的各项收入情况。</w:t>
      </w: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4"/>
        <w:tblW w:w="14049" w:type="dxa"/>
        <w:jc w:val="center"/>
        <w:tblInd w:w="0" w:type="dxa"/>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科目编码</w:t>
            </w:r>
          </w:p>
        </w:tc>
        <w:tc>
          <w:tcPr>
            <w:tcW w:w="181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ascii="宋体" w:cs="宋体"/>
                <w:color w:val="000000"/>
                <w:kern w:val="0"/>
                <w:sz w:val="22"/>
                <w:szCs w:val="22"/>
              </w:rPr>
              <w:t>117205</w:t>
            </w:r>
            <w:r>
              <w:rPr>
                <w:rFonts w:hint="eastAsia" w:ascii="宋体" w:cs="宋体"/>
                <w:color w:val="000000"/>
                <w:kern w:val="0"/>
                <w:sz w:val="22"/>
                <w:szCs w:val="22"/>
              </w:rPr>
              <w:t>.7</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86.7</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w:t>
            </w:r>
            <w:r>
              <w:rPr>
                <w:rFonts w:ascii="宋体" w:hAns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社会保障和就业支出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20805</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行政事业单位离退休</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机关事业单位基本养老保险缴费支出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医疗卫生与计划生育支出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2101102</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事业单位医疗</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国土海洋气象等支出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国土资源事务</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2200150</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事业运行</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46.4</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46.4</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2200199</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其他国土资源事务支出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6.7</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住房保障支出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住房改革支出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住房公积金</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宋体"/>
                <w:color w:val="000000"/>
                <w:kern w:val="0"/>
                <w:sz w:val="22"/>
                <w:szCs w:val="22"/>
              </w:rPr>
              <w:t>117019.1</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bl>
    <w:p/>
    <w:p>
      <w:r>
        <w:rPr>
          <w:rFonts w:hint="eastAsia"/>
        </w:rPr>
        <w:t>注：本表反映部门本年度各项支出情况。</w:t>
      </w:r>
    </w:p>
    <w:p>
      <w:pPr>
        <w:spacing w:line="540" w:lineRule="exact"/>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4"/>
        <w:tblW w:w="13765" w:type="dxa"/>
        <w:jc w:val="center"/>
        <w:tblInd w:w="0" w:type="dxa"/>
        <w:tblLayout w:type="fixed"/>
        <w:tblCellMar>
          <w:top w:w="0" w:type="dxa"/>
          <w:left w:w="108" w:type="dxa"/>
          <w:bottom w:w="0" w:type="dxa"/>
          <w:right w:w="108" w:type="dxa"/>
        </w:tblCellMar>
      </w:tblPr>
      <w:tblGrid>
        <w:gridCol w:w="3864"/>
        <w:gridCol w:w="1080"/>
        <w:gridCol w:w="1620"/>
        <w:gridCol w:w="180"/>
        <w:gridCol w:w="2608"/>
        <w:gridCol w:w="681"/>
        <w:gridCol w:w="1267"/>
        <w:gridCol w:w="1149"/>
        <w:gridCol w:w="1316"/>
      </w:tblGrid>
      <w:tr>
        <w:tblPrEx>
          <w:tblLayout w:type="fixed"/>
          <w:tblCellMar>
            <w:top w:w="0" w:type="dxa"/>
            <w:left w:w="108" w:type="dxa"/>
            <w:bottom w:w="0" w:type="dxa"/>
            <w:right w:w="108" w:type="dxa"/>
          </w:tblCellMar>
        </w:tblPrEx>
        <w:trPr>
          <w:trHeight w:val="300" w:hRule="atLeast"/>
          <w:jc w:val="center"/>
        </w:trPr>
        <w:tc>
          <w:tcPr>
            <w:tcW w:w="6744" w:type="dxa"/>
            <w:gridSpan w:val="4"/>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w:t>
            </w:r>
            <w:r>
              <w:rPr>
                <w:rFonts w:ascii="MingLiU" w:hAnsi="MingLiU" w:eastAsia="MingLiU" w:cs="Arial"/>
                <w:kern w:val="0"/>
                <w:sz w:val="22"/>
                <w:szCs w:val="22"/>
              </w:rPr>
              <w:t xml:space="preserve"> </w:t>
            </w:r>
            <w:r>
              <w:rPr>
                <w:rFonts w:hint="eastAsia" w:ascii="MingLiU" w:hAnsi="MingLiU" w:eastAsia="MingLiU" w:cs="Arial"/>
                <w:kern w:val="0"/>
                <w:sz w:val="22"/>
                <w:szCs w:val="22"/>
              </w:rPr>
              <w:t>入</w:t>
            </w:r>
          </w:p>
        </w:tc>
        <w:tc>
          <w:tcPr>
            <w:tcW w:w="702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w:t>
            </w:r>
            <w:r>
              <w:rPr>
                <w:rFonts w:ascii="MingLiU" w:hAnsi="MingLiU" w:eastAsia="MingLiU" w:cs="Arial"/>
                <w:kern w:val="0"/>
                <w:sz w:val="22"/>
                <w:szCs w:val="22"/>
              </w:rPr>
              <w:t xml:space="preserve"> </w:t>
            </w:r>
            <w:r>
              <w:rPr>
                <w:rFonts w:hint="eastAsia" w:ascii="MingLiU" w:hAnsi="MingLiU" w:eastAsia="MingLiU" w:cs="Arial"/>
                <w:kern w:val="0"/>
                <w:sz w:val="22"/>
                <w:szCs w:val="22"/>
              </w:rPr>
              <w:t>出</w:t>
            </w:r>
          </w:p>
        </w:tc>
      </w:tr>
      <w:tr>
        <w:tblPrEx>
          <w:tblLayout w:type="fixed"/>
          <w:tblCellMar>
            <w:top w:w="0" w:type="dxa"/>
            <w:left w:w="108" w:type="dxa"/>
            <w:bottom w:w="0" w:type="dxa"/>
            <w:right w:w="108" w:type="dxa"/>
          </w:tblCellMar>
        </w:tblPrEx>
        <w:trPr>
          <w:trHeight w:val="732" w:hRule="atLeast"/>
          <w:jc w:val="center"/>
        </w:trPr>
        <w:tc>
          <w:tcPr>
            <w:tcW w:w="3864"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1080"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6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2788"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681"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108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2788" w:type="dxa"/>
            <w:gridSpan w:val="2"/>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color w:val="000000"/>
                <w:szCs w:val="21"/>
              </w:rPr>
              <w:t>1</w:t>
            </w:r>
            <w:r>
              <w:rPr>
                <w:rFonts w:hint="eastAsia"/>
                <w:color w:val="000000"/>
                <w:szCs w:val="21"/>
              </w:rPr>
              <w:t>86.7</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二、政府性基金预算财政拨款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62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11</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11</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九、医疗卫生与计划生育支出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5.8</w:t>
            </w:r>
          </w:p>
        </w:tc>
        <w:tc>
          <w:tcPr>
            <w:tcW w:w="13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十、国土海洋气象等支出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53.1　</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53.1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十一、住房保障支出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6.9</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w:t>
            </w:r>
            <w:r>
              <w:rPr>
                <w:rFonts w:hint="eastAsia" w:ascii="宋体" w:hAnsi="宋体" w:cs="Arial"/>
                <w:color w:val="000000"/>
                <w:kern w:val="0"/>
                <w:sz w:val="22"/>
                <w:szCs w:val="22"/>
              </w:rPr>
              <w:t>6.9</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本年收入合计</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color w:val="000000"/>
                <w:szCs w:val="21"/>
              </w:rPr>
              <w:t>1</w:t>
            </w:r>
            <w:r>
              <w:rPr>
                <w:rFonts w:hint="eastAsia"/>
                <w:color w:val="000000"/>
                <w:szCs w:val="21"/>
              </w:rPr>
              <w:t>86.7</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1</w:t>
            </w:r>
            <w:r>
              <w:rPr>
                <w:rFonts w:hint="eastAsia" w:ascii="宋体" w:hAnsi="宋体" w:cs="Arial"/>
                <w:color w:val="000000"/>
                <w:kern w:val="0"/>
                <w:sz w:val="22"/>
                <w:szCs w:val="22"/>
              </w:rPr>
              <w:t>86.7</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年初财政拨款结转和结余</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5159.8</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5159.8</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330" w:firstLineChars="150"/>
              <w:jc w:val="left"/>
              <w:rPr>
                <w:rFonts w:ascii="宋体" w:cs="Arial"/>
                <w:kern w:val="0"/>
                <w:sz w:val="22"/>
                <w:szCs w:val="22"/>
              </w:rPr>
            </w:pPr>
            <w:r>
              <w:rPr>
                <w:rFonts w:hint="eastAsia" w:ascii="宋体" w:hAnsi="宋体" w:cs="Arial"/>
                <w:kern w:val="0"/>
                <w:sz w:val="22"/>
                <w:szCs w:val="22"/>
              </w:rPr>
              <w:t>一般公共预算财政拨款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1.9</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330" w:firstLineChars="150"/>
              <w:jc w:val="left"/>
              <w:rPr>
                <w:rFonts w:ascii="宋体" w:cs="Arial"/>
                <w:color w:val="000000"/>
                <w:kern w:val="0"/>
                <w:sz w:val="22"/>
                <w:szCs w:val="22"/>
              </w:rPr>
            </w:pPr>
            <w:r>
              <w:rPr>
                <w:rFonts w:hint="eastAsia" w:ascii="宋体" w:hAnsi="宋体" w:cs="Arial"/>
                <w:kern w:val="0"/>
                <w:sz w:val="22"/>
                <w:szCs w:val="22"/>
              </w:rPr>
              <w:t>政府性基金预算财政拨款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5157.9</w:t>
            </w: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53</w:t>
            </w:r>
            <w:r>
              <w:rPr>
                <w:rFonts w:hint="eastAsia" w:ascii="宋体" w:cs="Arial"/>
                <w:color w:val="000000"/>
                <w:kern w:val="0"/>
                <w:sz w:val="22"/>
                <w:szCs w:val="22"/>
              </w:rPr>
              <w:t>46.5</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53</w:t>
            </w:r>
            <w:r>
              <w:rPr>
                <w:rFonts w:hint="eastAsia" w:ascii="宋体" w:hAnsi="宋体" w:cs="Arial"/>
                <w:color w:val="000000"/>
                <w:kern w:val="0"/>
                <w:sz w:val="22"/>
                <w:szCs w:val="22"/>
              </w:rPr>
              <w:t>46.5</w:t>
            </w:r>
          </w:p>
        </w:tc>
      </w:tr>
    </w:tbl>
    <w:p>
      <w:r>
        <w:rPr>
          <w:rFonts w:hint="eastAsia"/>
        </w:rPr>
        <w:t>注：本表反映部门本年度一般公共预算财政拨款和政府性基金预算财政拨款的总收支和年末结转结余情况。</w:t>
      </w: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4"/>
        <w:tblW w:w="13479" w:type="dxa"/>
        <w:jc w:val="center"/>
        <w:tblInd w:w="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w:t>
            </w:r>
            <w:r>
              <w:rPr>
                <w:rFonts w:ascii="MingLiU" w:hAnsi="MingLiU" w:eastAsia="MingLiU" w:cs="Arial"/>
                <w:kern w:val="0"/>
                <w:sz w:val="22"/>
                <w:szCs w:val="22"/>
              </w:rPr>
              <w:t xml:space="preserve"> </w:t>
            </w:r>
            <w:r>
              <w:rPr>
                <w:rFonts w:hint="eastAsia" w:ascii="MingLiU" w:hAnsi="MingLiU" w:eastAsia="MingLiU" w:cs="Arial"/>
                <w:kern w:val="0"/>
                <w:sz w:val="22"/>
                <w:szCs w:val="22"/>
              </w:rPr>
              <w:t>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36"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宋体" w:cs="Arial"/>
                <w:color w:val="000000"/>
                <w:kern w:val="0"/>
                <w:sz w:val="22"/>
                <w:szCs w:val="22"/>
              </w:rPr>
              <w:t>1</w:t>
            </w:r>
            <w:r>
              <w:rPr>
                <w:rFonts w:hint="eastAsia" w:ascii="宋体" w:cs="Arial"/>
                <w:color w:val="000000"/>
                <w:kern w:val="0"/>
                <w:sz w:val="22"/>
                <w:szCs w:val="22"/>
              </w:rPr>
              <w:t>86.7</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宋体" w:cs="Arial"/>
                <w:color w:val="000000"/>
                <w:kern w:val="0"/>
                <w:sz w:val="22"/>
                <w:szCs w:val="22"/>
              </w:rPr>
              <w:t>1</w:t>
            </w:r>
            <w:r>
              <w:rPr>
                <w:rFonts w:hint="eastAsia" w:ascii="宋体" w:cs="Arial"/>
                <w:color w:val="000000"/>
                <w:kern w:val="0"/>
                <w:sz w:val="22"/>
                <w:szCs w:val="22"/>
              </w:rPr>
              <w:t>86.7</w:t>
            </w:r>
          </w:p>
        </w:tc>
        <w:tc>
          <w:tcPr>
            <w:tcW w:w="3396"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w:t>
            </w:r>
            <w:r>
              <w:rPr>
                <w:rFonts w:ascii="宋体" w:hAns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社会保障和就业支出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20805</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行政事业单位离退休</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机关事业单位基本养老保险缴费支出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医疗卫生与计划生育支出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2101102</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事业单位医疗</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5.8</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国土海洋气象等支出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国土资源事务</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53.1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2200150</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事业运行</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46.4</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46.4</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2200199</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其他国土资源事务支出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6.7</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6.7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住房保障支出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住房改革支出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住房公积金</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w:t>
            </w:r>
            <w:r>
              <w:rPr>
                <w:rFonts w:hint="eastAsia" w:ascii="宋体" w:cs="Arial"/>
                <w:color w:val="000000"/>
                <w:kern w:val="0"/>
                <w:sz w:val="22"/>
                <w:szCs w:val="22"/>
              </w:rPr>
              <w:t>6.9</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bl>
    <w:p/>
    <w:p>
      <w:r>
        <w:rPr>
          <w:rFonts w:hint="eastAsia"/>
        </w:rPr>
        <w:t>注：本表反映部门本年度一般公共预算财政拨款实际支出情况。</w:t>
      </w:r>
    </w:p>
    <w:p>
      <w:pPr>
        <w:spacing w:line="540" w:lineRule="exact"/>
        <w:jc w:val="center"/>
        <w:rPr>
          <w:rFonts w:ascii="方正小标宋简体" w:hAnsi="宋体" w:eastAsia="方正小标宋简体" w:cs="宋体"/>
          <w:kern w:val="0"/>
          <w:sz w:val="36"/>
          <w:szCs w:val="36"/>
        </w:rPr>
      </w:pPr>
    </w:p>
    <w:p>
      <w:pPr>
        <w:spacing w:line="540" w:lineRule="exact"/>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152.3</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商品和服务支出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基本工资</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cs="Arial"/>
                <w:color w:val="000000"/>
                <w:kern w:val="0"/>
                <w:sz w:val="22"/>
                <w:szCs w:val="22"/>
              </w:rPr>
              <w:t>51.6</w:t>
            </w: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6.7</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30102</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津贴补贴</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1.4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资金</w:t>
            </w:r>
            <w:r>
              <w:rPr>
                <w:rFonts w:ascii="宋体" w:hAnsi="宋体" w:cs="Arial"/>
                <w:color w:val="000000"/>
                <w:kern w:val="0"/>
                <w:sz w:val="22"/>
                <w:szCs w:val="22"/>
              </w:rPr>
              <w:t xml:space="preserve">  </w:t>
            </w:r>
            <w:r>
              <w:rPr>
                <w:rFonts w:hint="eastAsia"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w:t>
            </w:r>
            <w:r>
              <w:rPr>
                <w:rFonts w:hint="eastAsia" w:ascii="宋体" w:hAnsi="宋体" w:cs="Arial"/>
                <w:color w:val="000000"/>
                <w:kern w:val="0"/>
                <w:sz w:val="22"/>
                <w:szCs w:val="22"/>
              </w:rPr>
              <w:t>211</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差旅费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1.1</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30104</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4.5</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w:t>
            </w:r>
            <w:r>
              <w:rPr>
                <w:rFonts w:hint="eastAsia" w:ascii="宋体" w:hAnsi="宋体" w:cs="Arial"/>
                <w:color w:val="000000"/>
                <w:kern w:val="0"/>
                <w:sz w:val="22"/>
                <w:szCs w:val="22"/>
              </w:rPr>
              <w:t>228</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工会经费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1.2</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30106</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伙食补助费</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30107</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绩效工资</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cs="Arial"/>
                <w:color w:val="000000"/>
                <w:kern w:val="0"/>
                <w:sz w:val="22"/>
                <w:szCs w:val="22"/>
              </w:rPr>
              <w:t>94.8</w:t>
            </w: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0.5</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30108</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机关事业单位基本养老保险缴费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11</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邮电费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0.9</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w:t>
            </w:r>
            <w:r>
              <w:rPr>
                <w:rFonts w:hint="eastAsia" w:ascii="宋体" w:hAnsi="宋体" w:cs="Arial"/>
                <w:color w:val="000000"/>
                <w:kern w:val="0"/>
                <w:sz w:val="22"/>
                <w:szCs w:val="22"/>
              </w:rPr>
              <w:t>13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住房公积金</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16.</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取暖费　</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4.3</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物业管理费　</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1.4</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对个人家庭的补助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离休费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30302</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退休费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债务利息支出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cs="Arial"/>
                <w:color w:val="000000"/>
                <w:kern w:val="0"/>
                <w:sz w:val="22"/>
                <w:szCs w:val="22"/>
              </w:rPr>
              <w:t>人员经费合计</w:t>
            </w:r>
          </w:p>
          <w:p>
            <w:pPr>
              <w:widowControl/>
              <w:jc w:val="center"/>
              <w:rPr>
                <w:rFonts w:asci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152.3</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cs="Arial"/>
                <w:color w:val="000000"/>
                <w:kern w:val="0"/>
                <w:sz w:val="22"/>
                <w:szCs w:val="22"/>
              </w:rPr>
              <w:t>6.7</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spacing w:line="540" w:lineRule="exact"/>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
      <w:pPr>
        <w:jc w:val="right"/>
      </w:pPr>
      <w:r>
        <w:rPr>
          <w:rFonts w:hint="eastAsia"/>
        </w:rPr>
        <w:t>单位：万元</w:t>
      </w:r>
    </w:p>
    <w:tbl>
      <w:tblPr>
        <w:tblStyle w:val="4"/>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201</w:t>
            </w:r>
            <w:r>
              <w:rPr>
                <w:rFonts w:hint="eastAsia" w:ascii="宋体" w:hAnsi="宋体" w:cs="Arial"/>
                <w:kern w:val="0"/>
                <w:sz w:val="22"/>
                <w:szCs w:val="22"/>
              </w:rPr>
              <w:t>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201</w:t>
            </w:r>
            <w:r>
              <w:rPr>
                <w:rFonts w:hint="eastAsia" w:ascii="宋体" w:hAnsi="宋体" w:cs="Arial"/>
                <w:kern w:val="0"/>
                <w:sz w:val="22"/>
                <w:szCs w:val="22"/>
              </w:rPr>
              <w:t>9年度决算数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183"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r>
    </w:tbl>
    <w:p>
      <w:r>
        <w:rPr>
          <w:rFonts w:hint="eastAsia"/>
        </w:rPr>
        <w:t>注：本表反映部门本年度“三公”经费支出预决算情况。其中，</w:t>
      </w:r>
      <w:r>
        <w:t>2018</w:t>
      </w:r>
      <w:r>
        <w:rPr>
          <w:rFonts w:hint="eastAsia"/>
        </w:rPr>
        <w:t>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sz w:val="32"/>
          <w:szCs w:val="32"/>
        </w:rPr>
        <w:t>柳州高新技术产业开发区土地储备中心无“三公”经费收入，也没有“三公”经费安排的支出，故本表无数据。</w:t>
      </w:r>
    </w:p>
    <w:p>
      <w:pPr>
        <w:spacing w:line="540" w:lineRule="exact"/>
        <w:jc w:val="center"/>
        <w:rPr>
          <w:rFonts w:ascii="方正小标宋简体" w:hAnsi="宋体" w:eastAsia="方正小标宋简体" w:cs="宋体"/>
          <w:kern w:val="0"/>
          <w:sz w:val="36"/>
          <w:szCs w:val="36"/>
        </w:rPr>
      </w:pPr>
    </w:p>
    <w:tbl>
      <w:tblPr>
        <w:tblStyle w:val="4"/>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tabs>
                <w:tab w:val="left" w:pos="407"/>
                <w:tab w:val="right" w:pos="889"/>
              </w:tabs>
              <w:jc w:val="left"/>
              <w:rPr>
                <w:rFonts w:ascii="宋体" w:cs="宋体"/>
                <w:kern w:val="0"/>
                <w:sz w:val="22"/>
                <w:szCs w:val="22"/>
              </w:rPr>
            </w:pPr>
            <w:r>
              <w:rPr>
                <w:rFonts w:ascii="宋体" w:cs="宋体"/>
                <w:kern w:val="0"/>
                <w:sz w:val="22"/>
                <w:szCs w:val="22"/>
              </w:rPr>
              <w:tab/>
            </w:r>
            <w:r>
              <w:rPr>
                <w:rFonts w:ascii="宋体" w:cs="宋体"/>
                <w:kern w:val="0"/>
                <w:sz w:val="22"/>
                <w:szCs w:val="22"/>
              </w:rPr>
              <w:t>0</w:t>
            </w:r>
            <w:r>
              <w:rPr>
                <w:rFonts w:ascii="宋体" w:cs="宋体"/>
                <w:kern w:val="0"/>
                <w:sz w:val="22"/>
                <w:szCs w:val="22"/>
              </w:rPr>
              <w:tab/>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sectPr>
          <w:pgSz w:w="16838" w:h="11906" w:orient="landscape"/>
          <w:pgMar w:top="1797" w:right="1440" w:bottom="1797" w:left="1440" w:header="851" w:footer="992" w:gutter="0"/>
          <w:pgNumType w:fmt="numberInDash"/>
          <w:cols w:space="720" w:num="1"/>
          <w:docGrid w:type="lines" w:linePitch="312" w:charSpace="0"/>
        </w:sectPr>
      </w:pPr>
      <w:r>
        <w:rPr>
          <w:rFonts w:hint="eastAsia"/>
          <w:sz w:val="32"/>
          <w:szCs w:val="32"/>
        </w:rPr>
        <w:t>柳州高新技术产业开发区土地储备中心无政府性基金预算财政拨款收入，也没有“政府性基金预算财政拨款经费安排的支出，故本表无数据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第三部分：柳州高新技术产业开发区土地储备中心</w:t>
      </w:r>
      <w:r>
        <w:rPr>
          <w:rFonts w:ascii="仿宋_GB2312" w:eastAsia="仿宋_GB2312"/>
          <w:b/>
          <w:sz w:val="32"/>
          <w:szCs w:val="32"/>
        </w:rPr>
        <w:t>201</w:t>
      </w:r>
      <w:r>
        <w:rPr>
          <w:rFonts w:hint="eastAsia" w:ascii="仿宋_GB2312" w:eastAsia="仿宋_GB2312"/>
          <w:b/>
          <w:sz w:val="32"/>
          <w:szCs w:val="32"/>
        </w:rPr>
        <w:t>9年度部门决算情况说明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年度收入支出决算总体情况</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柳州高新技术产业开发区土地储备中心2019年度收入116417万元，年度支出</w:t>
      </w:r>
      <w:r>
        <w:rPr>
          <w:rFonts w:ascii="仿宋_GB2312" w:hAnsi="仿宋" w:eastAsia="仿宋_GB2312"/>
          <w:sz w:val="32"/>
          <w:szCs w:val="32"/>
        </w:rPr>
        <w:t>117205</w:t>
      </w:r>
      <w:r>
        <w:rPr>
          <w:rFonts w:hint="eastAsia" w:ascii="仿宋_GB2312" w:hAnsi="仿宋" w:eastAsia="仿宋_GB2312"/>
          <w:sz w:val="32"/>
          <w:szCs w:val="32"/>
        </w:rPr>
        <w:t>.7万元。2019年度收入116417万元，与2018年相比增加65842.3万元，比上年增加130.2%。2019年度支出117205.7万元，与2018年相比增加67634万元，比上年增加136.4%。</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hAnsi="仿宋" w:eastAsia="仿宋_GB2312"/>
          <w:sz w:val="32"/>
          <w:szCs w:val="32"/>
        </w:rPr>
        <w:t>116417</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，其中：财政拨款收入</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2</w:t>
      </w:r>
      <w:r>
        <w:rPr>
          <w:rFonts w:ascii="仿宋_GB2312" w:eastAsia="仿宋_GB2312" w:cs="仿宋_GB2312"/>
          <w:bCs/>
          <w:kern w:val="0"/>
          <w:sz w:val="32"/>
          <w:szCs w:val="32"/>
        </w:rPr>
        <w:t>% </w:t>
      </w:r>
      <w:r>
        <w:rPr>
          <w:rFonts w:hint="eastAsia" w:ascii="仿宋_GB2312" w:eastAsia="仿宋_GB2312" w:cs="仿宋_GB2312"/>
          <w:bCs/>
          <w:kern w:val="0"/>
          <w:sz w:val="32"/>
          <w:szCs w:val="32"/>
        </w:rPr>
        <w:t>；上级补助收入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；事业单位经营收入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；其他收入</w:t>
      </w:r>
      <w:r>
        <w:rPr>
          <w:rFonts w:hint="eastAsia" w:ascii="仿宋_GB2312" w:hAnsi="仿宋" w:eastAsia="仿宋_GB2312"/>
          <w:sz w:val="32"/>
          <w:szCs w:val="32"/>
        </w:rPr>
        <w:t>116230.3</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99.</w:t>
      </w:r>
      <w:r>
        <w:rPr>
          <w:rFonts w:hint="eastAsia" w:ascii="仿宋_GB2312" w:eastAsia="仿宋_GB2312" w:cs="仿宋_GB2312"/>
          <w:bCs/>
          <w:kern w:val="0"/>
          <w:sz w:val="32"/>
          <w:szCs w:val="32"/>
        </w:rPr>
        <w:t>8</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hint="eastAsia" w:ascii="仿宋_GB2312" w:hAnsi="仿宋" w:eastAsia="仿宋_GB2312"/>
          <w:sz w:val="32"/>
          <w:szCs w:val="32"/>
        </w:rPr>
        <w:t>117205.7</w:t>
      </w:r>
      <w:r>
        <w:rPr>
          <w:rFonts w:hint="eastAsia" w:ascii="仿宋_GB2312" w:eastAsia="仿宋_GB2312" w:cs="仿宋_GB2312"/>
          <w:bCs/>
          <w:kern w:val="0"/>
          <w:sz w:val="32"/>
          <w:szCs w:val="32"/>
        </w:rPr>
        <w:t>万元，其中：基本支出186.7万元，占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2</w:t>
      </w:r>
      <w:r>
        <w:rPr>
          <w:rFonts w:ascii="仿宋_GB2312" w:eastAsia="仿宋_GB2312" w:cs="仿宋_GB2312"/>
          <w:bCs/>
          <w:kern w:val="0"/>
          <w:sz w:val="32"/>
          <w:szCs w:val="32"/>
        </w:rPr>
        <w:t>%</w:t>
      </w:r>
      <w:r>
        <w:rPr>
          <w:rFonts w:hint="eastAsia" w:ascii="仿宋_GB2312" w:eastAsia="仿宋_GB2312" w:cs="仿宋_GB2312"/>
          <w:bCs/>
          <w:kern w:val="0"/>
          <w:sz w:val="32"/>
          <w:szCs w:val="32"/>
        </w:rPr>
        <w:t>；项目支出</w:t>
      </w:r>
      <w:r>
        <w:rPr>
          <w:rFonts w:hint="eastAsia" w:ascii="仿宋_GB2312" w:hAnsi="仿宋" w:eastAsia="仿宋_GB2312"/>
          <w:sz w:val="32"/>
          <w:szCs w:val="32"/>
        </w:rPr>
        <w:t>117019.1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99.</w:t>
      </w:r>
      <w:r>
        <w:rPr>
          <w:rFonts w:hint="eastAsia" w:ascii="仿宋_GB2312" w:eastAsia="仿宋_GB2312" w:cs="仿宋_GB2312"/>
          <w:bCs/>
          <w:kern w:val="0"/>
          <w:sz w:val="32"/>
          <w:szCs w:val="32"/>
        </w:rPr>
        <w:t>8</w:t>
      </w:r>
      <w:r>
        <w:rPr>
          <w:rFonts w:ascii="仿宋_GB2312" w:eastAsia="仿宋_GB2312" w:cs="仿宋_GB2312"/>
          <w:bCs/>
          <w:kern w:val="0"/>
          <w:sz w:val="32"/>
          <w:szCs w:val="32"/>
        </w:rPr>
        <w:t>%</w:t>
      </w:r>
      <w:r>
        <w:rPr>
          <w:rFonts w:hint="eastAsia" w:ascii="仿宋_GB2312" w:eastAsia="仿宋_GB2312" w:cs="仿宋_GB2312"/>
          <w:bCs/>
          <w:kern w:val="0"/>
          <w:sz w:val="32"/>
          <w:szCs w:val="32"/>
        </w:rPr>
        <w:t>；经营支出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本部门 2019年度财政拨款收入</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86.7万元，与2018年相比，增加8.3万元，比上年</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4.4% ；</w:t>
      </w:r>
      <w:r>
        <w:rPr>
          <w:rFonts w:hint="eastAsia" w:ascii="仿宋" w:hAnsi="仿宋" w:eastAsia="仿宋" w:cs="宋体"/>
          <w:kern w:val="0"/>
          <w:sz w:val="32"/>
          <w:szCs w:val="32"/>
        </w:rPr>
        <w:t>2019年度财政拨款支出总计186.7万元，支出增加8.3万元，比上年</w:t>
      </w:r>
      <w:r>
        <w:rPr>
          <w:rFonts w:hint="eastAsia" w:ascii="仿宋_GB2312" w:eastAsia="仿宋_GB2312" w:cs="仿宋_GB2312"/>
          <w:bCs/>
          <w:kern w:val="0"/>
          <w:sz w:val="32"/>
          <w:szCs w:val="32"/>
          <w:lang w:eastAsia="zh-CN"/>
        </w:rPr>
        <w:t>增长</w:t>
      </w:r>
      <w:bookmarkStart w:id="0" w:name="_GoBack"/>
      <w:bookmarkEnd w:id="0"/>
      <w:r>
        <w:rPr>
          <w:rFonts w:hint="eastAsia" w:ascii="仿宋" w:hAnsi="仿宋" w:eastAsia="仿宋" w:cs="宋体"/>
          <w:kern w:val="0"/>
          <w:sz w:val="32"/>
          <w:szCs w:val="32"/>
        </w:rPr>
        <w:t>4.4%。</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201</w:t>
      </w:r>
      <w:r>
        <w:rPr>
          <w:rFonts w:hint="eastAsia" w:eastAsia="仿宋_GB2312"/>
          <w:b/>
          <w:kern w:val="0"/>
          <w:sz w:val="32"/>
          <w:szCs w:val="32"/>
        </w:rPr>
        <w:t>9年度一般公共预算财政拨款支出决算情况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9年度财政拨款支出</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86.7万元，占本年支出合计的</w:t>
      </w:r>
      <w:r>
        <w:rPr>
          <w:rFonts w:ascii="仿宋_GB2312" w:eastAsia="仿宋_GB2312" w:cs="仿宋_GB2312"/>
          <w:bCs/>
          <w:kern w:val="0"/>
          <w:sz w:val="32"/>
          <w:szCs w:val="32"/>
        </w:rPr>
        <w:t>0.</w:t>
      </w:r>
      <w:r>
        <w:rPr>
          <w:rFonts w:hint="eastAsia" w:ascii="仿宋_GB2312" w:eastAsia="仿宋_GB2312" w:cs="仿宋_GB2312"/>
          <w:bCs/>
          <w:kern w:val="0"/>
          <w:sz w:val="32"/>
          <w:szCs w:val="32"/>
        </w:rPr>
        <w:t>2</w:t>
      </w:r>
      <w:r>
        <w:rPr>
          <w:rFonts w:ascii="仿宋_GB2312" w:eastAsia="仿宋_GB2312" w:cs="仿宋_GB2312"/>
          <w:bCs/>
          <w:kern w:val="0"/>
          <w:sz w:val="32"/>
          <w:szCs w:val="32"/>
        </w:rPr>
        <w:t>%</w:t>
      </w:r>
      <w:r>
        <w:rPr>
          <w:rFonts w:hint="eastAsia" w:ascii="仿宋_GB2312" w:eastAsia="仿宋_GB2312" w:cs="仿宋_GB2312"/>
          <w:bCs/>
          <w:kern w:val="0"/>
          <w:sz w:val="32"/>
          <w:szCs w:val="32"/>
        </w:rPr>
        <w:t>。与</w:t>
      </w:r>
      <w:r>
        <w:rPr>
          <w:rFonts w:ascii="仿宋_GB2312" w:eastAsia="仿宋_GB2312" w:cs="仿宋_GB2312"/>
          <w:bCs/>
          <w:kern w:val="0"/>
          <w:sz w:val="32"/>
          <w:szCs w:val="32"/>
        </w:rPr>
        <w:t>201</w:t>
      </w:r>
      <w:r>
        <w:rPr>
          <w:rFonts w:hint="eastAsia" w:ascii="仿宋_GB2312" w:eastAsia="仿宋_GB2312" w:cs="仿宋_GB2312"/>
          <w:bCs/>
          <w:kern w:val="0"/>
          <w:sz w:val="32"/>
          <w:szCs w:val="32"/>
        </w:rPr>
        <w:t>8年相比，财政拨款支出增长8.3万元，增加4.4</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9年度财政拨款支出</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86.7万元，主要用于以下方面：社会保障和就业（类）支出</w:t>
      </w:r>
      <w:r>
        <w:rPr>
          <w:rFonts w:ascii="仿宋_GB2312" w:eastAsia="仿宋_GB2312" w:cs="仿宋_GB2312"/>
          <w:bCs/>
          <w:kern w:val="0"/>
          <w:sz w:val="32"/>
          <w:szCs w:val="32"/>
        </w:rPr>
        <w:t>11</w:t>
      </w:r>
      <w:r>
        <w:rPr>
          <w:rFonts w:hint="eastAsia" w:ascii="仿宋_GB2312" w:eastAsia="仿宋_GB2312" w:cs="仿宋_GB2312"/>
          <w:bCs/>
          <w:kern w:val="0"/>
          <w:sz w:val="32"/>
          <w:szCs w:val="32"/>
        </w:rPr>
        <w:t>万元，占5.9</w:t>
      </w:r>
      <w:r>
        <w:rPr>
          <w:rFonts w:ascii="仿宋_GB2312" w:eastAsia="仿宋_GB2312" w:cs="仿宋_GB2312"/>
          <w:bCs/>
          <w:kern w:val="0"/>
          <w:sz w:val="32"/>
          <w:szCs w:val="32"/>
        </w:rPr>
        <w:t>%</w:t>
      </w:r>
      <w:r>
        <w:rPr>
          <w:rFonts w:hint="eastAsia" w:ascii="仿宋_GB2312" w:eastAsia="仿宋_GB2312" w:cs="仿宋_GB2312"/>
          <w:bCs/>
          <w:kern w:val="0"/>
          <w:sz w:val="32"/>
          <w:szCs w:val="32"/>
        </w:rPr>
        <w:t>；医疗卫生与计划生育（类）支出5.8万元，占3.1</w:t>
      </w:r>
      <w:r>
        <w:rPr>
          <w:rFonts w:ascii="仿宋_GB2312" w:eastAsia="仿宋_GB2312" w:cs="仿宋_GB2312"/>
          <w:bCs/>
          <w:kern w:val="0"/>
          <w:sz w:val="32"/>
          <w:szCs w:val="32"/>
        </w:rPr>
        <w:t>%</w:t>
      </w:r>
      <w:r>
        <w:rPr>
          <w:rFonts w:hint="eastAsia" w:ascii="仿宋_GB2312" w:eastAsia="仿宋_GB2312" w:cs="仿宋_GB2312"/>
          <w:bCs/>
          <w:kern w:val="0"/>
          <w:sz w:val="32"/>
          <w:szCs w:val="32"/>
        </w:rPr>
        <w:t>；国土海洋气象等（类）支出</w:t>
      </w:r>
      <w:r>
        <w:rPr>
          <w:rFonts w:ascii="仿宋_GB2312" w:eastAsia="仿宋_GB2312" w:cs="仿宋_GB2312"/>
          <w:bCs/>
          <w:kern w:val="0"/>
          <w:sz w:val="32"/>
          <w:szCs w:val="32"/>
        </w:rPr>
        <w:t>14</w:t>
      </w:r>
      <w:r>
        <w:rPr>
          <w:rFonts w:hint="eastAsia" w:ascii="仿宋_GB2312" w:eastAsia="仿宋_GB2312" w:cs="仿宋_GB2312"/>
          <w:bCs/>
          <w:kern w:val="0"/>
          <w:sz w:val="32"/>
          <w:szCs w:val="32"/>
        </w:rPr>
        <w:t>6.4万元，占78.4</w:t>
      </w:r>
      <w:r>
        <w:rPr>
          <w:rFonts w:ascii="仿宋_GB2312" w:eastAsia="仿宋_GB2312" w:cs="仿宋_GB2312"/>
          <w:bCs/>
          <w:kern w:val="0"/>
          <w:sz w:val="32"/>
          <w:szCs w:val="32"/>
        </w:rPr>
        <w:t>%</w:t>
      </w:r>
      <w:r>
        <w:rPr>
          <w:rFonts w:hint="eastAsia" w:ascii="仿宋_GB2312" w:eastAsia="仿宋_GB2312" w:cs="仿宋_GB2312"/>
          <w:bCs/>
          <w:kern w:val="0"/>
          <w:sz w:val="32"/>
          <w:szCs w:val="32"/>
        </w:rPr>
        <w:t>；住房保障（类）支出</w:t>
      </w:r>
      <w:r>
        <w:rPr>
          <w:rFonts w:ascii="仿宋_GB2312" w:eastAsia="仿宋_GB2312" w:cs="仿宋_GB2312"/>
          <w:bCs/>
          <w:kern w:val="0"/>
          <w:sz w:val="32"/>
          <w:szCs w:val="32"/>
        </w:rPr>
        <w:t>1</w:t>
      </w:r>
      <w:r>
        <w:rPr>
          <w:rFonts w:hint="eastAsia" w:ascii="仿宋_GB2312" w:eastAsia="仿宋_GB2312" w:cs="仿宋_GB2312"/>
          <w:bCs/>
          <w:kern w:val="0"/>
          <w:sz w:val="32"/>
          <w:szCs w:val="32"/>
        </w:rPr>
        <w:t>6.9万元，占</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9.1</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9年度财政拨款支出年初预算为</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86.7万元，支出决算为</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。其中：</w:t>
      </w:r>
    </w:p>
    <w:p>
      <w:pPr>
        <w:autoSpaceDE w:val="0"/>
        <w:autoSpaceDN w:val="0"/>
        <w:adjustRightInd w:val="0"/>
        <w:spacing w:line="54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t xml:space="preserve"> </w:t>
      </w:r>
      <w:r>
        <w:rPr>
          <w:rFonts w:hint="eastAsia" w:ascii="仿宋_GB2312" w:eastAsia="仿宋_GB2312" w:cs="仿宋_GB2312"/>
          <w:bCs/>
          <w:kern w:val="0"/>
          <w:sz w:val="32"/>
          <w:szCs w:val="32"/>
        </w:rPr>
        <w:t>社会保障和就业支出（类）行政事业单位离退休（款）</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机关事业单位基本养老保险缴费支出（项），年初预算为</w:t>
      </w:r>
      <w:r>
        <w:rPr>
          <w:rFonts w:ascii="仿宋_GB2312" w:eastAsia="仿宋_GB2312" w:cs="仿宋_GB2312"/>
          <w:bCs/>
          <w:kern w:val="0"/>
          <w:sz w:val="32"/>
          <w:szCs w:val="32"/>
        </w:rPr>
        <w:t>11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11</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4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 </w:t>
      </w:r>
      <w:r>
        <w:rPr>
          <w:rFonts w:hint="eastAsia" w:ascii="仿宋_GB2312" w:eastAsia="仿宋_GB2312" w:cs="仿宋_GB2312"/>
          <w:bCs/>
          <w:kern w:val="0"/>
          <w:sz w:val="32"/>
          <w:szCs w:val="32"/>
        </w:rPr>
        <w:t>医疗卫生与计划生育支出（类）行政事业单位医疗（款）</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事业单位医疗（项）。年初预算为5.8万元，支出决算为5.8万元，完成年初预算的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p>
    <w:p>
      <w:pPr>
        <w:autoSpaceDE w:val="0"/>
        <w:autoSpaceDN w:val="0"/>
        <w:adjustRightInd w:val="0"/>
        <w:spacing w:line="54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3. </w:t>
      </w:r>
      <w:r>
        <w:rPr>
          <w:rFonts w:hint="eastAsia" w:ascii="仿宋_GB2312" w:eastAsia="仿宋_GB2312" w:cs="仿宋_GB2312"/>
          <w:bCs/>
          <w:kern w:val="0"/>
          <w:sz w:val="32"/>
          <w:szCs w:val="32"/>
        </w:rPr>
        <w:t>国土海洋气象等支出（类）国土资源事务（款）</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事业运行（项）。年初预算为</w:t>
      </w:r>
      <w:r>
        <w:rPr>
          <w:rFonts w:ascii="仿宋_GB2312" w:eastAsia="仿宋_GB2312" w:cs="仿宋_GB2312"/>
          <w:bCs/>
          <w:kern w:val="0"/>
          <w:sz w:val="32"/>
          <w:szCs w:val="32"/>
        </w:rPr>
        <w:t>1</w:t>
      </w:r>
      <w:r>
        <w:rPr>
          <w:rFonts w:hint="eastAsia" w:ascii="仿宋_GB2312" w:eastAsia="仿宋_GB2312" w:cs="仿宋_GB2312"/>
          <w:bCs/>
          <w:kern w:val="0"/>
          <w:sz w:val="32"/>
          <w:szCs w:val="32"/>
        </w:rPr>
        <w:t>46.4万元，支出决算为</w:t>
      </w:r>
      <w:r>
        <w:rPr>
          <w:rFonts w:ascii="仿宋_GB2312" w:eastAsia="仿宋_GB2312" w:cs="仿宋_GB2312"/>
          <w:bCs/>
          <w:kern w:val="0"/>
          <w:sz w:val="32"/>
          <w:szCs w:val="32"/>
        </w:rPr>
        <w:t>1</w:t>
      </w:r>
      <w:r>
        <w:rPr>
          <w:rFonts w:hint="eastAsia" w:ascii="仿宋_GB2312" w:eastAsia="仿宋_GB2312" w:cs="仿宋_GB2312"/>
          <w:bCs/>
          <w:kern w:val="0"/>
          <w:sz w:val="32"/>
          <w:szCs w:val="32"/>
        </w:rPr>
        <w:t>46.4万元，完成年初预算的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4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4. </w:t>
      </w:r>
      <w:r>
        <w:rPr>
          <w:rFonts w:hint="eastAsia" w:ascii="仿宋_GB2312" w:eastAsia="仿宋_GB2312" w:cs="仿宋_GB2312"/>
          <w:bCs/>
          <w:kern w:val="0"/>
          <w:sz w:val="32"/>
          <w:szCs w:val="32"/>
        </w:rPr>
        <w:t>国土海洋气象等支出（类）国土资源事务（款）其他国土资源事务支出（项）。年初预算为6.7万元，支出决算为6.7万元，完成年初预算的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4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5. </w:t>
      </w:r>
      <w:r>
        <w:rPr>
          <w:rFonts w:hint="eastAsia" w:ascii="仿宋_GB2312" w:eastAsia="仿宋_GB2312" w:cs="仿宋_GB2312"/>
          <w:bCs/>
          <w:kern w:val="0"/>
          <w:sz w:val="32"/>
          <w:szCs w:val="32"/>
        </w:rPr>
        <w:t>住房保障支出（类）住房改革支出（款）住房公积金（项）。年初预算为</w:t>
      </w:r>
      <w:r>
        <w:rPr>
          <w:rFonts w:ascii="仿宋_GB2312" w:eastAsia="仿宋_GB2312" w:cs="仿宋_GB2312"/>
          <w:bCs/>
          <w:kern w:val="0"/>
          <w:sz w:val="32"/>
          <w:szCs w:val="32"/>
        </w:rPr>
        <w:t>1</w:t>
      </w:r>
      <w:r>
        <w:rPr>
          <w:rFonts w:hint="eastAsia" w:ascii="仿宋_GB2312" w:eastAsia="仿宋_GB2312" w:cs="仿宋_GB2312"/>
          <w:bCs/>
          <w:kern w:val="0"/>
          <w:sz w:val="32"/>
          <w:szCs w:val="32"/>
        </w:rPr>
        <w:t>6.9万元，支出决算为</w:t>
      </w:r>
      <w:r>
        <w:rPr>
          <w:rFonts w:ascii="仿宋_GB2312" w:eastAsia="仿宋_GB2312" w:cs="仿宋_GB2312"/>
          <w:bCs/>
          <w:kern w:val="0"/>
          <w:sz w:val="32"/>
          <w:szCs w:val="32"/>
        </w:rPr>
        <w:t>1</w:t>
      </w:r>
      <w:r>
        <w:rPr>
          <w:rFonts w:hint="eastAsia" w:ascii="仿宋_GB2312" w:eastAsia="仿宋_GB2312" w:cs="仿宋_GB2312"/>
          <w:bCs/>
          <w:kern w:val="0"/>
          <w:sz w:val="32"/>
          <w:szCs w:val="32"/>
        </w:rPr>
        <w:t>6.9万元，完成年初预算的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201</w:t>
      </w:r>
      <w:r>
        <w:rPr>
          <w:rFonts w:hint="eastAsia" w:ascii="仿宋_GB2312" w:eastAsia="仿宋_GB2312" w:cs="仿宋_GB2312"/>
          <w:b/>
          <w:kern w:val="0"/>
          <w:sz w:val="32"/>
          <w:szCs w:val="32"/>
        </w:rPr>
        <w:t>9年度一般公共预算财政拨款基本支出决算情况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9年度财政拨款基本支出</w:t>
      </w:r>
      <w:r>
        <w:rPr>
          <w:rFonts w:ascii="仿宋_GB2312" w:eastAsia="仿宋_GB2312" w:cs="仿宋_GB2312"/>
          <w:bCs/>
          <w:kern w:val="0"/>
          <w:sz w:val="32"/>
          <w:szCs w:val="32"/>
        </w:rPr>
        <w:t>1</w:t>
      </w:r>
      <w:r>
        <w:rPr>
          <w:rFonts w:hint="eastAsia" w:ascii="仿宋_GB2312" w:eastAsia="仿宋_GB2312" w:cs="仿宋_GB2312"/>
          <w:bCs/>
          <w:kern w:val="0"/>
          <w:sz w:val="32"/>
          <w:szCs w:val="32"/>
        </w:rPr>
        <w:t>86.7万元，其中：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1</w:t>
      </w:r>
      <w:r>
        <w:rPr>
          <w:rFonts w:hint="eastAsia" w:ascii="仿宋_GB2312" w:eastAsia="仿宋_GB2312" w:cs="仿宋_GB2312"/>
          <w:bCs/>
          <w:kern w:val="0"/>
          <w:sz w:val="32"/>
          <w:szCs w:val="32"/>
        </w:rPr>
        <w:t>52.3万元，主要包括：基本工资、绩效工资、机关事业单位基本养老保险缴费、其他社会保障缴费、其他工资福利支出、住房公积金。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公用经费6.7万元，主要包括：办公费、咨询费、水费、电费、邮电费、物业管理费、差旅费、工会经费、其他交通费用、其他商品和服务支出、办公设备购置。</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201</w:t>
      </w:r>
      <w:r>
        <w:rPr>
          <w:rFonts w:hint="eastAsia" w:ascii="仿宋_GB2312" w:eastAsia="仿宋_GB2312" w:cs="仿宋_GB2312"/>
          <w:b/>
          <w:kern w:val="0"/>
          <w:sz w:val="32"/>
          <w:szCs w:val="32"/>
        </w:rPr>
        <w:t>9年度一般公共预算财政拨款“三公”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0 %</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9年，机关所属单位开支财政拨款的公务用车保有量为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r>
        <w:rPr>
          <w:rFonts w:ascii="仿宋_GB2312" w:eastAsia="仿宋_GB2312" w:cs="仿宋_GB2312"/>
          <w:bCs/>
          <w:kern w:val="0"/>
          <w:sz w:val="32"/>
          <w:szCs w:val="32"/>
        </w:rPr>
        <w:t xml:space="preserve">    </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9年共接待国内来访团组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ascii="仿宋_GB2312" w:eastAsia="仿宋_GB2312" w:cs="仿宋_GB2312"/>
          <w:b/>
          <w:kern w:val="0"/>
          <w:sz w:val="32"/>
          <w:szCs w:val="32"/>
        </w:rPr>
        <w:t>201</w:t>
      </w:r>
      <w:r>
        <w:rPr>
          <w:rFonts w:hint="eastAsia" w:ascii="仿宋_GB2312" w:eastAsia="仿宋_GB2312" w:cs="仿宋_GB2312"/>
          <w:b/>
          <w:kern w:val="0"/>
          <w:sz w:val="32"/>
          <w:szCs w:val="32"/>
        </w:rPr>
        <w:t>9年度政府性基金预算财政拨款收入支出决算情况说明</w:t>
      </w:r>
      <w:r>
        <w:rPr>
          <w:rFonts w:ascii="仿宋_GB2312" w:eastAsia="仿宋_GB2312" w:cs="仿宋_GB2312"/>
          <w:b/>
          <w:kern w:val="0"/>
          <w:sz w:val="32"/>
          <w:szCs w:val="32"/>
        </w:rPr>
        <w:t xml:space="preserve"> </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w:t>
      </w:r>
      <w:r>
        <w:rPr>
          <w:rFonts w:hint="eastAsia" w:ascii="仿宋_GB2312" w:eastAsia="仿宋_GB2312" w:cs="仿宋_GB2312"/>
          <w:bCs/>
          <w:kern w:val="0"/>
          <w:sz w:val="32"/>
          <w:szCs w:val="32"/>
        </w:rPr>
        <w:t>9年度柳州市高新技术产业开发区土地储备中心无政府性基金预算财政拨款收入，也没有政府性基金预算财政拨款经费安排的支出。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eastAsia="仿宋_GB2312"/>
          <w:b/>
          <w:kern w:val="0"/>
          <w:sz w:val="32"/>
          <w:szCs w:val="32"/>
        </w:rPr>
        <w:t>201</w:t>
      </w:r>
      <w:r>
        <w:rPr>
          <w:rFonts w:hint="eastAsia" w:eastAsia="仿宋_GB2312"/>
          <w:b/>
          <w:kern w:val="0"/>
          <w:sz w:val="32"/>
          <w:szCs w:val="32"/>
        </w:rPr>
        <w:t>9</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201</w:t>
      </w:r>
      <w:r>
        <w:rPr>
          <w:rFonts w:hint="eastAsia" w:ascii="仿宋_GB2312" w:eastAsia="仿宋_GB2312" w:cs="仿宋_GB2312"/>
          <w:bCs/>
          <w:kern w:val="0"/>
          <w:sz w:val="32"/>
          <w:szCs w:val="32"/>
        </w:rPr>
        <w:t>9年度项目支出全面开展绩效自评。其中，项目</w:t>
      </w:r>
      <w:r>
        <w:rPr>
          <w:rFonts w:ascii="仿宋_GB2312" w:eastAsia="仿宋_GB2312" w:cs="仿宋_GB2312"/>
          <w:bCs/>
          <w:kern w:val="0"/>
          <w:sz w:val="32"/>
          <w:szCs w:val="32"/>
        </w:rPr>
        <w:t>8</w:t>
      </w:r>
      <w:r>
        <w:rPr>
          <w:rFonts w:hint="eastAsia" w:ascii="仿宋_GB2312" w:eastAsia="仿宋_GB2312" w:cs="仿宋_GB2312"/>
          <w:bCs/>
          <w:kern w:val="0"/>
          <w:sz w:val="32"/>
          <w:szCs w:val="32"/>
        </w:rPr>
        <w:t>个，共涉及预算资金</w:t>
      </w:r>
      <w:r>
        <w:rPr>
          <w:rFonts w:ascii="仿宋_GB2312" w:eastAsia="仿宋_GB2312" w:cs="仿宋_GB2312"/>
          <w:bCs/>
          <w:kern w:val="0"/>
          <w:sz w:val="32"/>
          <w:szCs w:val="32"/>
        </w:rPr>
        <w:t>117205</w:t>
      </w:r>
      <w:r>
        <w:rPr>
          <w:rFonts w:hint="eastAsia" w:ascii="仿宋_GB2312" w:eastAsia="仿宋_GB2312" w:cs="仿宋_GB2312"/>
          <w:bCs/>
          <w:kern w:val="0"/>
          <w:sz w:val="32"/>
          <w:szCs w:val="32"/>
        </w:rPr>
        <w:t>.7万元，自评覆盖率达到</w:t>
      </w:r>
      <w:r>
        <w:rPr>
          <w:rFonts w:ascii="仿宋_GB2312" w:eastAsia="仿宋_GB2312" w:cs="仿宋_GB2312"/>
          <w:bCs/>
          <w:kern w:val="0"/>
          <w:sz w:val="32"/>
          <w:szCs w:val="32"/>
        </w:rPr>
        <w:t>100%</w:t>
      </w:r>
      <w:r>
        <w:rPr>
          <w:rFonts w:hint="eastAsia" w:ascii="仿宋_GB2312" w:eastAsia="仿宋_GB2312" w:cs="仿宋_GB2312"/>
          <w:bCs/>
          <w:kern w:val="0"/>
          <w:sz w:val="32"/>
          <w:szCs w:val="32"/>
          <w:lang w:eastAsia="zh-CN"/>
        </w:rPr>
        <w:t>。</w:t>
      </w:r>
      <w:r>
        <w:rPr>
          <w:rFonts w:ascii="仿宋_GB2312" w:eastAsia="仿宋_GB2312" w:cs="仿宋_GB2312"/>
          <w:bCs/>
          <w:kern w:val="0"/>
          <w:sz w:val="32"/>
          <w:szCs w:val="32"/>
        </w:rPr>
        <w:t xml:space="preserve"> </w:t>
      </w:r>
    </w:p>
    <w:p>
      <w:pPr>
        <w:numPr>
          <w:ilvl w:val="0"/>
          <w:numId w:val="1"/>
        </w:numPr>
        <w:autoSpaceDE w:val="0"/>
        <w:autoSpaceDN w:val="0"/>
        <w:adjustRightInd w:val="0"/>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numPr>
          <w:ilvl w:val="0"/>
          <w:numId w:val="0"/>
        </w:num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项目支出绩效情况较理想，已达到项目申请时设定的各绩效目标。</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201</w:t>
      </w:r>
      <w:r>
        <w:rPr>
          <w:rFonts w:hint="eastAsia" w:ascii="仿宋_GB2312" w:eastAsia="仿宋_GB2312" w:cs="仿宋_GB2312"/>
          <w:kern w:val="0"/>
          <w:sz w:val="32"/>
          <w:szCs w:val="32"/>
        </w:rPr>
        <w:t>9年度部门机关运行经费支出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万元，比</w:t>
      </w:r>
      <w:r>
        <w:rPr>
          <w:rFonts w:ascii="仿宋_GB2312" w:eastAsia="仿宋_GB2312" w:cs="仿宋_GB2312"/>
          <w:kern w:val="0"/>
          <w:sz w:val="32"/>
          <w:szCs w:val="32"/>
        </w:rPr>
        <w:t xml:space="preserve"> 201</w:t>
      </w:r>
      <w:r>
        <w:rPr>
          <w:rFonts w:hint="eastAsia" w:ascii="仿宋_GB2312" w:eastAsia="仿宋_GB2312" w:cs="仿宋_GB2312"/>
          <w:kern w:val="0"/>
          <w:sz w:val="32"/>
          <w:szCs w:val="32"/>
        </w:rPr>
        <w:t>8年增加</w:t>
      </w:r>
      <w:r>
        <w:rPr>
          <w:rFonts w:ascii="仿宋_GB2312" w:eastAsia="仿宋_GB2312" w:cs="仿宋_GB2312"/>
          <w:kern w:val="0"/>
          <w:sz w:val="32"/>
          <w:szCs w:val="32"/>
        </w:rPr>
        <w:t xml:space="preserve"> 0</w:t>
      </w:r>
      <w:r>
        <w:rPr>
          <w:rFonts w:hint="eastAsia" w:ascii="仿宋_GB2312" w:eastAsia="仿宋_GB2312" w:cs="仿宋_GB2312"/>
          <w:kern w:val="0"/>
          <w:sz w:val="32"/>
          <w:szCs w:val="32"/>
        </w:rPr>
        <w:t>万元，增长</w:t>
      </w:r>
      <w:r>
        <w:rPr>
          <w:rFonts w:ascii="仿宋_GB2312" w:eastAsia="仿宋_GB2312" w:cs="仿宋_GB2312"/>
          <w:kern w:val="0"/>
          <w:sz w:val="32"/>
          <w:szCs w:val="32"/>
        </w:rPr>
        <w:t>0 %</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201</w:t>
      </w:r>
      <w:r>
        <w:rPr>
          <w:rFonts w:hint="eastAsia" w:ascii="仿宋_GB2312" w:eastAsia="仿宋_GB2312" w:cs="仿宋_GB2312"/>
          <w:kern w:val="0"/>
          <w:sz w:val="32"/>
          <w:szCs w:val="32"/>
        </w:rPr>
        <w:t>9年度部门政府采购支出总额</w:t>
      </w:r>
      <w:r>
        <w:rPr>
          <w:rFonts w:ascii="仿宋_GB2312" w:eastAsia="仿宋_GB2312" w:cs="仿宋_GB2312"/>
          <w:kern w:val="0"/>
          <w:sz w:val="32"/>
          <w:szCs w:val="32"/>
        </w:rPr>
        <w:t>0</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0</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0</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0</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 xml:space="preserve">0 </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 xml:space="preserve">0 </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40" w:lineRule="exact"/>
        <w:ind w:firstLine="627" w:firstLineChars="196"/>
        <w:jc w:val="left"/>
        <w:rPr>
          <w:rFonts w:ascii="仿宋_GB2312" w:eastAsia="仿宋_GB2312" w:cs="仿宋_GB2312"/>
          <w:kern w:val="0"/>
          <w:sz w:val="32"/>
          <w:szCs w:val="32"/>
        </w:rPr>
      </w:pPr>
    </w:p>
    <w:p>
      <w:pPr>
        <w:spacing w:line="540" w:lineRule="exact"/>
      </w:pPr>
    </w:p>
    <w:sectPr>
      <w:footerReference r:id="rId11"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- 18 -</w:t>
    </w:r>
    <w:r>
      <w:rPr>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rPr>
        <w:rFonts w:cs="Times New Roman"/>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5609A"/>
    <w:rsid w:val="004F4463"/>
    <w:rsid w:val="0052115C"/>
    <w:rsid w:val="00575312"/>
    <w:rsid w:val="0077443B"/>
    <w:rsid w:val="00842FD8"/>
    <w:rsid w:val="00916CCF"/>
    <w:rsid w:val="00B45B1E"/>
    <w:rsid w:val="00E03D57"/>
    <w:rsid w:val="00E42FB3"/>
    <w:rsid w:val="00FF0E58"/>
    <w:rsid w:val="037742AA"/>
    <w:rsid w:val="0D7E1B35"/>
    <w:rsid w:val="18316A8F"/>
    <w:rsid w:val="18B345C0"/>
    <w:rsid w:val="18BE0585"/>
    <w:rsid w:val="19467BC2"/>
    <w:rsid w:val="1BF37210"/>
    <w:rsid w:val="245C4FDE"/>
    <w:rsid w:val="26460DBA"/>
    <w:rsid w:val="2C4219FE"/>
    <w:rsid w:val="39A63F06"/>
    <w:rsid w:val="3AA16DBE"/>
    <w:rsid w:val="3D012F06"/>
    <w:rsid w:val="3D5E0B59"/>
    <w:rsid w:val="3ED1439F"/>
    <w:rsid w:val="450B2064"/>
    <w:rsid w:val="480666CB"/>
    <w:rsid w:val="494909DB"/>
    <w:rsid w:val="4C256E3D"/>
    <w:rsid w:val="4CB52F0F"/>
    <w:rsid w:val="532F1F9A"/>
    <w:rsid w:val="553A4B58"/>
    <w:rsid w:val="62163194"/>
    <w:rsid w:val="646B02CC"/>
    <w:rsid w:val="6B0253EA"/>
    <w:rsid w:val="712F6C44"/>
    <w:rsid w:val="7C0839CA"/>
    <w:rsid w:val="7FC8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locked/>
    <w:uiPriority w:val="99"/>
    <w:rPr>
      <w:kern w:val="2"/>
      <w:sz w:val="18"/>
      <w:szCs w:val="18"/>
    </w:rPr>
  </w:style>
  <w:style w:type="character" w:customStyle="1" w:styleId="8">
    <w:name w:val="页脚 Char"/>
    <w:basedOn w:val="5"/>
    <w:link w:val="2"/>
    <w:qFormat/>
    <w:locked/>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1324</Words>
  <Characters>7550</Characters>
  <Lines>62</Lines>
  <Paragraphs>17</Paragraphs>
  <TotalTime>0</TotalTime>
  <ScaleCrop>false</ScaleCrop>
  <LinksUpToDate>false</LinksUpToDate>
  <CharactersWithSpaces>8857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2020-08-25T07:26:05Z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