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鱼峰区雒容镇中心卫生院</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柳州市鱼峰区雒容镇中心卫生院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柳州市鱼峰区雒容镇中心卫生院</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柳州市鱼峰区雒容镇中心卫生院</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柳州市鱼峰区雒容镇中心卫生院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autoSpaceDE w:val="0"/>
        <w:autoSpaceDN w:val="0"/>
        <w:adjustRightInd w:val="0"/>
        <w:ind w:firstLine="640" w:firstLineChars="200"/>
        <w:jc w:val="left"/>
        <w:rPr>
          <w:rFonts w:eastAsia="仿宋_GB2312"/>
          <w:kern w:val="0"/>
          <w:sz w:val="32"/>
          <w:szCs w:val="32"/>
        </w:rPr>
      </w:pPr>
      <w:r>
        <w:rPr>
          <w:rFonts w:hint="eastAsia" w:eastAsia="仿宋_GB2312"/>
          <w:kern w:val="0"/>
          <w:sz w:val="32"/>
          <w:szCs w:val="32"/>
        </w:rPr>
        <w:t>（一）负责本院辖区内的基本医疗服务；</w:t>
      </w:r>
    </w:p>
    <w:p>
      <w:pPr>
        <w:autoSpaceDE w:val="0"/>
        <w:autoSpaceDN w:val="0"/>
        <w:adjustRightInd w:val="0"/>
        <w:ind w:firstLine="640" w:firstLineChars="200"/>
        <w:jc w:val="left"/>
        <w:rPr>
          <w:rFonts w:eastAsia="仿宋_GB2312"/>
          <w:kern w:val="0"/>
          <w:sz w:val="32"/>
          <w:szCs w:val="32"/>
        </w:rPr>
      </w:pPr>
      <w:r>
        <w:rPr>
          <w:rFonts w:hint="eastAsia" w:eastAsia="仿宋_GB2312"/>
          <w:kern w:val="0"/>
          <w:sz w:val="32"/>
          <w:szCs w:val="32"/>
        </w:rPr>
        <w:t>（二）负责本院辖区内贫困人员医疗救助（一站式结算）工作；</w:t>
      </w:r>
    </w:p>
    <w:p>
      <w:pPr>
        <w:autoSpaceDE w:val="0"/>
        <w:autoSpaceDN w:val="0"/>
        <w:adjustRightInd w:val="0"/>
        <w:ind w:firstLine="640" w:firstLineChars="200"/>
        <w:jc w:val="left"/>
        <w:rPr>
          <w:rFonts w:eastAsia="仿宋_GB2312"/>
          <w:kern w:val="0"/>
          <w:sz w:val="32"/>
          <w:szCs w:val="32"/>
        </w:rPr>
      </w:pPr>
      <w:r>
        <w:rPr>
          <w:rFonts w:hint="eastAsia" w:eastAsia="仿宋_GB2312"/>
          <w:kern w:val="0"/>
          <w:sz w:val="32"/>
          <w:szCs w:val="32"/>
        </w:rPr>
        <w:t>（三）负责本院辖区内的老年人健康管理；</w:t>
      </w:r>
    </w:p>
    <w:p>
      <w:pPr>
        <w:autoSpaceDE w:val="0"/>
        <w:autoSpaceDN w:val="0"/>
        <w:adjustRightInd w:val="0"/>
        <w:ind w:firstLine="640" w:firstLineChars="200"/>
        <w:jc w:val="left"/>
        <w:rPr>
          <w:rFonts w:eastAsia="仿宋_GB2312"/>
          <w:kern w:val="0"/>
          <w:sz w:val="32"/>
          <w:szCs w:val="32"/>
        </w:rPr>
      </w:pPr>
      <w:r>
        <w:rPr>
          <w:rFonts w:hint="eastAsia" w:eastAsia="仿宋_GB2312"/>
          <w:kern w:val="0"/>
          <w:sz w:val="32"/>
          <w:szCs w:val="32"/>
        </w:rPr>
        <w:t>（四）负责本院辖区内突发公共卫生事件的报告，并依据上级部门要求组织实施处置；</w:t>
      </w:r>
    </w:p>
    <w:p>
      <w:pPr>
        <w:autoSpaceDE w:val="0"/>
        <w:autoSpaceDN w:val="0"/>
        <w:adjustRightInd w:val="0"/>
        <w:ind w:firstLine="640" w:firstLineChars="200"/>
        <w:jc w:val="left"/>
        <w:rPr>
          <w:rFonts w:eastAsia="仿宋_GB2312"/>
          <w:kern w:val="0"/>
          <w:sz w:val="32"/>
          <w:szCs w:val="32"/>
        </w:rPr>
      </w:pPr>
      <w:r>
        <w:rPr>
          <w:rFonts w:hint="eastAsia" w:eastAsia="仿宋_GB2312"/>
          <w:kern w:val="0"/>
          <w:sz w:val="32"/>
          <w:szCs w:val="32"/>
        </w:rPr>
        <w:t>（五）认真执行儿童保健、儿童计划免疫，积极开展</w:t>
      </w:r>
      <w:r>
        <w:fldChar w:fldCharType="begin"/>
      </w:r>
      <w:r>
        <w:instrText xml:space="preserve"> HYPERLINK "http://www.so.com/s?q=%E6%85%A2%E6%80%A7%E9%9D%9E%E4%BC%A0%E6%9F%93%E6%80%A7%E7%96%BE%E7%97%85&amp;ie=utf-8&amp;src=wenda_link" \t "http://wenda.so.com/q/_blank" </w:instrText>
      </w:r>
      <w:r>
        <w:fldChar w:fldCharType="separate"/>
      </w:r>
      <w:r>
        <w:rPr>
          <w:rFonts w:hint="eastAsia" w:eastAsia="仿宋_GB2312"/>
          <w:kern w:val="0"/>
          <w:sz w:val="32"/>
          <w:szCs w:val="32"/>
        </w:rPr>
        <w:t>慢性非传染性疾病</w:t>
      </w:r>
      <w:r>
        <w:rPr>
          <w:rFonts w:hint="eastAsia" w:eastAsia="仿宋_GB2312"/>
          <w:kern w:val="0"/>
          <w:sz w:val="32"/>
          <w:szCs w:val="32"/>
        </w:rPr>
        <w:fldChar w:fldCharType="end"/>
      </w:r>
      <w:r>
        <w:rPr>
          <w:rFonts w:hint="eastAsia" w:eastAsia="仿宋_GB2312"/>
          <w:kern w:val="0"/>
          <w:sz w:val="32"/>
          <w:szCs w:val="32"/>
        </w:rPr>
        <w:t>的防治工作；</w:t>
      </w:r>
    </w:p>
    <w:p>
      <w:pPr>
        <w:autoSpaceDE w:val="0"/>
        <w:autoSpaceDN w:val="0"/>
        <w:adjustRightInd w:val="0"/>
        <w:ind w:firstLine="640" w:firstLineChars="200"/>
        <w:jc w:val="left"/>
        <w:rPr>
          <w:rFonts w:eastAsia="仿宋_GB2312"/>
          <w:kern w:val="0"/>
          <w:sz w:val="32"/>
          <w:szCs w:val="32"/>
        </w:rPr>
      </w:pPr>
      <w:r>
        <w:rPr>
          <w:rFonts w:hint="eastAsia" w:eastAsia="仿宋_GB2312"/>
          <w:kern w:val="0"/>
          <w:sz w:val="32"/>
          <w:szCs w:val="32"/>
        </w:rPr>
        <w:t>（六）做好农村孕产妇和儿童保健工作，提高住院分娩率，改善儿童营养状况；</w:t>
      </w:r>
      <w:r>
        <w:rPr>
          <w:rFonts w:hint="eastAsia" w:eastAsia="仿宋_GB2312"/>
          <w:kern w:val="0"/>
          <w:sz w:val="32"/>
          <w:szCs w:val="32"/>
        </w:rPr>
        <w:br w:type="textWrapping"/>
      </w:r>
      <w:r>
        <w:rPr>
          <w:rFonts w:hint="eastAsia" w:eastAsia="仿宋_GB2312"/>
          <w:kern w:val="0"/>
          <w:sz w:val="32"/>
          <w:szCs w:val="32"/>
        </w:rPr>
        <w:t xml:space="preserve">    （七）积极做好</w:t>
      </w:r>
      <w:r>
        <w:fldChar w:fldCharType="begin"/>
      </w:r>
      <w:r>
        <w:instrText xml:space="preserve"> HYPERLINK "http://www.so.com/s?q=%E6%96%B0%E5%9E%8B%E5%86%9C%E6%9D%91%E5%90%88%E4%BD%9C%E5%8C%BB%E7%96%97&amp;ie=utf-8&amp;src=wenda_link" \t "http://wenda.so.com/q/_blank" </w:instrText>
      </w:r>
      <w:r>
        <w:fldChar w:fldCharType="separate"/>
      </w:r>
      <w:r>
        <w:rPr>
          <w:rFonts w:hint="eastAsia" w:eastAsia="仿宋_GB2312"/>
          <w:kern w:val="0"/>
          <w:sz w:val="32"/>
          <w:szCs w:val="32"/>
        </w:rPr>
        <w:t>城乡居民医疗</w:t>
      </w:r>
      <w:r>
        <w:rPr>
          <w:rFonts w:hint="eastAsia" w:eastAsia="仿宋_GB2312"/>
          <w:kern w:val="0"/>
          <w:sz w:val="32"/>
          <w:szCs w:val="32"/>
        </w:rPr>
        <w:fldChar w:fldCharType="end"/>
      </w:r>
      <w:r>
        <w:rPr>
          <w:rFonts w:hint="eastAsia" w:eastAsia="仿宋_GB2312"/>
          <w:kern w:val="0"/>
          <w:sz w:val="32"/>
          <w:szCs w:val="32"/>
        </w:rPr>
        <w:t>保险的服务、计划生育技术指导、康复等工作；</w:t>
      </w:r>
      <w:r>
        <w:rPr>
          <w:rFonts w:hint="eastAsia" w:eastAsia="仿宋_GB2312"/>
          <w:kern w:val="0"/>
          <w:sz w:val="32"/>
          <w:szCs w:val="32"/>
        </w:rPr>
        <w:br w:type="textWrapping"/>
      </w:r>
      <w:r>
        <w:rPr>
          <w:rFonts w:hint="eastAsia" w:eastAsia="仿宋_GB2312"/>
          <w:kern w:val="0"/>
          <w:sz w:val="32"/>
          <w:szCs w:val="32"/>
        </w:rPr>
        <w:t xml:space="preserve">    （八）负责本院辖区内的卫生信息统计、分析、上报；</w:t>
      </w:r>
    </w:p>
    <w:p>
      <w:pPr>
        <w:autoSpaceDE w:val="0"/>
        <w:autoSpaceDN w:val="0"/>
        <w:adjustRightInd w:val="0"/>
        <w:ind w:firstLine="640" w:firstLineChars="200"/>
        <w:jc w:val="left"/>
        <w:rPr>
          <w:rFonts w:eastAsia="仿宋_GB2312"/>
          <w:kern w:val="0"/>
          <w:sz w:val="32"/>
          <w:szCs w:val="32"/>
        </w:rPr>
      </w:pPr>
      <w:r>
        <w:rPr>
          <w:rFonts w:hint="eastAsia" w:eastAsia="仿宋_GB2312"/>
          <w:kern w:val="0"/>
          <w:sz w:val="32"/>
          <w:szCs w:val="32"/>
        </w:rPr>
        <w:t>（九）负责对本院辖区内村级卫生组织和乡村医生的业务指导和培训；</w:t>
      </w:r>
    </w:p>
    <w:p>
      <w:pPr>
        <w:autoSpaceDE w:val="0"/>
        <w:autoSpaceDN w:val="0"/>
        <w:adjustRightInd w:val="0"/>
        <w:ind w:firstLine="640" w:firstLineChars="200"/>
        <w:jc w:val="left"/>
        <w:rPr>
          <w:rFonts w:eastAsia="仿宋_GB2312"/>
          <w:kern w:val="0"/>
          <w:sz w:val="32"/>
          <w:szCs w:val="32"/>
        </w:rPr>
      </w:pPr>
      <w:r>
        <w:rPr>
          <w:rFonts w:hint="eastAsia" w:eastAsia="仿宋_GB2312"/>
          <w:kern w:val="0"/>
          <w:sz w:val="32"/>
          <w:szCs w:val="32"/>
        </w:rPr>
        <w:t>（十）负责承办政府卫生行政部门委托的相关业务或事项；负责上级卫生行政部门下达的</w:t>
      </w:r>
      <w:r>
        <w:fldChar w:fldCharType="begin"/>
      </w:r>
      <w:r>
        <w:instrText xml:space="preserve"> HYPERLINK "http://www.oh100.com/qita/" \t "http://www.oh100.com/a/201208/_blank" </w:instrText>
      </w:r>
      <w:r>
        <w:fldChar w:fldCharType="separate"/>
      </w:r>
      <w:r>
        <w:rPr>
          <w:rFonts w:hint="eastAsia" w:eastAsia="仿宋_GB2312"/>
          <w:kern w:val="0"/>
          <w:sz w:val="32"/>
          <w:szCs w:val="32"/>
        </w:rPr>
        <w:t>其他</w:t>
      </w:r>
      <w:r>
        <w:rPr>
          <w:rFonts w:hint="eastAsia" w:eastAsia="仿宋_GB2312"/>
          <w:kern w:val="0"/>
          <w:sz w:val="32"/>
          <w:szCs w:val="32"/>
        </w:rPr>
        <w:fldChar w:fldCharType="end"/>
      </w:r>
      <w:r>
        <w:rPr>
          <w:rFonts w:hint="eastAsia" w:eastAsia="仿宋_GB2312"/>
          <w:kern w:val="0"/>
          <w:sz w:val="32"/>
          <w:szCs w:val="32"/>
        </w:rPr>
        <w:t>工作。</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sz w:val="32"/>
          <w:szCs w:val="32"/>
        </w:rPr>
      </w:pPr>
      <w:r>
        <w:rPr>
          <w:rFonts w:hint="eastAsia" w:ascii="仿宋_GB2312" w:eastAsia="仿宋_GB2312"/>
          <w:sz w:val="32"/>
          <w:szCs w:val="32"/>
        </w:rPr>
        <w:t>本单位为独立核算法人单位。属</w:t>
      </w:r>
      <w:r>
        <w:rPr>
          <w:rFonts w:hint="eastAsia" w:eastAsia="仿宋_GB2312"/>
          <w:kern w:val="0"/>
          <w:sz w:val="32"/>
          <w:szCs w:val="32"/>
        </w:rPr>
        <w:t>非营利性医疗机构，为财政差额拨款事业单位。上级主管部门为柳东新区社会事务局，内设院办、医务科、财务科、后勤科、内科、外科、妇产科、儿科、中医科、皮肤科、口腔科、公共卫生科、慢病体检科、预防保健科、儿保科、检验科、影像科等职能科室，每个科室设置主任负责管理具体业务。</w:t>
      </w:r>
    </w:p>
    <w:p>
      <w:pPr>
        <w:rPr>
          <w:rFonts w:ascii="仿宋_GB2312" w:eastAsia="仿宋_GB2312"/>
          <w:sz w:val="32"/>
          <w:szCs w:val="32"/>
        </w:rPr>
      </w:pPr>
    </w:p>
    <w:p>
      <w:pPr>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柳州市鱼峰区雒容镇中心卫生院</w:t>
      </w:r>
      <w:r>
        <w:rPr>
          <w:rFonts w:hint="eastAsia" w:ascii="仿宋_GB2312" w:eastAsia="仿宋_GB2312"/>
          <w:b/>
          <w:sz w:val="32"/>
          <w:szCs w:val="32"/>
        </w:rPr>
        <w:t>2019年部门决算报表</w:t>
      </w:r>
    </w:p>
    <w:p>
      <w:pPr>
        <w:jc w:val="center"/>
      </w:pPr>
    </w:p>
    <w:p/>
    <w:tbl>
      <w:tblPr>
        <w:tblStyle w:val="4"/>
        <w:tblW w:w="8720" w:type="dxa"/>
        <w:jc w:val="center"/>
        <w:tblInd w:w="0" w:type="dxa"/>
        <w:tblLayout w:type="fixed"/>
        <w:tblCellMar>
          <w:top w:w="0" w:type="dxa"/>
          <w:left w:w="108" w:type="dxa"/>
          <w:bottom w:w="0" w:type="dxa"/>
          <w:right w:w="108" w:type="dxa"/>
        </w:tblCellMar>
      </w:tblPr>
      <w:tblGrid>
        <w:gridCol w:w="2895"/>
        <w:gridCol w:w="1693"/>
        <w:gridCol w:w="2126"/>
        <w:gridCol w:w="1941"/>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4588"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13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200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769.53</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75.66</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4345</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21.27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76.67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4046.84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69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5266.87</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4068.11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1216.63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92.93</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75.06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69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5359.80</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2006"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5359.80</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Ind w:w="0" w:type="dxa"/>
        <w:tblLayout w:type="fixed"/>
        <w:tblCellMar>
          <w:top w:w="0" w:type="dxa"/>
          <w:left w:w="108" w:type="dxa"/>
          <w:bottom w:w="0" w:type="dxa"/>
          <w:right w:w="108" w:type="dxa"/>
        </w:tblCellMar>
      </w:tblPr>
      <w:tblGrid>
        <w:gridCol w:w="960"/>
        <w:gridCol w:w="2533"/>
        <w:gridCol w:w="1407"/>
        <w:gridCol w:w="1540"/>
        <w:gridCol w:w="1540"/>
        <w:gridCol w:w="1540"/>
        <w:gridCol w:w="1540"/>
        <w:gridCol w:w="1540"/>
        <w:gridCol w:w="1540"/>
      </w:tblGrid>
      <w:tr>
        <w:tblPrEx>
          <w:tblLayout w:type="fixed"/>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4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53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4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40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07" w:type="dxa"/>
            <w:tcBorders>
              <w:top w:val="nil"/>
              <w:left w:val="nil"/>
              <w:bottom w:val="single" w:color="auto" w:sz="4" w:space="0"/>
              <w:right w:val="single" w:color="auto" w:sz="4" w:space="0"/>
            </w:tcBorders>
          </w:tcPr>
          <w:p>
            <w:pPr>
              <w:widowControl/>
              <w:rPr>
                <w:rFonts w:ascii="宋体" w:hAnsi="宋体" w:cs="Arial"/>
                <w:color w:val="000000"/>
                <w:kern w:val="0"/>
                <w:szCs w:val="21"/>
              </w:rPr>
            </w:pPr>
            <w:r>
              <w:rPr>
                <w:rFonts w:hint="eastAsia" w:ascii="宋体" w:hAnsi="宋体" w:cs="Arial"/>
                <w:color w:val="000000"/>
                <w:kern w:val="0"/>
                <w:szCs w:val="21"/>
              </w:rPr>
              <w:t>5266.87</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Cs w:val="21"/>
              </w:rPr>
            </w:pPr>
            <w:r>
              <w:rPr>
                <w:rFonts w:hint="eastAsia" w:ascii="宋体" w:hAnsi="宋体" w:cs="Arial"/>
                <w:color w:val="000000"/>
                <w:kern w:val="0"/>
                <w:szCs w:val="21"/>
              </w:rPr>
              <w:t>769.53</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75.66</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Cs w:val="21"/>
              </w:rPr>
            </w:pPr>
            <w:r>
              <w:rPr>
                <w:rFonts w:hint="eastAsia" w:ascii="宋体" w:hAnsi="宋体" w:cs="Arial"/>
                <w:color w:val="000000"/>
                <w:kern w:val="0"/>
                <w:szCs w:val="21"/>
              </w:rPr>
              <w:t>4345.00</w:t>
            </w:r>
          </w:p>
        </w:tc>
        <w:tc>
          <w:tcPr>
            <w:tcW w:w="1540" w:type="dxa"/>
            <w:tcBorders>
              <w:top w:val="nil"/>
              <w:left w:val="nil"/>
              <w:bottom w:val="single" w:color="auto" w:sz="4" w:space="0"/>
              <w:right w:val="single" w:color="auto" w:sz="4" w:space="0"/>
            </w:tcBorders>
          </w:tcPr>
          <w:p>
            <w:pPr>
              <w:widowControl/>
              <w:ind w:firstLine="420" w:firstLineChars="2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Cs w:val="21"/>
              </w:rPr>
            </w:pPr>
            <w:r>
              <w:rPr>
                <w:rFonts w:hint="eastAsia" w:ascii="宋体" w:hAnsi="宋体" w:cs="Arial"/>
                <w:color w:val="000000"/>
                <w:kern w:val="0"/>
                <w:szCs w:val="21"/>
              </w:rPr>
              <w:t>76.68</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53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407"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21.27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21.27　</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840" w:firstLineChars="4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1050" w:firstLineChars="500"/>
              <w:jc w:val="center"/>
              <w:rPr>
                <w:rFonts w:ascii="宋体" w:hAnsi="宋体" w:cs="Arial"/>
                <w:color w:val="000000"/>
                <w:kern w:val="0"/>
                <w:szCs w:val="21"/>
              </w:rPr>
            </w:pPr>
            <w:r>
              <w:rPr>
                <w:rFonts w:hint="eastAsia" w:ascii="宋体" w:hAnsi="宋体" w:cs="Arial"/>
                <w:color w:val="000000"/>
                <w:kern w:val="0"/>
                <w:szCs w:val="21"/>
              </w:rPr>
              <w:t>0</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20805</w:t>
            </w:r>
          </w:p>
        </w:tc>
        <w:tc>
          <w:tcPr>
            <w:tcW w:w="253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行政事业单位离退休费</w:t>
            </w:r>
          </w:p>
        </w:tc>
        <w:tc>
          <w:tcPr>
            <w:tcW w:w="1407"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21.27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21.27</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840" w:firstLineChars="4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1050" w:firstLineChars="500"/>
              <w:jc w:val="center"/>
              <w:rPr>
                <w:rFonts w:ascii="宋体" w:hAnsi="宋体" w:cs="Arial"/>
                <w:color w:val="000000"/>
                <w:kern w:val="0"/>
                <w:szCs w:val="21"/>
              </w:rPr>
            </w:pPr>
            <w:r>
              <w:rPr>
                <w:rFonts w:hint="eastAsia" w:ascii="宋体" w:hAnsi="宋体" w:cs="Arial"/>
                <w:color w:val="000000"/>
                <w:kern w:val="0"/>
                <w:szCs w:val="21"/>
              </w:rPr>
              <w:t>0</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2080502 </w:t>
            </w:r>
          </w:p>
        </w:tc>
        <w:tc>
          <w:tcPr>
            <w:tcW w:w="253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事业单位退休费　</w:t>
            </w:r>
          </w:p>
        </w:tc>
        <w:tc>
          <w:tcPr>
            <w:tcW w:w="1407"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21.27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21.27</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840" w:firstLineChars="4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1050" w:firstLineChars="500"/>
              <w:jc w:val="center"/>
              <w:rPr>
                <w:rFonts w:ascii="宋体" w:hAnsi="宋体" w:cs="Arial"/>
                <w:color w:val="000000"/>
                <w:kern w:val="0"/>
                <w:szCs w:val="21"/>
              </w:rPr>
            </w:pPr>
            <w:r>
              <w:rPr>
                <w:rFonts w:hint="eastAsia" w:ascii="宋体" w:hAnsi="宋体" w:cs="Arial"/>
                <w:color w:val="000000"/>
                <w:kern w:val="0"/>
                <w:szCs w:val="21"/>
              </w:rPr>
              <w:t>0</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w:t>
            </w:r>
          </w:p>
        </w:tc>
        <w:tc>
          <w:tcPr>
            <w:tcW w:w="253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卫生健康支出</w:t>
            </w:r>
          </w:p>
        </w:tc>
        <w:tc>
          <w:tcPr>
            <w:tcW w:w="1407"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5245.60</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748.26</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75.66</w:t>
            </w:r>
          </w:p>
        </w:tc>
        <w:tc>
          <w:tcPr>
            <w:tcW w:w="1540" w:type="dxa"/>
            <w:tcBorders>
              <w:top w:val="nil"/>
              <w:left w:val="nil"/>
              <w:bottom w:val="single" w:color="auto" w:sz="4" w:space="0"/>
              <w:right w:val="single" w:color="auto" w:sz="4" w:space="0"/>
            </w:tcBorders>
          </w:tcPr>
          <w:p>
            <w:pPr>
              <w:widowControl/>
              <w:rPr>
                <w:rFonts w:ascii="宋体" w:hAnsi="宋体" w:cs="Arial"/>
                <w:color w:val="000000"/>
                <w:kern w:val="0"/>
                <w:szCs w:val="21"/>
              </w:rPr>
            </w:pPr>
            <w:r>
              <w:rPr>
                <w:rFonts w:hint="eastAsia" w:ascii="宋体" w:hAnsi="宋体" w:cs="Arial"/>
                <w:color w:val="000000"/>
                <w:kern w:val="0"/>
                <w:szCs w:val="21"/>
              </w:rPr>
              <w:t>4345.00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76.68</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21003</w:t>
            </w:r>
          </w:p>
        </w:tc>
        <w:tc>
          <w:tcPr>
            <w:tcW w:w="2533"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基层医疗卫生机构</w:t>
            </w:r>
          </w:p>
        </w:tc>
        <w:tc>
          <w:tcPr>
            <w:tcW w:w="1407"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4921.08</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442.57</w:t>
            </w:r>
          </w:p>
        </w:tc>
        <w:tc>
          <w:tcPr>
            <w:tcW w:w="1540" w:type="dxa"/>
            <w:tcBorders>
              <w:top w:val="nil"/>
              <w:left w:val="nil"/>
              <w:bottom w:val="single" w:color="auto" w:sz="4" w:space="0"/>
              <w:right w:val="single" w:color="auto" w:sz="4" w:space="0"/>
            </w:tcBorders>
          </w:tcPr>
          <w:p>
            <w:pPr>
              <w:widowControl/>
              <w:ind w:firstLine="105" w:firstLineChars="50"/>
              <w:jc w:val="center"/>
              <w:rPr>
                <w:rFonts w:ascii="宋体" w:hAnsi="宋体" w:cs="Arial"/>
                <w:color w:val="000000"/>
                <w:kern w:val="0"/>
                <w:szCs w:val="21"/>
              </w:rPr>
            </w:pPr>
            <w:r>
              <w:rPr>
                <w:rFonts w:hint="eastAsia" w:ascii="宋体" w:hAnsi="宋体" w:cs="Arial"/>
                <w:color w:val="000000"/>
                <w:kern w:val="0"/>
                <w:szCs w:val="21"/>
              </w:rPr>
              <w:t>56.83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4345.000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76.68</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2100302</w:t>
            </w:r>
          </w:p>
        </w:tc>
        <w:tc>
          <w:tcPr>
            <w:tcW w:w="253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乡镇卫生院　</w:t>
            </w:r>
          </w:p>
        </w:tc>
        <w:tc>
          <w:tcPr>
            <w:tcW w:w="1407"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4921.08</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442.57</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56.83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4345.00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76.68</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21004</w:t>
            </w:r>
          </w:p>
        </w:tc>
        <w:tc>
          <w:tcPr>
            <w:tcW w:w="253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公共卫生</w:t>
            </w:r>
          </w:p>
        </w:tc>
        <w:tc>
          <w:tcPr>
            <w:tcW w:w="1407"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324.52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305.69</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18.83</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2100408</w:t>
            </w:r>
          </w:p>
        </w:tc>
        <w:tc>
          <w:tcPr>
            <w:tcW w:w="2533"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基本公共卫生服务</w:t>
            </w:r>
          </w:p>
        </w:tc>
        <w:tc>
          <w:tcPr>
            <w:tcW w:w="1407"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324.52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305.69</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18.83</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c>
          <w:tcPr>
            <w:tcW w:w="1540" w:type="dxa"/>
            <w:tcBorders>
              <w:top w:val="nil"/>
              <w:left w:val="nil"/>
              <w:bottom w:val="single" w:color="auto" w:sz="4" w:space="0"/>
              <w:right w:val="single" w:color="auto" w:sz="4" w:space="0"/>
            </w:tcBorders>
          </w:tcPr>
          <w:p>
            <w:pPr>
              <w:widowControl/>
              <w:ind w:firstLine="210" w:firstLineChars="100"/>
              <w:jc w:val="center"/>
              <w:rPr>
                <w:rFonts w:ascii="宋体" w:hAnsi="宋体" w:cs="Arial"/>
                <w:color w:val="000000"/>
                <w:kern w:val="0"/>
                <w:szCs w:val="21"/>
              </w:rPr>
            </w:pPr>
            <w:r>
              <w:rPr>
                <w:rFonts w:hint="eastAsia" w:ascii="宋体" w:hAnsi="宋体" w:cs="Arial"/>
                <w:color w:val="000000"/>
                <w:kern w:val="0"/>
                <w:szCs w:val="21"/>
              </w:rPr>
              <w:t>0</w:t>
            </w:r>
          </w:p>
        </w:tc>
      </w:tr>
    </w:tbl>
    <w:p/>
    <w:p>
      <w:r>
        <w:rPr>
          <w:rFonts w:hint="eastAsia"/>
        </w:rPr>
        <w:t>注：本表反映部门本年度取得的各项收入情况。</w:t>
      </w:r>
    </w:p>
    <w:p/>
    <w:p/>
    <w:p>
      <w:pPr>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Ind w:w="0" w:type="dxa"/>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836"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4068.10</w:t>
            </w: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1494.10　</w:t>
            </w:r>
          </w:p>
        </w:tc>
        <w:tc>
          <w:tcPr>
            <w:tcW w:w="1701"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2574.00</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0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98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21.27</w:t>
            </w:r>
          </w:p>
        </w:tc>
        <w:tc>
          <w:tcPr>
            <w:tcW w:w="184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21.27</w:t>
            </w:r>
          </w:p>
        </w:tc>
        <w:tc>
          <w:tcPr>
            <w:tcW w:w="1701"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0</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20805</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行政事业单位离退休费</w:t>
            </w:r>
          </w:p>
        </w:tc>
        <w:tc>
          <w:tcPr>
            <w:tcW w:w="198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21.27</w:t>
            </w:r>
          </w:p>
        </w:tc>
        <w:tc>
          <w:tcPr>
            <w:tcW w:w="184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21.27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2080502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事业单位退休费　</w:t>
            </w:r>
          </w:p>
        </w:tc>
        <w:tc>
          <w:tcPr>
            <w:tcW w:w="198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21.27</w:t>
            </w:r>
          </w:p>
        </w:tc>
        <w:tc>
          <w:tcPr>
            <w:tcW w:w="184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21.27　</w:t>
            </w:r>
          </w:p>
        </w:tc>
        <w:tc>
          <w:tcPr>
            <w:tcW w:w="1701"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卫生健康支出</w:t>
            </w:r>
          </w:p>
        </w:tc>
        <w:tc>
          <w:tcPr>
            <w:tcW w:w="198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4046.83</w:t>
            </w:r>
          </w:p>
        </w:tc>
        <w:tc>
          <w:tcPr>
            <w:tcW w:w="184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1472.84</w:t>
            </w:r>
          </w:p>
        </w:tc>
        <w:tc>
          <w:tcPr>
            <w:tcW w:w="1701"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2574.00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21003</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基层医疗卫生机构</w:t>
            </w:r>
          </w:p>
        </w:tc>
        <w:tc>
          <w:tcPr>
            <w:tcW w:w="198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3722.31</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1472.83</w:t>
            </w:r>
          </w:p>
        </w:tc>
        <w:tc>
          <w:tcPr>
            <w:tcW w:w="1701"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2249.48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2100302</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乡镇卫生院　</w:t>
            </w:r>
          </w:p>
        </w:tc>
        <w:tc>
          <w:tcPr>
            <w:tcW w:w="198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3722.31</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1472.83</w:t>
            </w:r>
          </w:p>
        </w:tc>
        <w:tc>
          <w:tcPr>
            <w:tcW w:w="1701"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2249.48</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21004</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公共卫生</w:t>
            </w:r>
          </w:p>
        </w:tc>
        <w:tc>
          <w:tcPr>
            <w:tcW w:w="198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324.52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701"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324.52</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2100408</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基本公共卫生服务</w:t>
            </w:r>
          </w:p>
        </w:tc>
        <w:tc>
          <w:tcPr>
            <w:tcW w:w="198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324.52</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701"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324.52</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0</w:t>
            </w:r>
          </w:p>
        </w:tc>
      </w:tr>
    </w:tbl>
    <w:p>
      <w:r>
        <w:rPr>
          <w:rFonts w:hint="eastAsia"/>
        </w:rPr>
        <w:t>注：本表反映部门本年度各项支出情况</w:t>
      </w:r>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ind w:firstLine="2200" w:firstLineChars="1000"/>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077"/>
        <w:gridCol w:w="567"/>
        <w:gridCol w:w="1336"/>
        <w:gridCol w:w="3372"/>
        <w:gridCol w:w="681"/>
        <w:gridCol w:w="1415"/>
        <w:gridCol w:w="1560"/>
        <w:gridCol w:w="757"/>
      </w:tblGrid>
      <w:tr>
        <w:tblPrEx>
          <w:tblLayout w:type="fixed"/>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1287" w:hRule="atLeast"/>
        </w:trPr>
        <w:tc>
          <w:tcPr>
            <w:tcW w:w="407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3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75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5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3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769.53</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41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75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3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41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75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415"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75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415"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75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415"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75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41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21.27</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21.27</w:t>
            </w:r>
          </w:p>
        </w:tc>
        <w:tc>
          <w:tcPr>
            <w:tcW w:w="75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41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746.64　</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746.64</w:t>
            </w:r>
          </w:p>
        </w:tc>
        <w:tc>
          <w:tcPr>
            <w:tcW w:w="75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415"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75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415"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75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415"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75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33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769.53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767.91</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33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1.62</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33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33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33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336"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769.53</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769.53</w:t>
            </w:r>
          </w:p>
        </w:tc>
      </w:tr>
    </w:tbl>
    <w:p>
      <w:r>
        <w:rPr>
          <w:rFonts w:hint="eastAsia"/>
        </w:rPr>
        <w:t>注：本表反映部门本年度一般公共预算财政拨款和政府性基金预算财政拨款的总收支和年末结转结余情况。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Ind w:w="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4068.11</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1494.11</w:t>
            </w:r>
          </w:p>
        </w:tc>
        <w:tc>
          <w:tcPr>
            <w:tcW w:w="339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2574.00</w:t>
            </w: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0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21.27</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21.27</w:t>
            </w:r>
          </w:p>
        </w:tc>
        <w:tc>
          <w:tcPr>
            <w:tcW w:w="339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20805</w:t>
            </w:r>
          </w:p>
        </w:tc>
        <w:tc>
          <w:tcPr>
            <w:tcW w:w="30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行政事业单位离退休费</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21.27</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21.27</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2080502 </w:t>
            </w:r>
          </w:p>
        </w:tc>
        <w:tc>
          <w:tcPr>
            <w:tcW w:w="30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事业单位退休费　</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21.27</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21.27</w:t>
            </w:r>
          </w:p>
        </w:tc>
        <w:tc>
          <w:tcPr>
            <w:tcW w:w="339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w:t>
            </w:r>
          </w:p>
        </w:tc>
        <w:tc>
          <w:tcPr>
            <w:tcW w:w="30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卫生健康支出</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4046.84</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1472.84</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2574.00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21003</w:t>
            </w:r>
          </w:p>
        </w:tc>
        <w:tc>
          <w:tcPr>
            <w:tcW w:w="30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基层医疗卫生机构</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3722.32</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1472.84</w:t>
            </w:r>
          </w:p>
        </w:tc>
        <w:tc>
          <w:tcPr>
            <w:tcW w:w="339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2249.48</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2100302</w:t>
            </w:r>
          </w:p>
        </w:tc>
        <w:tc>
          <w:tcPr>
            <w:tcW w:w="30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乡镇卫生院　</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3722.32</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1472.84</w:t>
            </w:r>
          </w:p>
        </w:tc>
        <w:tc>
          <w:tcPr>
            <w:tcW w:w="339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2249.48</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21004</w:t>
            </w:r>
          </w:p>
        </w:tc>
        <w:tc>
          <w:tcPr>
            <w:tcW w:w="30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公共卫生</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324.52</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0</w:t>
            </w:r>
          </w:p>
        </w:tc>
        <w:tc>
          <w:tcPr>
            <w:tcW w:w="339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324.52</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2100408</w:t>
            </w:r>
          </w:p>
        </w:tc>
        <w:tc>
          <w:tcPr>
            <w:tcW w:w="30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基本公共卫生服务</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324.52</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0</w:t>
            </w:r>
          </w:p>
        </w:tc>
        <w:tc>
          <w:tcPr>
            <w:tcW w:w="339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3245.52</w:t>
            </w:r>
          </w:p>
        </w:tc>
      </w:tr>
    </w:tbl>
    <w:p/>
    <w:p>
      <w:r>
        <w:rPr>
          <w:rFonts w:hint="eastAsia"/>
        </w:rPr>
        <w:t>注：本表反映部门本年度一般公共预算财政拨款实际支出情况。</w:t>
      </w:r>
    </w:p>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hint="eastAsia" w:ascii="宋体" w:hAnsi="宋体" w:cs="宋体"/>
          <w:kern w:val="0"/>
          <w:sz w:val="22"/>
          <w:szCs w:val="22"/>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2501"/>
        <w:gridCol w:w="1570"/>
        <w:gridCol w:w="849"/>
        <w:gridCol w:w="1710"/>
        <w:gridCol w:w="160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50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7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177.43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30101</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57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177.43</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30102</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57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30103</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资金  </w:t>
            </w:r>
            <w:r>
              <w:rPr>
                <w:rFonts w:ascii="宋体" w:hAnsi="宋体" w:cs="Arial"/>
                <w:color w:val="000000"/>
                <w:kern w:val="0"/>
                <w:sz w:val="22"/>
                <w:szCs w:val="22"/>
              </w:rPr>
              <w:t>　</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30104</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30106</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57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30107</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57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30109</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13.73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7.53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0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264" w:hRule="atLeast"/>
        </w:trPr>
        <w:tc>
          <w:tcPr>
            <w:tcW w:w="3417"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57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198.70</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w:t>
            </w:r>
          </w:p>
        </w:tc>
      </w:tr>
    </w:tbl>
    <w:p>
      <w:pPr>
        <w:sectPr>
          <w:footerReference r:id="rId9" w:type="default"/>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r>
    </w:tbl>
    <w:p>
      <w:r>
        <w:rPr>
          <w:rFonts w:hint="eastAsia"/>
        </w:rPr>
        <w:t>注：本表反映部门本年度“三公”经费支出预决算情况。其中，2019年度预算数为“三公”经费年初预算数，决算数是包括当年一般公共预算财政拨款和以前年度结转资金安排的实际支出。</w:t>
      </w:r>
    </w:p>
    <w:p>
      <w:pPr>
        <w:sectPr>
          <w:pgSz w:w="16838" w:h="11906" w:orient="landscape"/>
          <w:pgMar w:top="1797" w:right="1440" w:bottom="1797" w:left="1440" w:header="851" w:footer="992" w:gutter="0"/>
          <w:pgNumType w:fmt="numberInDash"/>
          <w:cols w:space="720" w:num="1"/>
          <w:docGrid w:type="lines" w:linePitch="312" w:charSpace="0"/>
        </w:sectPr>
      </w:pPr>
      <w:r>
        <w:rPr>
          <w:rFonts w:hint="eastAsia"/>
          <w:sz w:val="24"/>
        </w:rPr>
        <w:t>柳州市鱼峰区雒容镇中心卫生院无“三公”经费收入，也没有“三公”经费安排的支出，故本表无数据。</w:t>
      </w:r>
    </w:p>
    <w:p/>
    <w:p/>
    <w:tbl>
      <w:tblPr>
        <w:tblStyle w:val="4"/>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注：本表反映部门本年度政府性基金预算财政拨款收入支出及结转和结余情况。</w:t>
      </w:r>
    </w:p>
    <w:p>
      <w:pPr>
        <w:spacing w:line="560" w:lineRule="exact"/>
      </w:pPr>
    </w:p>
    <w:p>
      <w:pPr>
        <w:spacing w:line="560" w:lineRule="exact"/>
        <w:rPr>
          <w:rFonts w:ascii="仿宋_GB2312" w:eastAsia="仿宋_GB2312"/>
          <w:b/>
          <w:sz w:val="28"/>
          <w:szCs w:val="28"/>
        </w:rPr>
        <w:sectPr>
          <w:pgSz w:w="16838" w:h="11906" w:orient="landscape"/>
          <w:pgMar w:top="1797" w:right="1440" w:bottom="1797" w:left="1440" w:header="851" w:footer="992" w:gutter="0"/>
          <w:pgNumType w:fmt="numberInDash"/>
          <w:cols w:space="720" w:num="1"/>
          <w:docGrid w:type="lines" w:linePitch="312" w:charSpace="0"/>
        </w:sectPr>
      </w:pPr>
      <w:r>
        <w:rPr>
          <w:rFonts w:hint="eastAsia"/>
          <w:sz w:val="28"/>
          <w:szCs w:val="28"/>
        </w:rPr>
        <w:t>柳州市鱼峰区雒容镇中心卫生院没有政府性基金预算财政拨款收入，也没有相应收入安排的支出，故本表无数据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2019年度收入总计</w:t>
      </w:r>
      <w:r>
        <w:rPr>
          <w:rFonts w:hint="eastAsia" w:ascii="仿宋_GB2312" w:eastAsia="仿宋_GB2312" w:cs="仿宋_GB2312"/>
          <w:kern w:val="0"/>
          <w:sz w:val="32"/>
          <w:szCs w:val="32"/>
        </w:rPr>
        <w:t>5266.87</w:t>
      </w:r>
      <w:r>
        <w:rPr>
          <w:rFonts w:hint="eastAsia" w:ascii="仿宋_GB2312" w:eastAsia="仿宋_GB2312"/>
          <w:kern w:val="0"/>
          <w:sz w:val="32"/>
          <w:szCs w:val="32"/>
        </w:rPr>
        <w:t xml:space="preserve"> </w:t>
      </w:r>
      <w:r>
        <w:rPr>
          <w:rFonts w:hint="eastAsia" w:ascii="仿宋_GB2312" w:eastAsia="仿宋_GB2312" w:cs="仿宋_GB2312"/>
          <w:bCs/>
          <w:kern w:val="0"/>
          <w:sz w:val="32"/>
          <w:szCs w:val="32"/>
        </w:rPr>
        <w:t>万元，支出总计</w:t>
      </w:r>
      <w:r>
        <w:rPr>
          <w:rFonts w:hint="eastAsia" w:ascii="仿宋_GB2312" w:eastAsia="仿宋_GB2312" w:cs="仿宋_GB2312"/>
          <w:kern w:val="0"/>
          <w:sz w:val="32"/>
          <w:szCs w:val="32"/>
        </w:rPr>
        <w:t xml:space="preserve">4068.10 </w:t>
      </w:r>
      <w:r>
        <w:rPr>
          <w:rFonts w:hint="eastAsia" w:ascii="仿宋_GB2312" w:eastAsia="仿宋_GB2312" w:cs="仿宋_GB2312"/>
          <w:bCs/>
          <w:kern w:val="0"/>
          <w:sz w:val="32"/>
          <w:szCs w:val="32"/>
        </w:rPr>
        <w:t>万元，与2018年相比，总收入增加1170.42万元，增长28.57%；总支出增加802.61万元，增长24.57%。</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kern w:val="0"/>
          <w:sz w:val="32"/>
          <w:szCs w:val="32"/>
        </w:rPr>
        <w:t>5266.87</w:t>
      </w:r>
      <w:r>
        <w:rPr>
          <w:rFonts w:hint="eastAsia" w:ascii="仿宋_GB2312" w:eastAsia="仿宋_GB2312" w:cs="仿宋_GB2312"/>
          <w:bCs/>
          <w:kern w:val="0"/>
          <w:sz w:val="32"/>
          <w:szCs w:val="32"/>
        </w:rPr>
        <w:t>万元 ，其中：财政拨款收入</w:t>
      </w:r>
      <w:r>
        <w:rPr>
          <w:rFonts w:hint="eastAsia" w:ascii="仿宋_GB2312" w:eastAsia="仿宋_GB2312" w:cs="仿宋_GB2312"/>
          <w:kern w:val="0"/>
          <w:sz w:val="32"/>
          <w:szCs w:val="32"/>
        </w:rPr>
        <w:t>769.53</w:t>
      </w:r>
      <w:r>
        <w:rPr>
          <w:rFonts w:hint="eastAsia" w:ascii="仿宋_GB2312" w:eastAsia="仿宋_GB2312" w:cs="仿宋_GB2312"/>
          <w:bCs/>
          <w:kern w:val="0"/>
          <w:sz w:val="32"/>
          <w:szCs w:val="32"/>
        </w:rPr>
        <w:t>万元；占比14.61% ；上级补助收入</w:t>
      </w:r>
      <w:r>
        <w:rPr>
          <w:rFonts w:hint="eastAsia" w:ascii="仿宋_GB2312" w:eastAsia="仿宋_GB2312" w:cs="仿宋_GB2312"/>
          <w:kern w:val="0"/>
          <w:sz w:val="32"/>
          <w:szCs w:val="32"/>
        </w:rPr>
        <w:t>75.66</w:t>
      </w:r>
      <w:r>
        <w:rPr>
          <w:rFonts w:hint="eastAsia" w:ascii="仿宋_GB2312" w:eastAsia="仿宋_GB2312" w:cs="仿宋_GB2312"/>
          <w:bCs/>
          <w:kern w:val="0"/>
          <w:sz w:val="32"/>
          <w:szCs w:val="32"/>
        </w:rPr>
        <w:t>万元，占比1.43% ；事业收入</w:t>
      </w:r>
      <w:r>
        <w:rPr>
          <w:rFonts w:hint="eastAsia" w:ascii="仿宋_GB2312" w:eastAsia="仿宋_GB2312" w:cs="仿宋_GB2312"/>
          <w:kern w:val="0"/>
          <w:sz w:val="32"/>
          <w:szCs w:val="32"/>
        </w:rPr>
        <w:t>4345.00</w:t>
      </w:r>
      <w:r>
        <w:rPr>
          <w:rFonts w:hint="eastAsia" w:ascii="仿宋_GB2312" w:eastAsia="仿宋_GB2312" w:cs="仿宋_GB2312"/>
          <w:bCs/>
          <w:kern w:val="0"/>
          <w:sz w:val="32"/>
          <w:szCs w:val="32"/>
        </w:rPr>
        <w:t>万元，占比82.50% ；事业单位经营收入0万元，占比0%；其他收入</w:t>
      </w:r>
      <w:r>
        <w:rPr>
          <w:rFonts w:hint="eastAsia" w:ascii="仿宋_GB2312" w:eastAsia="仿宋_GB2312"/>
          <w:kern w:val="0"/>
          <w:sz w:val="32"/>
          <w:szCs w:val="32"/>
        </w:rPr>
        <w:t xml:space="preserve">76.68 </w:t>
      </w:r>
      <w:r>
        <w:rPr>
          <w:rFonts w:hint="eastAsia" w:ascii="仿宋_GB2312" w:eastAsia="仿宋_GB2312" w:cs="仿宋_GB2312"/>
          <w:bCs/>
          <w:kern w:val="0"/>
          <w:sz w:val="32"/>
          <w:szCs w:val="32"/>
        </w:rPr>
        <w:t>万元，占比1.45%。</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本年支出合计 </w:t>
      </w:r>
      <w:r>
        <w:rPr>
          <w:rFonts w:hint="eastAsia" w:ascii="仿宋_GB2312" w:eastAsia="仿宋_GB2312" w:cs="仿宋_GB2312"/>
          <w:kern w:val="0"/>
          <w:sz w:val="32"/>
          <w:szCs w:val="32"/>
        </w:rPr>
        <w:t xml:space="preserve">4068.10 </w:t>
      </w:r>
      <w:r>
        <w:rPr>
          <w:rFonts w:hint="eastAsia" w:ascii="仿宋_GB2312" w:eastAsia="仿宋_GB2312" w:cs="仿宋_GB2312"/>
          <w:bCs/>
          <w:kern w:val="0"/>
          <w:sz w:val="32"/>
          <w:szCs w:val="32"/>
        </w:rPr>
        <w:t>万元，其中：基本支出 1494.10万元，占 36.73%；项目支出 2574.00万元，占63.27%；经营支出0万元，占 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本部门2019年度财政拨款收入总决算</w:t>
      </w:r>
      <w:r>
        <w:rPr>
          <w:rFonts w:hint="eastAsia" w:ascii="仿宋_GB2312" w:eastAsia="仿宋_GB2312" w:cs="仿宋_GB2312"/>
          <w:kern w:val="0"/>
          <w:sz w:val="32"/>
          <w:szCs w:val="32"/>
        </w:rPr>
        <w:t>769.5</w:t>
      </w:r>
      <w:r>
        <w:rPr>
          <w:rFonts w:hint="eastAsia" w:ascii="仿宋_GB2312" w:eastAsia="仿宋_GB2312" w:cs="仿宋_GB2312"/>
          <w:bCs/>
          <w:kern w:val="0"/>
          <w:sz w:val="32"/>
          <w:szCs w:val="32"/>
        </w:rPr>
        <w:t xml:space="preserve">万元、支出总决算 </w:t>
      </w:r>
      <w:r>
        <w:rPr>
          <w:rFonts w:hint="eastAsia" w:ascii="仿宋_GB2312" w:eastAsia="仿宋_GB2312" w:cs="仿宋_GB2312"/>
          <w:kern w:val="0"/>
          <w:sz w:val="32"/>
          <w:szCs w:val="32"/>
        </w:rPr>
        <w:t>767.91</w:t>
      </w:r>
      <w:r>
        <w:rPr>
          <w:rFonts w:hint="eastAsia" w:ascii="仿宋_GB2312" w:eastAsia="仿宋_GB2312" w:cs="仿宋_GB2312"/>
          <w:bCs/>
          <w:kern w:val="0"/>
          <w:sz w:val="32"/>
          <w:szCs w:val="32"/>
        </w:rPr>
        <w:t>万元。与 2018 年相比，财政拨款收入增加了104.13万元，上升了15.64%；支出增加102.54万元，上升了15.41%。</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部门2019年度财政拨款支出 </w:t>
      </w:r>
      <w:r>
        <w:rPr>
          <w:rFonts w:hint="eastAsia" w:ascii="仿宋_GB2312" w:eastAsia="仿宋_GB2312" w:cs="仿宋_GB2312"/>
          <w:kern w:val="0"/>
          <w:sz w:val="32"/>
          <w:szCs w:val="32"/>
        </w:rPr>
        <w:t>767.91</w:t>
      </w:r>
      <w:r>
        <w:rPr>
          <w:rFonts w:hint="eastAsia" w:ascii="仿宋_GB2312" w:eastAsia="仿宋_GB2312" w:cs="仿宋_GB2312"/>
          <w:bCs/>
          <w:kern w:val="0"/>
          <w:sz w:val="32"/>
          <w:szCs w:val="32"/>
        </w:rPr>
        <w:t>万元，占本年支出合计的 18.87%。与 2018 年相比，财政拨款支出增加了102.54万元，上升15.41%。</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640"/>
        <w:jc w:val="left"/>
        <w:rPr>
          <w:rFonts w:ascii="仿宋_GB2312" w:eastAsia="仿宋_GB2312" w:cs="仿宋_GB2312"/>
          <w:kern w:val="0"/>
          <w:sz w:val="32"/>
          <w:szCs w:val="32"/>
        </w:rPr>
      </w:pPr>
      <w:r>
        <w:rPr>
          <w:rFonts w:hint="eastAsia" w:ascii="仿宋_GB2312" w:eastAsia="仿宋_GB2312" w:cs="仿宋_GB2312"/>
          <w:bCs/>
          <w:kern w:val="0"/>
          <w:sz w:val="32"/>
          <w:szCs w:val="32"/>
        </w:rPr>
        <w:t xml:space="preserve"> 2019年度财政拨款支出 </w:t>
      </w:r>
      <w:r>
        <w:rPr>
          <w:rFonts w:hint="eastAsia" w:ascii="仿宋_GB2312" w:eastAsia="仿宋_GB2312" w:cs="仿宋_GB2312"/>
          <w:kern w:val="0"/>
          <w:sz w:val="32"/>
          <w:szCs w:val="32"/>
        </w:rPr>
        <w:t>767.91</w:t>
      </w:r>
      <w:r>
        <w:rPr>
          <w:rFonts w:hint="eastAsia" w:ascii="仿宋_GB2312" w:eastAsia="仿宋_GB2312" w:cs="仿宋_GB2312"/>
          <w:bCs/>
          <w:kern w:val="0"/>
          <w:sz w:val="32"/>
          <w:szCs w:val="32"/>
        </w:rPr>
        <w:t>万元，主要用于以下方面：</w:t>
      </w:r>
      <w:r>
        <w:rPr>
          <w:rFonts w:hint="eastAsia" w:ascii="仿宋_GB2312" w:eastAsia="仿宋_GB2312" w:cs="仿宋_GB2312"/>
          <w:kern w:val="0"/>
          <w:sz w:val="32"/>
          <w:szCs w:val="32"/>
        </w:rPr>
        <w:t>1、社会保障和就业支出21.27万元：其中离退休费21.27 万元。占2.77%。</w:t>
      </w:r>
    </w:p>
    <w:p>
      <w:pPr>
        <w:autoSpaceDE w:val="0"/>
        <w:autoSpaceDN w:val="0"/>
        <w:adjustRightInd w:val="0"/>
        <w:spacing w:line="560" w:lineRule="exact"/>
        <w:ind w:firstLine="640"/>
        <w:jc w:val="left"/>
        <w:rPr>
          <w:rFonts w:ascii="仿宋_GB2312" w:eastAsia="仿宋_GB2312" w:cs="仿宋_GB2312"/>
          <w:kern w:val="0"/>
          <w:sz w:val="32"/>
          <w:szCs w:val="32"/>
        </w:rPr>
      </w:pPr>
      <w:r>
        <w:rPr>
          <w:rFonts w:hint="eastAsia" w:ascii="仿宋_GB2312" w:eastAsia="仿宋_GB2312" w:cs="仿宋_GB2312"/>
          <w:kern w:val="0"/>
          <w:sz w:val="32"/>
          <w:szCs w:val="32"/>
        </w:rPr>
        <w:t>2、卫生健康支出 746.64 万元：其中基层医疗卫生机构 440.95万元，公共卫生305.69万元。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2019年度财政拨款支出年初预算为 </w:t>
      </w:r>
      <w:r>
        <w:rPr>
          <w:rFonts w:hint="eastAsia" w:ascii="仿宋_GB2312" w:eastAsia="仿宋_GB2312" w:cs="仿宋_GB2312"/>
          <w:kern w:val="0"/>
          <w:sz w:val="32"/>
          <w:szCs w:val="32"/>
        </w:rPr>
        <w:t>769.53</w:t>
      </w:r>
      <w:r>
        <w:rPr>
          <w:rFonts w:hint="eastAsia" w:ascii="仿宋_GB2312" w:eastAsia="仿宋_GB2312" w:cs="仿宋_GB2312"/>
          <w:bCs/>
          <w:kern w:val="0"/>
          <w:sz w:val="32"/>
          <w:szCs w:val="32"/>
        </w:rPr>
        <w:t>万元，支出决算为</w:t>
      </w:r>
      <w:r>
        <w:rPr>
          <w:rFonts w:hint="eastAsia" w:ascii="仿宋_GB2312" w:eastAsia="仿宋_GB2312" w:cs="仿宋_GB2312"/>
          <w:kern w:val="0"/>
          <w:sz w:val="32"/>
          <w:szCs w:val="32"/>
        </w:rPr>
        <w:t>767.91</w:t>
      </w:r>
      <w:r>
        <w:rPr>
          <w:rFonts w:hint="eastAsia" w:ascii="仿宋_GB2312" w:eastAsia="仿宋_GB2312" w:cs="仿宋_GB2312"/>
          <w:bCs/>
          <w:kern w:val="0"/>
          <w:sz w:val="32"/>
          <w:szCs w:val="32"/>
        </w:rPr>
        <w:t xml:space="preserve"> 万元，完成年初预算的 99.79%。</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 社会保障和就业支出（类）行政事业单位离退休（款）事业单位离退休（项）。 年初预算为21.27万元，支出决算为21.27万元，完成年初预算的 100%。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2. </w:t>
      </w:r>
      <w:r>
        <w:rPr>
          <w:rFonts w:hint="eastAsia" w:ascii="仿宋_GB2312" w:eastAsia="仿宋_GB2312" w:cs="仿宋_GB2312"/>
          <w:kern w:val="0"/>
          <w:sz w:val="32"/>
          <w:szCs w:val="32"/>
        </w:rPr>
        <w:t>卫生健康支出</w:t>
      </w:r>
      <w:r>
        <w:rPr>
          <w:rFonts w:hint="eastAsia" w:ascii="仿宋_GB2312" w:eastAsia="仿宋_GB2312" w:cs="仿宋_GB2312"/>
          <w:bCs/>
          <w:kern w:val="0"/>
          <w:sz w:val="32"/>
          <w:szCs w:val="32"/>
        </w:rPr>
        <w:t xml:space="preserve">（类）基层医疗卫生机构（款）乡镇卫生院（项）。年初预算为 440.95万元，支出决算为 440.95万元，完成年初预算的 100 %。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w:t>
      </w:r>
      <w:r>
        <w:rPr>
          <w:rFonts w:hint="eastAsia" w:ascii="仿宋_GB2312" w:eastAsia="仿宋_GB2312" w:cs="仿宋_GB2312"/>
          <w:kern w:val="0"/>
          <w:sz w:val="32"/>
          <w:szCs w:val="32"/>
        </w:rPr>
        <w:t>卫生健康支出</w:t>
      </w:r>
      <w:r>
        <w:rPr>
          <w:rFonts w:hint="eastAsia" w:ascii="仿宋_GB2312" w:eastAsia="仿宋_GB2312" w:cs="仿宋_GB2312"/>
          <w:bCs/>
          <w:kern w:val="0"/>
          <w:sz w:val="32"/>
          <w:szCs w:val="32"/>
        </w:rPr>
        <w:t>（类）基层医疗卫生机构（款）其他基层医疗卫生机构支出（项）。年初预算为  万元，支出决算为   万元，完成年初预算的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4. </w:t>
      </w:r>
      <w:r>
        <w:rPr>
          <w:rFonts w:hint="eastAsia" w:ascii="仿宋_GB2312" w:eastAsia="仿宋_GB2312" w:cs="仿宋_GB2312"/>
          <w:kern w:val="0"/>
          <w:sz w:val="32"/>
          <w:szCs w:val="32"/>
        </w:rPr>
        <w:t>卫生健康支出</w:t>
      </w:r>
      <w:r>
        <w:rPr>
          <w:rFonts w:hint="eastAsia" w:ascii="仿宋_GB2312" w:eastAsia="仿宋_GB2312" w:cs="仿宋_GB2312"/>
          <w:bCs/>
          <w:kern w:val="0"/>
          <w:sz w:val="32"/>
          <w:szCs w:val="32"/>
        </w:rPr>
        <w:t>（类）公共卫生（款）基本公共卫生服务（项）。年初预算为 307.31万元，支出决算为 305.69万元，完成年初预算的 99.47 %。</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w:t>
      </w:r>
      <w:r>
        <w:rPr>
          <w:rFonts w:hint="eastAsia" w:ascii="仿宋_GB2312" w:eastAsia="仿宋_GB2312" w:cs="仿宋_GB2312"/>
          <w:kern w:val="0"/>
          <w:sz w:val="32"/>
          <w:szCs w:val="32"/>
        </w:rPr>
        <w:t>198.70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kern w:val="0"/>
          <w:sz w:val="32"/>
          <w:szCs w:val="32"/>
        </w:rPr>
        <w:t>198.70</w:t>
      </w:r>
      <w:r>
        <w:rPr>
          <w:rFonts w:hint="eastAsia" w:ascii="仿宋_GB2312" w:eastAsia="仿宋_GB2312" w:cs="仿宋_GB2312"/>
          <w:bCs/>
          <w:kern w:val="0"/>
          <w:sz w:val="32"/>
          <w:szCs w:val="32"/>
        </w:rPr>
        <w:t>万万元，主要包括：</w:t>
      </w:r>
      <w:r>
        <w:rPr>
          <w:rFonts w:hint="eastAsia" w:ascii="仿宋_GB2312" w:eastAsia="仿宋_GB2312" w:cs="仿宋_GB2312"/>
          <w:kern w:val="0"/>
          <w:sz w:val="32"/>
          <w:szCs w:val="32"/>
        </w:rPr>
        <w:t>基本工资177.43万、津贴补贴0万、社会保障缴费0万、绩效工资0万、其他工资0万、住房公积金0万。对个人和家庭的补助21.27万。</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2019年度一般公共预算财政拨款“三公”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0万元，支出决算为0万元，完成预算的0%，其中：因公出国（境）费支出决算为0万元，完成预算的0%；公务用车购置及运行费支出决算为0万元，完成预算的0%；公务接待费支出决算为0万元，完成预算的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2019年度“三公”经费财政拨款支出决算数比2018年减少0万元，下降0%，其中：因公出国（境）费支出决 算减少0万元，下降0%；公务用车购置及运行费支出 决算减少0万元，下降0%；公务接待费支出决算减少0万元，下降0%。</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2019年度“三公”经费财政拨款支出决算中，因公出国（境）费支出决算0万元，占0%；公务用车购置及运行费支出决算0万元，占0 %；公务接待费支出决算0 万元，占0%。</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2.公务用车购置及运行费支出0万元。其中：公务用车购置支出为0万元。公务用车运行支出0万元。2019年，机关所属单位开支财政拨款的公务用车保有量为0辆。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外宾接待支出0万元。2019 年共接待国（境）外来访团组0个、来访外宾0人次。    </w:t>
      </w:r>
    </w:p>
    <w:p>
      <w:pPr>
        <w:autoSpaceDE w:val="0"/>
        <w:autoSpaceDN w:val="0"/>
        <w:adjustRightInd w:val="0"/>
        <w:spacing w:line="56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国内公务接待支出0万元。2019 年共接待国内来访团组0个、来宾0人次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本部门2019年度无政府基金预算财政拨款收入及支出。</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根据财政预算管理要求，我单位组织对2019年度一般公共预算项目支出全面开展绩效自评。其中，基本公共卫生服务项目，共涉及预算资金305.69万元，自评覆盖率达到99.47%。 </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组织对2019年度一般公共预算项目支出中的基本公共卫生服务项目进行了绩效评价，涉及一般公共预算当年财政拨款307.31万元，占年初预算的40.00%。绩效评价结果显示，基本公共卫生服务项目支出绩效情况理想，达到项目预算申请时设定的各项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（一）机关运行经费支出情况。2019年度部门机关运行经费支出0万元，2018年支出为0万元。</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 xml:space="preserve">（二）政府采购支出情况。2019年度部门政府采购支出总额 </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（二）国有资产占用情况。截至2019年12月31日，本部门共有车辆 </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 xml:space="preserve"> 辆，其中在用一般公务用车 2 辆、特种专业技术用车 2 辆，单位价值200万元以上大型设备 1 台。</w:t>
      </w:r>
    </w:p>
    <w:p>
      <w:pPr>
        <w:spacing w:line="560" w:lineRule="exact"/>
        <w:rPr>
          <w:rFonts w:ascii="仿宋_GB2312" w:eastAsia="仿宋_GB2312"/>
          <w:b/>
          <w:sz w:val="32"/>
          <w:szCs w:val="32"/>
        </w:rPr>
      </w:pPr>
    </w:p>
    <w:p>
      <w:pPr>
        <w:ind w:firstLine="645"/>
        <w:rPr>
          <w:rFonts w:hint="eastAsia"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r>
        <w:rPr>
          <w:rFonts w:hint="eastAsia" w:ascii="仿宋_GB2312" w:eastAsia="仿宋_GB2312"/>
          <w:bCs/>
          <w:sz w:val="32"/>
          <w:szCs w:val="32"/>
          <w:lang w:eastAsia="zh-CN"/>
        </w:rPr>
        <w:t>。</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bookmarkStart w:id="0" w:name="_GoBack"/>
      <w:bookmarkEnd w:id="0"/>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- 18 -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23D81"/>
    <w:rsid w:val="00064142"/>
    <w:rsid w:val="00065126"/>
    <w:rsid w:val="000956C6"/>
    <w:rsid w:val="000B0D38"/>
    <w:rsid w:val="000B3C66"/>
    <w:rsid w:val="000C081E"/>
    <w:rsid w:val="00100843"/>
    <w:rsid w:val="001121AA"/>
    <w:rsid w:val="0015345A"/>
    <w:rsid w:val="00166322"/>
    <w:rsid w:val="00184FF5"/>
    <w:rsid w:val="001B4629"/>
    <w:rsid w:val="001C21BD"/>
    <w:rsid w:val="001F6287"/>
    <w:rsid w:val="002109D6"/>
    <w:rsid w:val="002141E7"/>
    <w:rsid w:val="00216D84"/>
    <w:rsid w:val="00236924"/>
    <w:rsid w:val="00256CA6"/>
    <w:rsid w:val="00282A99"/>
    <w:rsid w:val="00295618"/>
    <w:rsid w:val="00297830"/>
    <w:rsid w:val="0031240B"/>
    <w:rsid w:val="003144B6"/>
    <w:rsid w:val="0032043B"/>
    <w:rsid w:val="003304FD"/>
    <w:rsid w:val="0033212A"/>
    <w:rsid w:val="003B5758"/>
    <w:rsid w:val="003C2E29"/>
    <w:rsid w:val="00430F69"/>
    <w:rsid w:val="00472446"/>
    <w:rsid w:val="004E2898"/>
    <w:rsid w:val="004E7C9A"/>
    <w:rsid w:val="004F7E3E"/>
    <w:rsid w:val="00506ABE"/>
    <w:rsid w:val="00562617"/>
    <w:rsid w:val="005E19DD"/>
    <w:rsid w:val="005F702E"/>
    <w:rsid w:val="0064034C"/>
    <w:rsid w:val="0064564F"/>
    <w:rsid w:val="00646283"/>
    <w:rsid w:val="00670225"/>
    <w:rsid w:val="00680C1C"/>
    <w:rsid w:val="006A387D"/>
    <w:rsid w:val="006C47DF"/>
    <w:rsid w:val="006C5441"/>
    <w:rsid w:val="006F459B"/>
    <w:rsid w:val="007453BD"/>
    <w:rsid w:val="00765B40"/>
    <w:rsid w:val="00781FE2"/>
    <w:rsid w:val="00795B04"/>
    <w:rsid w:val="007C5237"/>
    <w:rsid w:val="007D017E"/>
    <w:rsid w:val="0086199D"/>
    <w:rsid w:val="00873B84"/>
    <w:rsid w:val="00876D12"/>
    <w:rsid w:val="008A439E"/>
    <w:rsid w:val="009421A7"/>
    <w:rsid w:val="009901AD"/>
    <w:rsid w:val="009F25B3"/>
    <w:rsid w:val="00A25A2D"/>
    <w:rsid w:val="00A412E3"/>
    <w:rsid w:val="00A723FF"/>
    <w:rsid w:val="00AE5DF6"/>
    <w:rsid w:val="00B43AA9"/>
    <w:rsid w:val="00B528B2"/>
    <w:rsid w:val="00B66F27"/>
    <w:rsid w:val="00BC4976"/>
    <w:rsid w:val="00C56C7C"/>
    <w:rsid w:val="00CA5127"/>
    <w:rsid w:val="00CE1B4F"/>
    <w:rsid w:val="00D40E09"/>
    <w:rsid w:val="00D87751"/>
    <w:rsid w:val="00DD7F62"/>
    <w:rsid w:val="00E93A85"/>
    <w:rsid w:val="00E966A3"/>
    <w:rsid w:val="00F10F2B"/>
    <w:rsid w:val="00F717CE"/>
    <w:rsid w:val="00F837E9"/>
    <w:rsid w:val="00FA44E5"/>
    <w:rsid w:val="26460DBA"/>
    <w:rsid w:val="2C4219FE"/>
    <w:rsid w:val="39A63F06"/>
    <w:rsid w:val="3D580D4F"/>
    <w:rsid w:val="3ED1439F"/>
    <w:rsid w:val="4C256E3D"/>
    <w:rsid w:val="4CB52F0F"/>
    <w:rsid w:val="4D2A685A"/>
    <w:rsid w:val="532F1F9A"/>
    <w:rsid w:val="5AA96066"/>
    <w:rsid w:val="5CEE09D1"/>
    <w:rsid w:val="62163194"/>
    <w:rsid w:val="69D92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9FA1B-4672-4A94-A6CC-577033B81E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1290</Words>
  <Characters>7358</Characters>
  <Lines>61</Lines>
  <Paragraphs>17</Paragraphs>
  <TotalTime>2</TotalTime>
  <ScaleCrop>false</ScaleCrop>
  <LinksUpToDate>false</LinksUpToDate>
  <CharactersWithSpaces>8631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2020-07-27T06:33:00Z</cp:lastPrinted>
  <dcterms:modified xsi:type="dcterms:W3CDTF">2020-08-25T02:13:56Z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