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b w:val="0"/>
          <w:bCs w:val="0"/>
          <w:kern w:val="0"/>
          <w:sz w:val="52"/>
          <w:szCs w:val="52"/>
          <w:lang w:eastAsia="zh-CN"/>
        </w:rPr>
        <w:t>柳州市</w:t>
      </w:r>
      <w:r>
        <w:rPr>
          <w:rFonts w:hint="eastAsia" w:ascii="黑体" w:eastAsia="黑体" w:cs="ArialUnicodeMS"/>
          <w:b w:val="0"/>
          <w:bCs w:val="0"/>
          <w:color w:val="auto"/>
          <w:kern w:val="0"/>
          <w:sz w:val="52"/>
          <w:szCs w:val="52"/>
          <w:u w:val="none"/>
          <w:lang w:eastAsia="zh-CN"/>
        </w:rPr>
        <w:t>鱼峰区职教园社区卫生服务中心</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0"/>
        <w:jc w:val="both"/>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 w:hAnsi="仿宋" w:eastAsia="仿宋" w:cs="仿宋"/>
          <w:b/>
          <w:bCs w:val="0"/>
          <w:sz w:val="32"/>
          <w:szCs w:val="32"/>
          <w:u w:val="none"/>
        </w:rPr>
        <w:t>第一</w:t>
      </w:r>
      <w:r>
        <w:rPr>
          <w:rFonts w:hint="eastAsia" w:ascii="仿宋" w:hAnsi="仿宋" w:eastAsia="仿宋" w:cs="仿宋"/>
          <w:b/>
          <w:bCs w:val="0"/>
          <w:color w:val="auto"/>
          <w:sz w:val="32"/>
          <w:szCs w:val="32"/>
          <w:u w:val="none"/>
          <w:lang w:eastAsia="zh-CN"/>
        </w:rPr>
        <w:t>部分</w:t>
      </w:r>
      <w:r>
        <w:rPr>
          <w:rFonts w:hint="eastAsia" w:ascii="仿宋" w:hAnsi="仿宋" w:eastAsia="仿宋" w:cs="仿宋"/>
          <w:b/>
          <w:bCs w:val="0"/>
          <w:color w:val="auto"/>
          <w:sz w:val="32"/>
          <w:szCs w:val="32"/>
          <w:u w:val="none"/>
          <w:lang w:val="en-US" w:eastAsia="zh-CN"/>
        </w:rPr>
        <w:t>:</w:t>
      </w:r>
      <w:r>
        <w:rPr>
          <w:rFonts w:hint="eastAsia" w:ascii="仿宋" w:hAnsi="仿宋" w:eastAsia="仿宋" w:cs="仿宋"/>
          <w:b/>
          <w:bCs w:val="0"/>
          <w:color w:val="auto"/>
          <w:sz w:val="32"/>
          <w:szCs w:val="32"/>
          <w:u w:val="none"/>
        </w:rPr>
        <w:t xml:space="preserve"> </w:t>
      </w:r>
      <w:r>
        <w:rPr>
          <w:rFonts w:hint="eastAsia" w:ascii="仿宋" w:hAnsi="仿宋" w:eastAsia="仿宋" w:cs="仿宋"/>
          <w:b/>
          <w:bCs w:val="0"/>
          <w:color w:val="auto"/>
          <w:sz w:val="32"/>
          <w:szCs w:val="32"/>
          <w:u w:val="none"/>
          <w:lang w:eastAsia="zh-CN"/>
        </w:rPr>
        <w:t>柳州市</w:t>
      </w:r>
      <w:r>
        <w:rPr>
          <w:rFonts w:hint="eastAsia" w:ascii="仿宋" w:hAnsi="仿宋" w:eastAsia="仿宋" w:cs="仿宋"/>
          <w:b/>
          <w:bCs w:val="0"/>
          <w:color w:val="auto"/>
          <w:kern w:val="0"/>
          <w:sz w:val="32"/>
          <w:szCs w:val="32"/>
          <w:u w:val="none"/>
          <w:lang w:eastAsia="zh-CN"/>
        </w:rPr>
        <w:t>鱼峰区职教园社区卫生服务中心</w:t>
      </w:r>
      <w:r>
        <w:rPr>
          <w:rFonts w:hint="eastAsia" w:ascii="仿宋_GB2312" w:eastAsia="仿宋_GB2312"/>
          <w:b/>
          <w:sz w:val="32"/>
          <w:szCs w:val="32"/>
        </w:rPr>
        <w:t>概况</w:t>
      </w:r>
    </w:p>
    <w:p>
      <w:pPr>
        <w:ind w:firstLine="646"/>
        <w:rPr>
          <w:rFonts w:hint="eastAsia" w:ascii="仿宋_GB2312" w:eastAsia="仿宋_GB2312"/>
          <w:sz w:val="32"/>
          <w:szCs w:val="32"/>
          <w:highlight w:val="yellow"/>
        </w:rPr>
      </w:pPr>
      <w:r>
        <w:rPr>
          <w:rFonts w:hint="eastAsia" w:ascii="仿宋_GB2312" w:eastAsia="仿宋_GB2312"/>
          <w:color w:val="000000"/>
          <w:sz w:val="32"/>
          <w:szCs w:val="32"/>
          <w:highlight w:val="none"/>
        </w:rPr>
        <w:t>一、主要职能</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）负责本中心辖区内的基本医疗服务；</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）负责本中心辖区内突发公共卫生事件的报告，并依据上级部门要求组织实施处置；</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lang w:eastAsia="zh-CN"/>
        </w:rPr>
        <w:t>）认真执行儿童计划免疫，积极开展</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"http://www.so.com/s?q=%E6%85%A2%E6%80%A7%E9%9D%9E%E4%BC%A0%E6%9F%93%E6%80%A7%E7%96%BE%E7%97%85&amp;ie=utf-8&amp;src=wenda_link" \t "http://wenda.so.com/q/_blank"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慢性非传染性疾病</w:t>
      </w:r>
      <w:r>
        <w:rPr>
          <w:rFonts w:hint="eastAsia" w:eastAsia="仿宋_GB2312"/>
          <w:kern w:val="0"/>
          <w:sz w:val="32"/>
          <w:szCs w:val="32"/>
          <w:lang w:eastAsia="zh-CN"/>
        </w:rPr>
        <w:fldChar w:fldCharType="end"/>
      </w:r>
      <w:r>
        <w:rPr>
          <w:rFonts w:hint="eastAsia" w:eastAsia="仿宋_GB2312"/>
          <w:kern w:val="0"/>
          <w:sz w:val="32"/>
          <w:szCs w:val="32"/>
          <w:lang w:eastAsia="zh-CN"/>
        </w:rPr>
        <w:t>的防治工作；</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）做好农村孕产妇和童保健工作，提高住院分娩率，改善儿童营养状况；</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（五）</w:t>
      </w:r>
      <w:r>
        <w:rPr>
          <w:rFonts w:hint="eastAsia" w:eastAsia="仿宋_GB2312"/>
          <w:kern w:val="0"/>
          <w:sz w:val="32"/>
          <w:szCs w:val="32"/>
          <w:lang w:eastAsia="zh-CN"/>
        </w:rPr>
        <w:t>积极做好</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"http://www.so.com/s?q=%E6%96%B0%E5%9E%8B%E5%86%9C%E6%9D%91%E5%90%88%E4%BD%9C%E5%8C%BB%E7%96%97&amp;ie=utf-8&amp;src=wenda_link" \t "http://wenda.so.com/q/_blank"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城乡居民医疗</w:t>
      </w:r>
      <w:r>
        <w:rPr>
          <w:rFonts w:hint="eastAsia" w:eastAsia="仿宋_GB2312"/>
          <w:kern w:val="0"/>
          <w:sz w:val="32"/>
          <w:szCs w:val="32"/>
          <w:lang w:eastAsia="zh-CN"/>
        </w:rPr>
        <w:fldChar w:fldCharType="end"/>
      </w:r>
      <w:r>
        <w:rPr>
          <w:rFonts w:hint="eastAsia" w:eastAsia="仿宋_GB2312"/>
          <w:kern w:val="0"/>
          <w:sz w:val="32"/>
          <w:szCs w:val="32"/>
          <w:lang w:eastAsia="zh-CN"/>
        </w:rPr>
        <w:t>保险的服务、计划生育技术指导、康复等工作；</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w:t>
      </w:r>
      <w:r>
        <w:rPr>
          <w:rFonts w:hint="eastAsia" w:eastAsia="仿宋_GB2312"/>
          <w:kern w:val="0"/>
          <w:sz w:val="32"/>
          <w:szCs w:val="32"/>
          <w:lang w:eastAsia="zh-CN"/>
        </w:rPr>
        <w:t>（</w:t>
      </w:r>
      <w:r>
        <w:rPr>
          <w:rFonts w:hint="eastAsia" w:eastAsia="仿宋_GB2312"/>
          <w:kern w:val="0"/>
          <w:sz w:val="32"/>
          <w:szCs w:val="32"/>
          <w:lang w:val="en-US" w:eastAsia="zh-CN"/>
        </w:rPr>
        <w:t>六</w:t>
      </w:r>
      <w:r>
        <w:rPr>
          <w:rFonts w:hint="eastAsia" w:eastAsia="仿宋_GB2312"/>
          <w:kern w:val="0"/>
          <w:sz w:val="32"/>
          <w:szCs w:val="32"/>
          <w:lang w:eastAsia="zh-CN"/>
        </w:rPr>
        <w:t>）负责本中心辖区内的卫生信息统计、分析、上报；</w:t>
      </w:r>
    </w:p>
    <w:p>
      <w:pPr>
        <w:autoSpaceDE w:val="0"/>
        <w:autoSpaceDN w:val="0"/>
        <w:adjustRightInd w:val="0"/>
        <w:ind w:firstLine="640" w:firstLineChars="200"/>
        <w:jc w:val="left"/>
        <w:rPr>
          <w:rFonts w:hint="eastAsia" w:ascii="仿宋_GB2312" w:eastAsia="仿宋_GB2312"/>
          <w:sz w:val="32"/>
          <w:szCs w:val="32"/>
          <w:highlight w:val="yellow"/>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）负责承办政府卫生行政部门委托的相关业务或事项；负责上级卫生行政部门下达的</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"http://www.oh100.com/qita/" \t "http://www.oh100.com/a/201208/_blank"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其他</w:t>
      </w:r>
      <w:r>
        <w:rPr>
          <w:rFonts w:hint="eastAsia" w:eastAsia="仿宋_GB2312"/>
          <w:kern w:val="0"/>
          <w:sz w:val="32"/>
          <w:szCs w:val="32"/>
          <w:lang w:eastAsia="zh-CN"/>
        </w:rPr>
        <w:fldChar w:fldCharType="end"/>
      </w:r>
      <w:r>
        <w:rPr>
          <w:rFonts w:hint="eastAsia" w:eastAsia="仿宋_GB2312"/>
          <w:kern w:val="0"/>
          <w:sz w:val="32"/>
          <w:szCs w:val="32"/>
          <w:lang w:eastAsia="zh-CN"/>
        </w:rPr>
        <w:t>工作。</w:t>
      </w:r>
    </w:p>
    <w:p>
      <w:pPr>
        <w:ind w:firstLine="64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二、部门决算单位构成</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共有1个单位，属柳东新区管委会举办，委托妇幼保健院管理非营利性医疗机构，为差额拨款事业单位。内设预防保健科、全科医学科、医学检验科、医学影像科、中医科等。</w:t>
      </w:r>
    </w:p>
    <w:p>
      <w:pPr>
        <w:ind w:firstLine="645"/>
        <w:rPr>
          <w:rFonts w:hint="eastAsia" w:ascii="仿宋_GB2312" w:eastAsia="仿宋_GB2312"/>
          <w:sz w:val="32"/>
          <w:szCs w:val="32"/>
          <w:highlight w:val="yellow"/>
        </w:rPr>
      </w:pPr>
    </w:p>
    <w:p>
      <w:pPr>
        <w:ind w:firstLine="645"/>
        <w:rPr>
          <w:rFonts w:hint="eastAsia" w:ascii="仿宋_GB2312" w:eastAsia="仿宋_GB2312"/>
          <w:sz w:val="32"/>
          <w:szCs w:val="32"/>
        </w:rPr>
      </w:pPr>
    </w:p>
    <w:p>
      <w:pPr>
        <w:ind w:firstLine="646"/>
        <w:rPr>
          <w:rFonts w:hint="eastAsia" w:ascii="仿宋_GB2312" w:eastAsia="仿宋_GB2312"/>
          <w:sz w:val="32"/>
          <w:szCs w:val="32"/>
        </w:rPr>
      </w:pPr>
    </w:p>
    <w:p>
      <w:pPr>
        <w:jc w:val="both"/>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 w:hAnsi="仿宋" w:eastAsia="仿宋" w:cs="仿宋"/>
          <w:b/>
          <w:bCs w:val="0"/>
          <w:color w:val="auto"/>
          <w:sz w:val="32"/>
          <w:szCs w:val="32"/>
          <w:u w:val="none"/>
          <w:lang w:eastAsia="zh-CN"/>
        </w:rPr>
        <w:t>柳州市</w:t>
      </w:r>
      <w:r>
        <w:rPr>
          <w:rFonts w:hint="eastAsia" w:ascii="仿宋" w:hAnsi="仿宋" w:eastAsia="仿宋" w:cs="仿宋"/>
          <w:b/>
          <w:bCs w:val="0"/>
          <w:color w:val="auto"/>
          <w:kern w:val="0"/>
          <w:sz w:val="32"/>
          <w:szCs w:val="32"/>
          <w:u w:val="none"/>
          <w:lang w:eastAsia="zh-CN"/>
        </w:rPr>
        <w:t>鱼峰区职教园社区卫生服务中心</w:t>
      </w:r>
      <w:r>
        <w:rPr>
          <w:rFonts w:hint="eastAsia" w:ascii="仿宋_GB2312" w:eastAsia="仿宋_GB2312"/>
          <w:b/>
          <w:sz w:val="32"/>
          <w:szCs w:val="32"/>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rPr>
          <w:rFonts w:hint="eastAsia"/>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83.96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16.92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4.08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5.13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112.74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107.53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117.87</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867"/>
        <w:gridCol w:w="1662"/>
        <w:gridCol w:w="1604"/>
        <w:gridCol w:w="1304"/>
        <w:gridCol w:w="1373"/>
        <w:gridCol w:w="1290"/>
        <w:gridCol w:w="1540"/>
        <w:gridCol w:w="1540"/>
      </w:tblGrid>
      <w:tr>
        <w:tblPrEx>
          <w:tblCellMar>
            <w:top w:w="0" w:type="dxa"/>
            <w:left w:w="108" w:type="dxa"/>
            <w:bottom w:w="0" w:type="dxa"/>
            <w:right w:w="108" w:type="dxa"/>
          </w:tblCellMar>
        </w:tblPrEx>
        <w:trPr>
          <w:trHeight w:val="288" w:hRule="atLeast"/>
          <w:jc w:val="center"/>
        </w:trPr>
        <w:tc>
          <w:tcPr>
            <w:tcW w:w="382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6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8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82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66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0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30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37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9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82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62"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660" w:firstLineChars="3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28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eastAsia="宋体" w:cs="宋体"/>
                <w:i w:val="0"/>
                <w:color w:val="000000"/>
                <w:kern w:val="0"/>
                <w:sz w:val="22"/>
                <w:szCs w:val="22"/>
                <w:u w:val="none"/>
                <w:lang w:val="en-US" w:eastAsia="zh-CN" w:bidi="ar"/>
              </w:rPr>
              <w:t>卫生健康支出</w:t>
            </w:r>
          </w:p>
        </w:tc>
        <w:tc>
          <w:tcPr>
            <w:tcW w:w="166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107.53</w:t>
            </w: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83.96</w:t>
            </w: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16.92</w:t>
            </w:r>
          </w:p>
        </w:tc>
        <w:tc>
          <w:tcPr>
            <w:tcW w:w="1373"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4.08</w:t>
            </w: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2.57</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28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基层医疗卫生机构</w:t>
            </w: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107.53</w:t>
            </w: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83.96</w:t>
            </w: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16.92</w:t>
            </w:r>
          </w:p>
        </w:tc>
        <w:tc>
          <w:tcPr>
            <w:tcW w:w="1373"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4.08</w:t>
            </w: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2.57</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286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eastAsia="宋体" w:cs="宋体"/>
                <w:i w:val="0"/>
                <w:color w:val="000000"/>
                <w:kern w:val="0"/>
                <w:sz w:val="22"/>
                <w:szCs w:val="22"/>
                <w:u w:val="none"/>
                <w:lang w:val="en-US" w:eastAsia="zh-CN" w:bidi="ar"/>
              </w:rPr>
              <w:t>城市社区卫生机构</w:t>
            </w:r>
          </w:p>
        </w:tc>
        <w:tc>
          <w:tcPr>
            <w:tcW w:w="1662"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107.53</w:t>
            </w: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83.96</w:t>
            </w: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16.92</w:t>
            </w:r>
          </w:p>
        </w:tc>
        <w:tc>
          <w:tcPr>
            <w:tcW w:w="1373"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4.08</w:t>
            </w: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2.57</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2418"/>
        <w:gridCol w:w="1731"/>
        <w:gridCol w:w="1996"/>
        <w:gridCol w:w="1627"/>
        <w:gridCol w:w="1269"/>
        <w:gridCol w:w="1843"/>
        <w:gridCol w:w="1985"/>
      </w:tblGrid>
      <w:tr>
        <w:tblPrEx>
          <w:tblCellMar>
            <w:top w:w="0" w:type="dxa"/>
            <w:left w:w="108" w:type="dxa"/>
            <w:bottom w:w="0" w:type="dxa"/>
            <w:right w:w="108" w:type="dxa"/>
          </w:tblCellMar>
        </w:tblPrEx>
        <w:trPr>
          <w:trHeight w:val="288" w:hRule="atLeast"/>
          <w:jc w:val="center"/>
        </w:trPr>
        <w:tc>
          <w:tcPr>
            <w:tcW w:w="35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6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4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9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99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62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kern w:val="0"/>
                <w:sz w:val="22"/>
                <w:szCs w:val="22"/>
              </w:rPr>
              <w:t>3</w:t>
            </w:r>
          </w:p>
        </w:tc>
        <w:tc>
          <w:tcPr>
            <w:tcW w:w="12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9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120.95</w:t>
            </w:r>
          </w:p>
        </w:tc>
        <w:tc>
          <w:tcPr>
            <w:tcW w:w="1996" w:type="dxa"/>
            <w:tcBorders>
              <w:top w:val="nil"/>
              <w:left w:val="nil"/>
              <w:bottom w:val="single" w:color="auto" w:sz="4" w:space="0"/>
              <w:right w:val="single" w:color="auto" w:sz="4" w:space="0"/>
            </w:tcBorders>
            <w:vAlign w:val="top"/>
          </w:tcPr>
          <w:p>
            <w:pPr>
              <w:widowControl/>
              <w:ind w:firstLine="660" w:firstLineChars="3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72.02</w:t>
            </w:r>
          </w:p>
        </w:tc>
        <w:tc>
          <w:tcPr>
            <w:tcW w:w="1627"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48.93</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类</w:t>
            </w:r>
          </w:p>
        </w:tc>
        <w:tc>
          <w:tcPr>
            <w:tcW w:w="241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73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107.95</w:t>
            </w:r>
          </w:p>
          <w:p>
            <w:pPr>
              <w:widowControl/>
              <w:ind w:firstLine="1100" w:firstLineChars="500"/>
              <w:jc w:val="center"/>
              <w:rPr>
                <w:rFonts w:ascii="宋体" w:hAnsi="宋体" w:cs="Arial"/>
                <w:color w:val="000000"/>
                <w:kern w:val="0"/>
                <w:sz w:val="22"/>
                <w:szCs w:val="22"/>
              </w:rPr>
            </w:pPr>
          </w:p>
        </w:tc>
        <w:tc>
          <w:tcPr>
            <w:tcW w:w="1996" w:type="dxa"/>
            <w:tcBorders>
              <w:top w:val="nil"/>
              <w:left w:val="nil"/>
              <w:bottom w:val="single" w:color="auto" w:sz="4" w:space="0"/>
              <w:right w:val="single" w:color="auto" w:sz="4" w:space="0"/>
            </w:tcBorders>
            <w:vAlign w:val="top"/>
          </w:tcPr>
          <w:p>
            <w:pPr>
              <w:widowControl/>
              <w:ind w:firstLine="660" w:firstLineChars="3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72.02</w:t>
            </w:r>
          </w:p>
        </w:tc>
        <w:tc>
          <w:tcPr>
            <w:tcW w:w="1627"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241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基层医疗卫生机构</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107.95</w:t>
            </w:r>
          </w:p>
        </w:tc>
        <w:tc>
          <w:tcPr>
            <w:tcW w:w="1996" w:type="dxa"/>
            <w:tcBorders>
              <w:top w:val="nil"/>
              <w:left w:val="nil"/>
              <w:bottom w:val="single" w:color="auto" w:sz="4" w:space="0"/>
              <w:right w:val="single" w:color="auto" w:sz="4" w:space="0"/>
            </w:tcBorders>
            <w:vAlign w:val="top"/>
          </w:tcPr>
          <w:p>
            <w:pPr>
              <w:widowControl/>
              <w:ind w:firstLine="660" w:firstLineChars="3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72.02</w:t>
            </w:r>
          </w:p>
        </w:tc>
        <w:tc>
          <w:tcPr>
            <w:tcW w:w="1627" w:type="dxa"/>
            <w:tcBorders>
              <w:top w:val="nil"/>
              <w:left w:val="nil"/>
              <w:bottom w:val="single" w:color="auto" w:sz="4" w:space="0"/>
              <w:right w:val="single" w:color="auto" w:sz="4" w:space="0"/>
            </w:tcBorders>
            <w:vAlign w:val="top"/>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35.93</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241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城市社区卫生机构</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107.95</w:t>
            </w:r>
          </w:p>
        </w:tc>
        <w:tc>
          <w:tcPr>
            <w:tcW w:w="1996" w:type="dxa"/>
            <w:tcBorders>
              <w:top w:val="nil"/>
              <w:left w:val="nil"/>
              <w:bottom w:val="single" w:color="auto" w:sz="4" w:space="0"/>
              <w:right w:val="single" w:color="auto" w:sz="4" w:space="0"/>
            </w:tcBorders>
            <w:vAlign w:val="top"/>
          </w:tcPr>
          <w:p>
            <w:pPr>
              <w:widowControl/>
              <w:ind w:firstLine="660" w:firstLineChars="3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72.02</w:t>
            </w:r>
          </w:p>
        </w:tc>
        <w:tc>
          <w:tcPr>
            <w:tcW w:w="1627" w:type="dxa"/>
            <w:tcBorders>
              <w:top w:val="nil"/>
              <w:left w:val="nil"/>
              <w:bottom w:val="single" w:color="auto" w:sz="4" w:space="0"/>
              <w:right w:val="single" w:color="auto" w:sz="4" w:space="0"/>
            </w:tcBorders>
            <w:vAlign w:val="top"/>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35.93</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5"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公共卫生</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w:t>
            </w:r>
          </w:p>
        </w:tc>
        <w:tc>
          <w:tcPr>
            <w:tcW w:w="1996"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162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tabs>
                <w:tab w:val="left" w:pos="637"/>
              </w:tabs>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基本公共卫生服务</w:t>
            </w:r>
          </w:p>
        </w:tc>
        <w:tc>
          <w:tcPr>
            <w:tcW w:w="17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w:t>
            </w:r>
          </w:p>
        </w:tc>
        <w:tc>
          <w:tcPr>
            <w:tcW w:w="1996"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162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3"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1"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7"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1"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7"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1"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7"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4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1"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7"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ascii="方正小标宋简体" w:hAnsi="宋体" w:eastAsia="方正小标宋简体" w:cs="宋体"/>
          <w:kern w:val="0"/>
          <w:sz w:val="36"/>
          <w:szCs w:val="36"/>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679"/>
        <w:gridCol w:w="658"/>
        <w:gridCol w:w="2157"/>
        <w:gridCol w:w="2858"/>
        <w:gridCol w:w="681"/>
        <w:gridCol w:w="1267"/>
        <w:gridCol w:w="1149"/>
        <w:gridCol w:w="1316"/>
      </w:tblGrid>
      <w:tr>
        <w:trPr>
          <w:trHeight w:val="300" w:hRule="atLeast"/>
        </w:trPr>
        <w:tc>
          <w:tcPr>
            <w:tcW w:w="6494"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271"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67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285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5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5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858"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83.96</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5.13</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5.13</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七</w:t>
            </w:r>
            <w:r>
              <w:rPr>
                <w:rFonts w:hint="eastAsia" w:ascii="宋体" w:hAnsi="宋体" w:cs="Arial"/>
                <w:color w:val="000000"/>
                <w:kern w:val="0"/>
                <w:sz w:val="22"/>
                <w:szCs w:val="22"/>
              </w:rPr>
              <w:t>、卫生健康支出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95.35</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95.35</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3.08</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3.08</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83.96</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103.56</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16.34</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 xml:space="preserve">  83.96</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119.9</w:t>
            </w:r>
            <w:r>
              <w:rPr>
                <w:rFonts w:hint="eastAsia" w:ascii="宋体" w:hAnsi="宋体" w:cs="Arial"/>
                <w:color w:val="000000"/>
                <w:kern w:val="0"/>
                <w:sz w:val="22"/>
                <w:szCs w:val="22"/>
              </w:rPr>
              <w:t>　</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103.56</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54.63</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ascii="Arial" w:hAnsi="Arial" w:cs="Arial"/>
                <w:color w:val="000000"/>
                <w:kern w:val="0"/>
                <w:sz w:val="20"/>
                <w:szCs w:val="20"/>
              </w:rPr>
            </w:pPr>
            <w:r>
              <w:rPr>
                <w:rFonts w:hint="eastAsia" w:ascii="Arial" w:hAnsi="Arial" w:cs="Arial"/>
                <w:color w:val="000000"/>
                <w:kern w:val="0"/>
                <w:sz w:val="20"/>
                <w:szCs w:val="20"/>
                <w:lang w:val="en-US" w:eastAsia="zh-CN"/>
              </w:rPr>
              <w:t>48.93</w:t>
            </w: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3000"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eastAsia="zh-CN"/>
              </w:rPr>
              <w:t>卫</w:t>
            </w:r>
            <w:r>
              <w:rPr>
                <w:rFonts w:hint="eastAsia" w:ascii="Arial" w:hAnsi="Arial" w:cs="Arial"/>
                <w:color w:val="000000"/>
                <w:kern w:val="0"/>
                <w:sz w:val="20"/>
                <w:szCs w:val="20"/>
              </w:rPr>
              <w:t>生健康支出</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90.56</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54.63</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35.93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300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基层医疗卫生机构</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90.56</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54.63</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35.93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3000"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 xml:space="preserve">  城市社区卫生机构</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90.56</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54.63</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35.93</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 xml:space="preserve">  </w:t>
            </w:r>
          </w:p>
        </w:tc>
        <w:tc>
          <w:tcPr>
            <w:tcW w:w="3000"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公共卫生</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13</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13</w:t>
            </w:r>
          </w:p>
        </w:tc>
      </w:tr>
      <w:tr>
        <w:tblPrEx>
          <w:tblCellMar>
            <w:top w:w="0" w:type="dxa"/>
            <w:left w:w="108" w:type="dxa"/>
            <w:bottom w:w="0" w:type="dxa"/>
            <w:right w:w="108" w:type="dxa"/>
          </w:tblCellMar>
        </w:tblPrEx>
        <w:trPr>
          <w:trHeight w:val="345"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 xml:space="preserve">  基本公共卫生服务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13</w:t>
            </w:r>
            <w:r>
              <w:rPr>
                <w:rFonts w:ascii="Arial" w:hAnsi="Arial" w:cs="Arial"/>
                <w:color w:val="000000"/>
                <w:kern w:val="0"/>
                <w:sz w:val="20"/>
                <w:szCs w:val="20"/>
              </w:rPr>
              <w:t>　</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828"/>
        <w:gridCol w:w="1243"/>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8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243"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243"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49.28</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54.27</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2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30.42</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5.96</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30102</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2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2.93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30103</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资金  </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30104</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其他社会保障缴费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3.14</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30106</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伙食补助费</w:t>
            </w:r>
          </w:p>
        </w:tc>
        <w:tc>
          <w:tcPr>
            <w:tcW w:w="12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30107</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绩效工资</w:t>
            </w:r>
          </w:p>
        </w:tc>
        <w:tc>
          <w:tcPr>
            <w:tcW w:w="1243"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2.23</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0.49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30108</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机关事业单位基本养老保险缴费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6.98</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3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30109</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职业年金缴费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2.19</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30199</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其他工资福利支出</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对个人家庭的补助</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ascii="宋体" w:hAnsi="宋体" w:cs="Arial"/>
                <w:color w:val="000000"/>
                <w:kern w:val="0"/>
                <w:sz w:val="22"/>
                <w:szCs w:val="22"/>
              </w:rPr>
              <w:t>　</w:t>
            </w:r>
            <w:r>
              <w:rPr>
                <w:rFonts w:hint="eastAsia" w:ascii="宋体" w:hAnsi="宋体" w:cs="Arial"/>
                <w:color w:val="000000"/>
                <w:kern w:val="0"/>
                <w:sz w:val="22"/>
                <w:szCs w:val="22"/>
                <w:lang w:eastAsia="zh-CN"/>
              </w:rPr>
              <w:t>差旅费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离休费</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0.97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30302</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退休费</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专用材料费</w:t>
            </w:r>
          </w:p>
        </w:tc>
        <w:tc>
          <w:tcPr>
            <w:tcW w:w="1605"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4.98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ascii="宋体" w:hAnsi="宋体" w:cs="Arial"/>
                <w:color w:val="000000"/>
                <w:kern w:val="0"/>
                <w:sz w:val="22"/>
                <w:szCs w:val="22"/>
              </w:rPr>
              <w:t>　</w:t>
            </w:r>
            <w:r>
              <w:rPr>
                <w:rFonts w:hint="eastAsia" w:ascii="宋体" w:hAnsi="宋体" w:cs="Arial"/>
                <w:color w:val="000000"/>
                <w:kern w:val="0"/>
                <w:sz w:val="22"/>
                <w:szCs w:val="22"/>
                <w:lang w:eastAsia="zh-CN"/>
              </w:rPr>
              <w:t>劳务费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2.4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36.54</w:t>
            </w:r>
          </w:p>
        </w:tc>
      </w:tr>
      <w:tr>
        <w:tblPrEx>
          <w:tblCellMar>
            <w:top w:w="0" w:type="dxa"/>
            <w:left w:w="108" w:type="dxa"/>
            <w:bottom w:w="0" w:type="dxa"/>
            <w:right w:w="108" w:type="dxa"/>
          </w:tblCellMar>
        </w:tblPrEx>
        <w:trPr>
          <w:trHeight w:val="264" w:hRule="atLeast"/>
        </w:trPr>
        <w:tc>
          <w:tcPr>
            <w:tcW w:w="374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49.28</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54.27</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ind w:firstLine="1440" w:firstLineChars="400"/>
        <w:jc w:val="both"/>
        <w:rPr>
          <w:rFonts w:hint="eastAsia"/>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i w:val="0"/>
          <w:iCs w:val="0"/>
          <w:color w:val="auto"/>
          <w:sz w:val="32"/>
          <w:szCs w:val="32"/>
          <w:u w:val="none"/>
          <w:lang w:val="en-US" w:eastAsia="zh-CN"/>
        </w:rPr>
        <w:t>柳州市鱼峰区职教园社区卫生服务中心没有“三公”经费收入，也没有“三公”经费安排的支出，故本表无数据</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r>
        <w:rPr>
          <w:rFonts w:hint="eastAsia" w:ascii="宋体" w:hAnsi="宋体" w:eastAsia="宋体" w:cs="宋体"/>
          <w:b w:val="0"/>
          <w:bCs w:val="0"/>
          <w:sz w:val="32"/>
          <w:szCs w:val="32"/>
          <w:u w:val="none"/>
          <w:lang w:eastAsia="zh-CN"/>
        </w:rPr>
        <w:t>柳州市鱼峰区职教园社区卫生服务中心</w:t>
      </w:r>
      <w:r>
        <w:rPr>
          <w:rFonts w:hint="eastAsia" w:ascii="宋体" w:hAnsi="宋体" w:eastAsia="宋体" w:cs="宋体"/>
          <w:b w:val="0"/>
          <w:bCs w:val="0"/>
          <w:sz w:val="32"/>
          <w:szCs w:val="32"/>
          <w:u w:val="none"/>
        </w:rPr>
        <w:t>没有政府性基金预算财政拨款收入，也没有政府性基金预算财政拨款安排的支出，故本表无数据</w:t>
      </w:r>
      <w:r>
        <w:rPr>
          <w:rFonts w:hint="eastAsia" w:ascii="宋体" w:hAnsi="宋体" w:eastAsia="宋体" w:cs="宋体"/>
          <w:b/>
          <w:sz w:val="32"/>
          <w:szCs w:val="32"/>
          <w:u w:val="none"/>
        </w:rPr>
        <w:t>。</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柳州市鱼峰区职教园社区卫生服务中心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107.53</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120.94</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w:t>
      </w:r>
      <w:r>
        <w:rPr>
          <w:rFonts w:hint="eastAsia" w:ascii="仿宋_GB2312" w:eastAsia="仿宋_GB2312" w:cs="仿宋_GB2312"/>
          <w:b w:val="0"/>
          <w:bCs/>
          <w:kern w:val="0"/>
          <w:sz w:val="32"/>
          <w:szCs w:val="32"/>
          <w:lang w:eastAsia="zh-CN"/>
        </w:rPr>
        <w:t>入增加</w:t>
      </w:r>
      <w:r>
        <w:rPr>
          <w:rFonts w:hint="eastAsia" w:ascii="仿宋_GB2312" w:eastAsia="仿宋_GB2312" w:cs="仿宋_GB2312"/>
          <w:b w:val="0"/>
          <w:bCs/>
          <w:kern w:val="0"/>
          <w:sz w:val="32"/>
          <w:szCs w:val="32"/>
          <w:lang w:val="en-US" w:eastAsia="zh-CN"/>
        </w:rPr>
        <w:t>41.38万元</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支出</w:t>
      </w:r>
      <w:r>
        <w:rPr>
          <w:rFonts w:hint="eastAsia" w:ascii="仿宋_GB2312" w:eastAsia="仿宋_GB2312" w:cs="仿宋_GB2312"/>
          <w:b w:val="0"/>
          <w:bCs/>
          <w:kern w:val="0"/>
          <w:sz w:val="32"/>
          <w:szCs w:val="32"/>
        </w:rPr>
        <w:t>增加</w:t>
      </w:r>
      <w:r>
        <w:rPr>
          <w:rFonts w:hint="eastAsia" w:ascii="仿宋_GB2312" w:eastAsia="仿宋_GB2312" w:cs="仿宋_GB2312"/>
          <w:b w:val="0"/>
          <w:bCs/>
          <w:kern w:val="0"/>
          <w:sz w:val="32"/>
          <w:szCs w:val="32"/>
          <w:lang w:val="en-US" w:eastAsia="zh-CN"/>
        </w:rPr>
        <w:t>100.02%</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收入</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63</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107.53</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83.96</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78.08%</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16.92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15.74%</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4.08</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3.8%</w:t>
      </w:r>
      <w:r>
        <w:rPr>
          <w:rFonts w:hint="eastAsia" w:ascii="仿宋_GB2312" w:eastAsia="仿宋_GB2312" w:cs="仿宋_GB2312"/>
          <w:b w:val="0"/>
          <w:bCs/>
          <w:kern w:val="0"/>
          <w:sz w:val="32"/>
          <w:szCs w:val="32"/>
        </w:rPr>
        <w:t xml:space="preserve"> ；其他收入</w:t>
      </w:r>
      <w:r>
        <w:rPr>
          <w:rFonts w:hint="eastAsia" w:ascii="仿宋_GB2312" w:eastAsia="仿宋_GB2312" w:cs="仿宋_GB2312"/>
          <w:b w:val="0"/>
          <w:bCs/>
          <w:kern w:val="0"/>
          <w:sz w:val="32"/>
          <w:szCs w:val="32"/>
          <w:lang w:val="en-US" w:eastAsia="zh-CN"/>
        </w:rPr>
        <w:t>2.57</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2.4%</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120.95</w:t>
      </w:r>
      <w:r>
        <w:rPr>
          <w:rFonts w:hint="eastAsia" w:ascii="仿宋_GB2312" w:eastAsia="仿宋_GB2312" w:cs="仿宋_GB2312"/>
          <w:b w:val="0"/>
          <w:bCs/>
          <w:kern w:val="0"/>
          <w:sz w:val="32"/>
          <w:szCs w:val="32"/>
        </w:rPr>
        <w:t xml:space="preserve"> 万元，其中：基本支出 </w:t>
      </w:r>
      <w:r>
        <w:rPr>
          <w:rFonts w:hint="eastAsia" w:ascii="仿宋_GB2312" w:eastAsia="仿宋_GB2312" w:cs="仿宋_GB2312"/>
          <w:b w:val="0"/>
          <w:bCs/>
          <w:kern w:val="0"/>
          <w:sz w:val="32"/>
          <w:szCs w:val="32"/>
          <w:lang w:val="en-US" w:eastAsia="zh-CN"/>
        </w:rPr>
        <w:t>72.02</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59.55</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48.92</w:t>
      </w:r>
      <w:r>
        <w:rPr>
          <w:rFonts w:hint="eastAsia" w:ascii="仿宋_GB2312" w:eastAsia="仿宋_GB2312" w:cs="仿宋_GB2312"/>
          <w:b w:val="0"/>
          <w:bCs/>
          <w:kern w:val="0"/>
          <w:sz w:val="32"/>
          <w:szCs w:val="32"/>
        </w:rPr>
        <w:t>万元， 占</w:t>
      </w:r>
      <w:r>
        <w:rPr>
          <w:rFonts w:hint="eastAsia" w:ascii="仿宋_GB2312" w:eastAsia="仿宋_GB2312" w:cs="仿宋_GB2312"/>
          <w:b w:val="0"/>
          <w:bCs/>
          <w:kern w:val="0"/>
          <w:sz w:val="32"/>
          <w:szCs w:val="32"/>
          <w:lang w:val="en-US" w:eastAsia="zh-CN"/>
        </w:rPr>
        <w:t>40.45</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83.96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103.55</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33.96</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89.48万元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收入</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69.92</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103.55</w:t>
      </w:r>
      <w:r>
        <w:rPr>
          <w:rFonts w:hint="eastAsia" w:ascii="仿宋_GB2312" w:eastAsia="仿宋_GB2312" w:cs="仿宋_GB2312"/>
          <w:bCs/>
          <w:kern w:val="0"/>
          <w:sz w:val="32"/>
          <w:szCs w:val="32"/>
        </w:rPr>
        <w:t xml:space="preserve"> 万元，占本年支出合计的 </w:t>
      </w:r>
      <w:r>
        <w:rPr>
          <w:rFonts w:hint="eastAsia" w:ascii="仿宋_GB2312" w:eastAsia="仿宋_GB2312" w:cs="仿宋_GB2312"/>
          <w:bCs/>
          <w:kern w:val="0"/>
          <w:sz w:val="32"/>
          <w:szCs w:val="32"/>
          <w:lang w:val="en-US" w:eastAsia="zh-CN"/>
        </w:rPr>
        <w:t>85.6</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89.48</w:t>
      </w:r>
      <w:r>
        <w:rPr>
          <w:rFonts w:hint="eastAsia" w:ascii="仿宋_GB2312" w:eastAsia="仿宋_GB2312" w:cs="仿宋_GB2312"/>
          <w:bCs/>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 </w:t>
      </w:r>
      <w:r>
        <w:rPr>
          <w:rFonts w:hint="eastAsia" w:ascii="仿宋_GB2312" w:eastAsia="仿宋_GB2312" w:cs="仿宋_GB2312"/>
          <w:bCs/>
          <w:kern w:val="0"/>
          <w:sz w:val="32"/>
          <w:szCs w:val="32"/>
          <w:lang w:val="en-US" w:eastAsia="zh-CN"/>
        </w:rPr>
        <w:t>103.55</w:t>
      </w:r>
      <w:r>
        <w:rPr>
          <w:rFonts w:hint="eastAsia" w:ascii="仿宋_GB2312" w:eastAsia="仿宋_GB2312" w:cs="仿宋_GB2312"/>
          <w:bCs/>
          <w:kern w:val="0"/>
          <w:sz w:val="32"/>
          <w:szCs w:val="32"/>
        </w:rPr>
        <w:t xml:space="preserve"> 万元，主要用于以下方面：一般公共服务（类）支出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社会保障和就业（类）支出</w:t>
      </w:r>
      <w:r>
        <w:rPr>
          <w:rFonts w:hint="eastAsia" w:ascii="仿宋_GB2312" w:eastAsia="仿宋_GB2312" w:cs="仿宋_GB2312"/>
          <w:bCs/>
          <w:kern w:val="0"/>
          <w:sz w:val="32"/>
          <w:szCs w:val="32"/>
          <w:lang w:val="en-US" w:eastAsia="zh-CN"/>
        </w:rPr>
        <w:t>5.13</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4.9</w:t>
      </w:r>
      <w:r>
        <w:rPr>
          <w:rFonts w:hint="eastAsia" w:ascii="仿宋_GB2312" w:eastAsia="仿宋_GB2312" w:cs="仿宋_GB2312"/>
          <w:bCs/>
          <w:kern w:val="0"/>
          <w:sz w:val="32"/>
          <w:szCs w:val="32"/>
        </w:rPr>
        <w:t>%；卫生健康支出（类）支出</w:t>
      </w:r>
      <w:r>
        <w:rPr>
          <w:rFonts w:hint="eastAsia" w:ascii="仿宋_GB2312" w:eastAsia="仿宋_GB2312" w:cs="仿宋_GB2312"/>
          <w:bCs/>
          <w:kern w:val="0"/>
          <w:sz w:val="32"/>
          <w:szCs w:val="32"/>
          <w:lang w:val="en-US" w:eastAsia="zh-CN"/>
        </w:rPr>
        <w:t>95.35</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92.1</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3.08</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 </w:t>
      </w:r>
      <w:r>
        <w:rPr>
          <w:rFonts w:hint="eastAsia" w:ascii="仿宋_GB2312" w:eastAsia="仿宋_GB2312" w:cs="仿宋_GB2312"/>
          <w:bCs/>
          <w:kern w:val="0"/>
          <w:sz w:val="32"/>
          <w:szCs w:val="32"/>
          <w:lang w:val="en-US" w:eastAsia="zh-CN"/>
        </w:rPr>
        <w:t>103.55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103.55</w:t>
      </w:r>
      <w:r>
        <w:rPr>
          <w:rFonts w:hint="eastAsia" w:ascii="仿宋_GB2312" w:eastAsia="仿宋_GB2312" w:cs="仿宋_GB2312"/>
          <w:bCs/>
          <w:kern w:val="0"/>
          <w:sz w:val="32"/>
          <w:szCs w:val="32"/>
        </w:rPr>
        <w:t xml:space="preserve"> 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left="958" w:leftChars="304" w:hanging="320" w:hangingChars="100"/>
        <w:jc w:val="left"/>
        <w:rPr>
          <w:rFonts w:hint="eastAsia" w:ascii="仿宋_GB2312" w:eastAsia="仿宋_GB2312" w:cs="仿宋_GB2312"/>
          <w:b w:val="0"/>
          <w:bCs/>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Cs/>
          <w:kern w:val="0"/>
          <w:sz w:val="32"/>
          <w:szCs w:val="32"/>
          <w:highlight w:val="none"/>
        </w:rPr>
        <w:t>、</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年度一般公共预算财政拨款基本支出决算情</w:t>
      </w:r>
      <w:r>
        <w:rPr>
          <w:rFonts w:hint="eastAsia" w:ascii="仿宋_GB2312" w:eastAsia="仿宋_GB2312" w:cs="仿宋_GB2312"/>
          <w:b/>
          <w:bCs w:val="0"/>
          <w:kern w:val="0"/>
          <w:sz w:val="32"/>
          <w:szCs w:val="32"/>
          <w:highlight w:val="none"/>
          <w:lang w:eastAsia="zh-CN"/>
        </w:rPr>
        <w:t>况</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54.63</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40.29</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14.33</w:t>
      </w:r>
      <w:r>
        <w:rPr>
          <w:rFonts w:hint="eastAsia" w:ascii="仿宋_GB2312" w:eastAsia="仿宋_GB2312" w:cs="仿宋_GB2312"/>
          <w:b w:val="0"/>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政府基金预算财政拨款</w:t>
      </w:r>
      <w:r>
        <w:rPr>
          <w:rFonts w:hint="eastAsia" w:ascii="仿宋_GB2312" w:eastAsia="仿宋_GB2312" w:cs="仿宋_GB2312"/>
          <w:bCs/>
          <w:kern w:val="0"/>
          <w:sz w:val="32"/>
          <w:szCs w:val="32"/>
          <w:lang w:eastAsia="zh-CN"/>
        </w:rPr>
        <w:t>预算及</w:t>
      </w:r>
      <w:r>
        <w:rPr>
          <w:rFonts w:hint="eastAsia" w:ascii="仿宋_GB2312" w:eastAsia="仿宋_GB2312" w:cs="仿宋_GB2312"/>
          <w:bCs/>
          <w:kern w:val="0"/>
          <w:sz w:val="32"/>
          <w:szCs w:val="32"/>
        </w:rPr>
        <w:t xml:space="preserve">决算 </w:t>
      </w:r>
      <w:r>
        <w:rPr>
          <w:rFonts w:hint="eastAsia" w:ascii="仿宋_GB2312" w:eastAsia="仿宋_GB2312" w:cs="仿宋_GB2312"/>
          <w:bCs/>
          <w:kern w:val="0"/>
          <w:sz w:val="32"/>
          <w:szCs w:val="32"/>
          <w:lang w:eastAsia="zh-CN"/>
        </w:rPr>
        <w:t>。</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yellow"/>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年度预算绩效情况说明</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根据财政预算管理要求，我部门组织对</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 预算项目支出全面开展绩效自评。其中，一级项目</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个，二 级项目</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个，共涉及预算资金</w:t>
      </w:r>
      <w:r>
        <w:rPr>
          <w:rFonts w:hint="eastAsia" w:ascii="仿宋_GB2312" w:eastAsia="仿宋_GB2312" w:cs="仿宋_GB2312"/>
          <w:bCs/>
          <w:kern w:val="0"/>
          <w:sz w:val="32"/>
          <w:szCs w:val="32"/>
          <w:lang w:val="en-US" w:eastAsia="zh-CN"/>
        </w:rPr>
        <w:t>17.83</w:t>
      </w:r>
      <w:r>
        <w:rPr>
          <w:rFonts w:hint="eastAsia" w:ascii="仿宋_GB2312" w:eastAsia="仿宋_GB2312" w:cs="仿宋_GB2312"/>
          <w:bCs/>
          <w:kern w:val="0"/>
          <w:sz w:val="32"/>
          <w:szCs w:val="32"/>
        </w:rPr>
        <w:t xml:space="preserve">万元，自评覆盖率达到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numPr>
          <w:ilvl w:val="0"/>
          <w:numId w:val="1"/>
        </w:numPr>
        <w:autoSpaceDE w:val="0"/>
        <w:autoSpaceDN w:val="0"/>
        <w:adjustRightInd w:val="0"/>
        <w:ind w:left="0" w:leftChars="0"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numPr>
          <w:ilvl w:val="0"/>
          <w:numId w:val="0"/>
        </w:numPr>
        <w:autoSpaceDE w:val="0"/>
        <w:autoSpaceDN w:val="0"/>
        <w:adjustRightInd w:val="0"/>
        <w:ind w:leftChars="200"/>
        <w:jc w:val="left"/>
        <w:rPr>
          <w:rFonts w:hint="eastAsia" w:ascii="仿宋_GB2312" w:eastAsia="仿宋_GB2312" w:cs="仿宋_GB2312"/>
          <w:bCs/>
          <w:kern w:val="0"/>
          <w:sz w:val="32"/>
          <w:szCs w:val="32"/>
        </w:rPr>
      </w:pPr>
      <w:r>
        <w:rPr>
          <w:rFonts w:hint="eastAsia" w:ascii="仿宋_GB2312" w:eastAsia="仿宋_GB2312" w:cs="仿宋_GB2312"/>
          <w:bCs/>
          <w:color w:val="auto"/>
          <w:kern w:val="0"/>
          <w:sz w:val="32"/>
          <w:szCs w:val="32"/>
          <w:highlight w:val="none"/>
          <w:lang w:eastAsia="zh-CN"/>
        </w:rPr>
        <w:t>绩效评价结果显示，上述项目</w:t>
      </w:r>
      <w:r>
        <w:rPr>
          <w:rFonts w:hint="eastAsia" w:ascii="仿宋_GB2312" w:eastAsia="仿宋_GB2312" w:cs="仿宋_GB2312"/>
          <w:bCs/>
          <w:color w:val="000000"/>
          <w:kern w:val="0"/>
          <w:sz w:val="32"/>
          <w:szCs w:val="32"/>
          <w:highlight w:val="none"/>
          <w:lang w:eastAsia="zh-CN"/>
        </w:rPr>
        <w:t>支出绩效情况理想，达到项目预算申请时设定的各项绩效目标。</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比 </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 xml:space="preserve">年增加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事业收入：指事业单位开展专业活动用辅助活动所取得的收入。如：</w:t>
      </w:r>
      <w:r>
        <w:rPr>
          <w:rFonts w:hint="eastAsia" w:ascii="仿宋_GB2312" w:eastAsia="仿宋_GB2312"/>
          <w:b w:val="0"/>
          <w:bCs/>
          <w:sz w:val="32"/>
          <w:szCs w:val="32"/>
          <w:lang w:val="en-US" w:eastAsia="zh-CN"/>
        </w:rPr>
        <w:t>......</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其他收入：指除上述“财政拨款收入”、“事业收入”、“经营收入”等以外的收入。主要是：</w:t>
      </w:r>
      <w:r>
        <w:rPr>
          <w:rFonts w:hint="eastAsia" w:ascii="仿宋_GB2312" w:eastAsia="仿宋_GB2312"/>
          <w:b w:val="0"/>
          <w:bCs/>
          <w:sz w:val="32"/>
          <w:szCs w:val="32"/>
          <w:lang w:val="en-US" w:eastAsia="zh-CN"/>
        </w:rPr>
        <w:t>......</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5DC4D3D"/>
    <w:rsid w:val="084D7DA3"/>
    <w:rsid w:val="0AF80201"/>
    <w:rsid w:val="0B41572B"/>
    <w:rsid w:val="0C6F665D"/>
    <w:rsid w:val="10583042"/>
    <w:rsid w:val="14EF03E0"/>
    <w:rsid w:val="190B20D4"/>
    <w:rsid w:val="19A376CB"/>
    <w:rsid w:val="1C795680"/>
    <w:rsid w:val="202E404A"/>
    <w:rsid w:val="21CA01AF"/>
    <w:rsid w:val="23102C31"/>
    <w:rsid w:val="24741E43"/>
    <w:rsid w:val="260E1A1A"/>
    <w:rsid w:val="26120CD5"/>
    <w:rsid w:val="26460DBA"/>
    <w:rsid w:val="27A60D24"/>
    <w:rsid w:val="283025E6"/>
    <w:rsid w:val="2A791C3E"/>
    <w:rsid w:val="2C4219FE"/>
    <w:rsid w:val="326D6EEF"/>
    <w:rsid w:val="34667486"/>
    <w:rsid w:val="35CF2F00"/>
    <w:rsid w:val="39A63F06"/>
    <w:rsid w:val="3B093899"/>
    <w:rsid w:val="3C79501C"/>
    <w:rsid w:val="3ED1439F"/>
    <w:rsid w:val="410F39DB"/>
    <w:rsid w:val="45164778"/>
    <w:rsid w:val="4C256E3D"/>
    <w:rsid w:val="4CB52F0F"/>
    <w:rsid w:val="4D497C88"/>
    <w:rsid w:val="4F2B4FE9"/>
    <w:rsid w:val="532F1F9A"/>
    <w:rsid w:val="54101655"/>
    <w:rsid w:val="5B90523C"/>
    <w:rsid w:val="5E0E535B"/>
    <w:rsid w:val="5F191759"/>
    <w:rsid w:val="5FC752C6"/>
    <w:rsid w:val="607A53CE"/>
    <w:rsid w:val="62163194"/>
    <w:rsid w:val="66855CDC"/>
    <w:rsid w:val="6FAD6146"/>
    <w:rsid w:val="752C370E"/>
    <w:rsid w:val="76AB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BroCColi</cp:lastModifiedBy>
  <dcterms:modified xsi:type="dcterms:W3CDTF">2024-10-17T01:53:27Z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CDEEE1B077C14BC19515AA8920C43D50</vt:lpwstr>
  </property>
</Properties>
</file>