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cs="ArialUnicodeMS"/>
          <w:kern w:val="0"/>
          <w:sz w:val="52"/>
          <w:szCs w:val="52"/>
        </w:rPr>
      </w:pPr>
      <w:r>
        <w:rPr>
          <w:rFonts w:hint="eastAsia" w:ascii="黑体" w:eastAsia="黑体" w:cs="ArialUnicodeMS"/>
          <w:kern w:val="0"/>
          <w:sz w:val="52"/>
          <w:szCs w:val="52"/>
        </w:rPr>
        <w:t>柳州市柳东新区建设工程质量安全监督站</w:t>
      </w:r>
      <w:r>
        <w:rPr>
          <w:rFonts w:hint="eastAsia" w:ascii="黑体" w:eastAsia="黑体"/>
          <w:kern w:val="0"/>
          <w:sz w:val="52"/>
          <w:szCs w:val="52"/>
        </w:rPr>
        <w:t>2019</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第一部分：柳州市柳东新区建设工程质量安全监督站概况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第二部分：柳州市柳东新区建设工程质量安全监督站2019年部门决算报表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第三部分：柳州市柳东新区建设工程质量安全监督站2019年度部门决算情况说明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2019</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2019</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2019</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2019</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第一部分：柳州市柳东新区建设工程质量安全监督站概况</w:t>
      </w:r>
    </w:p>
    <w:p>
      <w:pPr>
        <w:ind w:firstLine="646"/>
        <w:rPr>
          <w:rFonts w:ascii="仿宋_GB2312" w:eastAsia="仿宋_GB2312"/>
          <w:sz w:val="32"/>
          <w:szCs w:val="32"/>
        </w:rPr>
      </w:pPr>
      <w:r>
        <w:rPr>
          <w:rFonts w:hint="eastAsia" w:ascii="仿宋_GB2312" w:eastAsia="仿宋_GB2312"/>
          <w:sz w:val="32"/>
          <w:szCs w:val="32"/>
        </w:rPr>
        <w:t>一、主要职能</w:t>
      </w:r>
    </w:p>
    <w:p>
      <w:pPr>
        <w:snapToGrid w:val="0"/>
        <w:spacing w:line="520" w:lineRule="exact"/>
        <w:ind w:firstLine="640" w:firstLineChars="200"/>
        <w:rPr>
          <w:rFonts w:ascii="仿宋_GB2312" w:hAnsi="仿宋" w:eastAsia="仿宋_GB2312"/>
          <w:sz w:val="32"/>
          <w:szCs w:val="32"/>
        </w:rPr>
      </w:pPr>
      <w:r>
        <w:rPr>
          <w:rStyle w:val="7"/>
          <w:rFonts w:hint="eastAsia" w:ascii="仿宋_GB2312" w:eastAsia="仿宋_GB2312"/>
          <w:sz w:val="32"/>
          <w:szCs w:val="32"/>
        </w:rPr>
        <w:t>为柳东新区、阳和工业新区范围内建设提供质量安全监督保障服务。对建设工程质量安全实施监督，对建设工程参建各方责任主体质量行为进行监督管理，受理建设工程质量安全监督登记并实施监督。</w:t>
      </w:r>
    </w:p>
    <w:p>
      <w:pPr>
        <w:ind w:firstLine="646"/>
        <w:rPr>
          <w:rFonts w:ascii="仿宋_GB2312" w:eastAsia="仿宋_GB2312"/>
          <w:sz w:val="32"/>
          <w:szCs w:val="32"/>
        </w:rPr>
      </w:pPr>
      <w:r>
        <w:rPr>
          <w:rFonts w:hint="eastAsia" w:ascii="仿宋_GB2312" w:eastAsia="仿宋_GB2312"/>
          <w:sz w:val="32"/>
          <w:szCs w:val="32"/>
        </w:rPr>
        <w:t>二、部门决算单位构成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柳州市柳东新区建设工程质量安全监督站，为全额拨款事业单位，机构规格相当副科级，核定编制12名，设站长1名，副站长1名（不定级别），属柳东新区管理委员会二层事业单位。</w:t>
      </w: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第二部分：柳州市柳东新区建设工程质量安全监督站</w:t>
      </w:r>
    </w:p>
    <w:p>
      <w:pPr>
        <w:rPr>
          <w:rFonts w:ascii="仿宋_GB2312" w:eastAsia="仿宋_GB2312"/>
          <w:b/>
          <w:sz w:val="32"/>
          <w:szCs w:val="32"/>
        </w:rPr>
      </w:pPr>
      <w:r>
        <w:rPr>
          <w:rFonts w:hint="eastAsia" w:ascii="仿宋_GB2312" w:eastAsia="仿宋_GB2312"/>
          <w:b/>
          <w:sz w:val="32"/>
          <w:szCs w:val="32"/>
        </w:rPr>
        <w:t xml:space="preserve"> 2019年部门决算报表</w:t>
      </w:r>
    </w:p>
    <w:p>
      <w:pPr>
        <w:jc w:val="center"/>
      </w:pPr>
    </w:p>
    <w:p/>
    <w:tbl>
      <w:tblPr>
        <w:tblStyle w:val="4"/>
        <w:tblW w:w="8720" w:type="dxa"/>
        <w:jc w:val="center"/>
        <w:tblLayout w:type="fixed"/>
        <w:tblCellMar>
          <w:top w:w="0" w:type="dxa"/>
          <w:left w:w="108" w:type="dxa"/>
          <w:bottom w:w="0" w:type="dxa"/>
          <w:right w:w="108" w:type="dxa"/>
        </w:tblCellMar>
      </w:tblPr>
      <w:tblGrid>
        <w:gridCol w:w="3029"/>
        <w:gridCol w:w="951"/>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9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242.79</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14.44</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0.07</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6.83</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八、城乡社区支出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203.13</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九、住房保障支出</w:t>
            </w:r>
          </w:p>
        </w:tc>
        <w:tc>
          <w:tcPr>
            <w:tcW w:w="1617" w:type="dxa"/>
            <w:gridSpan w:val="2"/>
            <w:tcBorders>
              <w:top w:val="nil"/>
              <w:left w:val="nil"/>
              <w:bottom w:val="single" w:color="auto" w:sz="4" w:space="0"/>
              <w:right w:val="single" w:color="auto" w:sz="4" w:space="0"/>
            </w:tcBorders>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16.85</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十、其他支出</w:t>
            </w:r>
          </w:p>
        </w:tc>
        <w:tc>
          <w:tcPr>
            <w:tcW w:w="1617" w:type="dxa"/>
            <w:gridSpan w:val="2"/>
            <w:tcBorders>
              <w:top w:val="nil"/>
              <w:left w:val="nil"/>
              <w:bottom w:val="single" w:color="auto" w:sz="4" w:space="0"/>
              <w:right w:val="single" w:color="auto" w:sz="4" w:space="0"/>
            </w:tcBorders>
            <w:vAlign w:val="center"/>
          </w:tcPr>
          <w:p>
            <w:pPr>
              <w:widowControl/>
              <w:ind w:firstLine="220" w:firstLineChars="100"/>
              <w:jc w:val="left"/>
              <w:rPr>
                <w:rFonts w:ascii="宋体" w:hAnsi="宋体" w:cs="宋体"/>
                <w:color w:val="000000"/>
                <w:kern w:val="0"/>
                <w:sz w:val="22"/>
                <w:szCs w:val="22"/>
              </w:rPr>
            </w:pPr>
            <w:r>
              <w:rPr>
                <w:rFonts w:hint="eastAsia" w:ascii="宋体" w:hAnsi="宋体" w:cs="宋体"/>
                <w:color w:val="000000"/>
                <w:kern w:val="0"/>
                <w:sz w:val="22"/>
                <w:szCs w:val="22"/>
              </w:rPr>
              <w:t>0.06</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951"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242.86</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241.31</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6.86</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8.41</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30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951"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249.72</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ascii="宋体" w:hAnsi="宋体" w:cs="宋体"/>
                <w:b/>
                <w:color w:val="000000"/>
                <w:kern w:val="0"/>
                <w:sz w:val="22"/>
                <w:szCs w:val="22"/>
              </w:rPr>
              <w:t>　249.72</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4"/>
        <w:tblW w:w="14926" w:type="dxa"/>
        <w:tblInd w:w="0" w:type="dxa"/>
        <w:tblLayout w:type="fixed"/>
        <w:tblCellMar>
          <w:top w:w="0" w:type="dxa"/>
          <w:left w:w="108" w:type="dxa"/>
          <w:bottom w:w="0" w:type="dxa"/>
          <w:right w:w="108" w:type="dxa"/>
        </w:tblCellMar>
      </w:tblPr>
      <w:tblGrid>
        <w:gridCol w:w="436"/>
        <w:gridCol w:w="436"/>
        <w:gridCol w:w="436"/>
        <w:gridCol w:w="3770"/>
        <w:gridCol w:w="1366"/>
        <w:gridCol w:w="1366"/>
        <w:gridCol w:w="1336"/>
        <w:gridCol w:w="1336"/>
        <w:gridCol w:w="1336"/>
        <w:gridCol w:w="840"/>
        <w:gridCol w:w="1276"/>
        <w:gridCol w:w="992"/>
      </w:tblGrid>
      <w:tr>
        <w:tblPrEx>
          <w:tblCellMar>
            <w:top w:w="0" w:type="dxa"/>
            <w:left w:w="108" w:type="dxa"/>
            <w:bottom w:w="0" w:type="dxa"/>
            <w:right w:w="108" w:type="dxa"/>
          </w:tblCellMar>
        </w:tblPrEx>
        <w:trPr>
          <w:trHeight w:val="308" w:hRule="atLeast"/>
        </w:trPr>
        <w:tc>
          <w:tcPr>
            <w:tcW w:w="507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36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36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33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2672" w:type="dxa"/>
            <w:gridSpan w:val="2"/>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84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27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992" w:type="dxa"/>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377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36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3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其中：教育收费</w:t>
            </w:r>
          </w:p>
        </w:tc>
        <w:tc>
          <w:tcPr>
            <w:tcW w:w="8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92"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92"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3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92"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77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36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36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3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3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3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8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992"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77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242.86</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242.79</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0.07</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15.38</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15.38</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15.38</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15.38</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15.38</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15.38</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7.43</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7.43</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7.43</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7.43</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7.43</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7.43</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城乡社区支出</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203.13</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203.13</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21206</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建设市场管理与监督</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203.13</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203.13</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2120601</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建设市场管理与监督</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203.13</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203.13</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16.85</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16.85</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16.85</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16.85</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16.85</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16.85</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0.07</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0.07</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0.07</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0.07</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2299901</w:t>
            </w:r>
          </w:p>
        </w:tc>
        <w:tc>
          <w:tcPr>
            <w:tcW w:w="3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其他支出</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0.07</w:t>
            </w:r>
          </w:p>
        </w:tc>
        <w:tc>
          <w:tcPr>
            <w:tcW w:w="136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3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4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0.07</w:t>
            </w:r>
          </w:p>
        </w:tc>
      </w:tr>
    </w:tbl>
    <w:p/>
    <w:p>
      <w:r>
        <w:rPr>
          <w:rFonts w:hint="eastAsia"/>
        </w:rPr>
        <w:t>注：本表反映部门本年度取得的各项收入情况。</w:t>
      </w:r>
    </w:p>
    <w:p>
      <w:pPr>
        <w:jc w:val="center"/>
      </w:pPr>
      <w:r>
        <w:rPr>
          <w:rFonts w:hint="eastAsia" w:ascii="方正小标宋简体" w:hAnsi="宋体" w:eastAsia="方正小标宋简体" w:cs="宋体"/>
          <w:kern w:val="0"/>
          <w:sz w:val="36"/>
          <w:szCs w:val="36"/>
        </w:rPr>
        <w:t>表三：支出决算表</w:t>
      </w:r>
    </w:p>
    <w:p>
      <w:pPr>
        <w:ind w:right="880"/>
        <w:jc w:val="center"/>
      </w:pPr>
      <w:r>
        <w:rPr>
          <w:rFonts w:hint="eastAsia"/>
          <w:sz w:val="22"/>
          <w:szCs w:val="22"/>
        </w:rPr>
        <w:t xml:space="preserve">                                                                                      单位：万元</w:t>
      </w:r>
    </w:p>
    <w:tbl>
      <w:tblPr>
        <w:tblStyle w:val="4"/>
        <w:tblW w:w="12746" w:type="dxa"/>
        <w:tblInd w:w="93" w:type="dxa"/>
        <w:tblLayout w:type="fixed"/>
        <w:tblCellMar>
          <w:top w:w="0" w:type="dxa"/>
          <w:left w:w="108" w:type="dxa"/>
          <w:bottom w:w="0" w:type="dxa"/>
          <w:right w:w="108" w:type="dxa"/>
        </w:tblCellMar>
      </w:tblPr>
      <w:tblGrid>
        <w:gridCol w:w="436"/>
        <w:gridCol w:w="436"/>
        <w:gridCol w:w="436"/>
        <w:gridCol w:w="3770"/>
        <w:gridCol w:w="1282"/>
        <w:gridCol w:w="1282"/>
        <w:gridCol w:w="1279"/>
        <w:gridCol w:w="1275"/>
        <w:gridCol w:w="1275"/>
        <w:gridCol w:w="1275"/>
      </w:tblGrid>
      <w:tr>
        <w:tblPrEx>
          <w:tblCellMar>
            <w:top w:w="0" w:type="dxa"/>
            <w:left w:w="108" w:type="dxa"/>
            <w:bottom w:w="0" w:type="dxa"/>
            <w:right w:w="108" w:type="dxa"/>
          </w:tblCellMar>
        </w:tblPrEx>
        <w:trPr>
          <w:trHeight w:val="308" w:hRule="atLeast"/>
        </w:trPr>
        <w:tc>
          <w:tcPr>
            <w:tcW w:w="507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项目</w:t>
            </w:r>
          </w:p>
        </w:tc>
        <w:tc>
          <w:tcPr>
            <w:tcW w:w="1282"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本年支出合计</w:t>
            </w:r>
          </w:p>
        </w:tc>
        <w:tc>
          <w:tcPr>
            <w:tcW w:w="1282"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基本支出</w:t>
            </w:r>
          </w:p>
        </w:tc>
        <w:tc>
          <w:tcPr>
            <w:tcW w:w="1279"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项目支出</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上缴上级支出</w:t>
            </w:r>
          </w:p>
        </w:tc>
        <w:tc>
          <w:tcPr>
            <w:tcW w:w="1275" w:type="dxa"/>
            <w:vMerge w:val="restart"/>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经营支出</w:t>
            </w:r>
          </w:p>
        </w:tc>
        <w:tc>
          <w:tcPr>
            <w:tcW w:w="1275" w:type="dxa"/>
            <w:vMerge w:val="restart"/>
            <w:tcBorders>
              <w:top w:val="single" w:color="000000" w:sz="4" w:space="0"/>
              <w:left w:val="nil"/>
              <w:bottom w:val="single" w:color="000000" w:sz="4" w:space="0"/>
              <w:right w:val="single" w:color="000000" w:sz="8"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对附属单位补助支出</w:t>
            </w:r>
          </w:p>
        </w:tc>
      </w:tr>
      <w:tr>
        <w:tblPrEx>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支出功能分类科目编码</w:t>
            </w:r>
          </w:p>
        </w:tc>
        <w:tc>
          <w:tcPr>
            <w:tcW w:w="3770"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科目名称</w:t>
            </w:r>
          </w:p>
        </w:tc>
        <w:tc>
          <w:tcPr>
            <w:tcW w:w="128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8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5"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5"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5" w:type="dxa"/>
            <w:vMerge w:val="continue"/>
            <w:tcBorders>
              <w:top w:val="single" w:color="000000" w:sz="4" w:space="0"/>
              <w:left w:val="nil"/>
              <w:bottom w:val="single" w:color="000000" w:sz="4"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377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28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8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5"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5"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5" w:type="dxa"/>
            <w:vMerge w:val="continue"/>
            <w:tcBorders>
              <w:top w:val="single" w:color="000000" w:sz="4" w:space="0"/>
              <w:left w:val="nil"/>
              <w:bottom w:val="single" w:color="000000" w:sz="4"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3770"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128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82"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9"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5"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5" w:type="dxa"/>
            <w:vMerge w:val="continue"/>
            <w:tcBorders>
              <w:top w:val="single" w:color="000000" w:sz="4" w:space="0"/>
              <w:left w:val="nil"/>
              <w:bottom w:val="single" w:color="000000" w:sz="4" w:space="0"/>
              <w:right w:val="single" w:color="000000" w:sz="4" w:space="0"/>
            </w:tcBorders>
            <w:vAlign w:val="center"/>
          </w:tcPr>
          <w:p>
            <w:pPr>
              <w:rPr>
                <w:rFonts w:ascii="宋体" w:hAnsi="宋体" w:cs="Arial"/>
                <w:color w:val="000000"/>
                <w:sz w:val="22"/>
                <w:szCs w:val="22"/>
              </w:rPr>
            </w:pPr>
          </w:p>
        </w:tc>
        <w:tc>
          <w:tcPr>
            <w:tcW w:w="1275" w:type="dxa"/>
            <w:vMerge w:val="continue"/>
            <w:tcBorders>
              <w:top w:val="single" w:color="000000" w:sz="4" w:space="0"/>
              <w:left w:val="nil"/>
              <w:bottom w:val="single" w:color="000000" w:sz="4" w:space="0"/>
              <w:right w:val="single" w:color="000000" w:sz="8" w:space="0"/>
            </w:tcBorders>
            <w:vAlign w:val="center"/>
          </w:tcPr>
          <w:p>
            <w:pPr>
              <w:rPr>
                <w:rFonts w:ascii="宋体" w:hAnsi="宋体" w:cs="Arial"/>
                <w:color w:val="000000"/>
                <w:sz w:val="22"/>
                <w:szCs w:val="22"/>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类</w:t>
            </w:r>
          </w:p>
        </w:tc>
        <w:tc>
          <w:tcPr>
            <w:tcW w:w="436"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款</w:t>
            </w:r>
          </w:p>
        </w:tc>
        <w:tc>
          <w:tcPr>
            <w:tcW w:w="436"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项</w:t>
            </w:r>
          </w:p>
        </w:tc>
        <w:tc>
          <w:tcPr>
            <w:tcW w:w="3770"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栏次</w:t>
            </w:r>
          </w:p>
        </w:tc>
        <w:tc>
          <w:tcPr>
            <w:tcW w:w="1282"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1</w:t>
            </w:r>
          </w:p>
        </w:tc>
        <w:tc>
          <w:tcPr>
            <w:tcW w:w="1282"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2</w:t>
            </w:r>
          </w:p>
        </w:tc>
        <w:tc>
          <w:tcPr>
            <w:tcW w:w="1279"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3</w:t>
            </w:r>
          </w:p>
        </w:tc>
        <w:tc>
          <w:tcPr>
            <w:tcW w:w="1275"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4</w:t>
            </w:r>
          </w:p>
        </w:tc>
        <w:tc>
          <w:tcPr>
            <w:tcW w:w="1275"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5</w:t>
            </w:r>
          </w:p>
        </w:tc>
        <w:tc>
          <w:tcPr>
            <w:tcW w:w="1275" w:type="dxa"/>
            <w:tcBorders>
              <w:top w:val="nil"/>
              <w:left w:val="nil"/>
              <w:bottom w:val="single" w:color="000000" w:sz="4" w:space="0"/>
              <w:right w:val="single" w:color="000000" w:sz="8"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6</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36"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436"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3770"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合计</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241.31</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226.71</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14.60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2080505</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卫生健康支出</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2101102</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城乡社区支出</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203.13</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188.53</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14.60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21206</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建设市场管理与监督</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203.13</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188.53</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14.60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2120601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建设市场管理与监督</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203.13</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188.53</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14.60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住房保障支出</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住房改革支出</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其他支出</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0.06</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0.06</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22999</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其他支出</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0.06</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0.06</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2299901</w:t>
            </w:r>
          </w:p>
        </w:tc>
        <w:tc>
          <w:tcPr>
            <w:tcW w:w="3770"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其他支出</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0.06</w:t>
            </w:r>
          </w:p>
        </w:tc>
        <w:tc>
          <w:tcPr>
            <w:tcW w:w="1282"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0.06</w:t>
            </w:r>
          </w:p>
        </w:tc>
        <w:tc>
          <w:tcPr>
            <w:tcW w:w="1279"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c>
          <w:tcPr>
            <w:tcW w:w="1275" w:type="dxa"/>
            <w:tcBorders>
              <w:top w:val="nil"/>
              <w:left w:val="nil"/>
              <w:bottom w:val="single" w:color="000000" w:sz="4" w:space="0"/>
              <w:right w:val="single" w:color="000000" w:sz="8"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bl>
    <w:p/>
    <w:p>
      <w:r>
        <w:rPr>
          <w:rFonts w:hint="eastAsia"/>
        </w:rPr>
        <w:t>注：本表反映部门本年度各项支出情况。</w:t>
      </w:r>
    </w:p>
    <w:p>
      <w:pPr>
        <w:ind w:firstLine="3600" w:firstLineChars="10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pPr>
      <w:r>
        <w:rPr>
          <w:rFonts w:hint="eastAsia" w:ascii="方正小标宋简体" w:hAnsi="宋体" w:eastAsia="方正小标宋简体" w:cs="宋体"/>
          <w:kern w:val="0"/>
          <w:sz w:val="36"/>
          <w:szCs w:val="36"/>
        </w:rPr>
        <w:t xml:space="preserve">                                    </w:t>
      </w:r>
      <w:r>
        <w:rPr>
          <w:rFonts w:hint="eastAsia"/>
          <w:sz w:val="22"/>
          <w:szCs w:val="22"/>
        </w:rPr>
        <w:t>单位：万元</w:t>
      </w:r>
    </w:p>
    <w:tbl>
      <w:tblPr>
        <w:tblStyle w:val="4"/>
        <w:tblW w:w="13765" w:type="dxa"/>
        <w:jc w:val="center"/>
        <w:tblLayout w:type="fixed"/>
        <w:tblCellMar>
          <w:top w:w="0" w:type="dxa"/>
          <w:left w:w="108" w:type="dxa"/>
          <w:bottom w:w="0" w:type="dxa"/>
          <w:right w:w="108" w:type="dxa"/>
        </w:tblCellMar>
      </w:tblPr>
      <w:tblGrid>
        <w:gridCol w:w="4299"/>
        <w:gridCol w:w="567"/>
        <w:gridCol w:w="1114"/>
        <w:gridCol w:w="3372"/>
        <w:gridCol w:w="681"/>
        <w:gridCol w:w="1267"/>
        <w:gridCol w:w="1149"/>
        <w:gridCol w:w="1316"/>
      </w:tblGrid>
      <w:tr>
        <w:tblPrEx>
          <w:tblCellMar>
            <w:top w:w="0" w:type="dxa"/>
            <w:left w:w="108" w:type="dxa"/>
            <w:bottom w:w="0" w:type="dxa"/>
            <w:right w:w="108" w:type="dxa"/>
          </w:tblCellMar>
        </w:tblPrEx>
        <w:trPr>
          <w:trHeight w:val="300" w:hRule="atLeast"/>
          <w:jc w:val="center"/>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jc w:val="center"/>
        </w:trPr>
        <w:tc>
          <w:tcPr>
            <w:tcW w:w="429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14"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67"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1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242.79</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1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七、社会保障和就业支出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　14.44</w:t>
            </w:r>
          </w:p>
        </w:tc>
        <w:tc>
          <w:tcPr>
            <w:tcW w:w="11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　14.44</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八、卫生健康支出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　6.83</w:t>
            </w:r>
          </w:p>
        </w:tc>
        <w:tc>
          <w:tcPr>
            <w:tcW w:w="11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　6.83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九、城乡社区支出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宋体"/>
                <w:color w:val="000000"/>
                <w:kern w:val="0"/>
                <w:sz w:val="22"/>
                <w:szCs w:val="22"/>
              </w:rPr>
              <w:t>203.13</w:t>
            </w:r>
          </w:p>
        </w:tc>
        <w:tc>
          <w:tcPr>
            <w:tcW w:w="1149"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000000"/>
                <w:kern w:val="0"/>
                <w:sz w:val="22"/>
                <w:szCs w:val="22"/>
              </w:rPr>
            </w:pPr>
            <w:r>
              <w:rPr>
                <w:rFonts w:hint="eastAsia" w:ascii="宋体" w:hAnsi="宋体" w:cs="宋体"/>
                <w:color w:val="000000"/>
                <w:kern w:val="0"/>
                <w:sz w:val="22"/>
                <w:szCs w:val="22"/>
              </w:rPr>
              <w:t>203.13</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十、住房保障支出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　16.85</w:t>
            </w:r>
          </w:p>
        </w:tc>
        <w:tc>
          <w:tcPr>
            <w:tcW w:w="11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　16.85</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1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242.79</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241.25</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1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宋体"/>
                <w:color w:val="000000"/>
                <w:kern w:val="0"/>
                <w:sz w:val="22"/>
                <w:szCs w:val="22"/>
              </w:rPr>
              <w:t>6.84</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8.37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1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6.84</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14"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114"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429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114"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249.62</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1540" w:firstLineChars="700"/>
              <w:rPr>
                <w:rFonts w:ascii="宋体" w:hAnsi="宋体" w:cs="Arial"/>
                <w:color w:val="000000"/>
                <w:kern w:val="0"/>
                <w:sz w:val="22"/>
                <w:szCs w:val="22"/>
              </w:rPr>
            </w:pPr>
            <w:r>
              <w:rPr>
                <w:rFonts w:hint="eastAsia" w:ascii="宋体" w:hAnsi="宋体" w:cs="Arial"/>
                <w:color w:val="000000"/>
                <w:kern w:val="0"/>
                <w:sz w:val="22"/>
                <w:szCs w:val="22"/>
              </w:rPr>
              <w:t>249.62</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ind w:right="880" w:firstLine="9460" w:firstLineChars="4300"/>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4"/>
        <w:tblW w:w="10917" w:type="dxa"/>
        <w:tblInd w:w="93" w:type="dxa"/>
        <w:tblLayout w:type="fixed"/>
        <w:tblCellMar>
          <w:top w:w="0" w:type="dxa"/>
          <w:left w:w="108" w:type="dxa"/>
          <w:bottom w:w="0" w:type="dxa"/>
          <w:right w:w="108" w:type="dxa"/>
        </w:tblCellMar>
      </w:tblPr>
      <w:tblGrid>
        <w:gridCol w:w="436"/>
        <w:gridCol w:w="436"/>
        <w:gridCol w:w="436"/>
        <w:gridCol w:w="4094"/>
        <w:gridCol w:w="1627"/>
        <w:gridCol w:w="1951"/>
        <w:gridCol w:w="1937"/>
      </w:tblGrid>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支出功能分类科目编码</w:t>
            </w:r>
          </w:p>
        </w:tc>
        <w:tc>
          <w:tcPr>
            <w:tcW w:w="4094"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科目名称</w:t>
            </w:r>
          </w:p>
        </w:tc>
        <w:tc>
          <w:tcPr>
            <w:tcW w:w="162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合计</w:t>
            </w:r>
          </w:p>
        </w:tc>
        <w:tc>
          <w:tcPr>
            <w:tcW w:w="1951"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基本支出</w:t>
            </w:r>
          </w:p>
        </w:tc>
        <w:tc>
          <w:tcPr>
            <w:tcW w:w="193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项目支出</w:t>
            </w: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类</w:t>
            </w:r>
          </w:p>
        </w:tc>
        <w:tc>
          <w:tcPr>
            <w:tcW w:w="436"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款</w:t>
            </w:r>
          </w:p>
        </w:tc>
        <w:tc>
          <w:tcPr>
            <w:tcW w:w="436" w:type="dxa"/>
            <w:vMerge w:val="restart"/>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项</w:t>
            </w:r>
          </w:p>
        </w:tc>
        <w:tc>
          <w:tcPr>
            <w:tcW w:w="4094"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栏次</w:t>
            </w:r>
          </w:p>
        </w:tc>
        <w:tc>
          <w:tcPr>
            <w:tcW w:w="162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7</w:t>
            </w:r>
          </w:p>
        </w:tc>
        <w:tc>
          <w:tcPr>
            <w:tcW w:w="1951"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8</w:t>
            </w:r>
          </w:p>
        </w:tc>
        <w:tc>
          <w:tcPr>
            <w:tcW w:w="1937"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11</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rPr>
                <w:rFonts w:ascii="宋体" w:hAnsi="宋体" w:cs="Arial"/>
                <w:color w:val="000000"/>
                <w:sz w:val="22"/>
                <w:szCs w:val="22"/>
              </w:rPr>
            </w:pPr>
          </w:p>
        </w:tc>
        <w:tc>
          <w:tcPr>
            <w:tcW w:w="436"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436" w:type="dxa"/>
            <w:vMerge w:val="continue"/>
            <w:tcBorders>
              <w:top w:val="nil"/>
              <w:left w:val="nil"/>
              <w:bottom w:val="single" w:color="000000" w:sz="4" w:space="0"/>
              <w:right w:val="single" w:color="000000" w:sz="4" w:space="0"/>
            </w:tcBorders>
            <w:vAlign w:val="center"/>
          </w:tcPr>
          <w:p>
            <w:pPr>
              <w:rPr>
                <w:rFonts w:ascii="宋体" w:hAnsi="宋体" w:cs="Arial"/>
                <w:color w:val="000000"/>
                <w:sz w:val="22"/>
                <w:szCs w:val="22"/>
              </w:rPr>
            </w:pPr>
          </w:p>
        </w:tc>
        <w:tc>
          <w:tcPr>
            <w:tcW w:w="4094" w:type="dxa"/>
            <w:tcBorders>
              <w:top w:val="nil"/>
              <w:left w:val="nil"/>
              <w:bottom w:val="single" w:color="000000" w:sz="4" w:space="0"/>
              <w:right w:val="single" w:color="000000" w:sz="4" w:space="0"/>
            </w:tcBorders>
            <w:shd w:val="clear" w:color="FFFFFF" w:fill="C0C0C0"/>
            <w:vAlign w:val="center"/>
          </w:tcPr>
          <w:p>
            <w:pPr>
              <w:jc w:val="center"/>
              <w:rPr>
                <w:rFonts w:ascii="宋体" w:hAnsi="宋体" w:cs="Arial"/>
                <w:color w:val="000000"/>
                <w:sz w:val="22"/>
                <w:szCs w:val="22"/>
              </w:rPr>
            </w:pPr>
            <w:r>
              <w:rPr>
                <w:rFonts w:hint="eastAsia" w:cs="Arial"/>
                <w:color w:val="000000"/>
                <w:sz w:val="22"/>
                <w:szCs w:val="22"/>
              </w:rPr>
              <w:t>合计</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241.25</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226.65</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14.60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2080505</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14.44</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卫生健康支出</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2101102</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6.83</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城乡社区支出</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203.13</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188.53</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14.60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21206</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建设市场管理与监督</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203.13</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188.53</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14.60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2120601</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建设市场管理与监督</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203.13</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188.53</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14.60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住房保障支出</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住房改革支出</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2210201</w:t>
            </w:r>
          </w:p>
        </w:tc>
        <w:tc>
          <w:tcPr>
            <w:tcW w:w="4094" w:type="dxa"/>
            <w:tcBorders>
              <w:top w:val="nil"/>
              <w:left w:val="nil"/>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62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951"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16.85</w:t>
            </w:r>
          </w:p>
        </w:tc>
        <w:tc>
          <w:tcPr>
            <w:tcW w:w="1937" w:type="dxa"/>
            <w:tcBorders>
              <w:top w:val="nil"/>
              <w:left w:val="nil"/>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0.00</w:t>
            </w:r>
          </w:p>
        </w:tc>
      </w:tr>
    </w:tbl>
    <w:p/>
    <w:p>
      <w:r>
        <w:rPr>
          <w:rFonts w:hint="eastAsia"/>
        </w:rPr>
        <w:t>注：本表反映部门本年度一般公共预算财政拨款实际支出情况。</w:t>
      </w:r>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9151" w:type="dxa"/>
        <w:tblInd w:w="93" w:type="dxa"/>
        <w:tblLayout w:type="fixed"/>
        <w:tblCellMar>
          <w:top w:w="0" w:type="dxa"/>
          <w:left w:w="108" w:type="dxa"/>
          <w:bottom w:w="0" w:type="dxa"/>
          <w:right w:w="108" w:type="dxa"/>
        </w:tblCellMar>
      </w:tblPr>
      <w:tblGrid>
        <w:gridCol w:w="916"/>
        <w:gridCol w:w="2927"/>
        <w:gridCol w:w="1144"/>
        <w:gridCol w:w="849"/>
        <w:gridCol w:w="1710"/>
        <w:gridCol w:w="1605"/>
      </w:tblGrid>
      <w:tr>
        <w:tblPrEx>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927"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44"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44" w:type="dxa"/>
            <w:tcBorders>
              <w:top w:val="nil"/>
              <w:left w:val="nil"/>
              <w:bottom w:val="single" w:color="auto" w:sz="4" w:space="0"/>
              <w:right w:val="single" w:color="auto" w:sz="4" w:space="0"/>
            </w:tcBorders>
            <w:vAlign w:val="bottom"/>
          </w:tcPr>
          <w:p>
            <w:pPr>
              <w:jc w:val="left"/>
              <w:rPr>
                <w:rFonts w:ascii="宋体" w:hAnsi="宋体" w:cs="Arial"/>
                <w:color w:val="000000"/>
                <w:kern w:val="0"/>
                <w:sz w:val="22"/>
                <w:szCs w:val="22"/>
              </w:rPr>
            </w:pPr>
            <w:r>
              <w:rPr>
                <w:rFonts w:hint="eastAsia" w:ascii="宋体" w:hAnsi="宋体" w:cs="Arial"/>
                <w:color w:val="000000"/>
                <w:kern w:val="0"/>
                <w:sz w:val="22"/>
                <w:szCs w:val="22"/>
              </w:rPr>
              <w:t>119.77</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14.78</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144"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r>
              <w:rPr>
                <w:rFonts w:hint="eastAsia" w:ascii="宋体" w:hAnsi="宋体" w:cs="Arial"/>
                <w:color w:val="000000"/>
                <w:kern w:val="0"/>
                <w:sz w:val="22"/>
                <w:szCs w:val="22"/>
              </w:rPr>
              <w:t>81.65</w:t>
            </w: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2.88</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14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资金  </w:t>
            </w:r>
            <w:r>
              <w:rPr>
                <w:rFonts w:ascii="宋体" w:hAnsi="宋体" w:cs="Arial"/>
                <w:color w:val="000000"/>
                <w:kern w:val="0"/>
                <w:sz w:val="22"/>
                <w:szCs w:val="22"/>
              </w:rPr>
              <w:t>　</w:t>
            </w:r>
          </w:p>
        </w:tc>
        <w:tc>
          <w:tcPr>
            <w:tcW w:w="11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1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0.42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手续费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14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14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w:t>
            </w:r>
          </w:p>
        </w:tc>
        <w:tc>
          <w:tcPr>
            <w:tcW w:w="114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14.44</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1.14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144" w:type="dxa"/>
            <w:tcBorders>
              <w:top w:val="nil"/>
              <w:left w:val="nil"/>
              <w:bottom w:val="single" w:color="auto" w:sz="4" w:space="0"/>
              <w:right w:val="single" w:color="auto" w:sz="4" w:space="0"/>
            </w:tcBorders>
            <w:vAlign w:val="bottom"/>
          </w:tcPr>
          <w:p>
            <w:pPr>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取暖费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职工基本医疗保险缴费</w:t>
            </w:r>
          </w:p>
        </w:tc>
        <w:tc>
          <w:tcPr>
            <w:tcW w:w="11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6.42</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物业管理费</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1.97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30113</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1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16.85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cs="Arial"/>
                <w:color w:val="000000"/>
                <w:sz w:val="22"/>
                <w:szCs w:val="22"/>
              </w:rPr>
              <w:t>差旅费</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1.34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其他工资福利支出</w:t>
            </w:r>
          </w:p>
        </w:tc>
        <w:tc>
          <w:tcPr>
            <w:tcW w:w="11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171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委托业务费</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4.43</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1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91.95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1.67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144" w:type="dxa"/>
            <w:tcBorders>
              <w:top w:val="nil"/>
              <w:left w:val="nil"/>
              <w:bottom w:val="single" w:color="auto" w:sz="4" w:space="0"/>
              <w:right w:val="single" w:color="auto" w:sz="4" w:space="0"/>
            </w:tcBorders>
            <w:vAlign w:val="bottom"/>
          </w:tcPr>
          <w:p>
            <w:pPr>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30299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60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1.36</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144" w:type="dxa"/>
            <w:tcBorders>
              <w:top w:val="nil"/>
              <w:left w:val="nil"/>
              <w:bottom w:val="single" w:color="auto" w:sz="4" w:space="0"/>
              <w:right w:val="single" w:color="auto" w:sz="4" w:space="0"/>
            </w:tcBorders>
            <w:vAlign w:val="bottom"/>
          </w:tcPr>
          <w:p>
            <w:pPr>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144" w:type="dxa"/>
            <w:tcBorders>
              <w:top w:val="nil"/>
              <w:left w:val="nil"/>
              <w:bottom w:val="single" w:color="auto" w:sz="4" w:space="0"/>
              <w:right w:val="single" w:color="auto" w:sz="4" w:space="0"/>
            </w:tcBorders>
            <w:vAlign w:val="bottom"/>
          </w:tcPr>
          <w:p>
            <w:pPr>
              <w:jc w:val="left"/>
              <w:rPr>
                <w:rFonts w:cs="Arial"/>
                <w:color w:val="000000"/>
                <w:sz w:val="22"/>
                <w:szCs w:val="22"/>
              </w:rPr>
            </w:pPr>
            <w:r>
              <w:rPr>
                <w:rFonts w:hint="eastAsia" w:cs="Arial"/>
                <w:color w:val="000000"/>
                <w:sz w:val="22"/>
                <w:szCs w:val="22"/>
              </w:rPr>
              <w:t>91.95</w:t>
            </w: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cs="Arial"/>
                <w:color w:val="00000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cs="Arial"/>
                <w:color w:val="00000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0.15</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1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1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927"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144"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60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trPr>
        <w:tc>
          <w:tcPr>
            <w:tcW w:w="384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44"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211.72</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rPr>
                <w:rFonts w:ascii="宋体" w:hAnsi="宋体" w:cs="Arial"/>
                <w:color w:val="000000"/>
                <w:kern w:val="0"/>
                <w:sz w:val="22"/>
                <w:szCs w:val="22"/>
              </w:rPr>
            </w:pPr>
            <w:r>
              <w:rPr>
                <w:rFonts w:hint="eastAsia" w:ascii="宋体" w:hAnsi="宋体" w:cs="Arial"/>
                <w:color w:val="000000"/>
                <w:kern w:val="0"/>
                <w:sz w:val="22"/>
                <w:szCs w:val="22"/>
              </w:rPr>
              <w:t>14.93</w:t>
            </w:r>
          </w:p>
        </w:tc>
      </w:tr>
    </w:tbl>
    <w:p/>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2019年度决算数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r>
        <w:rPr>
          <w:rFonts w:hint="eastAsia"/>
        </w:rPr>
        <w:t>注：本表反映部门本年度“三公”经费支出预决算情况。其中，2019年度预算数为“三公”经费年初预算数，决算数是包括当年一般公共预算财政拨款和以前年度结转资金安排的实际支出。</w:t>
      </w:r>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说明：柳州市柳东新区建设工程质量安全监督站没有“三公”经费收入，也没有“三公”经费安排的支出，故本表无数据。</w:t>
      </w: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pPr>
      <w:r>
        <w:rPr>
          <w:rFonts w:hint="eastAsia"/>
        </w:rPr>
        <w:t xml:space="preserve">    注：本表反映部门本年度政府性基金预算财政拨款收入支出及结转和结余情况。</w:t>
      </w:r>
    </w:p>
    <w:p>
      <w:pPr>
        <w:spacing w:line="560" w:lineRule="exact"/>
        <w:ind w:firstLine="420" w:firstLineChars="200"/>
      </w:pPr>
      <w:r>
        <w:rPr>
          <w:rFonts w:hint="eastAsia"/>
        </w:rPr>
        <w:t>说明: 柳州市柳东新区建设工程质量安全监督站没有政府性基金收入，也没有政府性基金安排的支出，故本表无数据。</w:t>
      </w:r>
    </w:p>
    <w:p>
      <w:pPr>
        <w:spacing w:line="560" w:lineRule="exact"/>
        <w:rPr>
          <w:rFonts w:ascii="仿宋_GB2312"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jc w:val="both"/>
        <w:rPr>
          <w:rFonts w:ascii="仿宋_GB2312" w:eastAsia="仿宋_GB2312"/>
          <w:b/>
          <w:sz w:val="32"/>
          <w:szCs w:val="32"/>
        </w:rPr>
      </w:pPr>
      <w:r>
        <w:rPr>
          <w:rFonts w:hint="eastAsia" w:ascii="仿宋_GB2312" w:eastAsia="仿宋_GB2312"/>
          <w:b/>
          <w:sz w:val="32"/>
          <w:szCs w:val="32"/>
        </w:rPr>
        <w:t>第三部分：柳州市柳东新区建设工程质量安全监督站2019年度部门决算情况说明</w:t>
      </w:r>
    </w:p>
    <w:p>
      <w:pPr>
        <w:autoSpaceDE w:val="0"/>
        <w:autoSpaceDN w:val="0"/>
        <w:adjustRightInd w:val="0"/>
        <w:spacing w:line="56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2019</w:t>
      </w:r>
      <w:r>
        <w:rPr>
          <w:rFonts w:hint="eastAsia" w:ascii="仿宋_GB2312" w:eastAsia="仿宋_GB2312" w:cs="仿宋_GB2312"/>
          <w:b/>
          <w:kern w:val="0"/>
          <w:sz w:val="32"/>
          <w:szCs w:val="32"/>
        </w:rPr>
        <w:t>年度收入支出决算总体情况</w:t>
      </w:r>
    </w:p>
    <w:p>
      <w:pPr>
        <w:snapToGrid w:val="0"/>
        <w:spacing w:line="520" w:lineRule="exact"/>
        <w:ind w:firstLine="643" w:firstLineChars="200"/>
        <w:jc w:val="both"/>
        <w:rPr>
          <w:rFonts w:ascii="仿宋" w:hAnsi="仿宋" w:eastAsia="仿宋" w:cs="宋体"/>
          <w:kern w:val="0"/>
          <w:sz w:val="32"/>
          <w:szCs w:val="32"/>
        </w:rPr>
      </w:pPr>
      <w:r>
        <w:rPr>
          <w:rFonts w:hint="eastAsia" w:ascii="仿宋_GB2312" w:eastAsia="仿宋_GB2312" w:cs="仿宋_GB2312"/>
          <w:b/>
          <w:kern w:val="0"/>
          <w:sz w:val="32"/>
          <w:szCs w:val="32"/>
        </w:rPr>
        <w:t xml:space="preserve"> </w:t>
      </w:r>
      <w:r>
        <w:rPr>
          <w:rFonts w:hint="eastAsia" w:ascii="仿宋" w:hAnsi="仿宋" w:eastAsia="仿宋" w:cs="宋体"/>
          <w:kern w:val="0"/>
          <w:sz w:val="32"/>
          <w:szCs w:val="32"/>
        </w:rPr>
        <w:t>2019年度收入总计242.86万元，支出总计241.31万元。2019年度收入总计242.86万元,</w:t>
      </w:r>
      <w:r>
        <w:rPr>
          <w:rFonts w:hint="eastAsia" w:ascii="仿宋_GB2312" w:eastAsia="仿宋_GB2312" w:cs="仿宋_GB2312"/>
          <w:bCs/>
          <w:kern w:val="0"/>
          <w:sz w:val="32"/>
          <w:szCs w:val="32"/>
        </w:rPr>
        <w:t xml:space="preserve"> 与2018年相比,增加9.84万元，比上年</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rPr>
        <w:t>4.22%；</w:t>
      </w:r>
      <w:r>
        <w:rPr>
          <w:rFonts w:hint="eastAsia" w:ascii="仿宋" w:hAnsi="仿宋" w:eastAsia="仿宋" w:cs="宋体"/>
          <w:kern w:val="0"/>
          <w:sz w:val="32"/>
          <w:szCs w:val="32"/>
        </w:rPr>
        <w:t>2019年度支出总计241.31万元，支出增加8.28万元，比上年</w:t>
      </w:r>
      <w:r>
        <w:rPr>
          <w:rFonts w:hint="eastAsia" w:ascii="仿宋_GB2312" w:eastAsia="仿宋_GB2312" w:cs="仿宋_GB2312"/>
          <w:bCs/>
          <w:kern w:val="0"/>
          <w:sz w:val="32"/>
          <w:szCs w:val="32"/>
          <w:lang w:eastAsia="zh-CN"/>
        </w:rPr>
        <w:t>增长</w:t>
      </w:r>
      <w:r>
        <w:rPr>
          <w:rFonts w:hint="eastAsia" w:ascii="仿宋" w:hAnsi="仿宋" w:eastAsia="仿宋" w:cs="宋体"/>
          <w:kern w:val="0"/>
          <w:sz w:val="32"/>
          <w:szCs w:val="32"/>
        </w:rPr>
        <w:t>3.55%。</w:t>
      </w:r>
    </w:p>
    <w:p>
      <w:pPr>
        <w:autoSpaceDE w:val="0"/>
        <w:autoSpaceDN w:val="0"/>
        <w:adjustRightInd w:val="0"/>
        <w:spacing w:line="56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2019</w:t>
      </w:r>
      <w:r>
        <w:rPr>
          <w:rFonts w:hint="eastAsia" w:ascii="仿宋_GB2312" w:eastAsia="仿宋_GB2312" w:cs="仿宋_GB2312"/>
          <w:b/>
          <w:kern w:val="0"/>
          <w:sz w:val="32"/>
          <w:szCs w:val="32"/>
        </w:rPr>
        <w:t>年度收入决算情况</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 w:hAnsi="仿宋" w:eastAsia="仿宋" w:cs="宋体"/>
          <w:kern w:val="0"/>
          <w:sz w:val="32"/>
          <w:szCs w:val="32"/>
        </w:rPr>
      </w:pPr>
      <w:r>
        <w:rPr>
          <w:rFonts w:hint="eastAsia" w:ascii="仿宋" w:hAnsi="仿宋" w:eastAsia="仿宋" w:cs="宋体"/>
          <w:kern w:val="0"/>
          <w:sz w:val="32"/>
          <w:szCs w:val="32"/>
        </w:rPr>
        <w:t>本年收入总计242.86万元，</w:t>
      </w:r>
      <w:r>
        <w:rPr>
          <w:rFonts w:hint="eastAsia" w:ascii="仿宋_GB2312" w:eastAsia="仿宋_GB2312" w:cs="仿宋_GB2312"/>
          <w:bCs/>
          <w:kern w:val="0"/>
          <w:sz w:val="32"/>
          <w:szCs w:val="32"/>
        </w:rPr>
        <w:t>其中：一般公共预算财政拨款收入242.79万元，占比99.97%;其他收入0.07万元，</w:t>
      </w:r>
      <w:r>
        <w:rPr>
          <w:rFonts w:hint="eastAsia" w:ascii="仿宋" w:hAnsi="仿宋" w:eastAsia="仿宋" w:cs="宋体"/>
          <w:kern w:val="0"/>
          <w:sz w:val="32"/>
          <w:szCs w:val="32"/>
        </w:rPr>
        <w:t>占比0.03%。</w:t>
      </w:r>
    </w:p>
    <w:p>
      <w:pPr>
        <w:autoSpaceDE w:val="0"/>
        <w:autoSpaceDN w:val="0"/>
        <w:adjustRightInd w:val="0"/>
        <w:spacing w:line="56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2019</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本年支出合计241.31 万元，其中：基本支出 226.71万元，占</w:t>
      </w:r>
      <w:r>
        <w:rPr>
          <w:rFonts w:hint="eastAsia" w:ascii="仿宋_GB2312" w:hAnsi="仿宋" w:eastAsia="仿宋_GB2312" w:cs="宋体"/>
          <w:kern w:val="0"/>
          <w:sz w:val="32"/>
          <w:szCs w:val="32"/>
        </w:rPr>
        <w:t>93.95</w:t>
      </w:r>
      <w:r>
        <w:rPr>
          <w:rFonts w:hint="eastAsia" w:ascii="仿宋_GB2312" w:eastAsia="仿宋_GB2312" w:cs="仿宋_GB2312"/>
          <w:bCs/>
          <w:kern w:val="0"/>
          <w:sz w:val="32"/>
          <w:szCs w:val="32"/>
        </w:rPr>
        <w:t>%；项目支出14.60万元， 占</w:t>
      </w:r>
      <w:r>
        <w:rPr>
          <w:rFonts w:hint="eastAsia" w:ascii="仿宋_GB2312" w:hAnsi="仿宋" w:eastAsia="仿宋_GB2312" w:cs="宋体"/>
          <w:kern w:val="0"/>
          <w:sz w:val="32"/>
          <w:szCs w:val="32"/>
        </w:rPr>
        <w:t>6.05</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2019</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本部门 2019年度财政拨款收入242.79万元，与2018年相比，增加9.85万元，比上年上涨4.23% ；</w:t>
      </w:r>
      <w:r>
        <w:rPr>
          <w:rFonts w:hint="eastAsia" w:ascii="仿宋" w:hAnsi="仿宋" w:eastAsia="仿宋" w:cs="宋体"/>
          <w:kern w:val="0"/>
          <w:sz w:val="32"/>
          <w:szCs w:val="32"/>
        </w:rPr>
        <w:t xml:space="preserve"> 2019年度财政拨款支出总计241.25万元，支出增加8.32万元，比上年上涨3.57%。</w:t>
      </w:r>
    </w:p>
    <w:p>
      <w:pPr>
        <w:autoSpaceDE w:val="0"/>
        <w:autoSpaceDN w:val="0"/>
        <w:adjustRightInd w:val="0"/>
        <w:spacing w:line="560" w:lineRule="exact"/>
        <w:ind w:firstLine="643" w:firstLineChars="200"/>
        <w:jc w:val="both"/>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2019年度一般公共预算财政拨款支出决算情况</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部门 2019年度财政拨款支出 241.25 万元，占本年支出合计的99.98%。与 2018 年相比，财政拨款支出增加 8.32万元，增加3.57%。</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bookmarkStart w:id="0" w:name="_GoBack"/>
      <w:r>
        <w:rPr>
          <w:rFonts w:hint="eastAsia" w:ascii="仿宋_GB2312" w:eastAsia="仿宋_GB2312" w:cs="仿宋_GB2312"/>
          <w:bCs/>
          <w:kern w:val="0"/>
          <w:sz w:val="32"/>
          <w:szCs w:val="32"/>
        </w:rPr>
        <w:t xml:space="preserve">  2019 年度财政拨款支出</w:t>
      </w:r>
      <w:r>
        <w:rPr>
          <w:rFonts w:hint="eastAsia" w:ascii="仿宋" w:hAnsi="仿宋" w:eastAsia="仿宋" w:cs="宋体"/>
          <w:kern w:val="0"/>
          <w:sz w:val="32"/>
          <w:szCs w:val="32"/>
        </w:rPr>
        <w:t>241.25</w:t>
      </w:r>
      <w:r>
        <w:rPr>
          <w:rFonts w:hint="eastAsia" w:ascii="仿宋_GB2312" w:eastAsia="仿宋_GB2312" w:cs="仿宋_GB2312"/>
          <w:bCs/>
          <w:kern w:val="0"/>
          <w:sz w:val="32"/>
          <w:szCs w:val="32"/>
        </w:rPr>
        <w:t xml:space="preserve"> 万元，主要用于以下方面：社会保障和就业（类）支出14.44万元，占5.99%；卫生健康支出6.83万元，占2.83%；城乡社区支出203.13万元，占84.20%；住房保障（类）支出16.85万元，占6.98%。</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 年度财政拨款支出年初预算为 241.25万元，支出决算为241.25 万元，完成年初预算的 100%。</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1. 社会保障和就业支出（类）行政事业单位离退休（款）机关事业单位基本养老保险缴费支出（项）。年初预算为14.44万元，支出决算为14.44万元，完成年初预算的100%。</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 卫生健康支出（类）行政事业单位医疗（款）事业单位医疗（项）。年初预算为6.83万元，支出决算为6.83万元，完成年初预算的100%。</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3. 城乡社区支出（类）建设市场管理与监督（款）建设市场管理与监督（项）。年初预算为203.13万元，支出决算为203.13万元，完成年初预算的100%。</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4.住房保障支出（类）住房改革支出（款）住房公积金（项）。年初预算为16.85万元，支出决算为16.85万元，完成年初预算的100%。</w:t>
      </w:r>
    </w:p>
    <w:p>
      <w:pPr>
        <w:autoSpaceDE w:val="0"/>
        <w:autoSpaceDN w:val="0"/>
        <w:adjustRightInd w:val="0"/>
        <w:spacing w:line="56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2019年度一般公共预算财政拨款基本支出决算情况</w:t>
      </w:r>
    </w:p>
    <w:p>
      <w:pPr>
        <w:autoSpaceDE w:val="0"/>
        <w:autoSpaceDN w:val="0"/>
        <w:adjustRightInd w:val="0"/>
        <w:spacing w:line="560" w:lineRule="exact"/>
        <w:ind w:firstLine="640" w:firstLineChars="200"/>
        <w:jc w:val="both"/>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2019年度财政拨款基本支出226.65万元，其中：</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人员经费211.72万元，主要包括：基本工资、机关事业单位基本养老保险缴费、其他社会保障缴费、职工基本医疗保险缴费、住房公积金、奖励金。</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公用经费14.93万元，主要 包括：办公费、邮电费、物业管理费、差旅费、委托业务费、工会经费、其他商品和服务支出、其他资本性支出。</w:t>
      </w:r>
    </w:p>
    <w:p>
      <w:pPr>
        <w:autoSpaceDE w:val="0"/>
        <w:autoSpaceDN w:val="0"/>
        <w:adjustRightInd w:val="0"/>
        <w:spacing w:line="560" w:lineRule="exact"/>
        <w:ind w:firstLine="643" w:firstLineChars="200"/>
        <w:jc w:val="both"/>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2019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2019 年度“三公”经费财政拨款支出预算为0万元，支出决算为0万元，完成预算的0%，其中：因公出国（境）费支出决算为0万元，完成预算的0%；公务用车购置及运行费支出决算为0万元，完成预算的0%；公务接待费支出决算为0万元，完成预算的0%。2019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2019年度“三公”经费财政拨款支出决算数比2018年减少0.50万元，下降100%，其中：因公出国（境）费支出决算减少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%；公务接待费支出决算减少0.50万元，下降100%。</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公务接待费支出减少的主要原因是认真贯彻落实中央八项规定精神和厉行节约要求，进一步从严控制“三公”经费开支。</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2019年度“三公”经费财政拨款支出决算中，因公出国（境）费支出决算0万元，占0%；公务用车购置及运行费支出决算0万元，占0 %；公务接待费支出决算0万元，占0 %。具体情况如下：  </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2.公务用车购置及运行费支出0万元。其中：公务用车购置支出为0万元。公务用车运行支出0万元。2019年，机关所属单位开支财政拨款的公务用车保有量为0辆。</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ind w:firstLine="64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外宾接待支出0万元。2019 年共接待国（境）外来访团组0个、来访外宾0人次。    </w:t>
      </w:r>
    </w:p>
    <w:p>
      <w:pPr>
        <w:autoSpaceDE w:val="0"/>
        <w:autoSpaceDN w:val="0"/>
        <w:adjustRightInd w:val="0"/>
        <w:spacing w:line="560" w:lineRule="exact"/>
        <w:ind w:firstLine="640"/>
        <w:jc w:val="both"/>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国内公务接待支出0万元。2019 年共接待国内来访团组0个、来宾0人次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 xml:space="preserve">2019 年度政府性基金预算财政拨款收入支出决算情况说明 </w:t>
      </w:r>
    </w:p>
    <w:p>
      <w:pPr>
        <w:autoSpaceDE w:val="0"/>
        <w:autoSpaceDN w:val="0"/>
        <w:adjustRightInd w:val="0"/>
        <w:spacing w:line="56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2019年度没有政府性基金收入，也没有政府性基金安排的支出。</w:t>
      </w:r>
    </w:p>
    <w:p>
      <w:pPr>
        <w:autoSpaceDE w:val="0"/>
        <w:autoSpaceDN w:val="0"/>
        <w:adjustRightInd w:val="0"/>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2019</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ind w:firstLine="630"/>
        <w:jc w:val="both"/>
        <w:rPr>
          <w:rFonts w:ascii="仿宋_GB2312" w:eastAsia="仿宋_GB2312" w:cs="仿宋_GB2312"/>
          <w:kern w:val="0"/>
          <w:sz w:val="32"/>
          <w:szCs w:val="32"/>
        </w:rPr>
      </w:pPr>
      <w:r>
        <w:rPr>
          <w:rFonts w:ascii="仿宋_GB2312" w:eastAsia="仿宋_GB2312" w:cs="仿宋_GB2312"/>
          <w:kern w:val="0"/>
          <w:sz w:val="32"/>
          <w:szCs w:val="32"/>
        </w:rPr>
        <w:t>1、聘请中介机构完成了2018年整体绩效评价；</w:t>
      </w:r>
    </w:p>
    <w:p>
      <w:pPr>
        <w:autoSpaceDE w:val="0"/>
        <w:autoSpaceDN w:val="0"/>
        <w:adjustRightInd w:val="0"/>
        <w:ind w:firstLine="630"/>
        <w:jc w:val="both"/>
        <w:rPr>
          <w:rFonts w:ascii="仿宋_GB2312" w:eastAsia="仿宋_GB2312" w:cs="仿宋_GB2312"/>
          <w:kern w:val="0"/>
          <w:sz w:val="32"/>
          <w:szCs w:val="32"/>
        </w:rPr>
      </w:pPr>
      <w:r>
        <w:rPr>
          <w:rFonts w:ascii="仿宋_GB2312" w:eastAsia="仿宋_GB2312" w:cs="仿宋_GB2312"/>
          <w:kern w:val="0"/>
          <w:sz w:val="32"/>
          <w:szCs w:val="32"/>
        </w:rPr>
        <w:t>2、完成2019年部门预算整体绩效及项目绩效自评</w:t>
      </w:r>
      <w:r>
        <w:rPr>
          <w:rFonts w:hint="eastAsia" w:ascii="仿宋_GB2312" w:eastAsia="仿宋_GB2312" w:cs="仿宋_GB2312"/>
          <w:kern w:val="0"/>
          <w:sz w:val="32"/>
          <w:szCs w:val="32"/>
        </w:rPr>
        <w:t>；</w:t>
      </w:r>
    </w:p>
    <w:p>
      <w:pPr>
        <w:autoSpaceDE w:val="0"/>
        <w:autoSpaceDN w:val="0"/>
        <w:adjustRightInd w:val="0"/>
        <w:ind w:firstLine="630"/>
        <w:jc w:val="both"/>
        <w:rPr>
          <w:rFonts w:ascii="仿宋_GB2312" w:eastAsia="仿宋_GB2312" w:cs="仿宋_GB2312"/>
          <w:kern w:val="0"/>
          <w:sz w:val="32"/>
          <w:szCs w:val="32"/>
        </w:rPr>
      </w:pPr>
      <w:r>
        <w:rPr>
          <w:rFonts w:ascii="仿宋_GB2312" w:eastAsia="仿宋_GB2312" w:cs="仿宋_GB2312"/>
          <w:kern w:val="0"/>
          <w:sz w:val="32"/>
          <w:szCs w:val="32"/>
        </w:rPr>
        <w:t>3、完成2020年部门预算绩效、项目绩效目标申报</w:t>
      </w:r>
      <w:r>
        <w:rPr>
          <w:rFonts w:hint="eastAsia" w:ascii="仿宋_GB2312" w:eastAsia="仿宋_GB2312" w:cs="仿宋_GB2312"/>
          <w:kern w:val="0"/>
          <w:sz w:val="32"/>
          <w:szCs w:val="32"/>
        </w:rPr>
        <w:t>。</w:t>
      </w:r>
    </w:p>
    <w:p>
      <w:pPr>
        <w:autoSpaceDE w:val="0"/>
        <w:autoSpaceDN w:val="0"/>
        <w:adjustRightInd w:val="0"/>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（二）部门决算中项目绩效自评结果。</w:t>
      </w:r>
    </w:p>
    <w:p>
      <w:pPr>
        <w:autoSpaceDE w:val="0"/>
        <w:autoSpaceDN w:val="0"/>
        <w:adjustRightInd w:val="0"/>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项目支出绩效情况较理想，已达到项目申请时设定的各项绩效目标。</w:t>
      </w:r>
    </w:p>
    <w:bookmarkEnd w:id="0"/>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（一）机关运行经费支出情况。2019年度部门机关运行经费支出0万元，比 2018年增加 0万元。</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（二）政府采购支出情况。2019年度部门政府采购支出总额0万元，其中：货物支出0万元、工程支出0万元、服务支出0万元。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（三）国有资产占用情况。截至年末部门共有车辆0辆。</w:t>
      </w:r>
    </w:p>
    <w:p>
      <w:pPr>
        <w:rPr>
          <w:rFonts w:hint="eastAsia"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C256E3D"/>
    <w:rsid w:val="00001C58"/>
    <w:rsid w:val="00012008"/>
    <w:rsid w:val="0001476B"/>
    <w:rsid w:val="00014C17"/>
    <w:rsid w:val="0004716B"/>
    <w:rsid w:val="00081572"/>
    <w:rsid w:val="000B5ADD"/>
    <w:rsid w:val="000B7E5C"/>
    <w:rsid w:val="000D0BCD"/>
    <w:rsid w:val="00171EEF"/>
    <w:rsid w:val="001D13B0"/>
    <w:rsid w:val="001E17E6"/>
    <w:rsid w:val="00225318"/>
    <w:rsid w:val="00274841"/>
    <w:rsid w:val="00282743"/>
    <w:rsid w:val="002A6CC4"/>
    <w:rsid w:val="002E652D"/>
    <w:rsid w:val="00311351"/>
    <w:rsid w:val="003E64D9"/>
    <w:rsid w:val="003F07A6"/>
    <w:rsid w:val="003F1408"/>
    <w:rsid w:val="003F5790"/>
    <w:rsid w:val="003F64D6"/>
    <w:rsid w:val="0046222A"/>
    <w:rsid w:val="00475986"/>
    <w:rsid w:val="00477921"/>
    <w:rsid w:val="00485C34"/>
    <w:rsid w:val="004918AA"/>
    <w:rsid w:val="004D5CB1"/>
    <w:rsid w:val="004F66B2"/>
    <w:rsid w:val="00513ED5"/>
    <w:rsid w:val="00537711"/>
    <w:rsid w:val="005812B8"/>
    <w:rsid w:val="00582FD8"/>
    <w:rsid w:val="005A2417"/>
    <w:rsid w:val="005C055D"/>
    <w:rsid w:val="005D1937"/>
    <w:rsid w:val="005E3D82"/>
    <w:rsid w:val="005E7518"/>
    <w:rsid w:val="006010DE"/>
    <w:rsid w:val="00632C93"/>
    <w:rsid w:val="006357E2"/>
    <w:rsid w:val="0065157C"/>
    <w:rsid w:val="00721598"/>
    <w:rsid w:val="00733655"/>
    <w:rsid w:val="0074232F"/>
    <w:rsid w:val="00747728"/>
    <w:rsid w:val="00752770"/>
    <w:rsid w:val="00756B81"/>
    <w:rsid w:val="00760B4F"/>
    <w:rsid w:val="00787503"/>
    <w:rsid w:val="00813A50"/>
    <w:rsid w:val="00822C6A"/>
    <w:rsid w:val="00830E51"/>
    <w:rsid w:val="00846542"/>
    <w:rsid w:val="008C4EBD"/>
    <w:rsid w:val="00965EE4"/>
    <w:rsid w:val="009A164A"/>
    <w:rsid w:val="009B101A"/>
    <w:rsid w:val="009E0E8F"/>
    <w:rsid w:val="00A010CC"/>
    <w:rsid w:val="00A22138"/>
    <w:rsid w:val="00A271BC"/>
    <w:rsid w:val="00A623A1"/>
    <w:rsid w:val="00A812FE"/>
    <w:rsid w:val="00A87382"/>
    <w:rsid w:val="00A92037"/>
    <w:rsid w:val="00AD5A9C"/>
    <w:rsid w:val="00B11C71"/>
    <w:rsid w:val="00BC7809"/>
    <w:rsid w:val="00BD0FF3"/>
    <w:rsid w:val="00C05782"/>
    <w:rsid w:val="00C749C3"/>
    <w:rsid w:val="00C91070"/>
    <w:rsid w:val="00CB4496"/>
    <w:rsid w:val="00CF2860"/>
    <w:rsid w:val="00D157AD"/>
    <w:rsid w:val="00D555F2"/>
    <w:rsid w:val="00D80191"/>
    <w:rsid w:val="00DD1C2F"/>
    <w:rsid w:val="00DD654C"/>
    <w:rsid w:val="00DD785B"/>
    <w:rsid w:val="00DE0B03"/>
    <w:rsid w:val="00DF3182"/>
    <w:rsid w:val="00E16E3F"/>
    <w:rsid w:val="00F15A1A"/>
    <w:rsid w:val="00F36300"/>
    <w:rsid w:val="00F7620E"/>
    <w:rsid w:val="00F80938"/>
    <w:rsid w:val="00F831D7"/>
    <w:rsid w:val="00F93542"/>
    <w:rsid w:val="00FA71D1"/>
    <w:rsid w:val="172A5A29"/>
    <w:rsid w:val="236632FD"/>
    <w:rsid w:val="26460DBA"/>
    <w:rsid w:val="2BA02082"/>
    <w:rsid w:val="2C4219FE"/>
    <w:rsid w:val="3830247F"/>
    <w:rsid w:val="39A63F06"/>
    <w:rsid w:val="3ED1439F"/>
    <w:rsid w:val="4C256E3D"/>
    <w:rsid w:val="4CB52F0F"/>
    <w:rsid w:val="532F1F9A"/>
    <w:rsid w:val="56DB2E21"/>
    <w:rsid w:val="62163194"/>
    <w:rsid w:val="6CCC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71"/>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1350</Words>
  <Characters>7699</Characters>
  <Lines>64</Lines>
  <Paragraphs>18</Paragraphs>
  <TotalTime>0</TotalTime>
  <ScaleCrop>false</ScaleCrop>
  <LinksUpToDate>false</LinksUpToDate>
  <CharactersWithSpaces>9031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BroCColi</cp:lastModifiedBy>
  <cp:lastPrinted>2020-07-28T03:11:00Z</cp:lastPrinted>
  <dcterms:modified xsi:type="dcterms:W3CDTF">2024-12-05T02:35:02Z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6ABEEBE71B104E9A9179849B12EFB8F5</vt:lpwstr>
  </property>
</Properties>
</file>