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eastAsia="zh-CN"/>
        </w:rPr>
        <w:t>鱼峰区花岭社区服务中心</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2020</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柳州市鱼峰区花岭社区卫生服务中心</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柳州市鱼峰区花岭社区卫生服务中心</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cs="仿宋_GB2312"/>
          <w:bCs/>
          <w:kern w:val="0"/>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val="en-US" w:eastAsia="zh-CN"/>
        </w:rPr>
        <w:t>九</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国有资本经营预算财政拨款支出决算情况</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柳州市鱼峰区花岭社区卫生服务中心</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2020</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2020</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十</w:t>
      </w:r>
      <w:r>
        <w:rPr>
          <w:rFonts w:hint="eastAsia" w:ascii="仿宋_GB2312" w:eastAsia="仿宋_GB2312" w:cs="仿宋_GB2312"/>
          <w:bCs/>
          <w:kern w:val="0"/>
          <w:sz w:val="32"/>
          <w:szCs w:val="32"/>
          <w:lang w:eastAsia="zh-CN"/>
        </w:rPr>
        <w:t>、</w:t>
      </w:r>
      <w:r>
        <w:rPr>
          <w:rFonts w:hint="eastAsia" w:eastAsia="仿宋_GB2312"/>
          <w:kern w:val="0"/>
          <w:sz w:val="32"/>
          <w:szCs w:val="32"/>
          <w:lang w:eastAsia="zh-CN"/>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lang w:val="en-US" w:eastAsia="zh-CN"/>
        </w:rPr>
        <w:t>一</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both"/>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柳州市鱼峰区花岭社区卫生服务中心</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1．负责本中心辖区内的基本医疗服务；</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负责本中心辖区内突发公共卫生事件的报告，并依据上级部门要求组织实施处置；</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认真执行儿童计划免疫。积极开展</w:t>
      </w:r>
      <w:r>
        <w:rPr>
          <w:rFonts w:hint="eastAsia" w:ascii="仿宋_GB2312" w:hAnsi="黑体" w:eastAsia="仿宋_GB2312"/>
          <w:sz w:val="32"/>
          <w:szCs w:val="32"/>
          <w:lang w:eastAsia="zh-CN"/>
        </w:rPr>
        <w:fldChar w:fldCharType="begin"/>
      </w:r>
      <w:r>
        <w:rPr>
          <w:rFonts w:hint="eastAsia" w:ascii="仿宋_GB2312" w:hAnsi="黑体" w:eastAsia="仿宋_GB2312"/>
          <w:sz w:val="32"/>
          <w:szCs w:val="32"/>
          <w:lang w:eastAsia="zh-CN"/>
        </w:rPr>
        <w:instrText xml:space="preserve"> HYPERLINK "http://www.so.com/s?q=%E6%85%A2%E6%80%A7%E9%9D%9E%E4%BC%A0%E6%9F%93%E6%80%A7%E7%96%BE%E7%97%85&amp;ie=utf-8&amp;src=wenda_link" \t "http://wenda.so.com/q/_blank" </w:instrText>
      </w:r>
      <w:r>
        <w:rPr>
          <w:rFonts w:hint="eastAsia" w:ascii="仿宋_GB2312" w:hAnsi="黑体" w:eastAsia="仿宋_GB2312"/>
          <w:sz w:val="32"/>
          <w:szCs w:val="32"/>
          <w:lang w:eastAsia="zh-CN"/>
        </w:rPr>
        <w:fldChar w:fldCharType="separate"/>
      </w:r>
      <w:r>
        <w:rPr>
          <w:rFonts w:hint="eastAsia" w:ascii="仿宋_GB2312" w:hAnsi="黑体" w:eastAsia="仿宋_GB2312"/>
          <w:sz w:val="32"/>
          <w:szCs w:val="32"/>
          <w:lang w:eastAsia="zh-CN"/>
        </w:rPr>
        <w:t>慢性非传染性疾病</w:t>
      </w:r>
      <w:r>
        <w:rPr>
          <w:rFonts w:hint="eastAsia" w:ascii="仿宋_GB2312" w:hAnsi="黑体" w:eastAsia="仿宋_GB2312"/>
          <w:sz w:val="32"/>
          <w:szCs w:val="32"/>
          <w:lang w:eastAsia="zh-CN"/>
        </w:rPr>
        <w:fldChar w:fldCharType="end"/>
      </w:r>
      <w:r>
        <w:rPr>
          <w:rFonts w:hint="eastAsia" w:ascii="仿宋_GB2312" w:hAnsi="黑体" w:eastAsia="仿宋_GB2312"/>
          <w:sz w:val="32"/>
          <w:szCs w:val="32"/>
          <w:lang w:eastAsia="zh-CN"/>
        </w:rPr>
        <w:t>的防治工作。</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做好农村孕产妇和儿童保健工作，提高住院分娩率，改善儿童营养状况。</w:t>
      </w:r>
      <w:r>
        <w:rPr>
          <w:rFonts w:hint="eastAsia" w:ascii="仿宋_GB2312" w:hAnsi="黑体" w:eastAsia="仿宋_GB2312"/>
          <w:sz w:val="32"/>
          <w:szCs w:val="32"/>
          <w:lang w:eastAsia="zh-CN"/>
        </w:rPr>
        <w:br w:type="textWrapping"/>
      </w:r>
      <w:r>
        <w:rPr>
          <w:rFonts w:hint="eastAsia" w:ascii="仿宋_GB2312" w:hAnsi="黑体" w:eastAsia="仿宋_GB2312"/>
          <w:sz w:val="32"/>
          <w:szCs w:val="32"/>
          <w:lang w:eastAsia="zh-CN"/>
        </w:rPr>
        <w:t xml:space="preserve">   </w:t>
      </w:r>
      <w:r>
        <w:rPr>
          <w:rFonts w:hint="eastAsia" w:ascii="仿宋_GB2312" w:hAnsi="黑体" w:eastAsia="仿宋_GB2312"/>
          <w:sz w:val="32"/>
          <w:szCs w:val="32"/>
          <w:lang w:val="en-US" w:eastAsia="zh-CN"/>
        </w:rPr>
        <w:t xml:space="preserve"> 5.</w:t>
      </w:r>
      <w:r>
        <w:rPr>
          <w:rFonts w:hint="eastAsia" w:ascii="仿宋_GB2312" w:hAnsi="黑体" w:eastAsia="仿宋_GB2312"/>
          <w:sz w:val="32"/>
          <w:szCs w:val="32"/>
          <w:lang w:eastAsia="zh-CN"/>
        </w:rPr>
        <w:t>积极做好</w:t>
      </w:r>
      <w:r>
        <w:rPr>
          <w:rFonts w:hint="eastAsia" w:ascii="仿宋_GB2312" w:hAnsi="黑体" w:eastAsia="仿宋_GB2312"/>
          <w:sz w:val="32"/>
          <w:szCs w:val="32"/>
          <w:lang w:eastAsia="zh-CN"/>
        </w:rPr>
        <w:fldChar w:fldCharType="begin"/>
      </w:r>
      <w:r>
        <w:rPr>
          <w:rFonts w:hint="eastAsia" w:ascii="仿宋_GB2312" w:hAnsi="黑体" w:eastAsia="仿宋_GB2312"/>
          <w:sz w:val="32"/>
          <w:szCs w:val="32"/>
          <w:lang w:eastAsia="zh-CN"/>
        </w:rPr>
        <w:instrText xml:space="preserve"> HYPERLINK "http://www.so.com/s?q=%E6%96%B0%E5%9E%8B%E5%86%9C%E6%9D%91%E5%90%88%E4%BD%9C%E5%8C%BB%E7%96%97&amp;ie=utf-8&amp;src=wenda_link" \t "http://wenda.so.com/q/_blank" </w:instrText>
      </w:r>
      <w:r>
        <w:rPr>
          <w:rFonts w:hint="eastAsia" w:ascii="仿宋_GB2312" w:hAnsi="黑体" w:eastAsia="仿宋_GB2312"/>
          <w:sz w:val="32"/>
          <w:szCs w:val="32"/>
          <w:lang w:eastAsia="zh-CN"/>
        </w:rPr>
        <w:fldChar w:fldCharType="separate"/>
      </w:r>
      <w:r>
        <w:rPr>
          <w:rFonts w:hint="eastAsia" w:ascii="仿宋_GB2312" w:hAnsi="黑体" w:eastAsia="仿宋_GB2312"/>
          <w:sz w:val="32"/>
          <w:szCs w:val="32"/>
          <w:lang w:eastAsia="zh-CN"/>
        </w:rPr>
        <w:t>城乡居民医疗</w:t>
      </w:r>
      <w:r>
        <w:rPr>
          <w:rFonts w:hint="eastAsia" w:ascii="仿宋_GB2312" w:hAnsi="黑体" w:eastAsia="仿宋_GB2312"/>
          <w:sz w:val="32"/>
          <w:szCs w:val="32"/>
          <w:lang w:eastAsia="zh-CN"/>
        </w:rPr>
        <w:fldChar w:fldCharType="end"/>
      </w:r>
      <w:r>
        <w:rPr>
          <w:rFonts w:hint="eastAsia" w:ascii="仿宋_GB2312" w:hAnsi="黑体" w:eastAsia="仿宋_GB2312"/>
          <w:sz w:val="32"/>
          <w:szCs w:val="32"/>
          <w:lang w:eastAsia="zh-CN"/>
        </w:rPr>
        <w:t>保险的服务、计划生育技术指导、康复等工作。</w:t>
      </w:r>
      <w:r>
        <w:rPr>
          <w:rFonts w:hint="eastAsia" w:ascii="仿宋_GB2312" w:hAnsi="黑体" w:eastAsia="仿宋_GB2312"/>
          <w:sz w:val="32"/>
          <w:szCs w:val="32"/>
          <w:lang w:eastAsia="zh-CN"/>
        </w:rPr>
        <w:br w:type="textWrapping"/>
      </w:r>
      <w:r>
        <w:rPr>
          <w:rFonts w:hint="eastAsia" w:ascii="仿宋_GB2312" w:hAnsi="黑体" w:eastAsia="仿宋_GB2312"/>
          <w:sz w:val="32"/>
          <w:szCs w:val="32"/>
          <w:lang w:eastAsia="zh-CN"/>
        </w:rPr>
        <w:t xml:space="preserve">   </w:t>
      </w:r>
      <w:r>
        <w:rPr>
          <w:rFonts w:hint="eastAsia" w:ascii="仿宋_GB2312" w:hAnsi="黑体" w:eastAsia="仿宋_GB2312"/>
          <w:sz w:val="32"/>
          <w:szCs w:val="32"/>
          <w:lang w:val="en-US" w:eastAsia="zh-CN"/>
        </w:rPr>
        <w:t xml:space="preserve"> 6.</w:t>
      </w:r>
      <w:r>
        <w:rPr>
          <w:rFonts w:hint="eastAsia" w:ascii="仿宋_GB2312" w:hAnsi="黑体" w:eastAsia="仿宋_GB2312"/>
          <w:sz w:val="32"/>
          <w:szCs w:val="32"/>
          <w:lang w:eastAsia="zh-CN"/>
        </w:rPr>
        <w:t>负责本中心辖区内的卫生信息统计、分析、上报；</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lang w:eastAsia="zh-CN"/>
        </w:rPr>
        <w:t>负责对本中心辖区内村级卫生组织和乡村医生的业务指导和培训；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lang w:eastAsia="zh-CN"/>
        </w:rPr>
        <w:t>负责承办政府卫生行政部门委托的相关业务或事项；负责上级卫生行政部门下达的</w:t>
      </w:r>
      <w:r>
        <w:rPr>
          <w:rFonts w:hint="eastAsia" w:ascii="仿宋_GB2312" w:hAnsi="黑体" w:eastAsia="仿宋_GB2312"/>
          <w:sz w:val="32"/>
          <w:szCs w:val="32"/>
          <w:lang w:eastAsia="zh-CN"/>
        </w:rPr>
        <w:fldChar w:fldCharType="begin"/>
      </w:r>
      <w:r>
        <w:rPr>
          <w:rFonts w:hint="eastAsia" w:ascii="仿宋_GB2312" w:hAnsi="黑体" w:eastAsia="仿宋_GB2312"/>
          <w:sz w:val="32"/>
          <w:szCs w:val="32"/>
          <w:lang w:eastAsia="zh-CN"/>
        </w:rPr>
        <w:instrText xml:space="preserve"> HYPERLINK "http://www.oh100.com/qita/" \t "http://www.oh100.com/a/201208/_blank" </w:instrText>
      </w:r>
      <w:r>
        <w:rPr>
          <w:rFonts w:hint="eastAsia" w:ascii="仿宋_GB2312" w:hAnsi="黑体" w:eastAsia="仿宋_GB2312"/>
          <w:sz w:val="32"/>
          <w:szCs w:val="32"/>
          <w:lang w:eastAsia="zh-CN"/>
        </w:rPr>
        <w:fldChar w:fldCharType="separate"/>
      </w:r>
      <w:r>
        <w:rPr>
          <w:rFonts w:hint="eastAsia" w:ascii="仿宋_GB2312" w:hAnsi="黑体" w:eastAsia="仿宋_GB2312"/>
          <w:sz w:val="32"/>
          <w:szCs w:val="32"/>
          <w:lang w:eastAsia="zh-CN"/>
        </w:rPr>
        <w:t>其他</w:t>
      </w:r>
      <w:r>
        <w:rPr>
          <w:rFonts w:hint="eastAsia" w:ascii="仿宋_GB2312" w:hAnsi="黑体" w:eastAsia="仿宋_GB2312"/>
          <w:sz w:val="32"/>
          <w:szCs w:val="32"/>
          <w:lang w:eastAsia="zh-CN"/>
        </w:rPr>
        <w:fldChar w:fldCharType="end"/>
      </w:r>
      <w:r>
        <w:rPr>
          <w:rFonts w:hint="eastAsia" w:ascii="仿宋_GB2312" w:hAnsi="黑体" w:eastAsia="仿宋_GB2312"/>
          <w:sz w:val="32"/>
          <w:szCs w:val="32"/>
          <w:lang w:eastAsia="zh-CN"/>
        </w:rPr>
        <w:t>工作。</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ind w:firstLine="640" w:firstLineChars="200"/>
      </w:pPr>
      <w:r>
        <w:rPr>
          <w:rFonts w:hint="eastAsia" w:ascii="仿宋_GB2312" w:hAnsi="黑体" w:eastAsia="仿宋_GB2312"/>
          <w:sz w:val="32"/>
          <w:szCs w:val="32"/>
          <w:lang w:eastAsia="zh-CN"/>
        </w:rPr>
        <w:t>共有1个单位，属柳东新区管委会举办，委托三甲医院柳州市工人医院管理非营利性医疗机构，为差额拨款事业单位。管辖柳东新区</w:t>
      </w:r>
      <w:r>
        <w:rPr>
          <w:rFonts w:hint="eastAsia" w:ascii="仿宋_GB2312" w:hAnsi="黑体" w:eastAsia="仿宋_GB2312"/>
          <w:sz w:val="32"/>
          <w:szCs w:val="32"/>
          <w:lang w:val="en-US" w:eastAsia="zh-CN"/>
        </w:rPr>
        <w:t>花岭片区及</w:t>
      </w:r>
      <w:r>
        <w:rPr>
          <w:rFonts w:hint="eastAsia" w:ascii="仿宋_GB2312" w:hAnsi="黑体" w:eastAsia="仿宋_GB2312"/>
          <w:sz w:val="32"/>
          <w:szCs w:val="32"/>
          <w:lang w:eastAsia="zh-CN"/>
        </w:rPr>
        <w:t>雒容镇秀水村，东塘村，大正村，竹车村等</w:t>
      </w:r>
      <w:r>
        <w:rPr>
          <w:rFonts w:hint="eastAsia" w:ascii="仿宋_GB2312" w:hAnsi="黑体" w:eastAsia="仿宋_GB2312"/>
          <w:sz w:val="32"/>
          <w:szCs w:val="32"/>
          <w:lang w:val="en-US" w:eastAsia="zh-CN"/>
        </w:rPr>
        <w:t>4个行政村，管辖人口共计2.37万人。</w:t>
      </w:r>
      <w:r>
        <w:rPr>
          <w:rFonts w:hint="eastAsia" w:ascii="仿宋_GB2312" w:hAnsi="黑体" w:eastAsia="仿宋_GB2312"/>
          <w:sz w:val="32"/>
          <w:szCs w:val="32"/>
          <w:lang w:eastAsia="zh-CN"/>
        </w:rPr>
        <w:t>内设儿童预防保健科、全科医学科、医学检验科、医学影像科、中医科、妇产科等。</w:t>
      </w: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柳州市鱼峰区花岭社区卫生服务中心</w:t>
      </w:r>
      <w:r>
        <w:rPr>
          <w:rFonts w:hint="eastAsia" w:ascii="仿宋_GB2312" w:eastAsia="仿宋_GB2312"/>
          <w:b/>
          <w:sz w:val="32"/>
          <w:szCs w:val="32"/>
        </w:rPr>
        <w:t xml:space="preserve"> </w:t>
      </w:r>
      <w:r>
        <w:rPr>
          <w:rFonts w:hint="eastAsia" w:ascii="仿宋_GB2312" w:eastAsia="仿宋_GB2312"/>
          <w:b/>
          <w:sz w:val="32"/>
          <w:szCs w:val="32"/>
          <w:lang w:eastAsia="zh-CN"/>
        </w:rPr>
        <w:t>2020</w:t>
      </w:r>
      <w:r>
        <w:rPr>
          <w:rFonts w:hint="eastAsia" w:ascii="仿宋_GB2312" w:eastAsia="仿宋_GB2312"/>
          <w:b/>
          <w:sz w:val="32"/>
          <w:szCs w:val="32"/>
        </w:rPr>
        <w:t>年部门决算报表</w:t>
      </w:r>
    </w:p>
    <w:p>
      <w:pPr>
        <w:jc w:val="center"/>
        <w:rPr>
          <w:rFonts w:hint="eastAsia"/>
        </w:rPr>
      </w:pPr>
    </w:p>
    <w:p>
      <w:pPr>
        <w:rPr>
          <w:rFonts w:hint="eastAsia"/>
        </w:rPr>
      </w:pPr>
    </w:p>
    <w:tbl>
      <w:tblPr>
        <w:tblStyle w:val="5"/>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227.81</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95.68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81.78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w:t>
            </w:r>
            <w:r>
              <w:rPr>
                <w:rFonts w:hint="eastAsia" w:ascii="宋体" w:hAnsi="宋体" w:cs="宋体"/>
                <w:color w:val="000000"/>
                <w:kern w:val="0"/>
                <w:sz w:val="22"/>
                <w:szCs w:val="22"/>
                <w:lang w:eastAsia="zh-CN"/>
              </w:rPr>
              <w:t>旅游体育</w:t>
            </w:r>
            <w:r>
              <w:rPr>
                <w:rFonts w:hint="eastAsia" w:ascii="宋体" w:hAnsi="宋体" w:cs="宋体"/>
                <w:color w:val="000000"/>
                <w:kern w:val="0"/>
                <w:sz w:val="22"/>
                <w:szCs w:val="22"/>
              </w:rPr>
              <w:t>与传媒支出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6.79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1.14</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九、卫生健康支出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356.02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eastAsia="zh-CN"/>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2.13</w:t>
            </w:r>
          </w:p>
        </w:tc>
      </w:tr>
      <w:tr>
        <w:tblPrEx>
          <w:tblCellMar>
            <w:top w:w="0" w:type="dxa"/>
            <w:left w:w="108" w:type="dxa"/>
            <w:bottom w:w="0" w:type="dxa"/>
            <w:right w:w="108" w:type="dxa"/>
          </w:tblCellMar>
        </w:tblPrEx>
        <w:trPr>
          <w:trHeight w:val="9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Arial" w:hAnsi="Arial" w:eastAsia="宋体" w:cs="Arial"/>
                <w:b/>
                <w:bCs/>
                <w:i w:val="0"/>
                <w:iCs w:val="0"/>
                <w:color w:val="000000"/>
                <w:kern w:val="0"/>
                <w:sz w:val="20"/>
                <w:szCs w:val="20"/>
                <w:u w:val="none"/>
                <w:lang w:val="en-US" w:eastAsia="zh-CN" w:bidi="ar"/>
              </w:rPr>
              <w:t>406.41</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right"/>
              <w:rPr>
                <w:rFonts w:hint="default"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364.94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45.53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633.21</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59.26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469.73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bottom"/>
              <w:rPr>
                <w:rFonts w:hint="default"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469.73</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tbl>
      <w:tblPr>
        <w:tblStyle w:val="5"/>
        <w:tblpPr w:leftFromText="180" w:rightFromText="180" w:vertAnchor="text" w:horzAnchor="page" w:tblpX="734" w:tblpY="572"/>
        <w:tblOverlap w:val="never"/>
        <w:tblW w:w="14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4"/>
        <w:gridCol w:w="4047"/>
        <w:gridCol w:w="1606"/>
        <w:gridCol w:w="1567"/>
        <w:gridCol w:w="1176"/>
        <w:gridCol w:w="1222"/>
        <w:gridCol w:w="1791"/>
        <w:gridCol w:w="960"/>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69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right="27" w:rightChars="13"/>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支出功能项 目</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69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30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30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69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406.409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227.813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95.673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81.782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397.489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218.893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95.673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81.782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221.251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67.543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70.785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81.782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2100301</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城市社区卫生机构</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208.791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70.785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81.782</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173.728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24.888</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162.225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15.885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4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bl>
    <w:p>
      <w:pPr>
        <w:jc w:val="right"/>
        <w:rPr>
          <w:rFonts w:hint="eastAsia"/>
          <w:sz w:val="22"/>
          <w:szCs w:val="22"/>
        </w:rPr>
      </w:pPr>
      <w:r>
        <w:rPr>
          <w:rFonts w:hint="eastAsia"/>
          <w:sz w:val="22"/>
          <w:szCs w:val="22"/>
        </w:rPr>
        <w:t xml:space="preserve">单位：万元                     </w:t>
      </w:r>
    </w:p>
    <w:p>
      <w:pPr>
        <w:rPr>
          <w:rFonts w:hint="eastAsia"/>
        </w:rPr>
      </w:pPr>
    </w:p>
    <w:p>
      <w:pPr>
        <w:rPr>
          <w:rFonts w:hint="eastAsia" w:eastAsia="宋体"/>
          <w:lang w:eastAsia="zh-CN"/>
        </w:rPr>
      </w:pPr>
      <w:r>
        <w:rPr>
          <w:rFonts w:hint="eastAsia"/>
          <w:lang w:eastAsia="zh-CN"/>
        </w:rPr>
        <w:t>注：本表反映部门本年度取得的各项收入情况。</w:t>
      </w: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p>
      <w:pPr>
        <w:jc w:val="center"/>
        <w:rPr>
          <w:rFonts w:hint="eastAsia"/>
        </w:rPr>
      </w:pPr>
    </w:p>
    <w:tbl>
      <w:tblPr>
        <w:tblStyle w:val="5"/>
        <w:tblW w:w="13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3"/>
        <w:gridCol w:w="3710"/>
        <w:gridCol w:w="1380"/>
        <w:gridCol w:w="1260"/>
        <w:gridCol w:w="1260"/>
        <w:gridCol w:w="960"/>
        <w:gridCol w:w="1752"/>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支出功能项 目</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9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4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4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5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90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364.94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145.74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219.20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bookmarkStart w:id="0" w:name="_GoBack" w:colFirst="0" w:colLast="0"/>
            <w:r>
              <w:rPr>
                <w:rFonts w:hint="eastAsia" w:ascii="宋体" w:hAnsi="宋体" w:eastAsia="宋体" w:cs="宋体"/>
                <w:i w:val="0"/>
                <w:iCs w:val="0"/>
                <w:color w:val="000000"/>
                <w:kern w:val="0"/>
                <w:sz w:val="22"/>
                <w:szCs w:val="22"/>
                <w:u w:val="none"/>
                <w:lang w:val="en-US" w:eastAsia="zh-CN" w:bidi="ar"/>
              </w:rPr>
              <w:t>208</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6.79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6.79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6.79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6.79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4.53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4.53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2.26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2.26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356.02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136.82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219.20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134.33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134.33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2100301</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城市社区卫生机构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121.87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121.87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12.46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12.46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219.20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219.20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214.34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214.34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4.86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4.86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2.49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2.49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2.49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2.49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2.13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bookmarkEnd w:id="0"/>
    </w:tbl>
    <w:p>
      <w:pPr>
        <w:rPr>
          <w:rFonts w:hint="eastAsia" w:eastAsia="宋体"/>
          <w:lang w:eastAsia="zh-CN"/>
        </w:rPr>
      </w:pPr>
      <w:r>
        <w:rPr>
          <w:rFonts w:hint="eastAsia"/>
          <w:lang w:eastAsia="zh-CN"/>
        </w:rPr>
        <w:t>注：本表反映部门本年度各项支出情况。</w:t>
      </w:r>
    </w:p>
    <w:p>
      <w:pPr>
        <w:ind w:firstLine="3600" w:firstLineChars="1000"/>
        <w:jc w:val="both"/>
        <w:rPr>
          <w:rFonts w:hint="eastAsia"/>
        </w:rPr>
      </w:pPr>
      <w:r>
        <w:rPr>
          <w:rFonts w:hint="eastAsia" w:ascii="方正小标宋简体" w:hAnsi="宋体" w:eastAsia="方正小标宋简体" w:cs="宋体"/>
          <w:kern w:val="0"/>
          <w:sz w:val="36"/>
          <w:szCs w:val="36"/>
        </w:rPr>
        <w:t>四：财政拨款收入支出决算总表</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34"/>
        <w:gridCol w:w="615"/>
        <w:gridCol w:w="1131"/>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3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1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1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1"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227.81</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1" w:type="dxa"/>
            <w:tcBorders>
              <w:top w:val="nil"/>
              <w:left w:val="nil"/>
              <w:bottom w:val="single" w:color="auto" w:sz="4" w:space="0"/>
              <w:right w:val="single" w:color="auto" w:sz="4" w:space="0"/>
            </w:tcBorders>
            <w:vAlign w:val="top"/>
          </w:tcPr>
          <w:p>
            <w:pPr>
              <w:widowControl/>
              <w:ind w:firstLine="440" w:firstLineChars="200"/>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w:t>
            </w:r>
            <w:r>
              <w:rPr>
                <w:rFonts w:hint="eastAsia" w:ascii="宋体" w:hAnsi="宋体" w:cs="Arial"/>
                <w:kern w:val="0"/>
                <w:sz w:val="22"/>
                <w:szCs w:val="22"/>
                <w:lang w:eastAsia="zh-CN"/>
              </w:rPr>
              <w:t>旅游</w:t>
            </w:r>
            <w:r>
              <w:rPr>
                <w:rFonts w:hint="eastAsia" w:ascii="宋体" w:hAnsi="宋体" w:cs="Arial"/>
                <w:kern w:val="0"/>
                <w:sz w:val="22"/>
                <w:szCs w:val="22"/>
              </w:rPr>
              <w:t>体育与传媒支出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w:t>
            </w:r>
          </w:p>
        </w:tc>
        <w:tc>
          <w:tcPr>
            <w:tcW w:w="1316"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宋体"/>
                <w:color w:val="000000"/>
                <w:kern w:val="0"/>
                <w:sz w:val="22"/>
                <w:szCs w:val="22"/>
                <w:lang w:eastAsia="zh-CN"/>
              </w:rPr>
              <w:t>八、社会保障和就业支出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6.79</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6.79</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eastAsia="zh-CN"/>
              </w:rPr>
              <w:t>九、卫生健康支出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268.65</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268.65</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宋体"/>
                <w:color w:val="000000"/>
                <w:kern w:val="0"/>
                <w:sz w:val="22"/>
                <w:szCs w:val="22"/>
                <w:lang w:eastAsia="zh-CN"/>
              </w:rPr>
              <w:t>十九、住房保障支出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2.13</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2.13</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31"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227.81</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277.57</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31"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49.86</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640" w:firstLineChars="12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0.10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31"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49.86</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4234"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31" w:type="dxa"/>
            <w:tcBorders>
              <w:top w:val="nil"/>
              <w:left w:val="nil"/>
              <w:bottom w:val="single" w:color="auto" w:sz="4" w:space="0"/>
              <w:right w:val="single" w:color="auto" w:sz="4" w:space="0"/>
            </w:tcBorders>
            <w:vAlign w:val="top"/>
          </w:tcPr>
          <w:p>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34"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1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31" w:type="dxa"/>
            <w:tcBorders>
              <w:top w:val="nil"/>
              <w:left w:val="nil"/>
              <w:bottom w:val="single" w:color="auto" w:sz="4" w:space="0"/>
              <w:right w:val="single" w:color="auto" w:sz="4" w:space="0"/>
            </w:tcBorders>
            <w:vAlign w:val="top"/>
          </w:tcPr>
          <w:p>
            <w:pPr>
              <w:widowControl/>
              <w:ind w:firstLine="220" w:firstLineChars="100"/>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277.67</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277.67</w:t>
            </w:r>
            <w:r>
              <w:rPr>
                <w:rFonts w:hint="eastAsia" w:ascii="宋体" w:hAnsi="宋体" w:cs="Arial"/>
                <w:color w:val="000000"/>
                <w:kern w:val="0"/>
                <w:sz w:val="22"/>
                <w:szCs w:val="22"/>
              </w:rPr>
              <w:t>　</w:t>
            </w:r>
          </w:p>
        </w:tc>
      </w:tr>
    </w:tbl>
    <w:p>
      <w:pPr>
        <w:jc w:val="right"/>
        <w:rPr>
          <w:rFonts w:hint="eastAsia"/>
          <w:sz w:val="22"/>
          <w:szCs w:val="22"/>
        </w:rPr>
      </w:pPr>
      <w:r>
        <w:rPr>
          <w:rFonts w:hint="eastAsia"/>
          <w:sz w:val="22"/>
          <w:szCs w:val="22"/>
        </w:rPr>
        <w:t>单位：万元</w:t>
      </w:r>
    </w:p>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754"/>
        <w:gridCol w:w="4080"/>
        <w:gridCol w:w="2325"/>
        <w:gridCol w:w="2520"/>
        <w:gridCol w:w="2800"/>
      </w:tblGrid>
      <w:tr>
        <w:tblPrEx>
          <w:tblCellMar>
            <w:top w:w="0" w:type="dxa"/>
            <w:left w:w="108" w:type="dxa"/>
            <w:bottom w:w="0" w:type="dxa"/>
            <w:right w:w="108" w:type="dxa"/>
          </w:tblCellMar>
        </w:tblPrEx>
        <w:trPr>
          <w:trHeight w:val="300" w:hRule="atLeast"/>
          <w:jc w:val="center"/>
        </w:trPr>
        <w:tc>
          <w:tcPr>
            <w:tcW w:w="58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3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754"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408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3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83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325"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52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8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583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277.57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78.87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198.70 </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6.79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6.79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6.79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6.79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4.53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4.53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2.26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2.26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268.65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69.95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198.70 </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21003</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基层医疗卫生机构</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67.46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67.46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2100301</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城市社区卫生机构</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55.00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55.00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2100399</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其他基层医疗卫生机构支出</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12.46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12.46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公共卫生</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198.70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0.00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198.70 </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2100408</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196.20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0.00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196.20 </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2100409</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2.50 </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0.00 </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 xml:space="preserve">2.50 </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2.49</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2.49</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2.13</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2.49</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2.13</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2.49</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88" w:hRule="atLeast"/>
          <w:jc w:val="center"/>
        </w:trPr>
        <w:tc>
          <w:tcPr>
            <w:tcW w:w="17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0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32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2.13</w:t>
            </w:r>
          </w:p>
        </w:tc>
        <w:tc>
          <w:tcPr>
            <w:tcW w:w="252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2.13</w:t>
            </w:r>
          </w:p>
        </w:tc>
        <w:tc>
          <w:tcPr>
            <w:tcW w:w="2800"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Arial" w:hAnsi="Arial" w:cs="Arial"/>
                <w:color w:val="000000"/>
                <w:kern w:val="0"/>
                <w:sz w:val="20"/>
                <w:szCs w:val="20"/>
              </w:rPr>
            </w:pPr>
            <w:r>
              <w:rPr>
                <w:rFonts w:hint="default" w:ascii="Arial" w:hAnsi="Arial" w:eastAsia="宋体" w:cs="Arial"/>
                <w:i w:val="0"/>
                <w:iCs w:val="0"/>
                <w:color w:val="000000"/>
                <w:kern w:val="0"/>
                <w:sz w:val="20"/>
                <w:szCs w:val="20"/>
                <w:u w:val="none"/>
                <w:lang w:val="en-US" w:eastAsia="zh-CN" w:bidi="ar"/>
              </w:rPr>
              <w:t>0</w:t>
            </w:r>
          </w:p>
        </w:tc>
      </w:tr>
    </w:tbl>
    <w:p>
      <w:pPr>
        <w:rPr>
          <w:rFonts w:hint="eastAsia"/>
        </w:rPr>
      </w:pPr>
    </w:p>
    <w:p>
      <w:pPr>
        <w:rPr>
          <w:rFonts w:hint="eastAsia"/>
        </w:rPr>
      </w:pPr>
      <w:r>
        <w:rPr>
          <w:rFonts w:hint="eastAsia"/>
          <w:lang w:eastAsia="zh-CN"/>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8679" w:type="dxa"/>
        <w:tblInd w:w="93" w:type="dxa"/>
        <w:tblLayout w:type="fixed"/>
        <w:tblCellMar>
          <w:top w:w="0" w:type="dxa"/>
          <w:left w:w="108" w:type="dxa"/>
          <w:bottom w:w="0" w:type="dxa"/>
          <w:right w:w="108" w:type="dxa"/>
        </w:tblCellMar>
      </w:tblPr>
      <w:tblGrid>
        <w:gridCol w:w="868"/>
        <w:gridCol w:w="2925"/>
        <w:gridCol w:w="937"/>
        <w:gridCol w:w="805"/>
        <w:gridCol w:w="1744"/>
        <w:gridCol w:w="1400"/>
      </w:tblGrid>
      <w:tr>
        <w:tblPrEx>
          <w:tblCellMar>
            <w:top w:w="0" w:type="dxa"/>
            <w:left w:w="108" w:type="dxa"/>
            <w:bottom w:w="0" w:type="dxa"/>
            <w:right w:w="108" w:type="dxa"/>
          </w:tblCellMar>
        </w:tblPrEx>
        <w:trPr>
          <w:trHeight w:val="574" w:hRule="atLeast"/>
        </w:trPr>
        <w:tc>
          <w:tcPr>
            <w:tcW w:w="473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394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1389" w:hRule="atLeast"/>
        </w:trPr>
        <w:tc>
          <w:tcPr>
            <w:tcW w:w="868"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292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937"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74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40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29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53.44</w:t>
            </w: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25.43</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30101</w:t>
            </w:r>
          </w:p>
        </w:tc>
        <w:tc>
          <w:tcPr>
            <w:tcW w:w="29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937"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26.37</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30102</w:t>
            </w:r>
          </w:p>
        </w:tc>
        <w:tc>
          <w:tcPr>
            <w:tcW w:w="29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937"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1.74</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30103</w:t>
            </w:r>
          </w:p>
        </w:tc>
        <w:tc>
          <w:tcPr>
            <w:tcW w:w="29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奖金  </w:t>
            </w:r>
            <w:r>
              <w:rPr>
                <w:rFonts w:ascii="宋体" w:hAnsi="宋体" w:cs="Arial"/>
                <w:color w:val="000000"/>
                <w:kern w:val="0"/>
                <w:sz w:val="22"/>
                <w:szCs w:val="22"/>
              </w:rPr>
              <w:t>　</w:t>
            </w:r>
          </w:p>
        </w:tc>
        <w:tc>
          <w:tcPr>
            <w:tcW w:w="937"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30203</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30106</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伙食补助费</w:t>
            </w:r>
          </w:p>
        </w:tc>
        <w:tc>
          <w:tcPr>
            <w:tcW w:w="937"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30107</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绩效工资</w:t>
            </w:r>
          </w:p>
        </w:tc>
        <w:tc>
          <w:tcPr>
            <w:tcW w:w="937"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13.92</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30108</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937"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4.53</w:t>
            </w:r>
          </w:p>
        </w:tc>
        <w:tc>
          <w:tcPr>
            <w:tcW w:w="805"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30109</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职业年金缴费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2.26</w:t>
            </w: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30110</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职工基本医疗保险缴费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2.30</w:t>
            </w: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30208</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取暖费</w:t>
            </w:r>
            <w:r>
              <w:rPr>
                <w:rFonts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30111</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公务员医疗补助缴费</w:t>
            </w:r>
          </w:p>
        </w:tc>
        <w:tc>
          <w:tcPr>
            <w:tcW w:w="937"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3029</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r>
              <w:rPr>
                <w:rFonts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30112</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其他社会保障缴费</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0.19</w:t>
            </w:r>
          </w:p>
        </w:tc>
        <w:tc>
          <w:tcPr>
            <w:tcW w:w="8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4.37</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30113</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住房公积金</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80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30214</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租赁费</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30114</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医疗费</w:t>
            </w:r>
          </w:p>
        </w:tc>
        <w:tc>
          <w:tcPr>
            <w:tcW w:w="937"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1400" w:type="dxa"/>
            <w:tcBorders>
              <w:top w:val="nil"/>
              <w:left w:val="nil"/>
              <w:bottom w:val="single" w:color="auto" w:sz="4" w:space="0"/>
              <w:right w:val="single" w:color="auto" w:sz="4" w:space="0"/>
            </w:tcBorders>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11.20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30199</w:t>
            </w:r>
          </w:p>
        </w:tc>
        <w:tc>
          <w:tcPr>
            <w:tcW w:w="29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其他工资福利支出</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30221</w:t>
            </w:r>
          </w:p>
        </w:tc>
        <w:tc>
          <w:tcPr>
            <w:tcW w:w="174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劳务费</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8.32</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303</w:t>
            </w:r>
          </w:p>
        </w:tc>
        <w:tc>
          <w:tcPr>
            <w:tcW w:w="2925" w:type="dxa"/>
            <w:tcBorders>
              <w:top w:val="nil"/>
              <w:left w:val="nil"/>
              <w:bottom w:val="single" w:color="auto" w:sz="4" w:space="0"/>
              <w:right w:val="single" w:color="auto" w:sz="4" w:space="0"/>
            </w:tcBorders>
            <w:vAlign w:val="center"/>
          </w:tcPr>
          <w:p>
            <w:pPr>
              <w:widowControl/>
              <w:jc w:val="both"/>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对个人和家庭的补助</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30223</w:t>
            </w:r>
          </w:p>
        </w:tc>
        <w:tc>
          <w:tcPr>
            <w:tcW w:w="174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工会经费</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0.35</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307</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债务利息支出</w:t>
            </w:r>
            <w:r>
              <w:rPr>
                <w:rFonts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资本性支出</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322" w:hRule="atLeast"/>
        </w:trPr>
        <w:tc>
          <w:tcPr>
            <w:tcW w:w="868"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937"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805"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399</w:t>
            </w:r>
          </w:p>
        </w:tc>
        <w:tc>
          <w:tcPr>
            <w:tcW w:w="17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其他支出</w:t>
            </w:r>
            <w:r>
              <w:rPr>
                <w:rFonts w:ascii="宋体" w:hAnsi="宋体" w:cs="Arial"/>
                <w:color w:val="000000"/>
                <w:kern w:val="0"/>
                <w:sz w:val="22"/>
                <w:szCs w:val="22"/>
              </w:rPr>
              <w:t>　</w:t>
            </w:r>
          </w:p>
        </w:tc>
        <w:tc>
          <w:tcPr>
            <w:tcW w:w="1400" w:type="dxa"/>
            <w:tcBorders>
              <w:top w:val="nil"/>
              <w:left w:val="nil"/>
              <w:bottom w:val="single" w:color="auto" w:sz="4" w:space="0"/>
              <w:right w:val="single" w:color="auto" w:sz="4" w:space="0"/>
            </w:tcBorders>
            <w:vAlign w:val="bottom"/>
          </w:tcPr>
          <w:p>
            <w:pPr>
              <w:widowControl/>
              <w:jc w:val="righ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644" w:hRule="atLeast"/>
        </w:trPr>
        <w:tc>
          <w:tcPr>
            <w:tcW w:w="379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937"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53.44</w:t>
            </w:r>
          </w:p>
        </w:tc>
        <w:tc>
          <w:tcPr>
            <w:tcW w:w="254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400" w:type="dxa"/>
            <w:tcBorders>
              <w:top w:val="nil"/>
              <w:left w:val="nil"/>
              <w:bottom w:val="single" w:color="auto" w:sz="4" w:space="0"/>
              <w:right w:val="single" w:color="auto" w:sz="4" w:space="0"/>
            </w:tcBorders>
            <w:vAlign w:val="bottom"/>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25.43</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w:t>
            </w:r>
          </w:p>
        </w:tc>
        <w:tc>
          <w:tcPr>
            <w:tcW w:w="1603" w:type="dxa"/>
            <w:tcBorders>
              <w:top w:val="nil"/>
              <w:left w:val="nil"/>
              <w:bottom w:val="single" w:color="auto" w:sz="4" w:space="0"/>
              <w:right w:val="single" w:color="auto" w:sz="4" w:space="0"/>
            </w:tcBorders>
            <w:vAlign w:val="center"/>
          </w:tcPr>
          <w:p>
            <w:pPr>
              <w:widowControl/>
              <w:ind w:firstLine="200" w:firstLineChars="100"/>
              <w:jc w:val="center"/>
              <w:rPr>
                <w:rFonts w:hint="eastAsia" w:ascii="Arial" w:hAnsi="Arial" w:eastAsia="宋体" w:cs="Arial"/>
                <w:color w:val="000000"/>
                <w:kern w:val="0"/>
                <w:sz w:val="20"/>
                <w:szCs w:val="20"/>
                <w:lang w:val="en-US" w:eastAsia="zh-CN"/>
              </w:rPr>
            </w:pPr>
          </w:p>
        </w:tc>
        <w:tc>
          <w:tcPr>
            <w:tcW w:w="828"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21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vAlign w:val="center"/>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560"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c>
          <w:tcPr>
            <w:tcW w:w="1398" w:type="dxa"/>
            <w:tcBorders>
              <w:top w:val="nil"/>
              <w:left w:val="nil"/>
              <w:bottom w:val="single" w:color="auto" w:sz="4" w:space="0"/>
              <w:right w:val="single" w:color="auto" w:sz="4" w:space="0"/>
            </w:tcBorders>
            <w:vAlign w:val="center"/>
          </w:tcPr>
          <w:p>
            <w:pPr>
              <w:widowControl/>
              <w:ind w:firstLine="400" w:firstLineChars="200"/>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p>
        </w:tc>
        <w:tc>
          <w:tcPr>
            <w:tcW w:w="1183"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p>
        </w:tc>
      </w:tr>
    </w:tbl>
    <w:p>
      <w:pPr>
        <w:rPr>
          <w:rFonts w:hint="eastAsia"/>
          <w:lang w:val="en-US" w:eastAsia="zh-CN"/>
        </w:rPr>
      </w:pPr>
      <w:r>
        <w:rPr>
          <w:rFonts w:hint="eastAsia"/>
          <w:lang w:eastAsia="zh-CN"/>
        </w:rPr>
        <w:t>注：本表反映部门本年度“三公”经费支出预决算情况。其中，</w:t>
      </w:r>
      <w:r>
        <w:rPr>
          <w:rFonts w:hint="eastAsia"/>
          <w:lang w:val="en-US" w:eastAsia="zh-CN"/>
        </w:rPr>
        <w:t>2020年度预算数为“三公”经费年初预算数，决算数是包括当年一般公共预算财政拨款和以前年度结转资金安排的实际支出。</w:t>
      </w:r>
    </w:p>
    <w:p>
      <w:pPr>
        <w:rPr>
          <w:rFonts w:hint="eastAsia"/>
          <w:lang w:val="en-US" w:eastAsia="zh-CN"/>
        </w:rPr>
      </w:pPr>
    </w:p>
    <w:p>
      <w:pPr>
        <w:rPr>
          <w:rFonts w:hint="eastAsia"/>
          <w:lang w:val="en-US" w:eastAsia="zh-CN"/>
        </w:rPr>
      </w:pP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lang w:val="en-US" w:eastAsia="zh-CN"/>
        </w:rPr>
        <w:t>柳州市鱼峰区花岭社区卫生服务中心无“三公”经费收入，也没有“三公”经费安排的支出，故本表无数据。</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p>
    <w:p>
      <w:pPr>
        <w:rPr>
          <w:rFonts w:hint="eastAsia"/>
        </w:rPr>
      </w:pPr>
    </w:p>
    <w:p>
      <w:pPr>
        <w:rPr>
          <w:rFonts w:hint="eastAsia"/>
        </w:rPr>
      </w:pPr>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0</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0</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0</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eastAsia="仿宋_GB2312" w:cs="仿宋_GB2312"/>
          <w:b w:val="0"/>
          <w:bCs/>
          <w:kern w:val="0"/>
          <w:sz w:val="32"/>
          <w:szCs w:val="32"/>
          <w:lang w:val="en-US" w:eastAsia="zh-CN"/>
        </w:rPr>
        <w:t>柳州市鱼峰区花岭社区卫生服务中心无政府性基金预算财政拨款收入，也没有“政府性基金预算财政拨款经费安排的支出，故本表无数据。</w:t>
      </w: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8"/>
                <w:highlight w:val="none"/>
                <w:lang w:val="en-US" w:eastAsia="zh-CN" w:bidi="ar"/>
              </w:rPr>
              <w:t xml:space="preserve">   </w:t>
            </w:r>
            <w:r>
              <w:rPr>
                <w:rStyle w:val="9"/>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eastAsia="仿宋_GB2312" w:cs="仿宋_GB2312"/>
          <w:b w:val="0"/>
          <w:bCs/>
          <w:kern w:val="0"/>
          <w:sz w:val="32"/>
          <w:szCs w:val="32"/>
          <w:lang w:val="en-US" w:eastAsia="zh-CN"/>
        </w:rPr>
        <w:t>柳州市鱼峰区花岭社区卫生服务中心无国有资本经营预算财政拨款收入，也没有“国有资本经营预算财政拨款经费安排的支出，故本表无数据。</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val="en-US" w:eastAsia="zh-CN"/>
        </w:rPr>
        <w:t>柳州市鱼峰区花岭社区卫生服务中心</w:t>
      </w:r>
      <w:r>
        <w:rPr>
          <w:rFonts w:hint="eastAsia" w:ascii="仿宋_GB2312" w:eastAsia="仿宋_GB2312"/>
          <w:b/>
          <w:sz w:val="32"/>
          <w:szCs w:val="32"/>
          <w:lang w:eastAsia="zh-CN"/>
        </w:rPr>
        <w:t>2020</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hint="default" w:ascii="仿宋_GB2312" w:eastAsia="仿宋_GB2312" w:cs="仿宋_GB2312"/>
          <w:b w:val="0"/>
          <w:bCs/>
          <w:kern w:val="0"/>
          <w:sz w:val="32"/>
          <w:szCs w:val="32"/>
          <w:lang w:val="en-US" w:eastAsia="zh-CN"/>
        </w:rPr>
      </w:pPr>
      <w:r>
        <w:rPr>
          <w:rFonts w:hint="eastAsia" w:ascii="仿宋_GB2312" w:eastAsia="仿宋_GB2312" w:cs="仿宋_GB2312"/>
          <w:b w:val="0"/>
          <w:bCs/>
          <w:color w:val="000000" w:themeColor="text1"/>
          <w:kern w:val="0"/>
          <w:sz w:val="32"/>
          <w:szCs w:val="32"/>
          <w:lang w:eastAsia="zh-CN"/>
          <w14:textFill>
            <w14:solidFill>
              <w14:schemeClr w14:val="tx1"/>
            </w14:solidFill>
          </w14:textFill>
        </w:rPr>
        <w:t>2020</w:t>
      </w:r>
      <w:r>
        <w:rPr>
          <w:rFonts w:hint="eastAsia" w:ascii="仿宋_GB2312" w:eastAsia="仿宋_GB2312" w:cs="仿宋_GB2312"/>
          <w:b w:val="0"/>
          <w:bCs/>
          <w:color w:val="000000" w:themeColor="text1"/>
          <w:kern w:val="0"/>
          <w:sz w:val="32"/>
          <w:szCs w:val="32"/>
          <w14:textFill>
            <w14:solidFill>
              <w14:schemeClr w14:val="tx1"/>
            </w14:solidFill>
          </w14:textFill>
        </w:rPr>
        <w:t>年度收入总计</w:t>
      </w:r>
      <w:r>
        <w:rPr>
          <w:rFonts w:hint="eastAsia" w:ascii="仿宋_GB2312" w:eastAsia="仿宋_GB2312" w:cs="仿宋_GB2312"/>
          <w:b w:val="0"/>
          <w:bCs/>
          <w:color w:val="000000" w:themeColor="text1"/>
          <w:kern w:val="0"/>
          <w:sz w:val="32"/>
          <w:szCs w:val="32"/>
          <w:lang w:val="en-US" w:eastAsia="zh-CN"/>
          <w14:textFill>
            <w14:solidFill>
              <w14:schemeClr w14:val="tx1"/>
            </w14:solidFill>
          </w14:textFill>
        </w:rPr>
        <w:t>406.41</w:t>
      </w:r>
      <w:r>
        <w:rPr>
          <w:rFonts w:hint="eastAsia" w:ascii="仿宋_GB2312" w:eastAsia="仿宋_GB2312" w:cs="仿宋_GB2312"/>
          <w:b w:val="0"/>
          <w:bCs/>
          <w:color w:val="000000" w:themeColor="text1"/>
          <w:kern w:val="0"/>
          <w:sz w:val="32"/>
          <w:szCs w:val="32"/>
          <w14:textFill>
            <w14:solidFill>
              <w14:schemeClr w14:val="tx1"/>
            </w14:solidFill>
          </w14:textFill>
        </w:rPr>
        <w:t>万元，支出总计</w:t>
      </w:r>
      <w:r>
        <w:rPr>
          <w:rFonts w:hint="eastAsia" w:ascii="仿宋_GB2312" w:eastAsia="仿宋_GB2312" w:cs="仿宋_GB2312"/>
          <w:b w:val="0"/>
          <w:bCs/>
          <w:color w:val="000000" w:themeColor="text1"/>
          <w:kern w:val="0"/>
          <w:sz w:val="32"/>
          <w:szCs w:val="32"/>
          <w:lang w:val="en-US" w:eastAsia="zh-CN"/>
          <w14:textFill>
            <w14:solidFill>
              <w14:schemeClr w14:val="tx1"/>
            </w14:solidFill>
          </w14:textFill>
        </w:rPr>
        <w:t>364.94</w:t>
      </w:r>
      <w:r>
        <w:rPr>
          <w:rFonts w:hint="eastAsia" w:ascii="仿宋_GB2312" w:eastAsia="仿宋_GB2312" w:cs="仿宋_GB2312"/>
          <w:b w:val="0"/>
          <w:bCs/>
          <w:color w:val="000000" w:themeColor="text1"/>
          <w:kern w:val="0"/>
          <w:sz w:val="32"/>
          <w:szCs w:val="32"/>
          <w14:textFill>
            <w14:solidFill>
              <w14:schemeClr w14:val="tx1"/>
            </w14:solidFill>
          </w14:textFill>
        </w:rPr>
        <w:t>万元，</w:t>
      </w:r>
      <w:r>
        <w:rPr>
          <w:rFonts w:hint="eastAsia" w:ascii="仿宋_GB2312" w:eastAsia="仿宋_GB2312" w:cs="仿宋_GB2312"/>
          <w:b w:val="0"/>
          <w:bCs/>
          <w:kern w:val="0"/>
          <w:sz w:val="32"/>
          <w:szCs w:val="32"/>
        </w:rPr>
        <w:t>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年相比，收、支分别增加</w:t>
      </w:r>
      <w:r>
        <w:rPr>
          <w:rFonts w:hint="eastAsia" w:ascii="仿宋_GB2312" w:eastAsia="仿宋_GB2312" w:cs="仿宋_GB2312"/>
          <w:b w:val="0"/>
          <w:bCs/>
          <w:kern w:val="0"/>
          <w:sz w:val="32"/>
          <w:szCs w:val="32"/>
          <w:lang w:val="en-US" w:eastAsia="zh-CN"/>
        </w:rPr>
        <w:t>64.84万元、78.67万元</w:t>
      </w:r>
      <w:r>
        <w:rPr>
          <w:rFonts w:hint="eastAsia" w:ascii="仿宋_GB2312" w:eastAsia="仿宋_GB2312" w:cs="仿宋_GB2312"/>
          <w:b w:val="0"/>
          <w:bCs/>
          <w:kern w:val="0"/>
          <w:sz w:val="32"/>
          <w:szCs w:val="32"/>
        </w:rPr>
        <w:t>；分别增长</w:t>
      </w:r>
      <w:r>
        <w:rPr>
          <w:rFonts w:hint="eastAsia" w:ascii="仿宋_GB2312" w:eastAsia="仿宋_GB2312" w:cs="仿宋_GB2312"/>
          <w:b w:val="0"/>
          <w:bCs/>
          <w:kern w:val="0"/>
          <w:sz w:val="32"/>
          <w:szCs w:val="32"/>
          <w:lang w:val="en-US" w:eastAsia="zh-CN"/>
        </w:rPr>
        <w:t>18.98</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lang w:val="en-US" w:eastAsia="zh-CN"/>
        </w:rPr>
        <w:t>27.48%</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406.41</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227.81</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占比</w:t>
      </w:r>
      <w:r>
        <w:rPr>
          <w:rFonts w:hint="eastAsia" w:ascii="仿宋_GB2312" w:eastAsia="仿宋_GB2312" w:cs="仿宋_GB2312"/>
          <w:b w:val="0"/>
          <w:bCs/>
          <w:kern w:val="0"/>
          <w:sz w:val="32"/>
          <w:szCs w:val="32"/>
          <w:lang w:val="en-US" w:eastAsia="zh-CN"/>
        </w:rPr>
        <w:t>56.06%</w:t>
      </w:r>
      <w:r>
        <w:rPr>
          <w:rFonts w:hint="eastAsia" w:ascii="仿宋_GB2312" w:eastAsia="仿宋_GB2312" w:cs="仿宋_GB2312"/>
          <w:b w:val="0"/>
          <w:bCs/>
          <w:kern w:val="0"/>
          <w:sz w:val="32"/>
          <w:szCs w:val="32"/>
        </w:rPr>
        <w:t> ；上级补助收入</w:t>
      </w:r>
      <w:r>
        <w:rPr>
          <w:rFonts w:hint="eastAsia" w:ascii="仿宋_GB2312" w:eastAsia="仿宋_GB2312" w:cs="仿宋_GB2312"/>
          <w:b w:val="0"/>
          <w:bCs/>
          <w:kern w:val="0"/>
          <w:sz w:val="32"/>
          <w:szCs w:val="32"/>
          <w:lang w:val="en-US" w:eastAsia="zh-CN"/>
        </w:rPr>
        <w:t>81.78</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23.54%</w:t>
      </w:r>
      <w:r>
        <w:rPr>
          <w:rFonts w:hint="eastAsia" w:ascii="仿宋_GB2312" w:eastAsia="仿宋_GB2312" w:cs="仿宋_GB2312"/>
          <w:b w:val="0"/>
          <w:bCs/>
          <w:kern w:val="0"/>
          <w:sz w:val="32"/>
          <w:szCs w:val="32"/>
        </w:rPr>
        <w:t xml:space="preserve"> ；事业收入</w:t>
      </w:r>
      <w:r>
        <w:rPr>
          <w:rFonts w:hint="eastAsia" w:ascii="仿宋_GB2312" w:eastAsia="仿宋_GB2312" w:cs="仿宋_GB2312"/>
          <w:b w:val="0"/>
          <w:bCs/>
          <w:kern w:val="0"/>
          <w:sz w:val="32"/>
          <w:szCs w:val="32"/>
          <w:lang w:val="en-US" w:eastAsia="zh-CN"/>
        </w:rPr>
        <w:t>81.78</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20.12%</w:t>
      </w:r>
      <w:r>
        <w:rPr>
          <w:rFonts w:hint="eastAsia" w:ascii="仿宋_GB2312" w:eastAsia="仿宋_GB2312" w:cs="仿宋_GB2312"/>
          <w:b w:val="0"/>
          <w:bCs/>
          <w:kern w:val="0"/>
          <w:sz w:val="32"/>
          <w:szCs w:val="32"/>
        </w:rPr>
        <w:t xml:space="preserve"> ；其他收入</w:t>
      </w:r>
      <w:r>
        <w:rPr>
          <w:rFonts w:hint="eastAsia" w:ascii="仿宋_GB2312" w:eastAsia="仿宋_GB2312" w:cs="仿宋_GB2312"/>
          <w:b w:val="0"/>
          <w:bCs/>
          <w:kern w:val="0"/>
          <w:sz w:val="32"/>
          <w:szCs w:val="32"/>
          <w:lang w:val="en-US" w:eastAsia="zh-CN"/>
        </w:rPr>
        <w:t>1.14</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0.28%</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 xml:space="preserve">本年支出合计 </w:t>
      </w:r>
      <w:r>
        <w:rPr>
          <w:rFonts w:hint="eastAsia" w:ascii="仿宋_GB2312" w:eastAsia="仿宋_GB2312" w:cs="仿宋_GB2312"/>
          <w:b w:val="0"/>
          <w:bCs/>
          <w:kern w:val="0"/>
          <w:sz w:val="32"/>
          <w:szCs w:val="32"/>
          <w:lang w:val="en-US" w:eastAsia="zh-CN"/>
        </w:rPr>
        <w:t>364.94</w:t>
      </w:r>
      <w:r>
        <w:rPr>
          <w:rFonts w:hint="eastAsia" w:ascii="仿宋_GB2312" w:eastAsia="仿宋_GB2312" w:cs="仿宋_GB2312"/>
          <w:b w:val="0"/>
          <w:bCs/>
          <w:kern w:val="0"/>
          <w:sz w:val="32"/>
          <w:szCs w:val="32"/>
        </w:rPr>
        <w:t xml:space="preserve"> 万元，其中：基本支出</w:t>
      </w:r>
      <w:r>
        <w:rPr>
          <w:rFonts w:hint="eastAsia" w:ascii="仿宋_GB2312" w:eastAsia="仿宋_GB2312" w:cs="仿宋_GB2312"/>
          <w:b w:val="0"/>
          <w:bCs/>
          <w:kern w:val="0"/>
          <w:sz w:val="32"/>
          <w:szCs w:val="32"/>
          <w:lang w:val="en-US" w:eastAsia="zh-CN"/>
        </w:rPr>
        <w:t>145.74</w:t>
      </w:r>
      <w:r>
        <w:rPr>
          <w:rFonts w:hint="eastAsia" w:ascii="仿宋_GB2312" w:eastAsia="仿宋_GB2312" w:cs="仿宋_GB2312"/>
          <w:b w:val="0"/>
          <w:bCs/>
          <w:kern w:val="0"/>
          <w:sz w:val="32"/>
          <w:szCs w:val="32"/>
        </w:rPr>
        <w:t xml:space="preserve">万元，占 </w:t>
      </w:r>
      <w:r>
        <w:rPr>
          <w:rFonts w:hint="eastAsia" w:ascii="仿宋_GB2312" w:eastAsia="仿宋_GB2312" w:cs="仿宋_GB2312"/>
          <w:b w:val="0"/>
          <w:bCs/>
          <w:kern w:val="0"/>
          <w:sz w:val="32"/>
          <w:szCs w:val="32"/>
          <w:lang w:val="en-US" w:eastAsia="zh-CN"/>
        </w:rPr>
        <w:t>39.94</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219.20</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60.06</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2020</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年度财政拨款收、支总决算 </w:t>
      </w:r>
      <w:r>
        <w:rPr>
          <w:rFonts w:hint="eastAsia" w:ascii="仿宋_GB2312" w:eastAsia="仿宋_GB2312" w:cs="仿宋_GB2312"/>
          <w:bCs/>
          <w:kern w:val="0"/>
          <w:sz w:val="32"/>
          <w:szCs w:val="32"/>
          <w:lang w:val="en-US" w:eastAsia="zh-CN"/>
        </w:rPr>
        <w:t>227.81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277.57</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年相比，财政拨款收、支总计各增加</w:t>
      </w:r>
      <w:r>
        <w:rPr>
          <w:rFonts w:hint="eastAsia" w:ascii="仿宋_GB2312" w:eastAsia="仿宋_GB2312" w:cs="仿宋_GB2312"/>
          <w:bCs/>
          <w:kern w:val="0"/>
          <w:sz w:val="32"/>
          <w:szCs w:val="32"/>
          <w:lang w:val="en-US" w:eastAsia="zh-CN"/>
        </w:rPr>
        <w:t>11.76</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111.39万元</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5.45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67.03%</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227.81</w:t>
      </w:r>
      <w:r>
        <w:rPr>
          <w:rFonts w:hint="eastAsia" w:ascii="仿宋_GB2312" w:eastAsia="仿宋_GB2312" w:cs="仿宋_GB2312"/>
          <w:bCs/>
          <w:kern w:val="0"/>
          <w:sz w:val="32"/>
          <w:szCs w:val="32"/>
        </w:rPr>
        <w:t xml:space="preserve"> 万元，占本年支出合计的</w:t>
      </w:r>
      <w:r>
        <w:rPr>
          <w:rFonts w:hint="eastAsia" w:ascii="仿宋_GB2312" w:eastAsia="仿宋_GB2312" w:cs="仿宋_GB2312"/>
          <w:bCs/>
          <w:kern w:val="0"/>
          <w:sz w:val="32"/>
          <w:szCs w:val="32"/>
          <w:lang w:val="en-US" w:eastAsia="zh-CN"/>
        </w:rPr>
        <w:t>76.12</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111.39</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67.03</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 </w:t>
      </w:r>
      <w:r>
        <w:rPr>
          <w:rFonts w:hint="eastAsia" w:ascii="仿宋_GB2312" w:eastAsia="仿宋_GB2312" w:cs="仿宋_GB2312"/>
          <w:bCs/>
          <w:kern w:val="0"/>
          <w:sz w:val="32"/>
          <w:szCs w:val="32"/>
          <w:lang w:val="en-US" w:eastAsia="zh-CN"/>
        </w:rPr>
        <w:t>227.81</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6.79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1.86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268.65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97.56</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2.13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0.58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277.57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277.57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1.社会保障和就业支出（类）行政事业单位养老支出（款）机关事业单位基本养老保险缴费支出（项）年初预算为</w:t>
      </w:r>
      <w:r>
        <w:rPr>
          <w:rFonts w:hint="default" w:ascii="仿宋_GB2312" w:eastAsia="仿宋_GB2312" w:cs="仿宋_GB2312"/>
          <w:bCs/>
          <w:kern w:val="0"/>
          <w:sz w:val="32"/>
          <w:szCs w:val="32"/>
          <w:lang w:val="en-US" w:eastAsia="zh-CN"/>
        </w:rPr>
        <w:t>4.53</w:t>
      </w:r>
      <w:r>
        <w:rPr>
          <w:rFonts w:hint="eastAsia" w:ascii="仿宋_GB2312" w:eastAsia="仿宋_GB2312" w:cs="仿宋_GB2312"/>
          <w:bCs/>
          <w:kern w:val="0"/>
          <w:sz w:val="32"/>
          <w:szCs w:val="32"/>
          <w:lang w:val="en-US" w:eastAsia="zh-CN"/>
        </w:rPr>
        <w:t>万元，支出决算为4.53万元，完成年初预算的100%。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2.社会保障和就业支出（类）行政事业单位养老支出（款）机关事业单位职业年金缴费支出（项）年初预算为2.26万元，支出决算为2.26万元，完成年初预算的100%。</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3.卫生健康支出（类）基层医疗卫生机构（款）城市社区卫生机构（项）年初预算为55万元，支出决算为55万元，完成年初预算的100%。</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4.卫生健康支出（类）基层医疗卫生机构（款） 其他基层医疗卫生机构支出（项）年初预算为12.46万元，支出决算为12.46万元，完成年初预算的100%。</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5.卫生健康支出（类）公共卫生（款）基本公共卫生服务（项）年初预算为</w:t>
      </w:r>
      <w:r>
        <w:rPr>
          <w:rFonts w:hint="default" w:ascii="仿宋_GB2312" w:eastAsia="仿宋_GB2312" w:cs="仿宋_GB2312"/>
          <w:bCs/>
          <w:kern w:val="0"/>
          <w:sz w:val="32"/>
          <w:szCs w:val="32"/>
          <w:lang w:val="en-US" w:eastAsia="zh-CN"/>
        </w:rPr>
        <w:t>196.20</w:t>
      </w:r>
      <w:r>
        <w:rPr>
          <w:rFonts w:hint="eastAsia" w:ascii="仿宋_GB2312" w:eastAsia="仿宋_GB2312" w:cs="仿宋_GB2312"/>
          <w:bCs/>
          <w:kern w:val="0"/>
          <w:sz w:val="32"/>
          <w:szCs w:val="32"/>
          <w:lang w:val="en-US" w:eastAsia="zh-CN"/>
        </w:rPr>
        <w:t>万元，支出决算为</w:t>
      </w:r>
      <w:r>
        <w:rPr>
          <w:rFonts w:hint="default" w:ascii="仿宋_GB2312" w:eastAsia="仿宋_GB2312" w:cs="仿宋_GB2312"/>
          <w:bCs/>
          <w:kern w:val="0"/>
          <w:sz w:val="32"/>
          <w:szCs w:val="32"/>
          <w:lang w:val="en-US" w:eastAsia="zh-CN"/>
        </w:rPr>
        <w:t>196.20</w:t>
      </w:r>
      <w:r>
        <w:rPr>
          <w:rFonts w:hint="eastAsia" w:ascii="仿宋_GB2312" w:eastAsia="仿宋_GB2312" w:cs="仿宋_GB2312"/>
          <w:bCs/>
          <w:kern w:val="0"/>
          <w:sz w:val="32"/>
          <w:szCs w:val="32"/>
          <w:lang w:val="en-US" w:eastAsia="zh-CN"/>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6.卫生健康支出（类）公共卫生（款）重大公共卫生服务（项）年初预算为2.5万元，支出决算为2.5万元，完成年初预算的100%。</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7.卫生健康支出（类）行政事业单位医疗（款）事业单位医疗（项）年初预算为2.49万元，支出决算为2.49万元，完成年初预算的100%。</w:t>
      </w:r>
    </w:p>
    <w:p>
      <w:pPr>
        <w:autoSpaceDE w:val="0"/>
        <w:autoSpaceDN w:val="0"/>
        <w:adjustRightInd w:val="0"/>
        <w:spacing w:line="560" w:lineRule="exact"/>
        <w:ind w:firstLine="640" w:firstLineChars="200"/>
        <w:jc w:val="left"/>
        <w:rPr>
          <w:rFonts w:hint="default" w:ascii="Arial" w:hAnsi="Arial" w:cs="Arial"/>
          <w:i w:val="0"/>
          <w:iCs w:val="0"/>
          <w:color w:val="000000"/>
          <w:kern w:val="0"/>
          <w:sz w:val="20"/>
          <w:szCs w:val="20"/>
          <w:u w:val="none"/>
          <w:lang w:val="en-US" w:eastAsia="zh-CN" w:bidi="ar"/>
        </w:rPr>
      </w:pPr>
      <w:r>
        <w:rPr>
          <w:rFonts w:hint="eastAsia" w:ascii="仿宋_GB2312" w:eastAsia="仿宋_GB2312" w:cs="仿宋_GB2312"/>
          <w:bCs/>
          <w:kern w:val="0"/>
          <w:sz w:val="32"/>
          <w:szCs w:val="32"/>
          <w:lang w:val="en-US" w:eastAsia="zh-CN"/>
        </w:rPr>
        <w:t>8.住房保障支出（类）住房改革支出（款）住房公积金（项）年初预算为2.13万元，支出决算为2.13万元，完成年初预算的100%。</w:t>
      </w:r>
    </w:p>
    <w:p>
      <w:pPr>
        <w:autoSpaceDE w:val="0"/>
        <w:autoSpaceDN w:val="0"/>
        <w:adjustRightInd w:val="0"/>
        <w:spacing w:line="560" w:lineRule="exact"/>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rPr>
        <w:t>六、</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2020</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78.87</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人员经费</w:t>
      </w:r>
      <w:r>
        <w:rPr>
          <w:rFonts w:hint="eastAsia" w:ascii="仿宋_GB2312" w:eastAsia="仿宋_GB2312" w:cs="仿宋_GB2312"/>
          <w:b w:val="0"/>
          <w:bCs/>
          <w:kern w:val="0"/>
          <w:sz w:val="32"/>
          <w:szCs w:val="32"/>
          <w:lang w:val="en-US" w:eastAsia="zh-CN"/>
        </w:rPr>
        <w:t>53.44</w:t>
      </w:r>
      <w:r>
        <w:rPr>
          <w:rFonts w:hint="eastAsia" w:ascii="仿宋_GB2312" w:eastAsia="仿宋_GB2312" w:cs="仿宋_GB2312"/>
          <w:b w:val="0"/>
          <w:bCs/>
          <w:kern w:val="0"/>
          <w:sz w:val="32"/>
          <w:szCs w:val="32"/>
        </w:rPr>
        <w:t>万元，主要包括：基本工资、津贴补贴、 绩效工资、机关事业单位基本养老保险缴费、职业年金缴费、</w:t>
      </w:r>
      <w:r>
        <w:rPr>
          <w:rFonts w:hint="eastAsia" w:ascii="仿宋_GB2312" w:eastAsia="仿宋_GB2312" w:cs="仿宋_GB2312"/>
          <w:b w:val="0"/>
          <w:bCs/>
          <w:kern w:val="0"/>
          <w:sz w:val="32"/>
          <w:szCs w:val="32"/>
          <w:lang w:eastAsia="zh-CN"/>
        </w:rPr>
        <w:t>职工基本医疗保险缴费、</w:t>
      </w:r>
      <w:r>
        <w:rPr>
          <w:rFonts w:hint="eastAsia" w:ascii="仿宋_GB2312" w:eastAsia="仿宋_GB2312" w:cs="仿宋_GB2312"/>
          <w:b w:val="0"/>
          <w:bCs/>
          <w:kern w:val="0"/>
          <w:sz w:val="32"/>
          <w:szCs w:val="32"/>
        </w:rPr>
        <w:t>其他社会保障缴费、住房公积金；</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25.43</w:t>
      </w:r>
      <w:r>
        <w:rPr>
          <w:rFonts w:hint="eastAsia" w:ascii="仿宋_GB2312" w:eastAsia="仿宋_GB2312" w:cs="仿宋_GB2312"/>
          <w:b w:val="0"/>
          <w:bCs/>
          <w:kern w:val="0"/>
          <w:sz w:val="32"/>
          <w:szCs w:val="32"/>
        </w:rPr>
        <w:t>万元，主要包括：办公费、维 修（护）费、专用材料费、劳务费、工会经费</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eastAsia="仿宋_GB2312"/>
          <w:bCs/>
          <w:kern w:val="0"/>
          <w:sz w:val="32"/>
          <w:szCs w:val="32"/>
        </w:rPr>
        <w:t>2020</w:t>
      </w:r>
      <w:r>
        <w:rPr>
          <w:rFonts w:hint="eastAsia" w:ascii="仿宋_GB2312" w:eastAsia="仿宋_GB2312" w:cs="仿宋_GB2312"/>
          <w:bCs/>
          <w:kern w:val="0"/>
          <w:sz w:val="32"/>
          <w:szCs w:val="32"/>
        </w:rPr>
        <w:t>年度“三公”经费财政拨款支出预算为</w:t>
      </w:r>
      <w:r>
        <w:rPr>
          <w:rFonts w:hint="eastAsia" w:eastAsia="仿宋_GB2312"/>
          <w:bCs/>
          <w:kern w:val="0"/>
          <w:sz w:val="32"/>
          <w:szCs w:val="32"/>
        </w:rPr>
        <w:t>0</w:t>
      </w:r>
      <w:r>
        <w:rPr>
          <w:rFonts w:hint="eastAsia" w:ascii="仿宋_GB2312" w:eastAsia="仿宋_GB2312" w:cs="仿宋_GB2312"/>
          <w:bCs/>
          <w:kern w:val="0"/>
          <w:sz w:val="32"/>
          <w:szCs w:val="32"/>
        </w:rPr>
        <w:t>万元，支出决算为</w:t>
      </w:r>
      <w:r>
        <w:rPr>
          <w:rFonts w:hint="eastAsia" w:eastAsia="仿宋_GB2312"/>
          <w:bCs/>
          <w:kern w:val="0"/>
          <w:sz w:val="32"/>
          <w:szCs w:val="32"/>
        </w:rPr>
        <w:t>0</w:t>
      </w:r>
      <w:r>
        <w:rPr>
          <w:rFonts w:hint="eastAsia" w:ascii="仿宋_GB2312" w:eastAsia="仿宋_GB2312" w:cs="仿宋_GB2312"/>
          <w:bCs/>
          <w:kern w:val="0"/>
          <w:sz w:val="32"/>
          <w:szCs w:val="32"/>
        </w:rPr>
        <w:t>万元，其中：因公出国（境）费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万元；公务用车购置及运行费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万元；公务接待费支出</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决算为</w:t>
      </w:r>
      <w:r>
        <w:rPr>
          <w:rFonts w:hint="eastAsia" w:eastAsia="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“三公”经费财政拨款支出决算数</w:t>
      </w:r>
      <w:r>
        <w:rPr>
          <w:rFonts w:hint="eastAsia" w:ascii="仿宋_GB2312" w:eastAsia="仿宋_GB2312" w:cs="仿宋_GB2312"/>
          <w:bCs/>
          <w:kern w:val="0"/>
          <w:sz w:val="32"/>
          <w:szCs w:val="32"/>
          <w:lang w:val="en-US" w:eastAsia="zh-CN"/>
        </w:rPr>
        <w:t>为0万元，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支出决算0万元，占0 %；公务接待费支出决算0万元，占0%。具体情况如下：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 公务用车购置支出为0万元。公务用车运行支出0万元。</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60" w:lineRule="exact"/>
        <w:ind w:firstLine="66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国内公务接待支出0万元。2020 年共接待国内来访团组0个、来宾0人次。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bCs w:val="0"/>
          <w:kern w:val="0"/>
          <w:sz w:val="32"/>
          <w:szCs w:val="32"/>
          <w:lang w:eastAsia="zh-CN"/>
        </w:rPr>
        <w:t>2020</w:t>
      </w:r>
      <w:r>
        <w:rPr>
          <w:rFonts w:hint="eastAsia" w:ascii="仿宋_GB2312" w:eastAsia="仿宋_GB2312" w:cs="仿宋_GB2312"/>
          <w:b/>
          <w:bCs w:val="0"/>
          <w:kern w:val="0"/>
          <w:sz w:val="32"/>
          <w:szCs w:val="32"/>
        </w:rPr>
        <w:t xml:space="preserve"> 年度政府性基金预算财政拨款收入支出决算情况说明 </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6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政府</w:t>
      </w:r>
      <w:r>
        <w:rPr>
          <w:rFonts w:hint="eastAsia" w:ascii="仿宋_GB2312" w:eastAsia="仿宋_GB2312" w:cs="仿宋_GB2312"/>
          <w:bCs/>
          <w:kern w:val="0"/>
          <w:sz w:val="32"/>
          <w:szCs w:val="32"/>
          <w:lang w:eastAsia="zh-CN"/>
        </w:rPr>
        <w:t>性</w:t>
      </w:r>
      <w:r>
        <w:rPr>
          <w:rFonts w:hint="eastAsia" w:ascii="仿宋_GB2312" w:eastAsia="仿宋_GB2312" w:cs="仿宋_GB2312"/>
          <w:bCs/>
          <w:kern w:val="0"/>
          <w:sz w:val="32"/>
          <w:szCs w:val="32"/>
        </w:rPr>
        <w:t>基金预算财政拨款</w:t>
      </w:r>
      <w:r>
        <w:rPr>
          <w:rFonts w:hint="eastAsia" w:ascii="仿宋_GB2312" w:eastAsia="仿宋_GB2312" w:cs="仿宋_GB2312"/>
          <w:bCs/>
          <w:kern w:val="0"/>
          <w:sz w:val="32"/>
          <w:szCs w:val="32"/>
          <w:lang w:eastAsia="zh-CN"/>
        </w:rPr>
        <w:t>预算及</w:t>
      </w:r>
      <w:r>
        <w:rPr>
          <w:rFonts w:hint="eastAsia" w:ascii="仿宋_GB2312" w:eastAsia="仿宋_GB2312" w:cs="仿宋_GB2312"/>
          <w:bCs/>
          <w:kern w:val="0"/>
          <w:sz w:val="32"/>
          <w:szCs w:val="32"/>
        </w:rPr>
        <w:t xml:space="preserve">决算 </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Cs/>
          <w:kern w:val="0"/>
          <w:sz w:val="32"/>
          <w:szCs w:val="32"/>
          <w:lang w:val="en-US" w:eastAsia="zh-CN"/>
        </w:rPr>
        <w:t>本单位2020年度无国有资本经营预算财政拨款预算及决算 。</w:t>
      </w:r>
    </w:p>
    <w:p>
      <w:pPr>
        <w:autoSpaceDE w:val="0"/>
        <w:autoSpaceDN w:val="0"/>
        <w:adjustRightInd w:val="0"/>
        <w:ind w:firstLine="643" w:firstLineChars="200"/>
        <w:jc w:val="left"/>
        <w:rPr>
          <w:rFonts w:hint="eastAsia" w:ascii="仿宋_GB2312" w:hAnsi="仿宋_GB2312" w:eastAsia="仿宋_GB2312" w:cs="仿宋_GB2312"/>
          <w:b w:val="0"/>
          <w:bCs/>
          <w:color w:val="FF0000"/>
          <w:kern w:val="0"/>
          <w:sz w:val="32"/>
          <w:szCs w:val="32"/>
          <w:lang w:eastAsia="zh-CN"/>
        </w:rPr>
      </w:pPr>
      <w:r>
        <w:rPr>
          <w:rFonts w:hint="eastAsia" w:ascii="仿宋_GB2312" w:eastAsia="仿宋_GB2312" w:cs="仿宋_GB2312"/>
          <w:b/>
          <w:bCs w:val="0"/>
          <w:kern w:val="0"/>
          <w:sz w:val="32"/>
          <w:szCs w:val="32"/>
          <w:lang w:val="en-US" w:eastAsia="zh-CN"/>
        </w:rPr>
        <w:t>十</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2020</w:t>
      </w:r>
      <w:r>
        <w:rPr>
          <w:rFonts w:hint="eastAsia" w:ascii="仿宋_GB2312" w:eastAsia="仿宋_GB2312" w:cs="仿宋_GB2312"/>
          <w:b/>
          <w:bCs w:val="0"/>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绩效管理工作开展情况</w:t>
      </w:r>
      <w:r>
        <w:rPr>
          <w:rFonts w:hint="eastAsia" w:ascii="仿宋_GB2312" w:eastAsia="仿宋_GB2312" w:cs="仿宋_GB2312"/>
          <w:bCs/>
          <w:kern w:val="0"/>
          <w:sz w:val="32"/>
          <w:szCs w:val="32"/>
          <w:lang w:eastAsia="zh-CN"/>
        </w:rPr>
        <w:t>。</w:t>
      </w:r>
    </w:p>
    <w:p>
      <w:pPr>
        <w:numPr>
          <w:ilvl w:val="0"/>
          <w:numId w:val="0"/>
        </w:numPr>
        <w:autoSpaceDE w:val="0"/>
        <w:autoSpaceDN w:val="0"/>
        <w:adjustRightInd w:val="0"/>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根据财政预算</w:t>
      </w:r>
      <w:r>
        <w:rPr>
          <w:rFonts w:hint="eastAsia" w:ascii="仿宋_GB2312" w:eastAsia="仿宋_GB2312" w:cs="仿宋_GB2312"/>
          <w:bCs/>
          <w:kern w:val="0"/>
          <w:sz w:val="32"/>
          <w:szCs w:val="32"/>
          <w:lang w:eastAsia="zh-CN"/>
        </w:rPr>
        <w:t>绩效</w:t>
      </w:r>
      <w:r>
        <w:rPr>
          <w:rFonts w:hint="eastAsia" w:ascii="仿宋_GB2312" w:eastAsia="仿宋_GB2312" w:cs="仿宋_GB2312"/>
          <w:bCs/>
          <w:kern w:val="0"/>
          <w:sz w:val="32"/>
          <w:szCs w:val="32"/>
        </w:rPr>
        <w:t>管理要求</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我部门</w:t>
      </w:r>
      <w:r>
        <w:rPr>
          <w:rFonts w:hint="eastAsia" w:ascii="仿宋_GB2312" w:eastAsia="仿宋_GB2312" w:cs="仿宋_GB2312"/>
          <w:bCs/>
          <w:kern w:val="0"/>
          <w:sz w:val="32"/>
          <w:szCs w:val="32"/>
          <w:lang w:eastAsia="zh-CN"/>
        </w:rPr>
        <w:t>完成了</w:t>
      </w:r>
      <w:r>
        <w:rPr>
          <w:rFonts w:hint="eastAsia" w:ascii="仿宋_GB2312" w:eastAsia="仿宋_GB2312" w:cs="仿宋_GB2312"/>
          <w:bCs/>
          <w:kern w:val="0"/>
          <w:sz w:val="32"/>
          <w:szCs w:val="32"/>
          <w:lang w:val="en-US" w:eastAsia="zh-CN"/>
        </w:rPr>
        <w:t>2020年部门整体绩效自评，并完成了2021年绩效目标申报。</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lang w:val="en-US" w:eastAsia="zh-CN"/>
        </w:rPr>
        <w:t>一</w:t>
      </w:r>
      <w:r>
        <w:rPr>
          <w:rFonts w:hint="eastAsia" w:ascii="仿宋_GB2312" w:eastAsia="仿宋_GB2312" w:cs="仿宋_GB2312"/>
          <w:b/>
          <w:bCs w:val="0"/>
          <w:kern w:val="0"/>
          <w:sz w:val="32"/>
          <w:szCs w:val="32"/>
          <w:lang w:eastAsia="zh-CN"/>
        </w:rPr>
        <w:t>、</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p>
    <w:p>
      <w:pPr>
        <w:autoSpaceDE w:val="0"/>
        <w:autoSpaceDN w:val="0"/>
        <w:adjustRightInd w:val="0"/>
        <w:ind w:firstLine="640" w:firstLineChars="20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rPr>
        <w:t>本单位性质为事业单位，无机关运行经费</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lang w:val="en-US" w:eastAsia="zh-CN"/>
        </w:rPr>
        <w:t>参照机关运行经费统计口径，我单位事业运行经费情况如下：</w:t>
      </w:r>
    </w:p>
    <w:p>
      <w:pPr>
        <w:autoSpaceDE w:val="0"/>
        <w:autoSpaceDN w:val="0"/>
        <w:adjustRightInd w:val="0"/>
        <w:ind w:firstLine="640" w:firstLineChars="200"/>
        <w:jc w:val="left"/>
        <w:rPr>
          <w:rFonts w:hint="default" w:ascii="仿宋_GB2312" w:eastAsia="宋体" w:cs="仿宋_GB2312"/>
          <w:kern w:val="0"/>
          <w:sz w:val="32"/>
          <w:szCs w:val="32"/>
          <w:lang w:val="en-US" w:eastAsia="zh-CN"/>
        </w:rPr>
      </w:pPr>
      <w:r>
        <w:rPr>
          <w:rFonts w:hint="eastAsia" w:ascii="仿宋_GB2312" w:eastAsia="仿宋_GB2312" w:cs="仿宋_GB2312"/>
          <w:kern w:val="0"/>
          <w:sz w:val="32"/>
          <w:szCs w:val="32"/>
        </w:rPr>
        <w:t>2</w:t>
      </w:r>
      <w:r>
        <w:rPr>
          <w:rFonts w:hint="eastAsia" w:ascii="仿宋_GB2312" w:eastAsia="仿宋_GB2312" w:cs="仿宋_GB2312"/>
          <w:kern w:val="0"/>
          <w:sz w:val="32"/>
          <w:szCs w:val="32"/>
          <w:highlight w:val="none"/>
        </w:rPr>
        <w:t>020年度部门</w:t>
      </w:r>
      <w:r>
        <w:rPr>
          <w:rFonts w:hint="eastAsia" w:ascii="仿宋_GB2312" w:eastAsia="仿宋_GB2312" w:cs="仿宋_GB2312"/>
          <w:kern w:val="0"/>
          <w:sz w:val="32"/>
          <w:szCs w:val="32"/>
          <w:highlight w:val="none"/>
          <w:lang w:val="en-US" w:eastAsia="zh-CN"/>
        </w:rPr>
        <w:t>事业</w:t>
      </w:r>
      <w:r>
        <w:rPr>
          <w:rFonts w:hint="eastAsia" w:ascii="仿宋_GB2312" w:eastAsia="仿宋_GB2312" w:cs="仿宋_GB2312"/>
          <w:kern w:val="0"/>
          <w:sz w:val="32"/>
          <w:szCs w:val="32"/>
          <w:highlight w:val="none"/>
        </w:rPr>
        <w:t>运行经费支出</w:t>
      </w:r>
      <w:r>
        <w:rPr>
          <w:rFonts w:hint="eastAsia" w:ascii="仿宋_GB2312" w:eastAsia="仿宋_GB2312" w:cs="仿宋_GB2312"/>
          <w:kern w:val="0"/>
          <w:sz w:val="32"/>
          <w:szCs w:val="32"/>
          <w:highlight w:val="none"/>
          <w:lang w:val="en-US" w:eastAsia="zh-CN"/>
        </w:rPr>
        <w:t>25.43</w:t>
      </w:r>
      <w:r>
        <w:rPr>
          <w:rFonts w:hint="eastAsia" w:ascii="仿宋_GB2312" w:eastAsia="仿宋_GB2312" w:cs="仿宋_GB2312"/>
          <w:kern w:val="0"/>
          <w:sz w:val="32"/>
          <w:szCs w:val="32"/>
          <w:highlight w:val="none"/>
        </w:rPr>
        <w:t>万元，主要包括：</w:t>
      </w:r>
      <w:r>
        <w:rPr>
          <w:rFonts w:hint="eastAsia" w:ascii="仿宋_GB2312" w:eastAsia="仿宋_GB2312" w:cs="仿宋_GB2312"/>
          <w:kern w:val="0"/>
          <w:sz w:val="32"/>
          <w:szCs w:val="32"/>
          <w:highlight w:val="none"/>
          <w:lang w:eastAsia="zh-CN"/>
        </w:rPr>
        <w:t>办公费</w:t>
      </w:r>
      <w:r>
        <w:rPr>
          <w:rFonts w:hint="eastAsia" w:ascii="仿宋_GB2312" w:eastAsia="仿宋_GB2312" w:cs="仿宋_GB2312"/>
          <w:kern w:val="0"/>
          <w:sz w:val="32"/>
          <w:szCs w:val="32"/>
          <w:highlight w:val="none"/>
        </w:rPr>
        <w:t>　</w:t>
      </w:r>
      <w:r>
        <w:rPr>
          <w:rFonts w:hint="eastAsia" w:ascii="仿宋_GB2312" w:eastAsia="仿宋_GB2312" w:cs="仿宋_GB2312"/>
          <w:kern w:val="0"/>
          <w:sz w:val="32"/>
          <w:szCs w:val="32"/>
          <w:highlight w:val="none"/>
          <w:lang w:val="en-US" w:eastAsia="zh-CN"/>
        </w:rPr>
        <w:t>1.2万元，</w:t>
      </w:r>
      <w:r>
        <w:rPr>
          <w:rFonts w:hint="eastAsia" w:ascii="仿宋_GB2312" w:eastAsia="仿宋_GB2312" w:cs="仿宋_GB2312"/>
          <w:kern w:val="0"/>
          <w:sz w:val="32"/>
          <w:szCs w:val="32"/>
          <w:highlight w:val="none"/>
        </w:rPr>
        <w:t>维修（护）费</w:t>
      </w:r>
      <w:r>
        <w:rPr>
          <w:rFonts w:hint="eastAsia" w:ascii="仿宋_GB2312" w:eastAsia="仿宋_GB2312" w:cs="仿宋_GB2312"/>
          <w:kern w:val="0"/>
          <w:sz w:val="32"/>
          <w:szCs w:val="32"/>
          <w:highlight w:val="none"/>
          <w:lang w:val="en-US" w:eastAsia="zh-CN"/>
        </w:rPr>
        <w:t>4.37万元，</w:t>
      </w:r>
      <w:r>
        <w:rPr>
          <w:rFonts w:hint="eastAsia" w:ascii="仿宋_GB2312" w:eastAsia="仿宋_GB2312" w:cs="仿宋_GB2312"/>
          <w:kern w:val="0"/>
          <w:sz w:val="32"/>
          <w:szCs w:val="32"/>
          <w:highlight w:val="none"/>
        </w:rPr>
        <w:t>专用材料费</w:t>
      </w:r>
      <w:r>
        <w:rPr>
          <w:rFonts w:hint="eastAsia" w:ascii="仿宋_GB2312" w:eastAsia="仿宋_GB2312" w:cs="仿宋_GB2312"/>
          <w:kern w:val="0"/>
          <w:sz w:val="32"/>
          <w:szCs w:val="32"/>
          <w:highlight w:val="none"/>
          <w:lang w:val="en-US" w:eastAsia="zh-CN"/>
        </w:rPr>
        <w:t>11.2万元，</w:t>
      </w:r>
      <w:r>
        <w:rPr>
          <w:rFonts w:hint="eastAsia" w:ascii="仿宋_GB2312" w:eastAsia="仿宋_GB2312" w:cs="仿宋_GB2312"/>
          <w:kern w:val="0"/>
          <w:sz w:val="32"/>
          <w:szCs w:val="32"/>
          <w:highlight w:val="none"/>
          <w:lang w:eastAsia="zh-CN"/>
        </w:rPr>
        <w:t>劳务费</w:t>
      </w:r>
      <w:r>
        <w:rPr>
          <w:rFonts w:hint="eastAsia" w:ascii="仿宋_GB2312" w:eastAsia="仿宋_GB2312" w:cs="仿宋_GB2312"/>
          <w:kern w:val="0"/>
          <w:sz w:val="32"/>
          <w:szCs w:val="32"/>
          <w:highlight w:val="none"/>
          <w:lang w:val="en-US" w:eastAsia="zh-CN"/>
        </w:rPr>
        <w:t>8.32万元，</w:t>
      </w:r>
      <w:r>
        <w:rPr>
          <w:rFonts w:hint="eastAsia" w:ascii="仿宋_GB2312" w:eastAsia="仿宋_GB2312" w:cs="仿宋_GB2312"/>
          <w:kern w:val="0"/>
          <w:sz w:val="32"/>
          <w:szCs w:val="32"/>
          <w:highlight w:val="none"/>
          <w:lang w:eastAsia="zh-CN"/>
        </w:rPr>
        <w:t>工会经费</w:t>
      </w:r>
      <w:r>
        <w:rPr>
          <w:rFonts w:hint="eastAsia" w:ascii="仿宋_GB2312" w:eastAsia="仿宋_GB2312" w:cs="仿宋_GB2312"/>
          <w:kern w:val="0"/>
          <w:sz w:val="32"/>
          <w:szCs w:val="32"/>
          <w:highlight w:val="none"/>
          <w:lang w:val="en-US" w:eastAsia="zh-CN"/>
        </w:rPr>
        <w:t>0.35万元。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2020年度部门政府采购支出总额0万元，其中：货物支出0万元、工程支出0万元、服务支出0万元。</w:t>
      </w:r>
    </w:p>
    <w:p>
      <w:pPr>
        <w:autoSpaceDE w:val="0"/>
        <w:autoSpaceDN w:val="0"/>
        <w:adjustRightInd w:val="0"/>
        <w:ind w:firstLine="640" w:firstLineChars="200"/>
        <w:jc w:val="left"/>
        <w:rPr>
          <w:rFonts w:hint="eastAsia" w:ascii="仿宋_GB2312" w:eastAsia="仿宋_GB2312"/>
          <w:b w:val="0"/>
          <w:bCs/>
          <w:sz w:val="32"/>
          <w:szCs w:val="32"/>
          <w:lang w:val="en-US" w:eastAsia="zh-CN"/>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专业技术用</w:t>
      </w:r>
      <w:r>
        <w:rPr>
          <w:rFonts w:hint="eastAsia" w:ascii="仿宋_GB2312" w:eastAsia="仿宋_GB2312" w:cs="仿宋_GB2312"/>
          <w:kern w:val="0"/>
          <w:sz w:val="32"/>
          <w:szCs w:val="32"/>
          <w:lang w:eastAsia="zh-CN"/>
        </w:rPr>
        <w:t>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辆。 </w:t>
      </w:r>
    </w:p>
    <w:p>
      <w:pPr>
        <w:numPr>
          <w:ilvl w:val="0"/>
          <w:numId w:val="0"/>
        </w:numPr>
        <w:ind w:firstLine="643" w:firstLineChars="200"/>
        <w:rPr>
          <w:rFonts w:hint="eastAsia" w:ascii="仿宋_GB2312" w:eastAsia="仿宋_GB2312"/>
          <w:b/>
          <w:color w:val="FF0000"/>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2"/>
        </w:numPr>
        <w:ind w:left="638" w:leftChars="304" w:firstLine="0" w:firstLineChars="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财政拨款收入：指本级财政当年拨付的资金。</w:t>
      </w:r>
    </w:p>
    <w:p>
      <w:pPr>
        <w:numPr>
          <w:ilvl w:val="0"/>
          <w:numId w:val="0"/>
        </w:numPr>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二、事业收入：指事业单位开展专业活动用辅助活动所取得的收入。</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三、年初结转和结余：指以前年度尚未完成、结转到本年按规定继续使用的资金。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五、基本支出：指为保障机构正常运转、完成日常工作任务而发生的人员支出和公用支出。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六、项目支出：指在基本支出之外为完成特定行政任务和事业发展目标所发生的支出。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 w:val="0"/>
          <w:bCs/>
          <w:sz w:val="32"/>
          <w:szCs w:val="32"/>
          <w:lang w:val="en-US" w:eastAsia="zh-CN"/>
        </w:rPr>
        <w:br w:type="textWrapping"/>
      </w:r>
      <w:r>
        <w:rPr>
          <w:rFonts w:hint="eastAsia" w:ascii="仿宋_GB2312" w:eastAsia="仿宋_GB2312"/>
          <w:b w:val="0"/>
          <w:bCs/>
          <w:sz w:val="32"/>
          <w:szCs w:val="32"/>
          <w:lang w:val="en-US" w:eastAsia="zh-CN"/>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- 16 -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2693246"/>
    <w:rsid w:val="063861B4"/>
    <w:rsid w:val="0B1F4A6E"/>
    <w:rsid w:val="0DE53CF4"/>
    <w:rsid w:val="124204B5"/>
    <w:rsid w:val="19E67D52"/>
    <w:rsid w:val="1DBD636D"/>
    <w:rsid w:val="21BF59CB"/>
    <w:rsid w:val="26460DBA"/>
    <w:rsid w:val="29044456"/>
    <w:rsid w:val="29CC6B91"/>
    <w:rsid w:val="2B2C0295"/>
    <w:rsid w:val="2B6F74EB"/>
    <w:rsid w:val="2C4219FE"/>
    <w:rsid w:val="33C76EF0"/>
    <w:rsid w:val="34020F86"/>
    <w:rsid w:val="34EE41B6"/>
    <w:rsid w:val="39A63F06"/>
    <w:rsid w:val="3ED1439F"/>
    <w:rsid w:val="45910DA3"/>
    <w:rsid w:val="475C2722"/>
    <w:rsid w:val="488538AE"/>
    <w:rsid w:val="4A46671F"/>
    <w:rsid w:val="4C256E3D"/>
    <w:rsid w:val="4CB52F0F"/>
    <w:rsid w:val="52110AD9"/>
    <w:rsid w:val="532F1F9A"/>
    <w:rsid w:val="57491ECD"/>
    <w:rsid w:val="5E5F4B5A"/>
    <w:rsid w:val="5E995A3E"/>
    <w:rsid w:val="62163194"/>
    <w:rsid w:val="624D024D"/>
    <w:rsid w:val="650E086A"/>
    <w:rsid w:val="6BAA0708"/>
    <w:rsid w:val="701A7060"/>
    <w:rsid w:val="71C372D2"/>
    <w:rsid w:val="73E01C30"/>
    <w:rsid w:val="7B0C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2021-07-23T06:58:00Z</cp:lastPrinted>
  <dcterms:modified xsi:type="dcterms:W3CDTF">2021-08-01T10:22:06Z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32551C29D9554C108583B4283545FCFC</vt:lpwstr>
  </property>
</Properties>
</file>