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p>
    <w:p>
      <w:pPr>
        <w:rPr>
          <w:rFonts w:hint="eastAsia" w:ascii="黑体" w:eastAsia="黑体" w:cs="ArialUnicodeMS"/>
          <w:kern w:val="0"/>
          <w:sz w:val="72"/>
          <w:szCs w:val="72"/>
        </w:rPr>
      </w:pPr>
    </w:p>
    <w:p>
      <w:pPr>
        <w:rPr>
          <w:rFonts w:hint="eastAsia" w:ascii="黑体" w:eastAsia="黑体" w:cs="ArialUnicodeMS"/>
          <w:kern w:val="0"/>
          <w:sz w:val="72"/>
          <w:szCs w:val="72"/>
        </w:rPr>
      </w:pPr>
    </w:p>
    <w:p>
      <w:pPr>
        <w:jc w:val="center"/>
        <w:rPr>
          <w:rFonts w:hint="eastAsia" w:ascii="黑体" w:hAnsi="黑体" w:eastAsia="黑体"/>
          <w:bCs/>
          <w:color w:val="000000"/>
          <w:sz w:val="52"/>
          <w:szCs w:val="52"/>
          <w:lang w:val="en-US" w:eastAsia="zh-CN"/>
        </w:rPr>
      </w:pPr>
      <w:r>
        <w:rPr>
          <w:rFonts w:hint="eastAsia" w:ascii="黑体" w:eastAsia="黑体" w:cs="ArialUnicodeMS"/>
          <w:kern w:val="0"/>
          <w:sz w:val="52"/>
          <w:szCs w:val="52"/>
          <w:lang w:eastAsia="zh-CN"/>
        </w:rPr>
        <w:t>柳州市鱼峰区洛埠镇卫生院</w:t>
      </w:r>
    </w:p>
    <w:p>
      <w:pPr>
        <w:jc w:val="center"/>
        <w:rPr>
          <w:rFonts w:hint="eastAsia" w:ascii="黑体" w:eastAsia="黑体" w:cs="ArialUnicodeMS"/>
          <w:kern w:val="0"/>
          <w:sz w:val="52"/>
          <w:szCs w:val="52"/>
        </w:rPr>
      </w:pPr>
      <w:r>
        <w:rPr>
          <w:rFonts w:hint="eastAsia" w:ascii="黑体" w:eastAsia="黑体"/>
          <w:kern w:val="0"/>
          <w:sz w:val="52"/>
          <w:szCs w:val="52"/>
          <w:lang w:val="en-US" w:eastAsia="zh-CN"/>
        </w:rPr>
        <w:t>2020</w:t>
      </w:r>
      <w:r>
        <w:rPr>
          <w:rFonts w:hint="eastAsia" w:ascii="黑体" w:eastAsia="黑体" w:cs="ArialUnicodeMS"/>
          <w:kern w:val="0"/>
          <w:sz w:val="52"/>
          <w:szCs w:val="52"/>
        </w:rPr>
        <w:t>年</w:t>
      </w:r>
      <w:r>
        <w:rPr>
          <w:rFonts w:hint="eastAsia" w:ascii="黑体" w:eastAsia="黑体" w:cs="ArialUnicodeMS"/>
          <w:kern w:val="0"/>
          <w:sz w:val="52"/>
          <w:szCs w:val="52"/>
          <w:lang w:eastAsia="zh-CN"/>
        </w:rPr>
        <w:t>度</w:t>
      </w:r>
      <w:r>
        <w:rPr>
          <w:rFonts w:hint="eastAsia" w:ascii="黑体" w:eastAsia="黑体" w:cs="ArialUnicodeMS"/>
          <w:kern w:val="0"/>
          <w:sz w:val="52"/>
          <w:szCs w:val="52"/>
        </w:rPr>
        <w:t>部门决算</w:t>
      </w: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645"/>
        <w:rPr>
          <w:rFonts w:hint="eastAsia" w:ascii="仿宋_GB2312" w:eastAsia="仿宋_GB2312"/>
          <w:b/>
          <w:sz w:val="32"/>
          <w:szCs w:val="32"/>
        </w:rPr>
      </w:pPr>
    </w:p>
    <w:p>
      <w:pPr>
        <w:ind w:firstLine="645"/>
        <w:rPr>
          <w:rFonts w:hint="eastAsia"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柳州市鱼峰区洛埠镇卫生院</w:t>
      </w:r>
      <w:r>
        <w:rPr>
          <w:rFonts w:hint="eastAsia" w:ascii="仿宋_GB2312" w:eastAsia="仿宋_GB2312"/>
          <w:b/>
          <w:sz w:val="32"/>
          <w:szCs w:val="32"/>
        </w:rPr>
        <w:t>概况</w:t>
      </w:r>
    </w:p>
    <w:p>
      <w:pPr>
        <w:numPr>
          <w:ilvl w:val="0"/>
          <w:numId w:val="1"/>
        </w:numPr>
        <w:ind w:firstLine="645"/>
        <w:rPr>
          <w:rFonts w:hint="default" w:ascii="仿宋_GB2312" w:eastAsia="仿宋_GB2312"/>
          <w:sz w:val="32"/>
          <w:szCs w:val="32"/>
          <w:lang w:val="en-US" w:eastAsia="zh-CN"/>
        </w:rPr>
      </w:pPr>
      <w:r>
        <w:rPr>
          <w:rFonts w:hint="eastAsia" w:ascii="仿宋_GB2312" w:eastAsia="仿宋_GB2312"/>
          <w:sz w:val="32"/>
          <w:szCs w:val="32"/>
        </w:rPr>
        <w:t>主要职能</w:t>
      </w:r>
    </w:p>
    <w:p>
      <w:pPr>
        <w:ind w:firstLine="645"/>
        <w:rPr>
          <w:rFonts w:hint="eastAsia" w:ascii="仿宋_GB2312" w:eastAsia="仿宋_GB2312"/>
          <w:sz w:val="32"/>
          <w:szCs w:val="32"/>
        </w:rPr>
      </w:pPr>
      <w:r>
        <w:rPr>
          <w:rFonts w:hint="eastAsia" w:ascii="仿宋_GB2312" w:eastAsia="仿宋_GB2312"/>
          <w:sz w:val="32"/>
          <w:szCs w:val="32"/>
        </w:rPr>
        <w:t>二、部门决算单位构成</w:t>
      </w:r>
    </w:p>
    <w:p>
      <w:pPr>
        <w:ind w:firstLine="645"/>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洛埠镇卫生院</w:t>
      </w:r>
      <w:r>
        <w:rPr>
          <w:rFonts w:hint="eastAsia" w:ascii="仿宋_GB2312" w:eastAsia="仿宋_GB2312"/>
          <w:b/>
          <w:sz w:val="32"/>
          <w:szCs w:val="32"/>
          <w:lang w:eastAsia="zh-CN"/>
        </w:rPr>
        <w:t>2020</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cs="仿宋_GB2312"/>
          <w:bCs/>
          <w:kern w:val="0"/>
          <w:sz w:val="32"/>
          <w:szCs w:val="32"/>
          <w:highlight w:val="none"/>
        </w:rPr>
      </w:pPr>
      <w:r>
        <w:rPr>
          <w:rFonts w:hint="eastAsia" w:ascii="仿宋_GB2312" w:eastAsia="仿宋_GB2312"/>
          <w:sz w:val="32"/>
          <w:szCs w:val="32"/>
          <w:highlight w:val="none"/>
        </w:rPr>
        <w:t>表</w:t>
      </w:r>
      <w:r>
        <w:rPr>
          <w:rFonts w:hint="eastAsia" w:ascii="仿宋_GB2312" w:eastAsia="仿宋_GB2312"/>
          <w:sz w:val="32"/>
          <w:szCs w:val="32"/>
          <w:highlight w:val="none"/>
          <w:lang w:val="en-US" w:eastAsia="zh-CN"/>
        </w:rPr>
        <w:t>九</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国有资本经营预算财政拨款支出决算情况</w:t>
      </w:r>
    </w:p>
    <w:p>
      <w:pPr>
        <w:ind w:firstLine="645"/>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洛埠镇卫生院</w:t>
      </w:r>
      <w:r>
        <w:rPr>
          <w:rFonts w:hint="eastAsia" w:ascii="仿宋_GB2312" w:eastAsia="仿宋_GB2312"/>
          <w:b/>
          <w:sz w:val="32"/>
          <w:szCs w:val="32"/>
          <w:lang w:eastAsia="zh-CN"/>
        </w:rPr>
        <w:t>2020</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lang w:eastAsia="zh-CN"/>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lang w:eastAsia="zh-CN"/>
        </w:rPr>
        <w:t>2020</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收入</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lang w:eastAsia="zh-CN"/>
        </w:rPr>
        <w:t>2020</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支出</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四、</w:t>
      </w:r>
      <w:r>
        <w:rPr>
          <w:rFonts w:hint="eastAsia" w:eastAsia="仿宋_GB2312"/>
          <w:kern w:val="0"/>
          <w:sz w:val="32"/>
          <w:szCs w:val="32"/>
          <w:lang w:eastAsia="zh-CN"/>
        </w:rPr>
        <w:t>2020</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财政拨款收入支出决算情况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五、</w:t>
      </w:r>
      <w:r>
        <w:rPr>
          <w:rFonts w:hint="eastAsia" w:eastAsia="仿宋_GB2312"/>
          <w:kern w:val="0"/>
          <w:sz w:val="32"/>
          <w:szCs w:val="32"/>
          <w:lang w:eastAsia="zh-CN"/>
        </w:rPr>
        <w:t>2020</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六、</w:t>
      </w:r>
      <w:r>
        <w:rPr>
          <w:rFonts w:hint="eastAsia" w:eastAsia="仿宋_GB2312"/>
          <w:kern w:val="0"/>
          <w:sz w:val="32"/>
          <w:szCs w:val="32"/>
          <w:lang w:eastAsia="zh-CN"/>
        </w:rPr>
        <w:t>2020</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一般公共预算财政拨款基本支出决算情况</w:t>
      </w:r>
    </w:p>
    <w:p>
      <w:pPr>
        <w:autoSpaceDE w:val="0"/>
        <w:autoSpaceDN w:val="0"/>
        <w:adjustRightInd w:val="0"/>
        <w:ind w:left="1278" w:leftChars="304" w:hanging="640" w:hanging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七、</w:t>
      </w:r>
      <w:r>
        <w:rPr>
          <w:rFonts w:hint="eastAsia" w:eastAsia="仿宋_GB2312"/>
          <w:kern w:val="0"/>
          <w:sz w:val="32"/>
          <w:szCs w:val="32"/>
          <w:lang w:eastAsia="zh-CN"/>
        </w:rPr>
        <w:t>2020</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一般公共预算财政拨款“三公”经费支出决算情况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八、</w:t>
      </w:r>
      <w:r>
        <w:rPr>
          <w:rFonts w:hint="eastAsia" w:eastAsia="仿宋_GB2312"/>
          <w:kern w:val="0"/>
          <w:sz w:val="32"/>
          <w:szCs w:val="32"/>
          <w:lang w:eastAsia="zh-CN"/>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hint="default"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lang w:val="en-US" w:eastAsia="zh-CN"/>
        </w:rPr>
        <w:t>九、2020年</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十</w:t>
      </w:r>
      <w:r>
        <w:rPr>
          <w:rFonts w:hint="eastAsia" w:ascii="仿宋_GB2312" w:eastAsia="仿宋_GB2312" w:cs="仿宋_GB2312"/>
          <w:bCs/>
          <w:kern w:val="0"/>
          <w:sz w:val="32"/>
          <w:szCs w:val="32"/>
          <w:lang w:eastAsia="zh-CN"/>
        </w:rPr>
        <w:t>、</w:t>
      </w:r>
      <w:r>
        <w:rPr>
          <w:rFonts w:hint="eastAsia" w:eastAsia="仿宋_GB2312"/>
          <w:kern w:val="0"/>
          <w:sz w:val="32"/>
          <w:szCs w:val="32"/>
          <w:lang w:eastAsia="zh-CN"/>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hint="eastAsia" w:ascii="仿宋_GB2312" w:eastAsia="仿宋_GB2312" w:cs="仿宋_GB2312"/>
          <w:b w:val="0"/>
          <w:bCs w:val="0"/>
          <w:kern w:val="0"/>
          <w:sz w:val="32"/>
          <w:szCs w:val="32"/>
        </w:rPr>
      </w:pPr>
      <w:r>
        <w:rPr>
          <w:rFonts w:hint="eastAsia" w:ascii="仿宋_GB2312" w:eastAsia="仿宋_GB2312" w:cs="仿宋_GB2312"/>
          <w:bCs/>
          <w:kern w:val="0"/>
          <w:sz w:val="32"/>
          <w:szCs w:val="32"/>
          <w:lang w:eastAsia="zh-CN"/>
        </w:rPr>
        <w:t>十</w:t>
      </w:r>
      <w:r>
        <w:rPr>
          <w:rFonts w:hint="eastAsia" w:ascii="仿宋_GB2312" w:eastAsia="仿宋_GB2312" w:cs="仿宋_GB2312"/>
          <w:bCs/>
          <w:kern w:val="0"/>
          <w:sz w:val="32"/>
          <w:szCs w:val="32"/>
          <w:lang w:val="en-US" w:eastAsia="zh-CN"/>
        </w:rPr>
        <w:t>一</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其他重要事项的情况说明</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ind w:firstLine="646"/>
        <w:jc w:val="center"/>
        <w:rPr>
          <w:rFonts w:ascii="仿宋_GB2312" w:eastAsia="仿宋_GB2312"/>
          <w:b/>
          <w:sz w:val="32"/>
          <w:szCs w:val="32"/>
        </w:rPr>
      </w:pPr>
      <w:r>
        <w:rPr>
          <w:rFonts w:hint="eastAsia" w:ascii="仿宋_GB2312" w:eastAsia="仿宋_GB2312" w:cs="仿宋_GB2312"/>
          <w:b w:val="0"/>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rPr>
        <w:t xml:space="preserve">  </w:t>
      </w:r>
      <w:r>
        <w:rPr>
          <w:rFonts w:hint="eastAsia" w:ascii="仿宋_GB2312" w:hAnsi="黑体" w:eastAsia="仿宋_GB2312"/>
          <w:b/>
          <w:bCs/>
          <w:color w:val="000000"/>
          <w:sz w:val="32"/>
          <w:szCs w:val="32"/>
          <w:u w:val="none"/>
          <w:lang w:eastAsia="zh-CN"/>
        </w:rPr>
        <w:t>柳州市鱼峰区洛埠镇卫生院</w:t>
      </w:r>
      <w:r>
        <w:rPr>
          <w:rFonts w:hint="eastAsia" w:ascii="仿宋_GB2312" w:eastAsia="仿宋_GB2312"/>
          <w:b/>
          <w:sz w:val="32"/>
          <w:szCs w:val="32"/>
        </w:rPr>
        <w:t>概况</w:t>
      </w:r>
    </w:p>
    <w:p>
      <w:pPr>
        <w:ind w:firstLine="646"/>
        <w:rPr>
          <w:rFonts w:hint="eastAsia" w:ascii="仿宋_GB2312" w:eastAsia="仿宋_GB2312"/>
          <w:sz w:val="32"/>
          <w:szCs w:val="32"/>
        </w:rPr>
      </w:pPr>
      <w:r>
        <w:rPr>
          <w:rFonts w:hint="eastAsia" w:ascii="仿宋_GB2312" w:eastAsia="仿宋_GB2312"/>
          <w:sz w:val="32"/>
          <w:szCs w:val="32"/>
        </w:rPr>
        <w:t>一、主要职能</w:t>
      </w:r>
    </w:p>
    <w:p>
      <w:pPr>
        <w:widowControl/>
        <w:spacing w:line="560" w:lineRule="exact"/>
        <w:ind w:firstLine="640" w:firstLineChars="2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（一）负责本乡镇的基本医疗服务</w:t>
      </w:r>
      <w:r>
        <w:rPr>
          <w:rFonts w:ascii="仿宋_GB2312" w:hAnsi="宋体" w:eastAsia="仿宋_GB2312" w:cs="宋体"/>
          <w:color w:val="000000"/>
          <w:kern w:val="0"/>
          <w:sz w:val="32"/>
          <w:szCs w:val="32"/>
        </w:rPr>
        <w:t>;</w:t>
      </w:r>
    </w:p>
    <w:p>
      <w:pPr>
        <w:widowControl/>
        <w:spacing w:line="560" w:lineRule="exact"/>
        <w:ind w:firstLine="640" w:firstLineChars="2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（二）负责本乡镇突发公共卫生事件的报告，并依据上级部门要求组织实施处置</w:t>
      </w:r>
      <w:r>
        <w:rPr>
          <w:rFonts w:ascii="仿宋_GB2312" w:hAnsi="宋体" w:eastAsia="仿宋_GB2312" w:cs="宋体"/>
          <w:color w:val="000000"/>
          <w:kern w:val="0"/>
          <w:sz w:val="32"/>
          <w:szCs w:val="32"/>
        </w:rPr>
        <w:t>;</w:t>
      </w:r>
    </w:p>
    <w:p>
      <w:pPr>
        <w:widowControl/>
        <w:spacing w:line="560" w:lineRule="exact"/>
        <w:ind w:firstLine="640" w:firstLineChars="2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（三）认真执行儿童计划免疫。积极开展</w:t>
      </w:r>
      <w:r>
        <w:fldChar w:fldCharType="begin"/>
      </w:r>
      <w:r>
        <w:instrText xml:space="preserve"> HYPERLINK "http://www.so.com/s?q=%E6%85%A2%E6%80%A7%E9%9D%9E%E4%BC%A0%E6%9F%93%E6%80%A7%E7%96%BE%E7%97%85&amp;ie=utf-8&amp;src=wenda_link" \t "http://wenda.so.com/q/_blank" </w:instrText>
      </w:r>
      <w:r>
        <w:fldChar w:fldCharType="separate"/>
      </w:r>
      <w:r>
        <w:rPr>
          <w:rFonts w:hint="eastAsia" w:ascii="仿宋_GB2312" w:hAnsi="宋体" w:eastAsia="仿宋_GB2312" w:cs="宋体"/>
          <w:kern w:val="0"/>
          <w:sz w:val="32"/>
          <w:szCs w:val="32"/>
        </w:rPr>
        <w:t>慢性非传染性疾病</w:t>
      </w:r>
      <w:r>
        <w:rPr>
          <w:rFonts w:hint="eastAsia" w:ascii="仿宋_GB2312" w:hAnsi="宋体" w:eastAsia="仿宋_GB2312" w:cs="宋体"/>
          <w:kern w:val="0"/>
          <w:sz w:val="32"/>
          <w:szCs w:val="32"/>
        </w:rPr>
        <w:fldChar w:fldCharType="end"/>
      </w:r>
      <w:r>
        <w:rPr>
          <w:rFonts w:hint="eastAsia" w:ascii="仿宋_GB2312" w:hAnsi="宋体" w:eastAsia="仿宋_GB2312" w:cs="宋体"/>
          <w:color w:val="000000"/>
          <w:kern w:val="0"/>
          <w:sz w:val="32"/>
          <w:szCs w:val="32"/>
        </w:rPr>
        <w:t>的防治工作。</w:t>
      </w:r>
    </w:p>
    <w:p>
      <w:pPr>
        <w:widowControl/>
        <w:spacing w:line="560" w:lineRule="exact"/>
        <w:ind w:firstLine="640" w:firstLineChars="2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（四）做好农村孕产妇和儿童保健工作，提高住院分娩率，改善儿童营养状况。</w:t>
      </w:r>
      <w:r>
        <w:rPr>
          <w:rFonts w:ascii="仿宋_GB2312" w:hAnsi="宋体" w:eastAsia="仿宋_GB2312" w:cs="宋体"/>
          <w:color w:val="000000"/>
          <w:kern w:val="0"/>
          <w:sz w:val="32"/>
          <w:szCs w:val="32"/>
        </w:rPr>
        <w:br w:type="textWrapping"/>
      </w:r>
      <w:r>
        <w:rPr>
          <w:rFonts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rPr>
        <w:t>（五）积极做好</w:t>
      </w:r>
      <w:r>
        <w:fldChar w:fldCharType="begin"/>
      </w:r>
      <w:r>
        <w:instrText xml:space="preserve"> HYPERLINK "http://www.so.com/s?q=%E6%96%B0%E5%9E%8B%E5%86%9C%E6%9D%91%E5%90%88%E4%BD%9C%E5%8C%BB%E7%96%97&amp;ie=utf-8&amp;src=wenda_link" \t "http://wenda.so.com/q/_blank" </w:instrText>
      </w:r>
      <w:r>
        <w:fldChar w:fldCharType="separate"/>
      </w:r>
      <w:r>
        <w:rPr>
          <w:rFonts w:hint="eastAsia" w:ascii="仿宋_GB2312" w:hAnsi="宋体" w:eastAsia="仿宋_GB2312" w:cs="宋体"/>
          <w:kern w:val="0"/>
          <w:sz w:val="32"/>
          <w:szCs w:val="32"/>
          <w:lang w:eastAsia="zh-CN"/>
        </w:rPr>
        <w:t>居民职工</w:t>
      </w:r>
      <w:r>
        <w:rPr>
          <w:rFonts w:hint="eastAsia" w:ascii="仿宋_GB2312" w:hAnsi="宋体" w:eastAsia="仿宋_GB2312" w:cs="宋体"/>
          <w:kern w:val="0"/>
          <w:sz w:val="32"/>
          <w:szCs w:val="32"/>
        </w:rPr>
        <w:t>合作医疗</w:t>
      </w:r>
      <w:r>
        <w:rPr>
          <w:rFonts w:hint="eastAsia" w:ascii="仿宋_GB2312" w:hAnsi="宋体" w:eastAsia="仿宋_GB2312" w:cs="宋体"/>
          <w:kern w:val="0"/>
          <w:sz w:val="32"/>
          <w:szCs w:val="32"/>
        </w:rPr>
        <w:fldChar w:fldCharType="end"/>
      </w:r>
      <w:r>
        <w:rPr>
          <w:rFonts w:hint="eastAsia" w:ascii="仿宋_GB2312" w:hAnsi="宋体" w:eastAsia="仿宋_GB2312" w:cs="宋体"/>
          <w:color w:val="000000"/>
          <w:kern w:val="0"/>
          <w:sz w:val="32"/>
          <w:szCs w:val="32"/>
        </w:rPr>
        <w:t>的服务、计划生育技术指导、康复等工作。</w:t>
      </w:r>
      <w:r>
        <w:rPr>
          <w:rFonts w:ascii="仿宋_GB2312" w:hAnsi="宋体" w:eastAsia="仿宋_GB2312" w:cs="宋体"/>
          <w:color w:val="000000"/>
          <w:kern w:val="0"/>
          <w:sz w:val="32"/>
          <w:szCs w:val="32"/>
        </w:rPr>
        <w:br w:type="textWrapping"/>
      </w:r>
      <w:r>
        <w:rPr>
          <w:rFonts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rPr>
        <w:t>（六）负责本乡镇辖区内的卫生信息统计、分析、上报</w:t>
      </w:r>
      <w:r>
        <w:rPr>
          <w:rFonts w:ascii="仿宋_GB2312" w:hAnsi="宋体" w:eastAsia="仿宋_GB2312" w:cs="宋体"/>
          <w:color w:val="000000"/>
          <w:kern w:val="0"/>
          <w:sz w:val="32"/>
          <w:szCs w:val="32"/>
        </w:rPr>
        <w:t>;</w:t>
      </w:r>
    </w:p>
    <w:p>
      <w:pPr>
        <w:widowControl/>
        <w:spacing w:line="560" w:lineRule="exact"/>
        <w:ind w:firstLine="640" w:firstLineChars="2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（七）负责对本乡镇辖区内村级卫生组织和乡村医生的业务指导和培训</w:t>
      </w:r>
      <w:r>
        <w:rPr>
          <w:rFonts w:ascii="仿宋_GB2312" w:hAnsi="宋体" w:eastAsia="仿宋_GB2312" w:cs="宋体"/>
          <w:color w:val="000000"/>
          <w:kern w:val="0"/>
          <w:sz w:val="32"/>
          <w:szCs w:val="32"/>
        </w:rPr>
        <w:t>;</w:t>
      </w:r>
    </w:p>
    <w:p>
      <w:pPr>
        <w:widowControl/>
        <w:spacing w:line="560" w:lineRule="exact"/>
        <w:ind w:firstLine="640" w:firstLineChars="200"/>
        <w:jc w:val="left"/>
        <w:rPr>
          <w:rFonts w:ascii="仿宋_GB2312" w:eastAsia="仿宋_GB2312"/>
          <w:sz w:val="32"/>
          <w:szCs w:val="32"/>
        </w:rPr>
      </w:pPr>
      <w:r>
        <w:rPr>
          <w:rFonts w:hint="eastAsia" w:ascii="仿宋_GB2312" w:hAnsi="宋体" w:eastAsia="仿宋_GB2312" w:cs="宋体"/>
          <w:color w:val="000000"/>
          <w:kern w:val="0"/>
          <w:sz w:val="32"/>
          <w:szCs w:val="32"/>
        </w:rPr>
        <w:t>（八）负责承办政府卫生行政部门委托的相关业务或事项</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负责上级卫生行政部门下达的</w:t>
      </w:r>
      <w:r>
        <w:fldChar w:fldCharType="begin"/>
      </w:r>
      <w:r>
        <w:instrText xml:space="preserve"> HYPERLINK "http://www.oh100.com/qita/" \t "http://www.oh100.com/a/201208/_blank" </w:instrText>
      </w:r>
      <w:r>
        <w:fldChar w:fldCharType="separate"/>
      </w:r>
      <w:r>
        <w:rPr>
          <w:rFonts w:hint="eastAsia" w:ascii="仿宋_GB2312" w:hAnsi="宋体" w:eastAsia="仿宋_GB2312" w:cs="宋体"/>
          <w:kern w:val="0"/>
          <w:sz w:val="32"/>
          <w:szCs w:val="32"/>
        </w:rPr>
        <w:t>其他</w:t>
      </w:r>
      <w:r>
        <w:rPr>
          <w:rFonts w:hint="eastAsia" w:ascii="仿宋_GB2312" w:hAnsi="宋体" w:eastAsia="仿宋_GB2312" w:cs="宋体"/>
          <w:kern w:val="0"/>
          <w:sz w:val="32"/>
          <w:szCs w:val="32"/>
        </w:rPr>
        <w:fldChar w:fldCharType="end"/>
      </w:r>
      <w:r>
        <w:rPr>
          <w:rFonts w:hint="eastAsia" w:ascii="仿宋_GB2312" w:hAnsi="宋体" w:eastAsia="仿宋_GB2312" w:cs="宋体"/>
          <w:color w:val="000000"/>
          <w:kern w:val="0"/>
          <w:sz w:val="32"/>
          <w:szCs w:val="32"/>
        </w:rPr>
        <w:t>工作。</w:t>
      </w:r>
    </w:p>
    <w:p>
      <w:pPr>
        <w:ind w:firstLine="646"/>
        <w:rPr>
          <w:rFonts w:hint="eastAsia" w:ascii="仿宋_GB2312" w:eastAsia="仿宋_GB2312"/>
          <w:sz w:val="32"/>
          <w:szCs w:val="32"/>
        </w:rPr>
      </w:pPr>
      <w:r>
        <w:rPr>
          <w:rFonts w:hint="eastAsia" w:ascii="仿宋_GB2312" w:eastAsia="仿宋_GB2312"/>
          <w:sz w:val="32"/>
          <w:szCs w:val="32"/>
        </w:rPr>
        <w:t>二、部门决算单位构成</w:t>
      </w:r>
    </w:p>
    <w:p>
      <w:pPr>
        <w:jc w:val="both"/>
        <w:rPr>
          <w:rFonts w:ascii="仿宋_GB2312" w:eastAsia="仿宋_GB2312" w:cs="宋体"/>
          <w:bCs/>
          <w:color w:val="000000"/>
          <w:kern w:val="0"/>
          <w:sz w:val="32"/>
          <w:szCs w:val="32"/>
        </w:rPr>
      </w:pPr>
      <w:r>
        <w:rPr>
          <w:rFonts w:hint="eastAsia"/>
          <w:lang w:val="en-US" w:eastAsia="zh-CN"/>
        </w:rPr>
        <w:t xml:space="preserve">      </w:t>
      </w:r>
      <w:r>
        <w:rPr>
          <w:rFonts w:hint="eastAsia" w:ascii="仿宋_GB2312" w:hAnsi="宋体" w:eastAsia="仿宋_GB2312" w:cs="宋体"/>
          <w:bCs/>
          <w:color w:val="000000"/>
          <w:kern w:val="0"/>
          <w:sz w:val="32"/>
          <w:szCs w:val="32"/>
        </w:rPr>
        <w:t>（一）机构设置</w:t>
      </w:r>
      <w:r>
        <w:rPr>
          <w:rFonts w:ascii="仿宋_GB2312" w:eastAsia="仿宋_GB2312" w:cs="宋体"/>
          <w:bCs/>
          <w:color w:val="000000"/>
          <w:kern w:val="0"/>
          <w:sz w:val="32"/>
          <w:szCs w:val="32"/>
        </w:rPr>
        <w:t> </w:t>
      </w:r>
      <w:r>
        <w:rPr>
          <w:rFonts w:hint="eastAsia" w:ascii="仿宋_GB2312" w:eastAsia="仿宋_GB2312" w:cs="宋体"/>
          <w:bCs/>
          <w:color w:val="000000"/>
          <w:kern w:val="0"/>
          <w:sz w:val="32"/>
          <w:szCs w:val="32"/>
        </w:rPr>
        <w:t>情况</w:t>
      </w:r>
    </w:p>
    <w:p>
      <w:pPr>
        <w:widowControl/>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共有1个单位，为差额拨款事业单位。洛埠镇卫生院成立于1987年，属公益一类事业单位，组织机构类型为事业单位法人，单位法定代表人：</w:t>
      </w:r>
      <w:r>
        <w:rPr>
          <w:rFonts w:hint="eastAsia" w:ascii="仿宋_GB2312" w:hAnsi="宋体" w:eastAsia="仿宋_GB2312" w:cs="宋体"/>
          <w:color w:val="000000"/>
          <w:kern w:val="0"/>
          <w:sz w:val="32"/>
          <w:szCs w:val="32"/>
          <w:lang w:eastAsia="zh-CN"/>
        </w:rPr>
        <w:t>邢晓娟</w:t>
      </w:r>
      <w:r>
        <w:rPr>
          <w:rFonts w:hint="eastAsia" w:ascii="仿宋_GB2312" w:hAnsi="宋体" w:eastAsia="仿宋_GB2312" w:cs="宋体"/>
          <w:color w:val="000000"/>
          <w:kern w:val="0"/>
          <w:sz w:val="32"/>
          <w:szCs w:val="32"/>
        </w:rPr>
        <w:t>，单位地址：柳州市</w:t>
      </w:r>
      <w:r>
        <w:rPr>
          <w:rFonts w:hint="eastAsia" w:ascii="仿宋_GB2312" w:hAnsi="宋体" w:eastAsia="仿宋_GB2312" w:cs="宋体"/>
          <w:color w:val="000000"/>
          <w:kern w:val="0"/>
          <w:sz w:val="32"/>
          <w:szCs w:val="32"/>
          <w:lang w:eastAsia="zh-CN"/>
        </w:rPr>
        <w:t>鱼峰区</w:t>
      </w:r>
      <w:r>
        <w:rPr>
          <w:rFonts w:hint="eastAsia" w:ascii="仿宋_GB2312" w:hAnsi="宋体" w:eastAsia="仿宋_GB2312" w:cs="宋体"/>
          <w:color w:val="000000"/>
          <w:kern w:val="0"/>
          <w:sz w:val="32"/>
          <w:szCs w:val="32"/>
        </w:rPr>
        <w:t>洛埠镇振鹤街一巷14号，统一社会信用代码：1245020349864008X0。</w:t>
      </w:r>
    </w:p>
    <w:p>
      <w:pPr>
        <w:widowControl/>
        <w:spacing w:line="560" w:lineRule="exac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洛埠镇卫生院下设科室有综合门诊科、住院部、公卫科、办公室、财务科、化验室、DR室和B超室等。</w:t>
      </w:r>
    </w:p>
    <w:p>
      <w:pPr>
        <w:widowControl/>
        <w:spacing w:line="560" w:lineRule="exac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（二）人员构成情况</w:t>
      </w:r>
    </w:p>
    <w:p>
      <w:pPr>
        <w:widowControl/>
        <w:spacing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截止2020年12月31日，洛埠镇卫生院在职员工为30人，其中在职在编人员10人，聘用人员18人，柳</w:t>
      </w:r>
      <w:r>
        <w:rPr>
          <w:rFonts w:hint="eastAsia" w:ascii="仿宋_GB2312" w:hAnsi="宋体" w:eastAsia="仿宋_GB2312" w:cs="宋体"/>
          <w:color w:val="000000"/>
          <w:kern w:val="0"/>
          <w:sz w:val="32"/>
          <w:szCs w:val="32"/>
          <w:lang w:eastAsia="zh-CN"/>
        </w:rPr>
        <w:t>州市妇幼委派</w:t>
      </w:r>
      <w:r>
        <w:rPr>
          <w:rFonts w:hint="eastAsia" w:ascii="仿宋_GB2312" w:hAnsi="宋体" w:eastAsia="仿宋_GB2312" w:cs="宋体"/>
          <w:color w:val="000000"/>
          <w:kern w:val="0"/>
          <w:sz w:val="32"/>
          <w:szCs w:val="32"/>
          <w:lang w:val="en-US" w:eastAsia="zh-CN"/>
        </w:rPr>
        <w:t>2人</w:t>
      </w:r>
      <w:r>
        <w:rPr>
          <w:rFonts w:hint="eastAsia" w:ascii="仿宋_GB2312" w:hAnsi="宋体" w:eastAsia="仿宋_GB2312" w:cs="宋体"/>
          <w:color w:val="000000"/>
          <w:kern w:val="0"/>
          <w:sz w:val="32"/>
          <w:szCs w:val="32"/>
        </w:rPr>
        <w:t>。洛埠镇卫生院财务制度执行《政府会计制度》。</w:t>
      </w:r>
    </w:p>
    <w:p>
      <w:pPr>
        <w:jc w:val="center"/>
      </w:pPr>
    </w:p>
    <w:p>
      <w:pPr>
        <w:ind w:firstLine="0"/>
        <w:jc w:val="both"/>
        <w:rPr>
          <w:rFonts w:hint="eastAsia" w:ascii="仿宋_GB2312" w:eastAsia="仿宋_GB2312"/>
          <w:b/>
          <w:sz w:val="32"/>
          <w:szCs w:val="32"/>
        </w:rPr>
      </w:pPr>
    </w:p>
    <w:p>
      <w:pPr>
        <w:ind w:firstLine="0"/>
        <w:jc w:val="both"/>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rPr>
        <w:t xml:space="preserve">  </w:t>
      </w:r>
      <w:r>
        <w:rPr>
          <w:rFonts w:hint="eastAsia" w:ascii="仿宋_GB2312" w:hAnsi="黑体" w:eastAsia="仿宋_GB2312"/>
          <w:b/>
          <w:bCs/>
          <w:color w:val="000000"/>
          <w:sz w:val="32"/>
          <w:szCs w:val="32"/>
          <w:u w:val="none"/>
          <w:lang w:eastAsia="zh-CN"/>
        </w:rPr>
        <w:t>洛埠镇卫生院</w:t>
      </w:r>
      <w:r>
        <w:rPr>
          <w:rFonts w:hint="eastAsia" w:ascii="仿宋_GB2312" w:eastAsia="仿宋_GB2312"/>
          <w:b/>
          <w:sz w:val="32"/>
          <w:szCs w:val="32"/>
          <w:u w:val="none"/>
        </w:rPr>
        <w:t xml:space="preserve"> </w:t>
      </w:r>
      <w:r>
        <w:rPr>
          <w:rFonts w:hint="eastAsia" w:ascii="仿宋_GB2312" w:eastAsia="仿宋_GB2312"/>
          <w:b/>
          <w:sz w:val="32"/>
          <w:szCs w:val="32"/>
          <w:lang w:eastAsia="zh-CN"/>
        </w:rPr>
        <w:t>2020</w:t>
      </w:r>
      <w:r>
        <w:rPr>
          <w:rFonts w:hint="eastAsia" w:ascii="仿宋_GB2312" w:eastAsia="仿宋_GB2312"/>
          <w:b/>
          <w:sz w:val="32"/>
          <w:szCs w:val="32"/>
        </w:rPr>
        <w:t>年部门决算报表</w:t>
      </w:r>
    </w:p>
    <w:p>
      <w:pPr>
        <w:jc w:val="center"/>
        <w:rPr>
          <w:rFonts w:hint="eastAsia"/>
        </w:rPr>
      </w:pPr>
    </w:p>
    <w:p>
      <w:pPr>
        <w:rPr>
          <w:rFonts w:hint="eastAsia"/>
        </w:rPr>
      </w:pPr>
    </w:p>
    <w:tbl>
      <w:tblPr>
        <w:tblStyle w:val="6"/>
        <w:tblW w:w="8720" w:type="dxa"/>
        <w:jc w:val="center"/>
        <w:tblLayout w:type="fixed"/>
        <w:tblCellMar>
          <w:top w:w="0" w:type="dxa"/>
          <w:left w:w="108" w:type="dxa"/>
          <w:bottom w:w="0" w:type="dxa"/>
          <w:right w:w="108" w:type="dxa"/>
        </w:tblCellMar>
      </w:tblPr>
      <w:tblGrid>
        <w:gridCol w:w="2895"/>
        <w:gridCol w:w="1230"/>
        <w:gridCol w:w="2978"/>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4125"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59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23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297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一、</w:t>
            </w:r>
            <w:r>
              <w:rPr>
                <w:rFonts w:hint="eastAsia" w:ascii="宋体" w:hAnsi="宋体" w:cs="宋体"/>
                <w:color w:val="000000"/>
                <w:kern w:val="0"/>
                <w:sz w:val="22"/>
                <w:szCs w:val="22"/>
                <w:lang w:eastAsia="zh-CN"/>
              </w:rPr>
              <w:t>一般公共预算财政拨款收入</w:t>
            </w:r>
          </w:p>
        </w:tc>
        <w:tc>
          <w:tcPr>
            <w:tcW w:w="1230" w:type="dxa"/>
            <w:tcBorders>
              <w:top w:val="nil"/>
              <w:left w:val="nil"/>
              <w:bottom w:val="single" w:color="auto" w:sz="4" w:space="0"/>
              <w:right w:val="single" w:color="auto" w:sz="4" w:space="0"/>
            </w:tcBorders>
            <w:vAlign w:val="center"/>
          </w:tcPr>
          <w:p>
            <w:pPr>
              <w:widowControl/>
              <w:ind w:left="220" w:hanging="220" w:hangingChars="100"/>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200.73</w:t>
            </w:r>
          </w:p>
        </w:tc>
        <w:tc>
          <w:tcPr>
            <w:tcW w:w="297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二、</w:t>
            </w:r>
            <w:r>
              <w:rPr>
                <w:rFonts w:hint="eastAsia" w:ascii="宋体" w:hAnsi="宋体" w:cs="宋体"/>
                <w:color w:val="000000"/>
                <w:kern w:val="0"/>
                <w:sz w:val="22"/>
                <w:szCs w:val="22"/>
                <w:lang w:eastAsia="zh-CN"/>
              </w:rPr>
              <w:t>政府性基金预算财政拨款收入</w:t>
            </w:r>
          </w:p>
        </w:tc>
        <w:tc>
          <w:tcPr>
            <w:tcW w:w="123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297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三</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上级补助</w:t>
            </w:r>
            <w:r>
              <w:rPr>
                <w:rFonts w:hint="eastAsia" w:ascii="宋体" w:hAnsi="宋体" w:cs="宋体"/>
                <w:color w:val="000000"/>
                <w:kern w:val="0"/>
                <w:sz w:val="22"/>
                <w:szCs w:val="22"/>
              </w:rPr>
              <w:t>收入</w:t>
            </w:r>
          </w:p>
        </w:tc>
        <w:tc>
          <w:tcPr>
            <w:tcW w:w="123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28.19</w:t>
            </w:r>
          </w:p>
        </w:tc>
        <w:tc>
          <w:tcPr>
            <w:tcW w:w="297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事业</w:t>
            </w:r>
            <w:r>
              <w:rPr>
                <w:rFonts w:hint="eastAsia" w:ascii="宋体" w:hAnsi="宋体" w:cs="宋体"/>
                <w:color w:val="000000"/>
                <w:kern w:val="0"/>
                <w:sz w:val="22"/>
                <w:szCs w:val="22"/>
              </w:rPr>
              <w:t>收入</w:t>
            </w:r>
          </w:p>
        </w:tc>
        <w:tc>
          <w:tcPr>
            <w:tcW w:w="123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243.03</w:t>
            </w:r>
          </w:p>
        </w:tc>
        <w:tc>
          <w:tcPr>
            <w:tcW w:w="297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五</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经营</w:t>
            </w:r>
            <w:r>
              <w:rPr>
                <w:rFonts w:hint="eastAsia" w:ascii="宋体" w:hAnsi="宋体" w:cs="宋体"/>
                <w:color w:val="000000"/>
                <w:kern w:val="0"/>
                <w:sz w:val="22"/>
                <w:szCs w:val="22"/>
              </w:rPr>
              <w:t>收入</w:t>
            </w:r>
          </w:p>
        </w:tc>
        <w:tc>
          <w:tcPr>
            <w:tcW w:w="123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97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w:t>
            </w:r>
            <w:r>
              <w:rPr>
                <w:rFonts w:hint="eastAsia" w:ascii="宋体" w:hAnsi="宋体" w:cs="宋体"/>
                <w:color w:val="000000"/>
                <w:kern w:val="0"/>
                <w:sz w:val="22"/>
                <w:szCs w:val="22"/>
                <w:lang w:eastAsia="zh-CN"/>
              </w:rPr>
              <w:t>旅游体育</w:t>
            </w:r>
            <w:r>
              <w:rPr>
                <w:rFonts w:hint="eastAsia" w:ascii="宋体" w:hAnsi="宋体" w:cs="宋体"/>
                <w:color w:val="000000"/>
                <w:kern w:val="0"/>
                <w:sz w:val="22"/>
                <w:szCs w:val="22"/>
              </w:rPr>
              <w:t>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六、附属单位上缴收入</w:t>
            </w:r>
          </w:p>
        </w:tc>
        <w:tc>
          <w:tcPr>
            <w:tcW w:w="123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9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cs="宋体"/>
                <w:i w:val="0"/>
                <w:color w:val="000000"/>
                <w:kern w:val="0"/>
                <w:sz w:val="22"/>
                <w:szCs w:val="22"/>
                <w:u w:val="none"/>
                <w:lang w:val="en-US" w:eastAsia="zh-CN" w:bidi="ar"/>
              </w:rPr>
              <w:t>六</w:t>
            </w:r>
            <w:r>
              <w:rPr>
                <w:rFonts w:hint="eastAsia" w:ascii="宋体" w:hAnsi="宋体" w:eastAsia="宋体" w:cs="宋体"/>
                <w:i w:val="0"/>
                <w:color w:val="000000"/>
                <w:kern w:val="0"/>
                <w:sz w:val="22"/>
                <w:szCs w:val="22"/>
                <w:u w:val="none"/>
                <w:lang w:val="en-US" w:eastAsia="zh-CN" w:bidi="ar"/>
              </w:rPr>
              <w:t>、社会保障和就业支出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4.04</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七</w:t>
            </w:r>
            <w:r>
              <w:rPr>
                <w:rFonts w:hint="eastAsia" w:ascii="宋体" w:hAnsi="宋体" w:cs="宋体"/>
                <w:color w:val="000000"/>
                <w:kern w:val="0"/>
                <w:sz w:val="22"/>
                <w:szCs w:val="22"/>
              </w:rPr>
              <w:t>、其他收入</w:t>
            </w:r>
          </w:p>
        </w:tc>
        <w:tc>
          <w:tcPr>
            <w:tcW w:w="123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5.65</w:t>
            </w:r>
          </w:p>
        </w:tc>
        <w:tc>
          <w:tcPr>
            <w:tcW w:w="29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cs="宋体"/>
                <w:i w:val="0"/>
                <w:color w:val="000000"/>
                <w:kern w:val="0"/>
                <w:sz w:val="22"/>
                <w:szCs w:val="22"/>
                <w:u w:val="none"/>
                <w:lang w:val="en-US" w:eastAsia="zh-CN" w:bidi="ar"/>
              </w:rPr>
              <w:t>七</w:t>
            </w:r>
            <w:r>
              <w:rPr>
                <w:rFonts w:hint="eastAsia" w:ascii="宋体" w:hAnsi="宋体" w:eastAsia="宋体" w:cs="宋体"/>
                <w:i w:val="0"/>
                <w:color w:val="000000"/>
                <w:kern w:val="0"/>
                <w:sz w:val="22"/>
                <w:szCs w:val="22"/>
                <w:u w:val="none"/>
                <w:lang w:val="en-US" w:eastAsia="zh-CN" w:bidi="ar"/>
              </w:rPr>
              <w:t>、卫生健康支出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375.32</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3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97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23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477.6</w:t>
            </w:r>
          </w:p>
        </w:tc>
        <w:tc>
          <w:tcPr>
            <w:tcW w:w="2978"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rPr>
              <w:t>　</w:t>
            </w:r>
            <w:r>
              <w:rPr>
                <w:rFonts w:hint="eastAsia" w:ascii="宋体" w:hAnsi="宋体" w:cs="宋体"/>
                <w:b/>
                <w:color w:val="000000"/>
                <w:kern w:val="0"/>
                <w:sz w:val="22"/>
                <w:szCs w:val="22"/>
                <w:lang w:val="en-US" w:eastAsia="zh-CN"/>
              </w:rPr>
              <w:t>379.36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23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97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94.83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　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w:t>
            </w:r>
            <w:r>
              <w:rPr>
                <w:rFonts w:hint="eastAsia" w:ascii="宋体" w:hAnsi="宋体" w:cs="宋体"/>
                <w:color w:val="000000"/>
                <w:kern w:val="0"/>
                <w:sz w:val="22"/>
                <w:szCs w:val="22"/>
                <w:lang w:eastAsia="zh-CN"/>
              </w:rPr>
              <w:t>和结余</w:t>
            </w:r>
          </w:p>
        </w:tc>
        <w:tc>
          <w:tcPr>
            <w:tcW w:w="123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19.77</w:t>
            </w:r>
          </w:p>
        </w:tc>
        <w:tc>
          <w:tcPr>
            <w:tcW w:w="297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23.18</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3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97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23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497.37</w:t>
            </w:r>
          </w:p>
        </w:tc>
        <w:tc>
          <w:tcPr>
            <w:tcW w:w="2978"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rPr>
              <w:t>　</w:t>
            </w:r>
            <w:r>
              <w:rPr>
                <w:rFonts w:hint="eastAsia" w:ascii="宋体" w:hAnsi="宋体" w:cs="宋体"/>
                <w:b/>
                <w:color w:val="000000"/>
                <w:kern w:val="0"/>
                <w:sz w:val="22"/>
                <w:szCs w:val="22"/>
                <w:lang w:val="en-US" w:eastAsia="zh-CN"/>
              </w:rPr>
              <w:t>497.37</w:t>
            </w:r>
          </w:p>
        </w:tc>
      </w:tr>
    </w:tbl>
    <w:p>
      <w:pPr>
        <w:rPr>
          <w:rFonts w:hint="eastAsia" w:eastAsia="宋体"/>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lang w:eastAsia="zh-CN"/>
        </w:rPr>
        <w:t>注：本表反映部门本年度的总收支和年末结转结余情况。</w:t>
      </w:r>
    </w:p>
    <w:p>
      <w:pPr>
        <w:jc w:val="center"/>
        <w:rPr>
          <w:rFonts w:hint="eastAsia"/>
        </w:rPr>
      </w:pPr>
      <w:r>
        <w:rPr>
          <w:rFonts w:hint="eastAsia" w:ascii="方正小标宋简体" w:hAnsi="宋体" w:eastAsia="方正小标宋简体" w:cs="宋体"/>
          <w:kern w:val="0"/>
          <w:sz w:val="36"/>
          <w:szCs w:val="36"/>
        </w:rPr>
        <w:t>表二：收入决算表</w:t>
      </w:r>
    </w:p>
    <w:p>
      <w:pPr>
        <w:jc w:val="right"/>
        <w:rPr>
          <w:rFonts w:hint="eastAsia"/>
          <w:sz w:val="22"/>
          <w:szCs w:val="22"/>
        </w:rPr>
      </w:pPr>
      <w:r>
        <w:rPr>
          <w:rFonts w:hint="eastAsia"/>
          <w:sz w:val="22"/>
          <w:szCs w:val="22"/>
        </w:rPr>
        <w:t xml:space="preserve">单位：万元                     </w:t>
      </w:r>
    </w:p>
    <w:tbl>
      <w:tblPr>
        <w:tblStyle w:val="6"/>
        <w:tblW w:w="14140" w:type="dxa"/>
        <w:jc w:val="center"/>
        <w:tblLayout w:type="fixed"/>
        <w:tblCellMar>
          <w:top w:w="0" w:type="dxa"/>
          <w:left w:w="108" w:type="dxa"/>
          <w:bottom w:w="0" w:type="dxa"/>
          <w:right w:w="108" w:type="dxa"/>
        </w:tblCellMar>
      </w:tblPr>
      <w:tblGrid>
        <w:gridCol w:w="1064"/>
        <w:gridCol w:w="2904"/>
        <w:gridCol w:w="1368"/>
        <w:gridCol w:w="1572"/>
        <w:gridCol w:w="1560"/>
        <w:gridCol w:w="1836"/>
        <w:gridCol w:w="1320"/>
        <w:gridCol w:w="1332"/>
        <w:gridCol w:w="1184"/>
      </w:tblGrid>
      <w:tr>
        <w:tblPrEx>
          <w:tblCellMar>
            <w:top w:w="0" w:type="dxa"/>
            <w:left w:w="108" w:type="dxa"/>
            <w:bottom w:w="0" w:type="dxa"/>
            <w:right w:w="108" w:type="dxa"/>
          </w:tblCellMar>
        </w:tblPrEx>
        <w:trPr>
          <w:trHeight w:val="288" w:hRule="atLeast"/>
          <w:jc w:val="center"/>
        </w:trPr>
        <w:tc>
          <w:tcPr>
            <w:tcW w:w="3968"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3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836"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Arial"/>
                <w:kern w:val="0"/>
                <w:sz w:val="22"/>
                <w:szCs w:val="22"/>
              </w:rPr>
            </w:pPr>
          </w:p>
          <w:p>
            <w:pPr>
              <w:widowControl/>
              <w:jc w:val="center"/>
              <w:rPr>
                <w:rFonts w:hint="eastAsia" w:ascii="宋体" w:hAnsi="宋体" w:cs="Arial"/>
                <w:kern w:val="0"/>
                <w:sz w:val="22"/>
                <w:szCs w:val="22"/>
              </w:rPr>
            </w:pPr>
            <w:r>
              <w:rPr>
                <w:rFonts w:hint="eastAsia" w:ascii="宋体" w:hAnsi="宋体" w:cs="Arial"/>
                <w:kern w:val="0"/>
                <w:sz w:val="22"/>
                <w:szCs w:val="22"/>
              </w:rPr>
              <w:t>事业收入</w:t>
            </w:r>
          </w:p>
          <w:p>
            <w:pPr>
              <w:widowControl/>
              <w:jc w:val="left"/>
              <w:rPr>
                <w:rFonts w:hint="eastAsia" w:ascii="宋体" w:hAnsi="宋体" w:eastAsia="宋体" w:cs="Arial"/>
                <w:color w:val="000000"/>
                <w:kern w:val="0"/>
                <w:sz w:val="22"/>
                <w:szCs w:val="22"/>
                <w:lang w:eastAsia="zh-CN"/>
              </w:rPr>
            </w:pP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1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1064" w:type="dxa"/>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2904"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p>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3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36"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eastAsia="zh-CN"/>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1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968"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36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6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83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320"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332"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18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968"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36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477.6</w:t>
            </w:r>
            <w:r>
              <w:rPr>
                <w:rFonts w:hint="eastAsia" w:ascii="宋体" w:hAnsi="宋体" w:cs="Arial"/>
                <w:color w:val="000000"/>
                <w:kern w:val="0"/>
                <w:sz w:val="22"/>
                <w:szCs w:val="22"/>
              </w:rPr>
              <w:t>　</w:t>
            </w:r>
          </w:p>
        </w:tc>
        <w:tc>
          <w:tcPr>
            <w:tcW w:w="157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200.73</w:t>
            </w:r>
            <w:r>
              <w:rPr>
                <w:rFonts w:hint="eastAsia" w:ascii="宋体" w:hAnsi="宋体" w:cs="Arial"/>
                <w:color w:val="000000"/>
                <w:kern w:val="0"/>
                <w:sz w:val="22"/>
                <w:szCs w:val="22"/>
              </w:rPr>
              <w:t>　</w:t>
            </w:r>
          </w:p>
        </w:tc>
        <w:tc>
          <w:tcPr>
            <w:tcW w:w="1560" w:type="dxa"/>
            <w:tcBorders>
              <w:top w:val="nil"/>
              <w:left w:val="nil"/>
              <w:bottom w:val="single" w:color="auto" w:sz="4" w:space="0"/>
              <w:right w:val="single" w:color="auto" w:sz="4" w:space="0"/>
            </w:tcBorders>
            <w:vAlign w:val="top"/>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28.19</w:t>
            </w:r>
          </w:p>
        </w:tc>
        <w:tc>
          <w:tcPr>
            <w:tcW w:w="1836"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243.03</w:t>
            </w:r>
          </w:p>
        </w:tc>
        <w:tc>
          <w:tcPr>
            <w:tcW w:w="132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3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8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5.65</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0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2904"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368" w:type="dxa"/>
            <w:tcBorders>
              <w:top w:val="nil"/>
              <w:left w:val="nil"/>
              <w:bottom w:val="single" w:color="auto" w:sz="4" w:space="0"/>
              <w:right w:val="single" w:color="auto" w:sz="4" w:space="0"/>
            </w:tcBorders>
            <w:vAlign w:val="top"/>
          </w:tcPr>
          <w:p>
            <w:pPr>
              <w:widowControl/>
              <w:ind w:firstLine="440" w:firstLineChars="200"/>
              <w:jc w:val="both"/>
              <w:rPr>
                <w:rFonts w:ascii="宋体" w:hAnsi="宋体" w:cs="Arial"/>
                <w:color w:val="000000"/>
                <w:kern w:val="0"/>
                <w:sz w:val="22"/>
                <w:szCs w:val="22"/>
              </w:rPr>
            </w:pPr>
            <w:r>
              <w:rPr>
                <w:rFonts w:hint="eastAsia" w:ascii="宋体" w:hAnsi="宋体" w:cs="Arial"/>
                <w:color w:val="000000"/>
                <w:kern w:val="0"/>
                <w:sz w:val="22"/>
                <w:szCs w:val="22"/>
                <w:lang w:val="en-US" w:eastAsia="zh-CN"/>
              </w:rPr>
              <w:t>4.04</w:t>
            </w:r>
          </w:p>
        </w:tc>
        <w:tc>
          <w:tcPr>
            <w:tcW w:w="1572" w:type="dxa"/>
            <w:tcBorders>
              <w:top w:val="nil"/>
              <w:left w:val="nil"/>
              <w:bottom w:val="single" w:color="auto" w:sz="4" w:space="0"/>
              <w:right w:val="single" w:color="auto" w:sz="4" w:space="0"/>
            </w:tcBorders>
            <w:vAlign w:val="top"/>
          </w:tcPr>
          <w:p>
            <w:pPr>
              <w:widowControl/>
              <w:ind w:firstLine="440" w:firstLineChars="200"/>
              <w:jc w:val="both"/>
              <w:rPr>
                <w:rFonts w:ascii="宋体" w:hAnsi="宋体" w:cs="Arial"/>
                <w:color w:val="000000"/>
                <w:kern w:val="0"/>
                <w:sz w:val="22"/>
                <w:szCs w:val="22"/>
              </w:rPr>
            </w:pPr>
            <w:r>
              <w:rPr>
                <w:rFonts w:hint="eastAsia" w:ascii="宋体" w:hAnsi="宋体" w:cs="Arial"/>
                <w:color w:val="000000"/>
                <w:kern w:val="0"/>
                <w:sz w:val="22"/>
                <w:szCs w:val="22"/>
                <w:lang w:val="en-US" w:eastAsia="zh-CN"/>
              </w:rPr>
              <w:t>4.04</w:t>
            </w:r>
          </w:p>
        </w:tc>
        <w:tc>
          <w:tcPr>
            <w:tcW w:w="1560" w:type="dxa"/>
            <w:tcBorders>
              <w:top w:val="nil"/>
              <w:left w:val="nil"/>
              <w:bottom w:val="single" w:color="auto" w:sz="4" w:space="0"/>
              <w:right w:val="single" w:color="auto" w:sz="4" w:space="0"/>
            </w:tcBorders>
            <w:vAlign w:val="top"/>
          </w:tcPr>
          <w:p>
            <w:pPr>
              <w:widowControl/>
              <w:ind w:firstLine="220" w:firstLineChars="100"/>
              <w:jc w:val="both"/>
              <w:rPr>
                <w:rFonts w:ascii="宋体" w:hAnsi="宋体" w:cs="Arial"/>
                <w:color w:val="000000"/>
                <w:kern w:val="0"/>
                <w:sz w:val="22"/>
                <w:szCs w:val="22"/>
              </w:rPr>
            </w:pPr>
          </w:p>
        </w:tc>
        <w:tc>
          <w:tcPr>
            <w:tcW w:w="1836" w:type="dxa"/>
            <w:tcBorders>
              <w:top w:val="nil"/>
              <w:left w:val="nil"/>
              <w:bottom w:val="single" w:color="auto" w:sz="4" w:space="0"/>
              <w:right w:val="single" w:color="auto" w:sz="4" w:space="0"/>
            </w:tcBorders>
            <w:vAlign w:val="top"/>
          </w:tcPr>
          <w:p>
            <w:pPr>
              <w:widowControl/>
              <w:ind w:firstLine="880" w:firstLineChars="400"/>
              <w:jc w:val="both"/>
              <w:rPr>
                <w:rFonts w:ascii="宋体" w:hAnsi="宋体" w:cs="Arial"/>
                <w:color w:val="000000"/>
                <w:kern w:val="0"/>
                <w:sz w:val="22"/>
                <w:szCs w:val="22"/>
              </w:rPr>
            </w:pPr>
          </w:p>
        </w:tc>
        <w:tc>
          <w:tcPr>
            <w:tcW w:w="1320" w:type="dxa"/>
            <w:tcBorders>
              <w:top w:val="nil"/>
              <w:left w:val="nil"/>
              <w:bottom w:val="single" w:color="auto" w:sz="4" w:space="0"/>
              <w:right w:val="single" w:color="auto" w:sz="4" w:space="0"/>
            </w:tcBorders>
            <w:vAlign w:val="top"/>
          </w:tcPr>
          <w:p>
            <w:pPr>
              <w:widowControl/>
              <w:ind w:firstLine="220" w:firstLineChars="100"/>
              <w:jc w:val="both"/>
              <w:rPr>
                <w:rFonts w:ascii="宋体" w:hAnsi="宋体" w:cs="Arial"/>
                <w:color w:val="000000"/>
                <w:kern w:val="0"/>
                <w:sz w:val="22"/>
                <w:szCs w:val="22"/>
              </w:rPr>
            </w:pPr>
          </w:p>
        </w:tc>
        <w:tc>
          <w:tcPr>
            <w:tcW w:w="1332" w:type="dxa"/>
            <w:tcBorders>
              <w:top w:val="nil"/>
              <w:left w:val="nil"/>
              <w:bottom w:val="single" w:color="auto" w:sz="4" w:space="0"/>
              <w:right w:val="single" w:color="auto" w:sz="4" w:space="0"/>
            </w:tcBorders>
            <w:vAlign w:val="top"/>
          </w:tcPr>
          <w:p>
            <w:pPr>
              <w:widowControl/>
              <w:ind w:firstLine="220" w:firstLineChars="100"/>
              <w:jc w:val="both"/>
              <w:rPr>
                <w:rFonts w:ascii="宋体" w:hAnsi="宋体" w:cs="Arial"/>
                <w:color w:val="000000"/>
                <w:kern w:val="0"/>
                <w:sz w:val="22"/>
                <w:szCs w:val="22"/>
              </w:rPr>
            </w:pPr>
          </w:p>
        </w:tc>
        <w:tc>
          <w:tcPr>
            <w:tcW w:w="1184" w:type="dxa"/>
            <w:tcBorders>
              <w:top w:val="nil"/>
              <w:left w:val="nil"/>
              <w:bottom w:val="single" w:color="auto" w:sz="4" w:space="0"/>
              <w:right w:val="single" w:color="auto" w:sz="4" w:space="0"/>
            </w:tcBorders>
            <w:vAlign w:val="top"/>
          </w:tcPr>
          <w:p>
            <w:pPr>
              <w:widowControl/>
              <w:ind w:firstLine="1100" w:firstLineChars="500"/>
              <w:jc w:val="both"/>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2904"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行政事业单位养老支出</w:t>
            </w:r>
          </w:p>
        </w:tc>
        <w:tc>
          <w:tcPr>
            <w:tcW w:w="1368" w:type="dxa"/>
            <w:tcBorders>
              <w:top w:val="nil"/>
              <w:left w:val="nil"/>
              <w:bottom w:val="single" w:color="auto" w:sz="4" w:space="0"/>
              <w:right w:val="single" w:color="auto" w:sz="4" w:space="0"/>
            </w:tcBorders>
            <w:vAlign w:val="top"/>
          </w:tcPr>
          <w:p>
            <w:pPr>
              <w:widowControl/>
              <w:ind w:firstLine="440" w:firstLineChars="200"/>
              <w:jc w:val="both"/>
              <w:rPr>
                <w:rFonts w:ascii="宋体" w:hAnsi="宋体" w:cs="Arial"/>
                <w:color w:val="000000"/>
                <w:kern w:val="0"/>
                <w:sz w:val="22"/>
                <w:szCs w:val="22"/>
              </w:rPr>
            </w:pPr>
            <w:r>
              <w:rPr>
                <w:rFonts w:hint="eastAsia" w:ascii="宋体" w:hAnsi="宋体" w:cs="Arial"/>
                <w:color w:val="000000"/>
                <w:kern w:val="0"/>
                <w:sz w:val="22"/>
                <w:szCs w:val="22"/>
                <w:lang w:val="en-US" w:eastAsia="zh-CN"/>
              </w:rPr>
              <w:t>4.04</w:t>
            </w:r>
          </w:p>
        </w:tc>
        <w:tc>
          <w:tcPr>
            <w:tcW w:w="1572" w:type="dxa"/>
            <w:tcBorders>
              <w:top w:val="nil"/>
              <w:left w:val="nil"/>
              <w:bottom w:val="single" w:color="auto" w:sz="4" w:space="0"/>
              <w:right w:val="single" w:color="auto" w:sz="4" w:space="0"/>
            </w:tcBorders>
            <w:vAlign w:val="top"/>
          </w:tcPr>
          <w:p>
            <w:pPr>
              <w:widowControl/>
              <w:ind w:firstLine="440" w:firstLineChars="200"/>
              <w:jc w:val="both"/>
              <w:rPr>
                <w:rFonts w:ascii="宋体" w:hAnsi="宋体" w:cs="Arial"/>
                <w:color w:val="000000"/>
                <w:kern w:val="0"/>
                <w:sz w:val="22"/>
                <w:szCs w:val="22"/>
              </w:rPr>
            </w:pPr>
            <w:r>
              <w:rPr>
                <w:rFonts w:hint="eastAsia" w:ascii="宋体" w:hAnsi="宋体" w:cs="Arial"/>
                <w:color w:val="000000"/>
                <w:kern w:val="0"/>
                <w:sz w:val="22"/>
                <w:szCs w:val="22"/>
                <w:lang w:val="en-US" w:eastAsia="zh-CN"/>
              </w:rPr>
              <w:t>4.04</w:t>
            </w:r>
          </w:p>
        </w:tc>
        <w:tc>
          <w:tcPr>
            <w:tcW w:w="1560" w:type="dxa"/>
            <w:tcBorders>
              <w:top w:val="nil"/>
              <w:left w:val="nil"/>
              <w:bottom w:val="single" w:color="auto" w:sz="4" w:space="0"/>
              <w:right w:val="single" w:color="auto" w:sz="4" w:space="0"/>
            </w:tcBorders>
            <w:vAlign w:val="top"/>
          </w:tcPr>
          <w:p>
            <w:pPr>
              <w:widowControl/>
              <w:ind w:firstLine="220" w:firstLineChars="100"/>
              <w:jc w:val="both"/>
              <w:rPr>
                <w:rFonts w:ascii="宋体" w:hAnsi="宋体" w:cs="Arial"/>
                <w:color w:val="000000"/>
                <w:kern w:val="0"/>
                <w:sz w:val="22"/>
                <w:szCs w:val="22"/>
              </w:rPr>
            </w:pPr>
          </w:p>
        </w:tc>
        <w:tc>
          <w:tcPr>
            <w:tcW w:w="1836" w:type="dxa"/>
            <w:tcBorders>
              <w:top w:val="nil"/>
              <w:left w:val="nil"/>
              <w:bottom w:val="single" w:color="auto" w:sz="4" w:space="0"/>
              <w:right w:val="single" w:color="auto" w:sz="4" w:space="0"/>
            </w:tcBorders>
            <w:vAlign w:val="top"/>
          </w:tcPr>
          <w:p>
            <w:pPr>
              <w:widowControl/>
              <w:ind w:firstLine="880" w:firstLineChars="400"/>
              <w:jc w:val="both"/>
              <w:rPr>
                <w:rFonts w:ascii="宋体" w:hAnsi="宋体" w:cs="Arial"/>
                <w:color w:val="000000"/>
                <w:kern w:val="0"/>
                <w:sz w:val="22"/>
                <w:szCs w:val="22"/>
              </w:rPr>
            </w:pPr>
          </w:p>
        </w:tc>
        <w:tc>
          <w:tcPr>
            <w:tcW w:w="1320" w:type="dxa"/>
            <w:tcBorders>
              <w:top w:val="nil"/>
              <w:left w:val="nil"/>
              <w:bottom w:val="single" w:color="auto" w:sz="4" w:space="0"/>
              <w:right w:val="single" w:color="auto" w:sz="4" w:space="0"/>
            </w:tcBorders>
            <w:vAlign w:val="top"/>
          </w:tcPr>
          <w:p>
            <w:pPr>
              <w:widowControl/>
              <w:ind w:firstLine="220" w:firstLineChars="100"/>
              <w:jc w:val="both"/>
              <w:rPr>
                <w:rFonts w:ascii="宋体" w:hAnsi="宋体" w:cs="Arial"/>
                <w:color w:val="000000"/>
                <w:kern w:val="0"/>
                <w:sz w:val="22"/>
                <w:szCs w:val="22"/>
              </w:rPr>
            </w:pPr>
          </w:p>
        </w:tc>
        <w:tc>
          <w:tcPr>
            <w:tcW w:w="1332" w:type="dxa"/>
            <w:tcBorders>
              <w:top w:val="nil"/>
              <w:left w:val="nil"/>
              <w:bottom w:val="single" w:color="auto" w:sz="4" w:space="0"/>
              <w:right w:val="single" w:color="auto" w:sz="4" w:space="0"/>
            </w:tcBorders>
            <w:vAlign w:val="top"/>
          </w:tcPr>
          <w:p>
            <w:pPr>
              <w:widowControl/>
              <w:ind w:firstLine="220" w:firstLineChars="100"/>
              <w:jc w:val="both"/>
              <w:rPr>
                <w:rFonts w:ascii="宋体" w:hAnsi="宋体" w:cs="Arial"/>
                <w:color w:val="000000"/>
                <w:kern w:val="0"/>
                <w:sz w:val="22"/>
                <w:szCs w:val="22"/>
              </w:rPr>
            </w:pPr>
          </w:p>
        </w:tc>
        <w:tc>
          <w:tcPr>
            <w:tcW w:w="1184" w:type="dxa"/>
            <w:tcBorders>
              <w:top w:val="nil"/>
              <w:left w:val="nil"/>
              <w:bottom w:val="single" w:color="auto" w:sz="4" w:space="0"/>
              <w:right w:val="single" w:color="auto" w:sz="4" w:space="0"/>
            </w:tcBorders>
            <w:vAlign w:val="top"/>
          </w:tcPr>
          <w:p>
            <w:pPr>
              <w:widowControl/>
              <w:ind w:firstLine="1100" w:firstLineChars="500"/>
              <w:jc w:val="both"/>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2080502</w:t>
            </w:r>
          </w:p>
        </w:tc>
        <w:tc>
          <w:tcPr>
            <w:tcW w:w="2904"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事业单位离退休</w:t>
            </w:r>
          </w:p>
        </w:tc>
        <w:tc>
          <w:tcPr>
            <w:tcW w:w="1368" w:type="dxa"/>
            <w:tcBorders>
              <w:top w:val="nil"/>
              <w:left w:val="nil"/>
              <w:bottom w:val="single" w:color="auto" w:sz="4" w:space="0"/>
              <w:right w:val="single" w:color="auto" w:sz="4" w:space="0"/>
            </w:tcBorders>
            <w:vAlign w:val="top"/>
          </w:tcPr>
          <w:p>
            <w:pPr>
              <w:widowControl/>
              <w:ind w:firstLine="440" w:firstLineChars="200"/>
              <w:jc w:val="both"/>
              <w:rPr>
                <w:rFonts w:ascii="宋体" w:hAnsi="宋体" w:cs="Arial"/>
                <w:color w:val="000000"/>
                <w:kern w:val="0"/>
                <w:sz w:val="22"/>
                <w:szCs w:val="22"/>
              </w:rPr>
            </w:pPr>
            <w:r>
              <w:rPr>
                <w:rFonts w:hint="eastAsia" w:ascii="宋体" w:hAnsi="宋体" w:cs="Arial"/>
                <w:color w:val="000000"/>
                <w:kern w:val="0"/>
                <w:sz w:val="22"/>
                <w:szCs w:val="22"/>
                <w:lang w:val="en-US" w:eastAsia="zh-CN"/>
              </w:rPr>
              <w:t>4.04</w:t>
            </w:r>
          </w:p>
        </w:tc>
        <w:tc>
          <w:tcPr>
            <w:tcW w:w="1572" w:type="dxa"/>
            <w:tcBorders>
              <w:top w:val="nil"/>
              <w:left w:val="nil"/>
              <w:bottom w:val="single" w:color="auto" w:sz="4" w:space="0"/>
              <w:right w:val="single" w:color="auto" w:sz="4" w:space="0"/>
            </w:tcBorders>
            <w:vAlign w:val="top"/>
          </w:tcPr>
          <w:p>
            <w:pPr>
              <w:widowControl/>
              <w:ind w:firstLine="440" w:firstLineChars="200"/>
              <w:jc w:val="both"/>
              <w:rPr>
                <w:rFonts w:ascii="宋体" w:hAnsi="宋体" w:cs="Arial"/>
                <w:color w:val="000000"/>
                <w:kern w:val="0"/>
                <w:sz w:val="22"/>
                <w:szCs w:val="22"/>
              </w:rPr>
            </w:pPr>
            <w:r>
              <w:rPr>
                <w:rFonts w:hint="eastAsia" w:ascii="宋体" w:hAnsi="宋体" w:cs="Arial"/>
                <w:color w:val="000000"/>
                <w:kern w:val="0"/>
                <w:sz w:val="22"/>
                <w:szCs w:val="22"/>
                <w:lang w:val="en-US" w:eastAsia="zh-CN"/>
              </w:rPr>
              <w:t>4.04</w:t>
            </w:r>
          </w:p>
        </w:tc>
        <w:tc>
          <w:tcPr>
            <w:tcW w:w="1560" w:type="dxa"/>
            <w:tcBorders>
              <w:top w:val="nil"/>
              <w:left w:val="nil"/>
              <w:bottom w:val="single" w:color="auto" w:sz="4" w:space="0"/>
              <w:right w:val="single" w:color="auto" w:sz="4" w:space="0"/>
            </w:tcBorders>
            <w:vAlign w:val="top"/>
          </w:tcPr>
          <w:p>
            <w:pPr>
              <w:widowControl/>
              <w:ind w:firstLine="220" w:firstLineChars="100"/>
              <w:jc w:val="both"/>
              <w:rPr>
                <w:rFonts w:ascii="宋体" w:hAnsi="宋体" w:cs="Arial"/>
                <w:color w:val="000000"/>
                <w:kern w:val="0"/>
                <w:sz w:val="22"/>
                <w:szCs w:val="22"/>
              </w:rPr>
            </w:pPr>
          </w:p>
        </w:tc>
        <w:tc>
          <w:tcPr>
            <w:tcW w:w="1836" w:type="dxa"/>
            <w:tcBorders>
              <w:top w:val="nil"/>
              <w:left w:val="nil"/>
              <w:bottom w:val="single" w:color="auto" w:sz="4" w:space="0"/>
              <w:right w:val="single" w:color="auto" w:sz="4" w:space="0"/>
            </w:tcBorders>
            <w:vAlign w:val="top"/>
          </w:tcPr>
          <w:p>
            <w:pPr>
              <w:widowControl/>
              <w:ind w:firstLine="880" w:firstLineChars="400"/>
              <w:jc w:val="both"/>
              <w:rPr>
                <w:rFonts w:ascii="宋体" w:hAnsi="宋体" w:cs="Arial"/>
                <w:color w:val="000000"/>
                <w:kern w:val="0"/>
                <w:sz w:val="22"/>
                <w:szCs w:val="22"/>
              </w:rPr>
            </w:pPr>
          </w:p>
        </w:tc>
        <w:tc>
          <w:tcPr>
            <w:tcW w:w="1320" w:type="dxa"/>
            <w:tcBorders>
              <w:top w:val="nil"/>
              <w:left w:val="nil"/>
              <w:bottom w:val="single" w:color="auto" w:sz="4" w:space="0"/>
              <w:right w:val="single" w:color="auto" w:sz="4" w:space="0"/>
            </w:tcBorders>
            <w:vAlign w:val="top"/>
          </w:tcPr>
          <w:p>
            <w:pPr>
              <w:widowControl/>
              <w:ind w:firstLine="220" w:firstLineChars="100"/>
              <w:jc w:val="both"/>
              <w:rPr>
                <w:rFonts w:ascii="宋体" w:hAnsi="宋体" w:cs="Arial"/>
                <w:color w:val="000000"/>
                <w:kern w:val="0"/>
                <w:sz w:val="22"/>
                <w:szCs w:val="22"/>
              </w:rPr>
            </w:pPr>
          </w:p>
        </w:tc>
        <w:tc>
          <w:tcPr>
            <w:tcW w:w="1332" w:type="dxa"/>
            <w:tcBorders>
              <w:top w:val="nil"/>
              <w:left w:val="nil"/>
              <w:bottom w:val="single" w:color="auto" w:sz="4" w:space="0"/>
              <w:right w:val="single" w:color="auto" w:sz="4" w:space="0"/>
            </w:tcBorders>
            <w:vAlign w:val="top"/>
          </w:tcPr>
          <w:p>
            <w:pPr>
              <w:widowControl/>
              <w:ind w:firstLine="220" w:firstLineChars="100"/>
              <w:jc w:val="both"/>
              <w:rPr>
                <w:rFonts w:ascii="宋体" w:hAnsi="宋体" w:cs="Arial"/>
                <w:color w:val="000000"/>
                <w:kern w:val="0"/>
                <w:sz w:val="22"/>
                <w:szCs w:val="22"/>
              </w:rPr>
            </w:pPr>
          </w:p>
        </w:tc>
        <w:tc>
          <w:tcPr>
            <w:tcW w:w="1184" w:type="dxa"/>
            <w:tcBorders>
              <w:top w:val="nil"/>
              <w:left w:val="nil"/>
              <w:bottom w:val="single" w:color="auto" w:sz="4" w:space="0"/>
              <w:right w:val="single" w:color="auto" w:sz="4" w:space="0"/>
            </w:tcBorders>
            <w:vAlign w:val="top"/>
          </w:tcPr>
          <w:p>
            <w:pPr>
              <w:widowControl/>
              <w:ind w:firstLine="1100" w:firstLineChars="500"/>
              <w:jc w:val="both"/>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2904"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1368" w:type="dxa"/>
            <w:tcBorders>
              <w:top w:val="nil"/>
              <w:left w:val="nil"/>
              <w:bottom w:val="single" w:color="auto" w:sz="4" w:space="0"/>
              <w:right w:val="single" w:color="auto" w:sz="4" w:space="0"/>
            </w:tcBorders>
            <w:vAlign w:val="top"/>
          </w:tcPr>
          <w:p>
            <w:pPr>
              <w:widowControl/>
              <w:ind w:firstLine="440" w:firstLineChars="2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473.56</w:t>
            </w:r>
          </w:p>
        </w:tc>
        <w:tc>
          <w:tcPr>
            <w:tcW w:w="1572" w:type="dxa"/>
            <w:tcBorders>
              <w:top w:val="nil"/>
              <w:left w:val="nil"/>
              <w:bottom w:val="single" w:color="auto" w:sz="4" w:space="0"/>
              <w:right w:val="single" w:color="auto" w:sz="4" w:space="0"/>
            </w:tcBorders>
            <w:vAlign w:val="top"/>
          </w:tcPr>
          <w:p>
            <w:pPr>
              <w:widowControl/>
              <w:ind w:firstLine="440" w:firstLineChars="2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196.69</w:t>
            </w:r>
          </w:p>
        </w:tc>
        <w:tc>
          <w:tcPr>
            <w:tcW w:w="1560" w:type="dxa"/>
            <w:tcBorders>
              <w:top w:val="nil"/>
              <w:left w:val="nil"/>
              <w:bottom w:val="single" w:color="auto" w:sz="4" w:space="0"/>
              <w:right w:val="single" w:color="auto" w:sz="4" w:space="0"/>
            </w:tcBorders>
            <w:vAlign w:val="top"/>
          </w:tcPr>
          <w:p>
            <w:pPr>
              <w:widowControl/>
              <w:ind w:firstLine="440" w:firstLineChars="2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28.19</w:t>
            </w:r>
          </w:p>
        </w:tc>
        <w:tc>
          <w:tcPr>
            <w:tcW w:w="1836" w:type="dxa"/>
            <w:tcBorders>
              <w:top w:val="nil"/>
              <w:left w:val="nil"/>
              <w:bottom w:val="single" w:color="auto" w:sz="4" w:space="0"/>
              <w:right w:val="single" w:color="auto" w:sz="4" w:space="0"/>
            </w:tcBorders>
            <w:vAlign w:val="top"/>
          </w:tcPr>
          <w:p>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243.03</w:t>
            </w:r>
          </w:p>
        </w:tc>
        <w:tc>
          <w:tcPr>
            <w:tcW w:w="1320"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332"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184" w:type="dxa"/>
            <w:tcBorders>
              <w:top w:val="nil"/>
              <w:left w:val="nil"/>
              <w:bottom w:val="single" w:color="auto" w:sz="4" w:space="0"/>
              <w:right w:val="single" w:color="auto" w:sz="4" w:space="0"/>
            </w:tcBorders>
            <w:vAlign w:val="top"/>
          </w:tcPr>
          <w:p>
            <w:pPr>
              <w:widowControl/>
              <w:ind w:firstLine="220" w:firstLineChars="1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5.65</w:t>
            </w:r>
          </w:p>
        </w:tc>
      </w:tr>
      <w:tr>
        <w:tblPrEx>
          <w:tblCellMar>
            <w:top w:w="0" w:type="dxa"/>
            <w:left w:w="108" w:type="dxa"/>
            <w:bottom w:w="0" w:type="dxa"/>
            <w:right w:w="108" w:type="dxa"/>
          </w:tblCellMar>
        </w:tblPrEx>
        <w:trPr>
          <w:trHeight w:val="288" w:hRule="atLeast"/>
          <w:jc w:val="center"/>
        </w:trPr>
        <w:tc>
          <w:tcPr>
            <w:tcW w:w="10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21003</w:t>
            </w:r>
          </w:p>
        </w:tc>
        <w:tc>
          <w:tcPr>
            <w:tcW w:w="2904"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基层医疗卫生机构</w:t>
            </w:r>
          </w:p>
        </w:tc>
        <w:tc>
          <w:tcPr>
            <w:tcW w:w="1368" w:type="dxa"/>
            <w:tcBorders>
              <w:top w:val="nil"/>
              <w:left w:val="nil"/>
              <w:bottom w:val="single" w:color="auto" w:sz="4" w:space="0"/>
              <w:right w:val="single" w:color="auto" w:sz="4" w:space="0"/>
            </w:tcBorders>
            <w:vAlign w:val="top"/>
          </w:tcPr>
          <w:p>
            <w:pPr>
              <w:widowControl/>
              <w:ind w:firstLine="440" w:firstLineChars="2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368.14</w:t>
            </w:r>
          </w:p>
        </w:tc>
        <w:tc>
          <w:tcPr>
            <w:tcW w:w="1572" w:type="dxa"/>
            <w:tcBorders>
              <w:top w:val="nil"/>
              <w:left w:val="nil"/>
              <w:bottom w:val="single" w:color="auto" w:sz="4" w:space="0"/>
              <w:right w:val="single" w:color="auto" w:sz="4" w:space="0"/>
            </w:tcBorders>
            <w:vAlign w:val="top"/>
          </w:tcPr>
          <w:p>
            <w:pPr>
              <w:widowControl/>
              <w:ind w:firstLine="440" w:firstLineChars="2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91.27</w:t>
            </w:r>
          </w:p>
        </w:tc>
        <w:tc>
          <w:tcPr>
            <w:tcW w:w="1560" w:type="dxa"/>
            <w:tcBorders>
              <w:top w:val="nil"/>
              <w:left w:val="nil"/>
              <w:bottom w:val="single" w:color="auto" w:sz="4" w:space="0"/>
              <w:right w:val="single" w:color="auto" w:sz="4" w:space="0"/>
            </w:tcBorders>
            <w:vAlign w:val="top"/>
          </w:tcPr>
          <w:p>
            <w:pPr>
              <w:widowControl/>
              <w:ind w:firstLine="440" w:firstLineChars="2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28.19</w:t>
            </w:r>
          </w:p>
        </w:tc>
        <w:tc>
          <w:tcPr>
            <w:tcW w:w="1836" w:type="dxa"/>
            <w:tcBorders>
              <w:top w:val="nil"/>
              <w:left w:val="nil"/>
              <w:bottom w:val="single" w:color="auto" w:sz="4" w:space="0"/>
              <w:right w:val="single" w:color="auto" w:sz="4" w:space="0"/>
            </w:tcBorders>
            <w:vAlign w:val="top"/>
          </w:tcPr>
          <w:p>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243.03</w:t>
            </w:r>
          </w:p>
        </w:tc>
        <w:tc>
          <w:tcPr>
            <w:tcW w:w="1320"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332"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184" w:type="dxa"/>
            <w:tcBorders>
              <w:top w:val="nil"/>
              <w:left w:val="nil"/>
              <w:bottom w:val="single" w:color="auto" w:sz="4" w:space="0"/>
              <w:right w:val="single" w:color="auto" w:sz="4" w:space="0"/>
            </w:tcBorders>
            <w:vAlign w:val="top"/>
          </w:tcPr>
          <w:p>
            <w:pPr>
              <w:widowControl/>
              <w:ind w:firstLine="220" w:firstLineChars="1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5.65</w:t>
            </w:r>
          </w:p>
        </w:tc>
      </w:tr>
      <w:tr>
        <w:tblPrEx>
          <w:tblCellMar>
            <w:top w:w="0" w:type="dxa"/>
            <w:left w:w="108" w:type="dxa"/>
            <w:bottom w:w="0" w:type="dxa"/>
            <w:right w:w="108" w:type="dxa"/>
          </w:tblCellMar>
        </w:tblPrEx>
        <w:trPr>
          <w:trHeight w:val="288" w:hRule="atLeast"/>
          <w:jc w:val="center"/>
        </w:trPr>
        <w:tc>
          <w:tcPr>
            <w:tcW w:w="10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2100302</w:t>
            </w:r>
          </w:p>
        </w:tc>
        <w:tc>
          <w:tcPr>
            <w:tcW w:w="2904"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乡镇卫生院</w:t>
            </w:r>
          </w:p>
        </w:tc>
        <w:tc>
          <w:tcPr>
            <w:tcW w:w="1368" w:type="dxa"/>
            <w:tcBorders>
              <w:top w:val="nil"/>
              <w:left w:val="nil"/>
              <w:bottom w:val="single" w:color="auto" w:sz="4" w:space="0"/>
              <w:right w:val="single" w:color="auto" w:sz="4" w:space="0"/>
            </w:tcBorders>
            <w:vAlign w:val="top"/>
          </w:tcPr>
          <w:p>
            <w:pPr>
              <w:widowControl/>
              <w:ind w:firstLine="440" w:firstLineChars="2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360.85</w:t>
            </w:r>
          </w:p>
        </w:tc>
        <w:tc>
          <w:tcPr>
            <w:tcW w:w="1572" w:type="dxa"/>
            <w:tcBorders>
              <w:top w:val="nil"/>
              <w:left w:val="nil"/>
              <w:bottom w:val="single" w:color="auto" w:sz="4" w:space="0"/>
              <w:right w:val="single" w:color="auto" w:sz="4" w:space="0"/>
            </w:tcBorders>
            <w:vAlign w:val="top"/>
          </w:tcPr>
          <w:p>
            <w:pPr>
              <w:widowControl/>
              <w:ind w:firstLine="440" w:firstLineChars="2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83.98</w:t>
            </w:r>
          </w:p>
        </w:tc>
        <w:tc>
          <w:tcPr>
            <w:tcW w:w="1560" w:type="dxa"/>
            <w:tcBorders>
              <w:top w:val="nil"/>
              <w:left w:val="nil"/>
              <w:bottom w:val="single" w:color="auto" w:sz="4" w:space="0"/>
              <w:right w:val="single" w:color="auto" w:sz="4" w:space="0"/>
            </w:tcBorders>
            <w:vAlign w:val="top"/>
          </w:tcPr>
          <w:p>
            <w:pPr>
              <w:widowControl/>
              <w:ind w:firstLine="440" w:firstLineChars="2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28.19</w:t>
            </w:r>
          </w:p>
        </w:tc>
        <w:tc>
          <w:tcPr>
            <w:tcW w:w="1836" w:type="dxa"/>
            <w:tcBorders>
              <w:top w:val="nil"/>
              <w:left w:val="nil"/>
              <w:bottom w:val="single" w:color="auto" w:sz="4" w:space="0"/>
              <w:right w:val="single" w:color="auto" w:sz="4" w:space="0"/>
            </w:tcBorders>
            <w:vAlign w:val="top"/>
          </w:tcPr>
          <w:p>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243.03</w:t>
            </w:r>
          </w:p>
        </w:tc>
        <w:tc>
          <w:tcPr>
            <w:tcW w:w="1320"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332"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184" w:type="dxa"/>
            <w:tcBorders>
              <w:top w:val="nil"/>
              <w:left w:val="nil"/>
              <w:bottom w:val="single" w:color="auto" w:sz="4" w:space="0"/>
              <w:right w:val="single" w:color="auto" w:sz="4" w:space="0"/>
            </w:tcBorders>
            <w:vAlign w:val="top"/>
          </w:tcPr>
          <w:p>
            <w:pPr>
              <w:widowControl/>
              <w:ind w:firstLine="220" w:firstLineChars="1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5.65</w:t>
            </w:r>
          </w:p>
        </w:tc>
      </w:tr>
      <w:tr>
        <w:tblPrEx>
          <w:tblCellMar>
            <w:top w:w="0" w:type="dxa"/>
            <w:left w:w="108" w:type="dxa"/>
            <w:bottom w:w="0" w:type="dxa"/>
            <w:right w:w="108" w:type="dxa"/>
          </w:tblCellMar>
        </w:tblPrEx>
        <w:trPr>
          <w:trHeight w:val="288" w:hRule="atLeast"/>
          <w:jc w:val="center"/>
        </w:trPr>
        <w:tc>
          <w:tcPr>
            <w:tcW w:w="10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2100399</w:t>
            </w:r>
          </w:p>
        </w:tc>
        <w:tc>
          <w:tcPr>
            <w:tcW w:w="2904"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其他基层医疗卫生机构支出</w:t>
            </w:r>
          </w:p>
        </w:tc>
        <w:tc>
          <w:tcPr>
            <w:tcW w:w="1368" w:type="dxa"/>
            <w:tcBorders>
              <w:top w:val="nil"/>
              <w:left w:val="nil"/>
              <w:bottom w:val="single" w:color="auto" w:sz="4" w:space="0"/>
              <w:right w:val="single" w:color="auto" w:sz="4" w:space="0"/>
            </w:tcBorders>
            <w:vAlign w:val="top"/>
          </w:tcPr>
          <w:p>
            <w:pPr>
              <w:widowControl/>
              <w:ind w:firstLine="440" w:firstLineChars="2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7.29</w:t>
            </w:r>
          </w:p>
        </w:tc>
        <w:tc>
          <w:tcPr>
            <w:tcW w:w="1572" w:type="dxa"/>
            <w:tcBorders>
              <w:top w:val="nil"/>
              <w:left w:val="nil"/>
              <w:bottom w:val="single" w:color="auto" w:sz="4" w:space="0"/>
              <w:right w:val="single" w:color="auto" w:sz="4" w:space="0"/>
            </w:tcBorders>
            <w:vAlign w:val="top"/>
          </w:tcPr>
          <w:p>
            <w:pPr>
              <w:widowControl/>
              <w:ind w:firstLine="440" w:firstLineChars="2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7.29</w:t>
            </w:r>
          </w:p>
        </w:tc>
        <w:tc>
          <w:tcPr>
            <w:tcW w:w="1560"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836"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320"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332"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184"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21004</w:t>
            </w:r>
          </w:p>
        </w:tc>
        <w:tc>
          <w:tcPr>
            <w:tcW w:w="2904"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公共卫生</w:t>
            </w:r>
          </w:p>
        </w:tc>
        <w:tc>
          <w:tcPr>
            <w:tcW w:w="1368" w:type="dxa"/>
            <w:tcBorders>
              <w:top w:val="nil"/>
              <w:left w:val="nil"/>
              <w:bottom w:val="single" w:color="auto" w:sz="4" w:space="0"/>
              <w:right w:val="single" w:color="auto" w:sz="4" w:space="0"/>
            </w:tcBorders>
            <w:vAlign w:val="top"/>
          </w:tcPr>
          <w:p>
            <w:pPr>
              <w:widowControl/>
              <w:ind w:firstLine="440" w:firstLineChars="2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104.98</w:t>
            </w:r>
          </w:p>
        </w:tc>
        <w:tc>
          <w:tcPr>
            <w:tcW w:w="1572" w:type="dxa"/>
            <w:tcBorders>
              <w:top w:val="nil"/>
              <w:left w:val="nil"/>
              <w:bottom w:val="single" w:color="auto" w:sz="4" w:space="0"/>
              <w:right w:val="single" w:color="auto" w:sz="4" w:space="0"/>
            </w:tcBorders>
            <w:vAlign w:val="top"/>
          </w:tcPr>
          <w:p>
            <w:pPr>
              <w:widowControl/>
              <w:ind w:firstLine="440" w:firstLineChars="2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104.98</w:t>
            </w:r>
          </w:p>
        </w:tc>
        <w:tc>
          <w:tcPr>
            <w:tcW w:w="1560"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836"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320"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332"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184"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2100408</w:t>
            </w:r>
          </w:p>
        </w:tc>
        <w:tc>
          <w:tcPr>
            <w:tcW w:w="2904"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基本公共卫生服务</w:t>
            </w:r>
          </w:p>
        </w:tc>
        <w:tc>
          <w:tcPr>
            <w:tcW w:w="1368" w:type="dxa"/>
            <w:tcBorders>
              <w:top w:val="nil"/>
              <w:left w:val="nil"/>
              <w:bottom w:val="single" w:color="auto" w:sz="4" w:space="0"/>
              <w:right w:val="single" w:color="auto" w:sz="4" w:space="0"/>
            </w:tcBorders>
            <w:vAlign w:val="top"/>
          </w:tcPr>
          <w:p>
            <w:pPr>
              <w:widowControl/>
              <w:ind w:firstLine="440" w:firstLineChars="2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104.98</w:t>
            </w:r>
          </w:p>
        </w:tc>
        <w:tc>
          <w:tcPr>
            <w:tcW w:w="1572" w:type="dxa"/>
            <w:tcBorders>
              <w:top w:val="nil"/>
              <w:left w:val="nil"/>
              <w:bottom w:val="single" w:color="auto" w:sz="4" w:space="0"/>
              <w:right w:val="single" w:color="auto" w:sz="4" w:space="0"/>
            </w:tcBorders>
            <w:vAlign w:val="top"/>
          </w:tcPr>
          <w:p>
            <w:pPr>
              <w:widowControl/>
              <w:ind w:firstLine="440" w:firstLineChars="2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104.98</w:t>
            </w:r>
          </w:p>
        </w:tc>
        <w:tc>
          <w:tcPr>
            <w:tcW w:w="1560"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836"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320"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332"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184"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21007</w:t>
            </w:r>
          </w:p>
        </w:tc>
        <w:tc>
          <w:tcPr>
            <w:tcW w:w="2904"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计划生育事务</w:t>
            </w:r>
          </w:p>
        </w:tc>
        <w:tc>
          <w:tcPr>
            <w:tcW w:w="1368" w:type="dxa"/>
            <w:tcBorders>
              <w:top w:val="nil"/>
              <w:left w:val="nil"/>
              <w:bottom w:val="single" w:color="auto" w:sz="4" w:space="0"/>
              <w:right w:val="single" w:color="auto" w:sz="4" w:space="0"/>
            </w:tcBorders>
            <w:vAlign w:val="top"/>
          </w:tcPr>
          <w:p>
            <w:pPr>
              <w:widowControl/>
              <w:ind w:firstLine="440" w:firstLineChars="2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0.44</w:t>
            </w:r>
          </w:p>
        </w:tc>
        <w:tc>
          <w:tcPr>
            <w:tcW w:w="1572" w:type="dxa"/>
            <w:tcBorders>
              <w:top w:val="nil"/>
              <w:left w:val="nil"/>
              <w:bottom w:val="single" w:color="auto" w:sz="4" w:space="0"/>
              <w:right w:val="single" w:color="auto" w:sz="4" w:space="0"/>
            </w:tcBorders>
            <w:vAlign w:val="top"/>
          </w:tcPr>
          <w:p>
            <w:pPr>
              <w:widowControl/>
              <w:ind w:firstLine="440" w:firstLineChars="2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0.44</w:t>
            </w:r>
          </w:p>
        </w:tc>
        <w:tc>
          <w:tcPr>
            <w:tcW w:w="1560"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836"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320"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332"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184" w:type="dxa"/>
            <w:tcBorders>
              <w:top w:val="nil"/>
              <w:left w:val="nil"/>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2100799</w:t>
            </w:r>
          </w:p>
        </w:tc>
        <w:tc>
          <w:tcPr>
            <w:tcW w:w="2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其他计划生育事务支出</w:t>
            </w:r>
          </w:p>
        </w:tc>
        <w:tc>
          <w:tcPr>
            <w:tcW w:w="136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both"/>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0.44</w:t>
            </w:r>
          </w:p>
        </w:tc>
        <w:tc>
          <w:tcPr>
            <w:tcW w:w="157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both"/>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0.44</w:t>
            </w:r>
          </w:p>
        </w:tc>
        <w:tc>
          <w:tcPr>
            <w:tcW w:w="156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836"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32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33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c>
          <w:tcPr>
            <w:tcW w:w="1184"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both"/>
              <w:rPr>
                <w:rFonts w:hint="eastAsia" w:ascii="宋体" w:hAnsi="宋体" w:cs="Arial"/>
                <w:color w:val="000000"/>
                <w:kern w:val="0"/>
                <w:sz w:val="22"/>
                <w:szCs w:val="22"/>
              </w:rPr>
            </w:pPr>
          </w:p>
        </w:tc>
      </w:tr>
    </w:tbl>
    <w:p>
      <w:pPr>
        <w:jc w:val="both"/>
        <w:rPr>
          <w:rFonts w:hint="eastAsia"/>
        </w:rPr>
      </w:pPr>
    </w:p>
    <w:p>
      <w:pPr>
        <w:rPr>
          <w:rFonts w:hint="eastAsia"/>
        </w:rPr>
      </w:pPr>
      <w:r>
        <w:rPr>
          <w:rFonts w:hint="eastAsia"/>
          <w:lang w:eastAsia="zh-CN"/>
        </w:rPr>
        <w:t>注：本表反映部门本年度取得的各项收入情况。</w:t>
      </w:r>
    </w:p>
    <w:p>
      <w:pPr>
        <w:rPr>
          <w:rFonts w:hint="eastAsia"/>
        </w:rPr>
      </w:pPr>
    </w:p>
    <w:p>
      <w:pPr>
        <w:jc w:val="center"/>
        <w:rPr>
          <w:rFonts w:hint="eastAsia" w:ascii="方正小标宋简体" w:hAnsi="宋体" w:eastAsia="方正小标宋简体" w:cs="宋体"/>
          <w:kern w:val="0"/>
          <w:sz w:val="36"/>
          <w:szCs w:val="36"/>
        </w:rPr>
      </w:pPr>
    </w:p>
    <w:p>
      <w:pPr>
        <w:jc w:val="center"/>
        <w:rPr>
          <w:rFonts w:hint="eastAsia"/>
        </w:rPr>
      </w:pPr>
      <w:r>
        <w:rPr>
          <w:rFonts w:hint="eastAsia" w:ascii="方正小标宋简体" w:hAnsi="宋体" w:eastAsia="方正小标宋简体" w:cs="宋体"/>
          <w:kern w:val="0"/>
          <w:sz w:val="36"/>
          <w:szCs w:val="36"/>
        </w:rPr>
        <w:t>表三：支出决算表</w:t>
      </w:r>
    </w:p>
    <w:p>
      <w:pPr>
        <w:jc w:val="right"/>
        <w:rPr>
          <w:rFonts w:hint="eastAsia"/>
        </w:rPr>
      </w:pPr>
      <w:r>
        <w:rPr>
          <w:rFonts w:hint="eastAsia"/>
          <w:sz w:val="22"/>
          <w:szCs w:val="22"/>
        </w:rPr>
        <w:t>单位：万元</w:t>
      </w:r>
    </w:p>
    <w:tbl>
      <w:tblPr>
        <w:tblStyle w:val="6"/>
        <w:tblW w:w="14049" w:type="dxa"/>
        <w:jc w:val="center"/>
        <w:tblLayout w:type="fixed"/>
        <w:tblCellMar>
          <w:top w:w="0" w:type="dxa"/>
          <w:left w:w="108" w:type="dxa"/>
          <w:bottom w:w="0" w:type="dxa"/>
          <w:right w:w="108" w:type="dxa"/>
        </w:tblCellMar>
      </w:tblPr>
      <w:tblGrid>
        <w:gridCol w:w="1180"/>
        <w:gridCol w:w="2347"/>
        <w:gridCol w:w="1692"/>
        <w:gridCol w:w="1884"/>
        <w:gridCol w:w="1704"/>
        <w:gridCol w:w="1608"/>
        <w:gridCol w:w="1260"/>
        <w:gridCol w:w="2374"/>
      </w:tblGrid>
      <w:tr>
        <w:tblPrEx>
          <w:tblCellMar>
            <w:top w:w="0" w:type="dxa"/>
            <w:left w:w="108" w:type="dxa"/>
            <w:bottom w:w="0" w:type="dxa"/>
            <w:right w:w="108" w:type="dxa"/>
          </w:tblCellMar>
        </w:tblPrEx>
        <w:trPr>
          <w:trHeight w:val="422" w:hRule="atLeast"/>
          <w:jc w:val="center"/>
        </w:trPr>
        <w:tc>
          <w:tcPr>
            <w:tcW w:w="352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6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237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234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3527"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69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84"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4"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60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26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2374"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3527"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69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379.36</w:t>
            </w:r>
            <w:r>
              <w:rPr>
                <w:rFonts w:hint="eastAsia" w:ascii="宋体" w:hAnsi="宋体" w:cs="Arial"/>
                <w:color w:val="000000"/>
                <w:kern w:val="0"/>
                <w:sz w:val="22"/>
                <w:szCs w:val="22"/>
              </w:rPr>
              <w:t>　</w:t>
            </w:r>
          </w:p>
        </w:tc>
        <w:tc>
          <w:tcPr>
            <w:tcW w:w="1884"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274.38</w:t>
            </w:r>
            <w:r>
              <w:rPr>
                <w:rFonts w:hint="eastAsia" w:ascii="宋体" w:hAnsi="宋体" w:cs="Arial"/>
                <w:color w:val="000000"/>
                <w:kern w:val="0"/>
                <w:sz w:val="22"/>
                <w:szCs w:val="22"/>
              </w:rPr>
              <w:t>　</w:t>
            </w:r>
          </w:p>
        </w:tc>
        <w:tc>
          <w:tcPr>
            <w:tcW w:w="1704"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104.98</w:t>
            </w:r>
            <w:r>
              <w:rPr>
                <w:rFonts w:hint="eastAsia" w:ascii="宋体" w:hAnsi="宋体" w:cs="Arial"/>
                <w:color w:val="000000"/>
                <w:kern w:val="0"/>
                <w:sz w:val="22"/>
                <w:szCs w:val="22"/>
              </w:rPr>
              <w:t>　</w:t>
            </w:r>
          </w:p>
        </w:tc>
        <w:tc>
          <w:tcPr>
            <w:tcW w:w="160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7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234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692"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4.04</w:t>
            </w:r>
            <w:r>
              <w:rPr>
                <w:rFonts w:hint="eastAsia" w:ascii="宋体" w:hAnsi="宋体" w:cs="Arial"/>
                <w:color w:val="000000"/>
                <w:kern w:val="0"/>
                <w:sz w:val="22"/>
                <w:szCs w:val="22"/>
              </w:rPr>
              <w:t>　</w:t>
            </w:r>
          </w:p>
        </w:tc>
        <w:tc>
          <w:tcPr>
            <w:tcW w:w="1884"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4.04</w:t>
            </w:r>
            <w:r>
              <w:rPr>
                <w:rFonts w:hint="eastAsia" w:ascii="宋体" w:hAnsi="宋体" w:cs="Arial"/>
                <w:color w:val="000000"/>
                <w:kern w:val="0"/>
                <w:sz w:val="22"/>
                <w:szCs w:val="22"/>
              </w:rPr>
              <w:t>　</w:t>
            </w:r>
          </w:p>
        </w:tc>
        <w:tc>
          <w:tcPr>
            <w:tcW w:w="1704"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7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234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行政事业单位养老支出</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4.04</w:t>
            </w:r>
            <w:r>
              <w:rPr>
                <w:rFonts w:hint="eastAsia" w:ascii="宋体" w:hAnsi="宋体" w:cs="Arial"/>
                <w:color w:val="000000"/>
                <w:kern w:val="0"/>
                <w:sz w:val="22"/>
                <w:szCs w:val="22"/>
              </w:rPr>
              <w:t>　</w:t>
            </w:r>
          </w:p>
        </w:tc>
        <w:tc>
          <w:tcPr>
            <w:tcW w:w="1884"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4.04</w:t>
            </w:r>
            <w:r>
              <w:rPr>
                <w:rFonts w:hint="eastAsia" w:ascii="宋体" w:hAnsi="宋体" w:cs="Arial"/>
                <w:color w:val="000000"/>
                <w:kern w:val="0"/>
                <w:sz w:val="22"/>
                <w:szCs w:val="22"/>
              </w:rPr>
              <w:t>　</w:t>
            </w:r>
          </w:p>
        </w:tc>
        <w:tc>
          <w:tcPr>
            <w:tcW w:w="1704"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7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2080502</w:t>
            </w:r>
          </w:p>
        </w:tc>
        <w:tc>
          <w:tcPr>
            <w:tcW w:w="234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4.04</w:t>
            </w:r>
            <w:r>
              <w:rPr>
                <w:rFonts w:hint="eastAsia" w:ascii="宋体" w:hAnsi="宋体" w:cs="Arial"/>
                <w:color w:val="000000"/>
                <w:kern w:val="0"/>
                <w:sz w:val="22"/>
                <w:szCs w:val="22"/>
              </w:rPr>
              <w:t>　</w:t>
            </w:r>
          </w:p>
        </w:tc>
        <w:tc>
          <w:tcPr>
            <w:tcW w:w="1884"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4.04</w:t>
            </w:r>
            <w:r>
              <w:rPr>
                <w:rFonts w:hint="eastAsia" w:ascii="宋体" w:hAnsi="宋体" w:cs="Arial"/>
                <w:color w:val="000000"/>
                <w:kern w:val="0"/>
                <w:sz w:val="22"/>
                <w:szCs w:val="22"/>
              </w:rPr>
              <w:t>　</w:t>
            </w:r>
          </w:p>
        </w:tc>
        <w:tc>
          <w:tcPr>
            <w:tcW w:w="1704"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7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234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375.32</w:t>
            </w:r>
          </w:p>
        </w:tc>
        <w:tc>
          <w:tcPr>
            <w:tcW w:w="1884"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270.34</w:t>
            </w:r>
          </w:p>
        </w:tc>
        <w:tc>
          <w:tcPr>
            <w:tcW w:w="1704"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104.98</w:t>
            </w:r>
          </w:p>
        </w:tc>
        <w:tc>
          <w:tcPr>
            <w:tcW w:w="1608"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26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237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21003</w:t>
            </w:r>
          </w:p>
        </w:tc>
        <w:tc>
          <w:tcPr>
            <w:tcW w:w="234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基层医疗卫生机构</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269.9</w:t>
            </w:r>
          </w:p>
        </w:tc>
        <w:tc>
          <w:tcPr>
            <w:tcW w:w="1884"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269.9</w:t>
            </w:r>
          </w:p>
        </w:tc>
        <w:tc>
          <w:tcPr>
            <w:tcW w:w="1704" w:type="dxa"/>
            <w:tcBorders>
              <w:top w:val="nil"/>
              <w:left w:val="nil"/>
              <w:bottom w:val="single" w:color="auto" w:sz="4" w:space="0"/>
              <w:right w:val="single" w:color="auto" w:sz="4" w:space="0"/>
            </w:tcBorders>
            <w:vAlign w:val="top"/>
          </w:tcPr>
          <w:p>
            <w:pPr>
              <w:widowControl/>
              <w:ind w:firstLine="1320" w:firstLineChars="600"/>
              <w:jc w:val="left"/>
              <w:rPr>
                <w:rFonts w:hint="eastAsia" w:ascii="宋体" w:hAnsi="宋体" w:cs="Arial"/>
                <w:color w:val="000000"/>
                <w:kern w:val="0"/>
                <w:sz w:val="22"/>
                <w:szCs w:val="22"/>
              </w:rPr>
            </w:pPr>
          </w:p>
        </w:tc>
        <w:tc>
          <w:tcPr>
            <w:tcW w:w="1608"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26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237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2100302</w:t>
            </w:r>
          </w:p>
        </w:tc>
        <w:tc>
          <w:tcPr>
            <w:tcW w:w="234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乡镇卫生院</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262.61</w:t>
            </w:r>
          </w:p>
        </w:tc>
        <w:tc>
          <w:tcPr>
            <w:tcW w:w="1884"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262.61</w:t>
            </w:r>
          </w:p>
        </w:tc>
        <w:tc>
          <w:tcPr>
            <w:tcW w:w="1704" w:type="dxa"/>
            <w:tcBorders>
              <w:top w:val="nil"/>
              <w:left w:val="nil"/>
              <w:bottom w:val="single" w:color="auto" w:sz="4" w:space="0"/>
              <w:right w:val="single" w:color="auto" w:sz="4" w:space="0"/>
            </w:tcBorders>
            <w:vAlign w:val="top"/>
          </w:tcPr>
          <w:p>
            <w:pPr>
              <w:widowControl/>
              <w:ind w:firstLine="1320" w:firstLineChars="600"/>
              <w:jc w:val="left"/>
              <w:rPr>
                <w:rFonts w:hint="eastAsia" w:ascii="宋体" w:hAnsi="宋体" w:cs="Arial"/>
                <w:color w:val="000000"/>
                <w:kern w:val="0"/>
                <w:sz w:val="22"/>
                <w:szCs w:val="22"/>
              </w:rPr>
            </w:pPr>
          </w:p>
        </w:tc>
        <w:tc>
          <w:tcPr>
            <w:tcW w:w="1608"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26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237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2100399</w:t>
            </w:r>
          </w:p>
        </w:tc>
        <w:tc>
          <w:tcPr>
            <w:tcW w:w="234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其他基层医疗卫生机构支出</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7.29</w:t>
            </w:r>
          </w:p>
        </w:tc>
        <w:tc>
          <w:tcPr>
            <w:tcW w:w="1884"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7.29</w:t>
            </w:r>
          </w:p>
        </w:tc>
        <w:tc>
          <w:tcPr>
            <w:tcW w:w="1704" w:type="dxa"/>
            <w:tcBorders>
              <w:top w:val="nil"/>
              <w:left w:val="nil"/>
              <w:bottom w:val="single" w:color="auto" w:sz="4" w:space="0"/>
              <w:right w:val="single" w:color="auto" w:sz="4" w:space="0"/>
            </w:tcBorders>
            <w:vAlign w:val="top"/>
          </w:tcPr>
          <w:p>
            <w:pPr>
              <w:widowControl/>
              <w:ind w:firstLine="1320" w:firstLineChars="600"/>
              <w:jc w:val="left"/>
              <w:rPr>
                <w:rFonts w:hint="eastAsia" w:ascii="宋体" w:hAnsi="宋体" w:cs="Arial"/>
                <w:color w:val="000000"/>
                <w:kern w:val="0"/>
                <w:sz w:val="22"/>
                <w:szCs w:val="22"/>
              </w:rPr>
            </w:pPr>
          </w:p>
        </w:tc>
        <w:tc>
          <w:tcPr>
            <w:tcW w:w="1608"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26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237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21004</w:t>
            </w:r>
          </w:p>
        </w:tc>
        <w:tc>
          <w:tcPr>
            <w:tcW w:w="234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公共卫生</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104.98</w:t>
            </w:r>
          </w:p>
        </w:tc>
        <w:tc>
          <w:tcPr>
            <w:tcW w:w="1884"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704"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104.98</w:t>
            </w:r>
          </w:p>
        </w:tc>
        <w:tc>
          <w:tcPr>
            <w:tcW w:w="1608"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26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237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2100408</w:t>
            </w:r>
          </w:p>
        </w:tc>
        <w:tc>
          <w:tcPr>
            <w:tcW w:w="234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基本公共卫生服务</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104.98</w:t>
            </w:r>
          </w:p>
        </w:tc>
        <w:tc>
          <w:tcPr>
            <w:tcW w:w="1884"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p>
        </w:tc>
        <w:tc>
          <w:tcPr>
            <w:tcW w:w="1704"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104.98</w:t>
            </w:r>
          </w:p>
        </w:tc>
        <w:tc>
          <w:tcPr>
            <w:tcW w:w="1608"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26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237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21007</w:t>
            </w:r>
          </w:p>
        </w:tc>
        <w:tc>
          <w:tcPr>
            <w:tcW w:w="234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计划生育事务</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0.44</w:t>
            </w:r>
            <w:r>
              <w:rPr>
                <w:rFonts w:hint="eastAsia" w:ascii="宋体" w:hAnsi="宋体" w:cs="Arial"/>
                <w:color w:val="000000"/>
                <w:kern w:val="0"/>
                <w:sz w:val="22"/>
                <w:szCs w:val="22"/>
              </w:rPr>
              <w:t>　</w:t>
            </w:r>
          </w:p>
        </w:tc>
        <w:tc>
          <w:tcPr>
            <w:tcW w:w="1884"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0.44</w:t>
            </w:r>
          </w:p>
        </w:tc>
        <w:tc>
          <w:tcPr>
            <w:tcW w:w="1704"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7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2100799</w:t>
            </w:r>
          </w:p>
        </w:tc>
        <w:tc>
          <w:tcPr>
            <w:tcW w:w="234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0.44</w:t>
            </w:r>
            <w:r>
              <w:rPr>
                <w:rFonts w:hint="eastAsia" w:ascii="宋体" w:hAnsi="宋体" w:cs="Arial"/>
                <w:color w:val="000000"/>
                <w:kern w:val="0"/>
                <w:sz w:val="22"/>
                <w:szCs w:val="22"/>
              </w:rPr>
              <w:t>　</w:t>
            </w:r>
          </w:p>
        </w:tc>
        <w:tc>
          <w:tcPr>
            <w:tcW w:w="1884"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0.44</w:t>
            </w:r>
          </w:p>
        </w:tc>
        <w:tc>
          <w:tcPr>
            <w:tcW w:w="1704"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7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Pr>
        <w:rPr>
          <w:rFonts w:hint="eastAsia"/>
        </w:rPr>
      </w:pPr>
    </w:p>
    <w:p>
      <w:pPr>
        <w:rPr>
          <w:rFonts w:hint="eastAsia"/>
        </w:rPr>
      </w:pPr>
      <w:r>
        <w:rPr>
          <w:rFonts w:hint="eastAsia"/>
          <w:lang w:eastAsia="zh-CN"/>
        </w:rPr>
        <w:t>注：本表反映部门本年度各项支出情况。</w:t>
      </w:r>
    </w:p>
    <w:p>
      <w:pPr>
        <w:jc w:val="both"/>
        <w:rPr>
          <w:rFonts w:hint="eastAsia" w:ascii="方正小标宋简体" w:hAnsi="宋体" w:eastAsia="方正小标宋简体" w:cs="宋体"/>
          <w:kern w:val="0"/>
          <w:sz w:val="36"/>
          <w:szCs w:val="36"/>
        </w:rPr>
      </w:pPr>
    </w:p>
    <w:p>
      <w:pPr>
        <w:jc w:val="center"/>
        <w:rPr>
          <w:rFonts w:hint="default" w:eastAsia="方正小标宋简体"/>
          <w:lang w:val="en-US" w:eastAsia="zh-CN"/>
        </w:rPr>
      </w:pPr>
      <w:r>
        <w:rPr>
          <w:rFonts w:hint="eastAsia" w:ascii="方正小标宋简体" w:hAnsi="宋体" w:eastAsia="方正小标宋简体" w:cs="宋体"/>
          <w:kern w:val="0"/>
          <w:sz w:val="36"/>
          <w:szCs w:val="36"/>
          <w:lang w:val="en-US" w:eastAsia="zh-CN"/>
        </w:rPr>
        <w:t xml:space="preserve">           </w:t>
      </w:r>
      <w:r>
        <w:rPr>
          <w:rFonts w:hint="eastAsia" w:ascii="方正小标宋简体" w:hAnsi="宋体" w:eastAsia="方正小标宋简体" w:cs="宋体"/>
          <w:kern w:val="0"/>
          <w:sz w:val="36"/>
          <w:szCs w:val="36"/>
        </w:rPr>
        <w:t>表四：财政拨款收入支出决算总表</w:t>
      </w:r>
      <w:r>
        <w:rPr>
          <w:rFonts w:hint="eastAsia" w:ascii="方正小标宋简体" w:hAnsi="宋体" w:eastAsia="方正小标宋简体" w:cs="宋体"/>
          <w:kern w:val="0"/>
          <w:sz w:val="36"/>
          <w:szCs w:val="36"/>
          <w:lang w:val="en-US" w:eastAsia="zh-CN"/>
        </w:rPr>
        <w:t xml:space="preserve">               </w:t>
      </w:r>
      <w:r>
        <w:rPr>
          <w:rFonts w:hint="eastAsia"/>
          <w:sz w:val="22"/>
          <w:szCs w:val="22"/>
        </w:rPr>
        <w:t>单位：万元</w:t>
      </w:r>
    </w:p>
    <w:tbl>
      <w:tblPr>
        <w:tblStyle w:val="6"/>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3490"/>
        <w:gridCol w:w="888"/>
        <w:gridCol w:w="1602"/>
        <w:gridCol w:w="3372"/>
        <w:gridCol w:w="681"/>
        <w:gridCol w:w="1267"/>
        <w:gridCol w:w="1202"/>
        <w:gridCol w:w="1263"/>
      </w:tblGrid>
      <w:tr>
        <w:tblPrEx>
          <w:tblCellMar>
            <w:top w:w="0" w:type="dxa"/>
            <w:left w:w="108" w:type="dxa"/>
            <w:bottom w:w="0" w:type="dxa"/>
            <w:right w:w="108" w:type="dxa"/>
          </w:tblCellMar>
        </w:tblPrEx>
        <w:trPr>
          <w:trHeight w:val="398" w:hRule="atLeast"/>
        </w:trPr>
        <w:tc>
          <w:tcPr>
            <w:tcW w:w="5980" w:type="dxa"/>
            <w:gridSpan w:val="3"/>
            <w:tcBorders>
              <w:top w:val="single" w:color="auto" w:sz="4" w:space="0"/>
              <w:left w:val="single" w:color="auto" w:sz="4" w:space="0"/>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349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888"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60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202"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263"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3490"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888"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0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6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349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一、一般公共预算财政拨款</w:t>
            </w:r>
            <w:r>
              <w:rPr>
                <w:rFonts w:hint="eastAsia" w:ascii="宋体" w:hAnsi="宋体" w:cs="Arial"/>
                <w:kern w:val="0"/>
                <w:sz w:val="22"/>
                <w:szCs w:val="22"/>
                <w:lang w:eastAsia="zh-CN"/>
              </w:rPr>
              <w:t>收入</w:t>
            </w:r>
          </w:p>
        </w:tc>
        <w:tc>
          <w:tcPr>
            <w:tcW w:w="8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2"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200.73</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02"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26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49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二、政府性基金预算财政拨款</w:t>
            </w:r>
            <w:r>
              <w:rPr>
                <w:rFonts w:hint="eastAsia" w:ascii="宋体" w:hAnsi="宋体" w:cs="Arial"/>
                <w:kern w:val="0"/>
                <w:sz w:val="22"/>
                <w:szCs w:val="22"/>
                <w:lang w:eastAsia="zh-CN"/>
              </w:rPr>
              <w:t>收入</w:t>
            </w:r>
          </w:p>
        </w:tc>
        <w:tc>
          <w:tcPr>
            <w:tcW w:w="8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60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02"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26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49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0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02"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26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49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60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02"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26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49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60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五、文化</w:t>
            </w:r>
            <w:r>
              <w:rPr>
                <w:rFonts w:hint="eastAsia" w:ascii="宋体" w:hAnsi="宋体" w:cs="Arial"/>
                <w:kern w:val="0"/>
                <w:sz w:val="22"/>
                <w:szCs w:val="22"/>
                <w:lang w:eastAsia="zh-CN"/>
              </w:rPr>
              <w:t>旅游</w:t>
            </w:r>
            <w:r>
              <w:rPr>
                <w:rFonts w:hint="eastAsia" w:ascii="宋体" w:hAnsi="宋体" w:cs="Arial"/>
                <w:kern w:val="0"/>
                <w:sz w:val="22"/>
                <w:szCs w:val="22"/>
              </w:rPr>
              <w:t>体育与传媒支出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02"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26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49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60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4.04</w:t>
            </w:r>
            <w:r>
              <w:rPr>
                <w:rFonts w:hint="eastAsia" w:ascii="宋体" w:hAnsi="宋体" w:cs="Arial"/>
                <w:color w:val="000000"/>
                <w:kern w:val="0"/>
                <w:sz w:val="22"/>
                <w:szCs w:val="22"/>
              </w:rPr>
              <w:t>　</w:t>
            </w:r>
          </w:p>
        </w:tc>
        <w:tc>
          <w:tcPr>
            <w:tcW w:w="1202" w:type="dxa"/>
            <w:tcBorders>
              <w:top w:val="nil"/>
              <w:left w:val="nil"/>
              <w:bottom w:val="single" w:color="auto" w:sz="4" w:space="0"/>
              <w:right w:val="single" w:color="auto" w:sz="4" w:space="0"/>
            </w:tcBorders>
            <w:vAlign w:val="top"/>
          </w:tcPr>
          <w:p>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4.04</w:t>
            </w:r>
          </w:p>
        </w:tc>
        <w:tc>
          <w:tcPr>
            <w:tcW w:w="1263"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49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60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七</w:t>
            </w:r>
            <w:r>
              <w:rPr>
                <w:rFonts w:hint="eastAsia" w:ascii="宋体" w:hAnsi="宋体" w:eastAsia="宋体" w:cs="宋体"/>
                <w:i w:val="0"/>
                <w:color w:val="000000"/>
                <w:kern w:val="0"/>
                <w:sz w:val="22"/>
                <w:szCs w:val="22"/>
                <w:u w:val="none"/>
                <w:lang w:val="en-US" w:eastAsia="zh-CN" w:bidi="ar"/>
              </w:rPr>
              <w:t>、卫生健康支出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196.69</w:t>
            </w:r>
            <w:r>
              <w:rPr>
                <w:rFonts w:hint="eastAsia" w:ascii="宋体" w:hAnsi="宋体" w:cs="Arial"/>
                <w:color w:val="000000"/>
                <w:kern w:val="0"/>
                <w:sz w:val="22"/>
                <w:szCs w:val="22"/>
              </w:rPr>
              <w:t>　</w:t>
            </w:r>
          </w:p>
        </w:tc>
        <w:tc>
          <w:tcPr>
            <w:tcW w:w="1202" w:type="dxa"/>
            <w:tcBorders>
              <w:top w:val="nil"/>
              <w:left w:val="nil"/>
              <w:bottom w:val="single" w:color="auto" w:sz="4" w:space="0"/>
              <w:right w:val="single" w:color="auto" w:sz="4" w:space="0"/>
            </w:tcBorders>
            <w:vAlign w:val="top"/>
          </w:tcPr>
          <w:p>
            <w:pPr>
              <w:widowControl/>
              <w:ind w:firstLine="220" w:firstLineChars="100"/>
              <w:rPr>
                <w:rFonts w:ascii="宋体" w:hAnsi="宋体" w:cs="Arial"/>
                <w:color w:val="000000"/>
                <w:kern w:val="0"/>
                <w:sz w:val="22"/>
                <w:szCs w:val="22"/>
              </w:rPr>
            </w:pPr>
            <w:r>
              <w:rPr>
                <w:rFonts w:hint="eastAsia" w:ascii="宋体" w:hAnsi="宋体" w:cs="Arial"/>
                <w:color w:val="000000"/>
                <w:kern w:val="0"/>
                <w:sz w:val="22"/>
                <w:szCs w:val="22"/>
                <w:lang w:val="en-US" w:eastAsia="zh-CN"/>
              </w:rPr>
              <w:t>196.69</w:t>
            </w:r>
            <w:r>
              <w:rPr>
                <w:rFonts w:hint="eastAsia" w:ascii="宋体" w:hAnsi="宋体" w:cs="Arial"/>
                <w:color w:val="000000"/>
                <w:kern w:val="0"/>
                <w:sz w:val="22"/>
                <w:szCs w:val="22"/>
              </w:rPr>
              <w:t>　</w:t>
            </w:r>
          </w:p>
        </w:tc>
        <w:tc>
          <w:tcPr>
            <w:tcW w:w="126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49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60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02"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26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49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60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02"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26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490"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8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602" w:type="dxa"/>
            <w:tcBorders>
              <w:top w:val="nil"/>
              <w:left w:val="nil"/>
              <w:bottom w:val="single" w:color="auto" w:sz="4" w:space="0"/>
              <w:right w:val="single" w:color="auto" w:sz="4" w:space="0"/>
            </w:tcBorders>
            <w:vAlign w:val="top"/>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200.73</w:t>
            </w:r>
          </w:p>
        </w:tc>
        <w:tc>
          <w:tcPr>
            <w:tcW w:w="33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200.73</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49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8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60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年末</w:t>
            </w:r>
            <w:r>
              <w:rPr>
                <w:rFonts w:hint="eastAsia" w:ascii="宋体" w:hAnsi="宋体" w:cs="Arial"/>
                <w:kern w:val="0"/>
                <w:sz w:val="22"/>
                <w:szCs w:val="22"/>
                <w:lang w:eastAsia="zh-CN"/>
              </w:rPr>
              <w:t>财政拨款</w:t>
            </w:r>
            <w:r>
              <w:rPr>
                <w:rFonts w:hint="eastAsia" w:ascii="宋体" w:hAnsi="宋体" w:cs="Arial"/>
                <w:kern w:val="0"/>
                <w:sz w:val="22"/>
                <w:szCs w:val="22"/>
              </w:rPr>
              <w:t>结转和结余</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490" w:type="dxa"/>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kern w:val="0"/>
                <w:sz w:val="22"/>
                <w:szCs w:val="22"/>
              </w:rPr>
              <w:t>一般公共预算财政拨款</w:t>
            </w:r>
          </w:p>
        </w:tc>
        <w:tc>
          <w:tcPr>
            <w:tcW w:w="8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60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49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8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60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49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60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490"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8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602" w:type="dxa"/>
            <w:tcBorders>
              <w:top w:val="nil"/>
              <w:left w:val="nil"/>
              <w:bottom w:val="single" w:color="auto" w:sz="4" w:space="0"/>
              <w:right w:val="single" w:color="auto" w:sz="4" w:space="0"/>
            </w:tcBorders>
            <w:vAlign w:val="top"/>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200.73</w:t>
            </w:r>
          </w:p>
        </w:tc>
        <w:tc>
          <w:tcPr>
            <w:tcW w:w="33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200.73</w:t>
            </w:r>
            <w:r>
              <w:rPr>
                <w:rFonts w:hint="eastAsia" w:ascii="宋体" w:hAnsi="宋体" w:cs="Arial"/>
                <w:color w:val="000000"/>
                <w:kern w:val="0"/>
                <w:sz w:val="22"/>
                <w:szCs w:val="22"/>
              </w:rPr>
              <w:t>　</w:t>
            </w:r>
          </w:p>
        </w:tc>
      </w:tr>
    </w:tbl>
    <w:p>
      <w:pPr>
        <w:jc w:val="right"/>
        <w:rPr>
          <w:rFonts w:hint="eastAsia"/>
          <w:sz w:val="22"/>
          <w:szCs w:val="22"/>
        </w:rPr>
      </w:pPr>
    </w:p>
    <w:p>
      <w:pPr>
        <w:rPr>
          <w:rFonts w:hint="eastAsia" w:eastAsia="宋体"/>
          <w:lang w:eastAsia="zh-CN"/>
        </w:rPr>
      </w:pPr>
      <w:r>
        <w:rPr>
          <w:rFonts w:hint="eastAsia"/>
          <w:lang w:eastAsia="zh-CN"/>
        </w:rPr>
        <w:t>注：本表反映部门本年度一般公共预算财政拨款和政府性基金预算财政拨款的总收支和年末结转结余情况。</w:t>
      </w:r>
    </w:p>
    <w:p>
      <w:pPr>
        <w:rPr>
          <w:rFonts w:hint="eastAsia"/>
        </w:rPr>
      </w:pPr>
    </w:p>
    <w:p>
      <w:pPr>
        <w:jc w:val="center"/>
        <w:rPr>
          <w:rFonts w:hint="eastAsia"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6"/>
        <w:tblW w:w="13479" w:type="dxa"/>
        <w:jc w:val="center"/>
        <w:tblLayout w:type="fixed"/>
        <w:tblCellMar>
          <w:top w:w="0" w:type="dxa"/>
          <w:left w:w="108" w:type="dxa"/>
          <w:bottom w:w="0" w:type="dxa"/>
          <w:right w:w="108" w:type="dxa"/>
        </w:tblCellMar>
      </w:tblPr>
      <w:tblGrid>
        <w:gridCol w:w="1283"/>
        <w:gridCol w:w="3000"/>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宋体" w:cs="Arial"/>
                <w:kern w:val="0"/>
                <w:sz w:val="22"/>
                <w:szCs w:val="22"/>
                <w:lang w:eastAsia="zh-CN"/>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both"/>
              <w:rPr>
                <w:rFonts w:ascii="MingLiU" w:hAnsi="MingLiU" w:eastAsia="MingLiU" w:cs="Arial"/>
                <w:kern w:val="0"/>
                <w:sz w:val="22"/>
                <w:szCs w:val="22"/>
              </w:rPr>
            </w:pPr>
            <w:r>
              <w:rPr>
                <w:rFonts w:hint="eastAsia" w:ascii="MingLiU" w:hAnsi="MingLiU" w:cs="Arial"/>
                <w:kern w:val="0"/>
                <w:sz w:val="22"/>
                <w:szCs w:val="22"/>
                <w:lang w:eastAsia="zh-CN"/>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vAlign w:val="top"/>
          </w:tcPr>
          <w:p>
            <w:pPr>
              <w:widowControl/>
              <w:ind w:firstLine="1200" w:firstLineChars="600"/>
              <w:jc w:val="left"/>
              <w:rPr>
                <w:rFonts w:ascii="Arial" w:hAnsi="Arial" w:cs="Arial"/>
                <w:color w:val="000000"/>
                <w:kern w:val="0"/>
                <w:sz w:val="20"/>
                <w:szCs w:val="20"/>
              </w:rPr>
            </w:pPr>
            <w:r>
              <w:rPr>
                <w:rFonts w:hint="eastAsia" w:ascii="Arial" w:hAnsi="Arial" w:cs="Arial"/>
                <w:color w:val="000000"/>
                <w:kern w:val="0"/>
                <w:sz w:val="20"/>
                <w:szCs w:val="20"/>
                <w:lang w:val="en-US" w:eastAsia="zh-CN"/>
              </w:rPr>
              <w:t>200.73</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vAlign w:val="top"/>
          </w:tcPr>
          <w:p>
            <w:pPr>
              <w:widowControl/>
              <w:ind w:firstLine="1000" w:firstLineChars="500"/>
              <w:jc w:val="left"/>
              <w:rPr>
                <w:rFonts w:ascii="Arial" w:hAnsi="Arial" w:cs="Arial"/>
                <w:color w:val="000000"/>
                <w:kern w:val="0"/>
                <w:sz w:val="20"/>
                <w:szCs w:val="20"/>
              </w:rPr>
            </w:pPr>
            <w:r>
              <w:rPr>
                <w:rFonts w:hint="eastAsia" w:ascii="Arial" w:hAnsi="Arial" w:cs="Arial"/>
                <w:color w:val="000000"/>
                <w:kern w:val="0"/>
                <w:sz w:val="20"/>
                <w:szCs w:val="20"/>
                <w:lang w:val="en-US" w:eastAsia="zh-CN"/>
              </w:rPr>
              <w:t>95.75</w:t>
            </w: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vAlign w:val="top"/>
          </w:tcPr>
          <w:p>
            <w:pPr>
              <w:widowControl/>
              <w:ind w:firstLine="1200" w:firstLineChars="600"/>
              <w:jc w:val="left"/>
              <w:rPr>
                <w:rFonts w:ascii="Arial" w:hAnsi="Arial" w:cs="Arial"/>
                <w:color w:val="000000"/>
                <w:kern w:val="0"/>
                <w:sz w:val="20"/>
                <w:szCs w:val="20"/>
              </w:rPr>
            </w:pPr>
            <w:r>
              <w:rPr>
                <w:rFonts w:hint="eastAsia" w:ascii="Arial" w:hAnsi="Arial" w:cs="Arial"/>
                <w:color w:val="000000"/>
                <w:kern w:val="0"/>
                <w:sz w:val="20"/>
                <w:szCs w:val="20"/>
                <w:lang w:val="en-US" w:eastAsia="zh-CN"/>
              </w:rPr>
              <w:t>104.98</w:t>
            </w:r>
            <w:r>
              <w:rPr>
                <w:rFonts w:ascii="Arial" w:hAnsi="Arial" w:cs="Arial"/>
                <w:color w:val="000000"/>
                <w:kern w:val="0"/>
                <w:sz w:val="20"/>
                <w:szCs w:val="20"/>
              </w:rPr>
              <w:t>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社会保障和就业支出</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4.04</w:t>
            </w:r>
          </w:p>
        </w:tc>
        <w:tc>
          <w:tcPr>
            <w:tcW w:w="2900" w:type="dxa"/>
            <w:tcBorders>
              <w:top w:val="nil"/>
              <w:left w:val="nil"/>
              <w:bottom w:val="single" w:color="auto" w:sz="4" w:space="0"/>
              <w:right w:val="single" w:color="auto" w:sz="4" w:space="0"/>
            </w:tcBorders>
            <w:vAlign w:val="top"/>
          </w:tcPr>
          <w:p>
            <w:pPr>
              <w:widowControl/>
              <w:ind w:firstLine="2400" w:firstLineChars="1200"/>
              <w:jc w:val="lef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行政事业单位养老支出</w:t>
            </w:r>
          </w:p>
        </w:tc>
        <w:tc>
          <w:tcPr>
            <w:tcW w:w="2900" w:type="dxa"/>
            <w:tcBorders>
              <w:top w:val="nil"/>
              <w:left w:val="nil"/>
              <w:bottom w:val="single" w:color="auto" w:sz="4" w:space="0"/>
              <w:right w:val="single" w:color="auto" w:sz="4" w:space="0"/>
            </w:tcBorders>
            <w:vAlign w:val="top"/>
          </w:tcPr>
          <w:p>
            <w:pPr>
              <w:widowControl/>
              <w:ind w:firstLine="1200" w:firstLineChars="600"/>
              <w:jc w:val="left"/>
              <w:rPr>
                <w:rFonts w:ascii="Arial" w:hAnsi="Arial" w:cs="Arial"/>
                <w:color w:val="000000"/>
                <w:kern w:val="0"/>
                <w:sz w:val="20"/>
                <w:szCs w:val="20"/>
              </w:rPr>
            </w:pPr>
            <w:r>
              <w:rPr>
                <w:rFonts w:hint="eastAsia" w:ascii="Arial" w:hAnsi="Arial" w:cs="Arial"/>
                <w:color w:val="000000"/>
                <w:kern w:val="0"/>
                <w:sz w:val="20"/>
                <w:szCs w:val="20"/>
                <w:lang w:val="en-US" w:eastAsia="zh-CN"/>
              </w:rPr>
              <w:t>4.04</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vAlign w:val="top"/>
          </w:tcPr>
          <w:p>
            <w:pPr>
              <w:widowControl/>
              <w:ind w:firstLine="1000" w:firstLineChars="500"/>
              <w:jc w:val="left"/>
              <w:rPr>
                <w:rFonts w:ascii="Arial" w:hAnsi="Arial" w:cs="Arial"/>
                <w:color w:val="000000"/>
                <w:kern w:val="0"/>
                <w:sz w:val="20"/>
                <w:szCs w:val="20"/>
              </w:rPr>
            </w:pPr>
            <w:r>
              <w:rPr>
                <w:rFonts w:hint="eastAsia" w:ascii="Arial" w:hAnsi="Arial" w:cs="Arial"/>
                <w:color w:val="000000"/>
                <w:kern w:val="0"/>
                <w:sz w:val="20"/>
                <w:szCs w:val="20"/>
                <w:lang w:val="en-US" w:eastAsia="zh-CN"/>
              </w:rPr>
              <w:t>4.04</w:t>
            </w: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2900" w:type="dxa"/>
            <w:tcBorders>
              <w:top w:val="nil"/>
              <w:left w:val="nil"/>
              <w:bottom w:val="single" w:color="auto" w:sz="4" w:space="0"/>
              <w:right w:val="single" w:color="auto" w:sz="4" w:space="0"/>
            </w:tcBorders>
            <w:vAlign w:val="top"/>
          </w:tcPr>
          <w:p>
            <w:pPr>
              <w:widowControl/>
              <w:ind w:firstLine="1200" w:firstLineChars="600"/>
              <w:jc w:val="left"/>
              <w:rPr>
                <w:rFonts w:ascii="Arial" w:hAnsi="Arial" w:cs="Arial"/>
                <w:color w:val="000000"/>
                <w:kern w:val="0"/>
                <w:sz w:val="20"/>
                <w:szCs w:val="20"/>
              </w:rPr>
            </w:pPr>
            <w:r>
              <w:rPr>
                <w:rFonts w:hint="eastAsia" w:ascii="Arial" w:hAnsi="Arial" w:cs="Arial"/>
                <w:color w:val="000000"/>
                <w:kern w:val="0"/>
                <w:sz w:val="20"/>
                <w:szCs w:val="20"/>
                <w:lang w:val="en-US" w:eastAsia="zh-CN"/>
              </w:rPr>
              <w:t>4.04</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vAlign w:val="top"/>
          </w:tcPr>
          <w:p>
            <w:pPr>
              <w:widowControl/>
              <w:ind w:firstLine="1000" w:firstLineChars="500"/>
              <w:jc w:val="left"/>
              <w:rPr>
                <w:rFonts w:ascii="Arial" w:hAnsi="Arial" w:cs="Arial"/>
                <w:color w:val="000000"/>
                <w:kern w:val="0"/>
                <w:sz w:val="20"/>
                <w:szCs w:val="20"/>
              </w:rPr>
            </w:pPr>
            <w:r>
              <w:rPr>
                <w:rFonts w:hint="eastAsia" w:ascii="Arial" w:hAnsi="Arial" w:cs="Arial"/>
                <w:color w:val="000000"/>
                <w:kern w:val="0"/>
                <w:sz w:val="20"/>
                <w:szCs w:val="20"/>
                <w:lang w:val="en-US" w:eastAsia="zh-CN"/>
              </w:rPr>
              <w:t>4.04</w:t>
            </w: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卫生健康支出</w:t>
            </w:r>
          </w:p>
        </w:tc>
        <w:tc>
          <w:tcPr>
            <w:tcW w:w="2900" w:type="dxa"/>
            <w:tcBorders>
              <w:top w:val="nil"/>
              <w:left w:val="nil"/>
              <w:bottom w:val="single" w:color="auto" w:sz="4" w:space="0"/>
              <w:right w:val="single" w:color="auto" w:sz="4" w:space="0"/>
            </w:tcBorders>
            <w:vAlign w:val="top"/>
          </w:tcPr>
          <w:p>
            <w:pPr>
              <w:widowControl/>
              <w:ind w:firstLine="1000" w:firstLineChars="500"/>
              <w:jc w:val="left"/>
              <w:rPr>
                <w:rFonts w:ascii="Arial" w:hAnsi="Arial" w:cs="Arial"/>
                <w:color w:val="000000"/>
                <w:kern w:val="0"/>
                <w:sz w:val="20"/>
                <w:szCs w:val="20"/>
              </w:rPr>
            </w:pPr>
            <w:r>
              <w:rPr>
                <w:rFonts w:hint="eastAsia" w:ascii="Arial" w:hAnsi="Arial" w:cs="Arial"/>
                <w:color w:val="000000"/>
                <w:kern w:val="0"/>
                <w:sz w:val="20"/>
                <w:szCs w:val="20"/>
                <w:lang w:val="en-US" w:eastAsia="zh-CN"/>
              </w:rPr>
              <w:t>196.69</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vAlign w:val="top"/>
          </w:tcPr>
          <w:p>
            <w:pPr>
              <w:widowControl/>
              <w:ind w:firstLine="1000" w:firstLineChars="500"/>
              <w:jc w:val="left"/>
              <w:rPr>
                <w:rFonts w:ascii="Arial" w:hAnsi="Arial" w:cs="Arial"/>
                <w:color w:val="000000"/>
                <w:kern w:val="0"/>
                <w:sz w:val="20"/>
                <w:szCs w:val="20"/>
              </w:rPr>
            </w:pPr>
            <w:r>
              <w:rPr>
                <w:rFonts w:hint="eastAsia" w:ascii="Arial" w:hAnsi="Arial" w:cs="Arial"/>
                <w:color w:val="000000"/>
                <w:kern w:val="0"/>
                <w:sz w:val="20"/>
                <w:szCs w:val="20"/>
                <w:lang w:val="en-US" w:eastAsia="zh-CN"/>
              </w:rPr>
              <w:t>91.71</w:t>
            </w: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21003</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基层医疗卫生机构</w:t>
            </w:r>
          </w:p>
        </w:tc>
        <w:tc>
          <w:tcPr>
            <w:tcW w:w="2900" w:type="dxa"/>
            <w:tcBorders>
              <w:top w:val="nil"/>
              <w:left w:val="nil"/>
              <w:bottom w:val="single" w:color="auto" w:sz="4" w:space="0"/>
              <w:right w:val="single" w:color="auto" w:sz="4" w:space="0"/>
            </w:tcBorders>
            <w:vAlign w:val="top"/>
          </w:tcPr>
          <w:p>
            <w:pPr>
              <w:widowControl/>
              <w:ind w:firstLine="1000" w:firstLineChars="5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91.27</w:t>
            </w:r>
          </w:p>
        </w:tc>
        <w:tc>
          <w:tcPr>
            <w:tcW w:w="2900" w:type="dxa"/>
            <w:tcBorders>
              <w:top w:val="nil"/>
              <w:left w:val="nil"/>
              <w:bottom w:val="single" w:color="auto" w:sz="4" w:space="0"/>
              <w:right w:val="single" w:color="auto" w:sz="4" w:space="0"/>
            </w:tcBorders>
            <w:vAlign w:val="top"/>
          </w:tcPr>
          <w:p>
            <w:pPr>
              <w:widowControl/>
              <w:ind w:firstLine="1000" w:firstLineChars="5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91.27</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2100302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乡镇卫生院</w:t>
            </w:r>
          </w:p>
        </w:tc>
        <w:tc>
          <w:tcPr>
            <w:tcW w:w="2900" w:type="dxa"/>
            <w:tcBorders>
              <w:top w:val="nil"/>
              <w:left w:val="nil"/>
              <w:bottom w:val="single" w:color="auto" w:sz="4" w:space="0"/>
              <w:right w:val="single" w:color="auto" w:sz="4" w:space="0"/>
            </w:tcBorders>
            <w:vAlign w:val="top"/>
          </w:tcPr>
          <w:p>
            <w:pPr>
              <w:widowControl/>
              <w:ind w:firstLine="1000" w:firstLineChars="5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83.98</w:t>
            </w:r>
          </w:p>
        </w:tc>
        <w:tc>
          <w:tcPr>
            <w:tcW w:w="2900" w:type="dxa"/>
            <w:tcBorders>
              <w:top w:val="nil"/>
              <w:left w:val="nil"/>
              <w:bottom w:val="single" w:color="auto" w:sz="4" w:space="0"/>
              <w:right w:val="single" w:color="auto" w:sz="4" w:space="0"/>
            </w:tcBorders>
            <w:vAlign w:val="top"/>
          </w:tcPr>
          <w:p>
            <w:pPr>
              <w:widowControl/>
              <w:ind w:firstLine="1000" w:firstLineChars="5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83.98</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2100399</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其他基层医疗卫生机构支出</w:t>
            </w:r>
          </w:p>
        </w:tc>
        <w:tc>
          <w:tcPr>
            <w:tcW w:w="2900" w:type="dxa"/>
            <w:tcBorders>
              <w:top w:val="nil"/>
              <w:left w:val="nil"/>
              <w:bottom w:val="single" w:color="auto" w:sz="4" w:space="0"/>
              <w:right w:val="single" w:color="auto" w:sz="4" w:space="0"/>
            </w:tcBorders>
            <w:vAlign w:val="top"/>
          </w:tcPr>
          <w:p>
            <w:pPr>
              <w:widowControl/>
              <w:ind w:firstLine="1000" w:firstLineChars="5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7.29</w:t>
            </w:r>
          </w:p>
        </w:tc>
        <w:tc>
          <w:tcPr>
            <w:tcW w:w="2900" w:type="dxa"/>
            <w:tcBorders>
              <w:top w:val="nil"/>
              <w:left w:val="nil"/>
              <w:bottom w:val="single" w:color="auto" w:sz="4" w:space="0"/>
              <w:right w:val="single" w:color="auto" w:sz="4" w:space="0"/>
            </w:tcBorders>
            <w:vAlign w:val="top"/>
          </w:tcPr>
          <w:p>
            <w:pPr>
              <w:widowControl/>
              <w:ind w:firstLine="1000" w:firstLineChars="5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7.29</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21004</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公共卫生</w:t>
            </w:r>
          </w:p>
        </w:tc>
        <w:tc>
          <w:tcPr>
            <w:tcW w:w="2900" w:type="dxa"/>
            <w:tcBorders>
              <w:top w:val="nil"/>
              <w:left w:val="nil"/>
              <w:bottom w:val="single" w:color="auto" w:sz="4" w:space="0"/>
              <w:right w:val="single" w:color="auto" w:sz="4" w:space="0"/>
            </w:tcBorders>
            <w:vAlign w:val="top"/>
          </w:tcPr>
          <w:p>
            <w:pPr>
              <w:widowControl/>
              <w:ind w:firstLine="1000" w:firstLineChars="5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104.98</w:t>
            </w:r>
          </w:p>
        </w:tc>
        <w:tc>
          <w:tcPr>
            <w:tcW w:w="2900" w:type="dxa"/>
            <w:tcBorders>
              <w:top w:val="nil"/>
              <w:left w:val="nil"/>
              <w:bottom w:val="single" w:color="auto" w:sz="4" w:space="0"/>
              <w:right w:val="single" w:color="auto" w:sz="4" w:space="0"/>
            </w:tcBorders>
            <w:vAlign w:val="top"/>
          </w:tcPr>
          <w:p>
            <w:pPr>
              <w:widowControl/>
              <w:ind w:firstLine="1000" w:firstLineChars="500"/>
              <w:jc w:val="left"/>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vAlign w:val="top"/>
          </w:tcPr>
          <w:p>
            <w:pPr>
              <w:widowControl/>
              <w:ind w:firstLine="1400" w:firstLineChars="7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104.98</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2100408</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基本公共卫生服务</w:t>
            </w:r>
          </w:p>
        </w:tc>
        <w:tc>
          <w:tcPr>
            <w:tcW w:w="2900" w:type="dxa"/>
            <w:tcBorders>
              <w:top w:val="single" w:color="auto" w:sz="4" w:space="0"/>
              <w:left w:val="single" w:color="auto" w:sz="4" w:space="0"/>
              <w:bottom w:val="single" w:color="auto" w:sz="4" w:space="0"/>
              <w:right w:val="single" w:color="auto" w:sz="4" w:space="0"/>
            </w:tcBorders>
            <w:vAlign w:val="top"/>
          </w:tcPr>
          <w:p>
            <w:pPr>
              <w:widowControl/>
              <w:ind w:firstLine="1000" w:firstLineChars="500"/>
              <w:jc w:val="left"/>
              <w:rPr>
                <w:rFonts w:ascii="Arial" w:hAnsi="Arial" w:cs="Arial"/>
                <w:color w:val="000000"/>
                <w:kern w:val="0"/>
                <w:sz w:val="20"/>
                <w:szCs w:val="20"/>
              </w:rPr>
            </w:pPr>
            <w:r>
              <w:rPr>
                <w:rFonts w:hint="eastAsia" w:ascii="Arial" w:hAnsi="Arial" w:cs="Arial"/>
                <w:color w:val="000000"/>
                <w:kern w:val="0"/>
                <w:sz w:val="20"/>
                <w:szCs w:val="20"/>
                <w:lang w:val="en-US" w:eastAsia="zh-CN"/>
              </w:rPr>
              <w:t>104.98</w:t>
            </w:r>
            <w:r>
              <w:rPr>
                <w:rFonts w:ascii="Arial" w:hAnsi="Arial" w:cs="Arial"/>
                <w:color w:val="000000"/>
                <w:kern w:val="0"/>
                <w:sz w:val="20"/>
                <w:szCs w:val="20"/>
              </w:rPr>
              <w:t>　</w:t>
            </w:r>
          </w:p>
        </w:tc>
        <w:tc>
          <w:tcPr>
            <w:tcW w:w="2900" w:type="dxa"/>
            <w:tcBorders>
              <w:top w:val="single" w:color="auto" w:sz="4" w:space="0"/>
              <w:left w:val="single" w:color="auto" w:sz="4" w:space="0"/>
              <w:bottom w:val="single" w:color="auto" w:sz="4" w:space="0"/>
              <w:right w:val="single" w:color="auto" w:sz="4" w:space="0"/>
            </w:tcBorders>
            <w:vAlign w:val="top"/>
          </w:tcPr>
          <w:p>
            <w:pPr>
              <w:widowControl/>
              <w:ind w:firstLine="1000" w:firstLineChars="500"/>
              <w:jc w:val="lef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1400" w:firstLineChars="700"/>
              <w:jc w:val="left"/>
              <w:rPr>
                <w:rFonts w:ascii="Arial" w:hAnsi="Arial" w:cs="Arial"/>
                <w:color w:val="000000"/>
                <w:kern w:val="0"/>
                <w:sz w:val="20"/>
                <w:szCs w:val="20"/>
              </w:rPr>
            </w:pPr>
            <w:r>
              <w:rPr>
                <w:rFonts w:hint="eastAsia" w:ascii="Arial" w:hAnsi="Arial" w:cs="Arial"/>
                <w:color w:val="000000"/>
                <w:kern w:val="0"/>
                <w:sz w:val="20"/>
                <w:szCs w:val="20"/>
                <w:lang w:val="en-US" w:eastAsia="zh-CN"/>
              </w:rPr>
              <w:t>104.98</w:t>
            </w: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21007</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计划生育事务</w:t>
            </w:r>
          </w:p>
        </w:tc>
        <w:tc>
          <w:tcPr>
            <w:tcW w:w="2900" w:type="dxa"/>
            <w:tcBorders>
              <w:top w:val="single" w:color="auto" w:sz="4" w:space="0"/>
              <w:left w:val="single" w:color="auto" w:sz="4" w:space="0"/>
              <w:bottom w:val="single" w:color="auto" w:sz="4" w:space="0"/>
              <w:right w:val="single" w:color="auto" w:sz="4" w:space="0"/>
            </w:tcBorders>
            <w:vAlign w:val="top"/>
          </w:tcPr>
          <w:p>
            <w:pPr>
              <w:widowControl/>
              <w:ind w:firstLine="1200" w:firstLineChars="6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0.44</w:t>
            </w:r>
          </w:p>
        </w:tc>
        <w:tc>
          <w:tcPr>
            <w:tcW w:w="2900" w:type="dxa"/>
            <w:tcBorders>
              <w:top w:val="single" w:color="auto" w:sz="4" w:space="0"/>
              <w:left w:val="single" w:color="auto" w:sz="4" w:space="0"/>
              <w:bottom w:val="single" w:color="auto" w:sz="4" w:space="0"/>
              <w:right w:val="single" w:color="auto" w:sz="4" w:space="0"/>
            </w:tcBorders>
            <w:vAlign w:val="top"/>
          </w:tcPr>
          <w:p>
            <w:pPr>
              <w:widowControl/>
              <w:ind w:firstLine="1000" w:firstLineChars="5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0.44</w:t>
            </w: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2100799</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2900" w:type="dxa"/>
            <w:tcBorders>
              <w:top w:val="single" w:color="auto" w:sz="4" w:space="0"/>
              <w:left w:val="single" w:color="auto" w:sz="4" w:space="0"/>
              <w:bottom w:val="single" w:color="auto" w:sz="4" w:space="0"/>
              <w:right w:val="single" w:color="auto" w:sz="4" w:space="0"/>
            </w:tcBorders>
            <w:vAlign w:val="top"/>
          </w:tcPr>
          <w:p>
            <w:pPr>
              <w:widowControl/>
              <w:ind w:firstLine="1200" w:firstLineChars="6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0.44</w:t>
            </w:r>
          </w:p>
        </w:tc>
        <w:tc>
          <w:tcPr>
            <w:tcW w:w="2900" w:type="dxa"/>
            <w:tcBorders>
              <w:top w:val="single" w:color="auto" w:sz="4" w:space="0"/>
              <w:left w:val="single" w:color="auto" w:sz="4" w:space="0"/>
              <w:bottom w:val="single" w:color="auto" w:sz="4" w:space="0"/>
              <w:right w:val="single" w:color="auto" w:sz="4" w:space="0"/>
            </w:tcBorders>
            <w:vAlign w:val="top"/>
          </w:tcPr>
          <w:p>
            <w:pPr>
              <w:widowControl/>
              <w:ind w:firstLine="1000" w:firstLineChars="5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0.44</w:t>
            </w: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color w:val="000000"/>
                <w:kern w:val="0"/>
                <w:sz w:val="20"/>
                <w:szCs w:val="20"/>
              </w:rPr>
            </w:pPr>
          </w:p>
        </w:tc>
        <w:tc>
          <w:tcPr>
            <w:tcW w:w="3000"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color w:val="000000"/>
                <w:kern w:val="0"/>
                <w:sz w:val="20"/>
                <w:szCs w:val="20"/>
              </w:rPr>
            </w:pPr>
          </w:p>
        </w:tc>
        <w:tc>
          <w:tcPr>
            <w:tcW w:w="2900" w:type="dxa"/>
            <w:tcBorders>
              <w:top w:val="single" w:color="auto" w:sz="4" w:space="0"/>
              <w:left w:val="single" w:color="auto" w:sz="4" w:space="0"/>
              <w:bottom w:val="single" w:color="auto" w:sz="4" w:space="0"/>
              <w:right w:val="single" w:color="auto" w:sz="4" w:space="0"/>
            </w:tcBorders>
            <w:vAlign w:val="top"/>
          </w:tcPr>
          <w:p>
            <w:pPr>
              <w:widowControl/>
              <w:ind w:firstLine="2200" w:firstLineChars="1100"/>
              <w:jc w:val="left"/>
              <w:rPr>
                <w:rFonts w:ascii="Arial" w:hAnsi="Arial" w:cs="Arial"/>
                <w:color w:val="000000"/>
                <w:kern w:val="0"/>
                <w:sz w:val="20"/>
                <w:szCs w:val="20"/>
              </w:rPr>
            </w:pPr>
          </w:p>
        </w:tc>
        <w:tc>
          <w:tcPr>
            <w:tcW w:w="2900" w:type="dxa"/>
            <w:tcBorders>
              <w:top w:val="single" w:color="auto" w:sz="4" w:space="0"/>
              <w:left w:val="single" w:color="auto" w:sz="4" w:space="0"/>
              <w:bottom w:val="single" w:color="auto" w:sz="4" w:space="0"/>
              <w:right w:val="single" w:color="auto" w:sz="4" w:space="0"/>
            </w:tcBorders>
            <w:vAlign w:val="top"/>
          </w:tcPr>
          <w:p>
            <w:pPr>
              <w:widowControl/>
              <w:ind w:firstLine="1000" w:firstLineChars="500"/>
              <w:jc w:val="left"/>
              <w:rPr>
                <w:rFonts w:ascii="Arial" w:hAnsi="Arial" w:cs="Arial"/>
                <w:color w:val="000000"/>
                <w:kern w:val="0"/>
                <w:sz w:val="20"/>
                <w:szCs w:val="20"/>
              </w:rPr>
            </w:pP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p>
        </w:tc>
        <w:tc>
          <w:tcPr>
            <w:tcW w:w="2900" w:type="dxa"/>
            <w:tcBorders>
              <w:top w:val="single" w:color="auto" w:sz="4" w:space="0"/>
              <w:left w:val="single" w:color="auto" w:sz="4" w:space="0"/>
              <w:bottom w:val="single" w:color="auto" w:sz="4" w:space="0"/>
              <w:right w:val="single" w:color="auto" w:sz="4" w:space="0"/>
            </w:tcBorders>
            <w:vAlign w:val="top"/>
          </w:tcPr>
          <w:p>
            <w:pPr>
              <w:widowControl/>
              <w:ind w:firstLine="2200" w:firstLineChars="1100"/>
              <w:jc w:val="left"/>
              <w:rPr>
                <w:rFonts w:ascii="Arial" w:hAnsi="Arial" w:cs="Arial"/>
                <w:color w:val="000000"/>
                <w:kern w:val="0"/>
                <w:sz w:val="20"/>
                <w:szCs w:val="20"/>
              </w:rPr>
            </w:pPr>
          </w:p>
        </w:tc>
        <w:tc>
          <w:tcPr>
            <w:tcW w:w="2900" w:type="dxa"/>
            <w:tcBorders>
              <w:top w:val="single" w:color="auto" w:sz="4" w:space="0"/>
              <w:left w:val="single" w:color="auto" w:sz="4" w:space="0"/>
              <w:bottom w:val="single" w:color="auto" w:sz="4" w:space="0"/>
              <w:right w:val="single" w:color="auto" w:sz="4" w:space="0"/>
            </w:tcBorders>
            <w:vAlign w:val="top"/>
          </w:tcPr>
          <w:p>
            <w:pPr>
              <w:widowControl/>
              <w:ind w:firstLine="1000" w:firstLineChars="500"/>
              <w:jc w:val="left"/>
              <w:rPr>
                <w:rFonts w:ascii="Arial" w:hAnsi="Arial" w:cs="Arial"/>
                <w:color w:val="000000"/>
                <w:kern w:val="0"/>
                <w:sz w:val="20"/>
                <w:szCs w:val="20"/>
              </w:rPr>
            </w:pP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p>
        </w:tc>
        <w:tc>
          <w:tcPr>
            <w:tcW w:w="2900" w:type="dxa"/>
            <w:tcBorders>
              <w:top w:val="single" w:color="auto" w:sz="4" w:space="0"/>
              <w:left w:val="single" w:color="auto" w:sz="4" w:space="0"/>
              <w:bottom w:val="single" w:color="auto" w:sz="4" w:space="0"/>
              <w:right w:val="single" w:color="auto" w:sz="4" w:space="0"/>
            </w:tcBorders>
            <w:vAlign w:val="top"/>
          </w:tcPr>
          <w:p>
            <w:pPr>
              <w:widowControl/>
              <w:ind w:firstLine="2200" w:firstLineChars="1100"/>
              <w:jc w:val="left"/>
              <w:rPr>
                <w:rFonts w:ascii="Arial" w:hAnsi="Arial" w:cs="Arial"/>
                <w:color w:val="000000"/>
                <w:kern w:val="0"/>
                <w:sz w:val="20"/>
                <w:szCs w:val="20"/>
              </w:rPr>
            </w:pPr>
          </w:p>
        </w:tc>
        <w:tc>
          <w:tcPr>
            <w:tcW w:w="2900" w:type="dxa"/>
            <w:tcBorders>
              <w:top w:val="single" w:color="auto" w:sz="4" w:space="0"/>
              <w:left w:val="single" w:color="auto" w:sz="4" w:space="0"/>
              <w:bottom w:val="single" w:color="auto" w:sz="4" w:space="0"/>
              <w:right w:val="single" w:color="auto" w:sz="4" w:space="0"/>
            </w:tcBorders>
            <w:vAlign w:val="top"/>
          </w:tcPr>
          <w:p>
            <w:pPr>
              <w:widowControl/>
              <w:ind w:firstLine="1000" w:firstLineChars="500"/>
              <w:jc w:val="left"/>
              <w:rPr>
                <w:rFonts w:ascii="Arial" w:hAnsi="Arial" w:cs="Arial"/>
                <w:color w:val="000000"/>
                <w:kern w:val="0"/>
                <w:sz w:val="20"/>
                <w:szCs w:val="20"/>
              </w:rPr>
            </w:pP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p>
        </w:tc>
        <w:tc>
          <w:tcPr>
            <w:tcW w:w="2900" w:type="dxa"/>
            <w:tcBorders>
              <w:top w:val="single" w:color="auto" w:sz="4" w:space="0"/>
              <w:left w:val="single" w:color="auto" w:sz="4" w:space="0"/>
              <w:bottom w:val="single" w:color="auto" w:sz="4" w:space="0"/>
              <w:right w:val="single" w:color="auto" w:sz="4" w:space="0"/>
            </w:tcBorders>
            <w:vAlign w:val="top"/>
          </w:tcPr>
          <w:p>
            <w:pPr>
              <w:widowControl/>
              <w:ind w:firstLine="2200" w:firstLineChars="1100"/>
              <w:jc w:val="left"/>
              <w:rPr>
                <w:rFonts w:ascii="Arial" w:hAnsi="Arial" w:cs="Arial"/>
                <w:color w:val="000000"/>
                <w:kern w:val="0"/>
                <w:sz w:val="20"/>
                <w:szCs w:val="20"/>
              </w:rPr>
            </w:pPr>
          </w:p>
        </w:tc>
        <w:tc>
          <w:tcPr>
            <w:tcW w:w="2900" w:type="dxa"/>
            <w:tcBorders>
              <w:top w:val="single" w:color="auto" w:sz="4" w:space="0"/>
              <w:left w:val="single" w:color="auto" w:sz="4" w:space="0"/>
              <w:bottom w:val="single" w:color="auto" w:sz="4" w:space="0"/>
              <w:right w:val="single" w:color="auto" w:sz="4" w:space="0"/>
            </w:tcBorders>
            <w:vAlign w:val="top"/>
          </w:tcPr>
          <w:p>
            <w:pPr>
              <w:widowControl/>
              <w:ind w:firstLine="1000" w:firstLineChars="500"/>
              <w:jc w:val="left"/>
              <w:rPr>
                <w:rFonts w:ascii="Arial" w:hAnsi="Arial" w:cs="Arial"/>
                <w:color w:val="000000"/>
                <w:kern w:val="0"/>
                <w:sz w:val="20"/>
                <w:szCs w:val="20"/>
              </w:rPr>
            </w:pP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bl>
    <w:p>
      <w:pPr>
        <w:rPr>
          <w:rFonts w:hint="eastAsia"/>
        </w:rPr>
      </w:pPr>
      <w:r>
        <w:rPr>
          <w:rFonts w:hint="eastAsia"/>
          <w:lang w:eastAsia="zh-CN"/>
        </w:rPr>
        <w:t>注：本表反映部门本年度一般公共预算财政拨款实际支出情况。</w:t>
      </w:r>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both"/>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hint="eastAsia"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6"/>
        <w:tblW w:w="9151" w:type="dxa"/>
        <w:tblInd w:w="93" w:type="dxa"/>
        <w:tblLayout w:type="fixed"/>
        <w:tblCellMar>
          <w:top w:w="0" w:type="dxa"/>
          <w:left w:w="108" w:type="dxa"/>
          <w:bottom w:w="0" w:type="dxa"/>
          <w:right w:w="108" w:type="dxa"/>
        </w:tblCellMar>
      </w:tblPr>
      <w:tblGrid>
        <w:gridCol w:w="916"/>
        <w:gridCol w:w="2661"/>
        <w:gridCol w:w="1410"/>
        <w:gridCol w:w="1038"/>
        <w:gridCol w:w="1608"/>
        <w:gridCol w:w="1518"/>
      </w:tblGrid>
      <w:tr>
        <w:tblPrEx>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eastAsia="zh-CN"/>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w:t>
            </w:r>
          </w:p>
        </w:tc>
      </w:tr>
      <w:tr>
        <w:tblPrEx>
          <w:tblCellMar>
            <w:top w:w="0" w:type="dxa"/>
            <w:left w:w="108" w:type="dxa"/>
            <w:bottom w:w="0" w:type="dxa"/>
            <w:right w:w="108" w:type="dxa"/>
          </w:tblCellMar>
        </w:tblPrEx>
        <w:trPr>
          <w:trHeight w:val="1008"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支出经济分类科目编码</w:t>
            </w:r>
          </w:p>
        </w:tc>
        <w:tc>
          <w:tcPr>
            <w:tcW w:w="2661" w:type="dxa"/>
            <w:tcBorders>
              <w:top w:val="nil"/>
              <w:left w:val="nil"/>
              <w:bottom w:val="single" w:color="auto" w:sz="4" w:space="0"/>
              <w:right w:val="single" w:color="auto" w:sz="4" w:space="0"/>
            </w:tcBorders>
            <w:vAlign w:val="center"/>
          </w:tcPr>
          <w:p>
            <w:pPr>
              <w:widowControl/>
              <w:ind w:firstLine="660" w:firstLineChars="300"/>
              <w:jc w:val="both"/>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410" w:type="dxa"/>
            <w:tcBorders>
              <w:top w:val="nil"/>
              <w:left w:val="nil"/>
              <w:bottom w:val="single" w:color="auto" w:sz="4" w:space="0"/>
              <w:right w:val="single" w:color="auto" w:sz="4" w:space="0"/>
            </w:tcBorders>
            <w:vAlign w:val="center"/>
          </w:tcPr>
          <w:p>
            <w:pPr>
              <w:widowControl/>
              <w:jc w:val="both"/>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金额</w:t>
            </w:r>
          </w:p>
        </w:tc>
        <w:tc>
          <w:tcPr>
            <w:tcW w:w="1038" w:type="dxa"/>
            <w:tcBorders>
              <w:top w:val="nil"/>
              <w:left w:val="nil"/>
              <w:bottom w:val="single" w:color="auto" w:sz="4" w:space="0"/>
              <w:right w:val="single" w:color="auto" w:sz="4" w:space="0"/>
            </w:tcBorders>
            <w:vAlign w:val="center"/>
          </w:tcPr>
          <w:p>
            <w:pPr>
              <w:widowControl/>
              <w:jc w:val="both"/>
              <w:rPr>
                <w:rFonts w:ascii="宋体" w:hAnsi="宋体" w:cs="Arial"/>
                <w:color w:val="000000"/>
                <w:kern w:val="0"/>
                <w:sz w:val="22"/>
                <w:szCs w:val="22"/>
              </w:rPr>
            </w:pPr>
            <w:r>
              <w:rPr>
                <w:rFonts w:hint="eastAsia" w:ascii="宋体" w:hAnsi="宋体" w:cs="Arial"/>
                <w:color w:val="000000"/>
                <w:kern w:val="0"/>
                <w:sz w:val="22"/>
                <w:szCs w:val="22"/>
                <w:lang w:eastAsia="zh-CN"/>
              </w:rPr>
              <w:t>经济分类科目编码</w:t>
            </w:r>
          </w:p>
        </w:tc>
        <w:tc>
          <w:tcPr>
            <w:tcW w:w="1608" w:type="dxa"/>
            <w:tcBorders>
              <w:top w:val="nil"/>
              <w:left w:val="nil"/>
              <w:bottom w:val="single" w:color="auto" w:sz="4" w:space="0"/>
              <w:right w:val="single" w:color="auto" w:sz="4" w:space="0"/>
            </w:tcBorders>
            <w:vAlign w:val="center"/>
          </w:tcPr>
          <w:p>
            <w:pPr>
              <w:widowControl/>
              <w:jc w:val="both"/>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518" w:type="dxa"/>
            <w:tcBorders>
              <w:top w:val="nil"/>
              <w:left w:val="nil"/>
              <w:bottom w:val="single" w:color="auto" w:sz="4" w:space="0"/>
              <w:right w:val="single" w:color="auto" w:sz="4" w:space="0"/>
            </w:tcBorders>
            <w:vAlign w:val="center"/>
          </w:tcPr>
          <w:p>
            <w:pPr>
              <w:widowControl/>
              <w:jc w:val="both"/>
              <w:rPr>
                <w:rFonts w:ascii="宋体" w:hAnsi="宋体" w:cs="Arial"/>
                <w:color w:val="000000"/>
                <w:kern w:val="0"/>
                <w:sz w:val="22"/>
                <w:szCs w:val="22"/>
              </w:rPr>
            </w:pPr>
            <w:r>
              <w:rPr>
                <w:rFonts w:hint="eastAsia" w:ascii="宋体" w:hAnsi="宋体" w:cs="Arial"/>
                <w:color w:val="000000"/>
                <w:kern w:val="0"/>
                <w:sz w:val="22"/>
                <w:szCs w:val="22"/>
                <w:lang w:eastAsia="zh-CN"/>
              </w:rPr>
              <w:t>金额</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301</w:t>
            </w:r>
          </w:p>
        </w:tc>
        <w:tc>
          <w:tcPr>
            <w:tcW w:w="26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41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84.42</w:t>
            </w:r>
          </w:p>
        </w:tc>
        <w:tc>
          <w:tcPr>
            <w:tcW w:w="1038"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w:t>
            </w:r>
          </w:p>
        </w:tc>
        <w:tc>
          <w:tcPr>
            <w:tcW w:w="16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商品和服务支出</w:t>
            </w:r>
            <w:r>
              <w:rPr>
                <w:rFonts w:ascii="宋体" w:hAnsi="宋体" w:cs="Arial"/>
                <w:color w:val="000000"/>
                <w:kern w:val="0"/>
                <w:sz w:val="22"/>
                <w:szCs w:val="22"/>
              </w:rPr>
              <w:t>　</w:t>
            </w:r>
          </w:p>
        </w:tc>
        <w:tc>
          <w:tcPr>
            <w:tcW w:w="1518"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7.29</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30101</w:t>
            </w:r>
          </w:p>
        </w:tc>
        <w:tc>
          <w:tcPr>
            <w:tcW w:w="26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410" w:type="dxa"/>
            <w:tcBorders>
              <w:top w:val="nil"/>
              <w:left w:val="nil"/>
              <w:bottom w:val="single" w:color="auto" w:sz="4" w:space="0"/>
              <w:right w:val="single" w:color="auto" w:sz="4" w:space="0"/>
            </w:tcBorders>
            <w:vAlign w:val="center"/>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47.75</w:t>
            </w:r>
          </w:p>
        </w:tc>
        <w:tc>
          <w:tcPr>
            <w:tcW w:w="1038"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30201</w:t>
            </w:r>
          </w:p>
        </w:tc>
        <w:tc>
          <w:tcPr>
            <w:tcW w:w="160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办公费</w:t>
            </w:r>
            <w:r>
              <w:rPr>
                <w:rFonts w:hint="eastAsia" w:ascii="宋体" w:hAnsi="宋体" w:cs="Arial"/>
                <w:color w:val="000000"/>
                <w:kern w:val="0"/>
                <w:sz w:val="22"/>
                <w:szCs w:val="22"/>
              </w:rPr>
              <w:t>　</w:t>
            </w:r>
          </w:p>
        </w:tc>
        <w:tc>
          <w:tcPr>
            <w:tcW w:w="1518"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30102</w:t>
            </w:r>
          </w:p>
        </w:tc>
        <w:tc>
          <w:tcPr>
            <w:tcW w:w="26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410" w:type="dxa"/>
            <w:tcBorders>
              <w:top w:val="nil"/>
              <w:left w:val="nil"/>
              <w:bottom w:val="single" w:color="auto" w:sz="4" w:space="0"/>
              <w:right w:val="single" w:color="auto" w:sz="4" w:space="0"/>
            </w:tcBorders>
            <w:vAlign w:val="center"/>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8.22</w:t>
            </w:r>
          </w:p>
        </w:tc>
        <w:tc>
          <w:tcPr>
            <w:tcW w:w="1038"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30202</w:t>
            </w:r>
          </w:p>
        </w:tc>
        <w:tc>
          <w:tcPr>
            <w:tcW w:w="160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印刷费</w:t>
            </w:r>
            <w:r>
              <w:rPr>
                <w:rFonts w:hint="eastAsia" w:ascii="宋体" w:hAnsi="宋体" w:cs="Arial"/>
                <w:color w:val="000000"/>
                <w:kern w:val="0"/>
                <w:sz w:val="22"/>
                <w:szCs w:val="22"/>
              </w:rPr>
              <w:t>　</w:t>
            </w:r>
          </w:p>
        </w:tc>
        <w:tc>
          <w:tcPr>
            <w:tcW w:w="15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30103</w:t>
            </w:r>
          </w:p>
        </w:tc>
        <w:tc>
          <w:tcPr>
            <w:tcW w:w="26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 xml:space="preserve">  奖金  </w:t>
            </w:r>
            <w:r>
              <w:rPr>
                <w:rFonts w:ascii="宋体" w:hAnsi="宋体" w:cs="Arial"/>
                <w:color w:val="000000"/>
                <w:kern w:val="0"/>
                <w:sz w:val="22"/>
                <w:szCs w:val="22"/>
              </w:rPr>
              <w:t>　</w:t>
            </w:r>
          </w:p>
        </w:tc>
        <w:tc>
          <w:tcPr>
            <w:tcW w:w="1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38"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30203</w:t>
            </w:r>
          </w:p>
        </w:tc>
        <w:tc>
          <w:tcPr>
            <w:tcW w:w="16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咨询费</w:t>
            </w:r>
            <w:r>
              <w:rPr>
                <w:rFonts w:ascii="宋体" w:hAnsi="宋体" w:cs="Arial"/>
                <w:color w:val="000000"/>
                <w:kern w:val="0"/>
                <w:sz w:val="22"/>
                <w:szCs w:val="22"/>
              </w:rPr>
              <w:t>　</w:t>
            </w:r>
          </w:p>
        </w:tc>
        <w:tc>
          <w:tcPr>
            <w:tcW w:w="15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30106</w:t>
            </w:r>
          </w:p>
        </w:tc>
        <w:tc>
          <w:tcPr>
            <w:tcW w:w="26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伙食补助费</w:t>
            </w:r>
          </w:p>
        </w:tc>
        <w:tc>
          <w:tcPr>
            <w:tcW w:w="1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38"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30204</w:t>
            </w:r>
          </w:p>
        </w:tc>
        <w:tc>
          <w:tcPr>
            <w:tcW w:w="16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手续费</w:t>
            </w:r>
            <w:r>
              <w:rPr>
                <w:rFonts w:ascii="宋体" w:hAnsi="宋体" w:cs="Arial"/>
                <w:color w:val="000000"/>
                <w:kern w:val="0"/>
                <w:sz w:val="22"/>
                <w:szCs w:val="22"/>
              </w:rPr>
              <w:t>　</w:t>
            </w:r>
          </w:p>
        </w:tc>
        <w:tc>
          <w:tcPr>
            <w:tcW w:w="15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30107</w:t>
            </w:r>
          </w:p>
        </w:tc>
        <w:tc>
          <w:tcPr>
            <w:tcW w:w="26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绩效工资</w:t>
            </w:r>
          </w:p>
        </w:tc>
        <w:tc>
          <w:tcPr>
            <w:tcW w:w="1410" w:type="dxa"/>
            <w:tcBorders>
              <w:top w:val="nil"/>
              <w:left w:val="nil"/>
              <w:bottom w:val="single" w:color="auto" w:sz="4" w:space="0"/>
              <w:right w:val="single" w:color="auto" w:sz="4" w:space="0"/>
            </w:tcBorders>
            <w:vAlign w:val="center"/>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28.45</w:t>
            </w:r>
          </w:p>
        </w:tc>
        <w:tc>
          <w:tcPr>
            <w:tcW w:w="1038"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30205</w:t>
            </w:r>
          </w:p>
        </w:tc>
        <w:tc>
          <w:tcPr>
            <w:tcW w:w="160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水费</w:t>
            </w:r>
            <w:r>
              <w:rPr>
                <w:rFonts w:hint="eastAsia" w:ascii="宋体" w:hAnsi="宋体" w:cs="Arial"/>
                <w:color w:val="000000"/>
                <w:kern w:val="0"/>
                <w:sz w:val="22"/>
                <w:szCs w:val="22"/>
              </w:rPr>
              <w:t>　</w:t>
            </w:r>
          </w:p>
        </w:tc>
        <w:tc>
          <w:tcPr>
            <w:tcW w:w="1518"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30108</w:t>
            </w:r>
          </w:p>
        </w:tc>
        <w:tc>
          <w:tcPr>
            <w:tcW w:w="26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1410" w:type="dxa"/>
            <w:tcBorders>
              <w:top w:val="nil"/>
              <w:left w:val="nil"/>
              <w:bottom w:val="single" w:color="auto" w:sz="4" w:space="0"/>
              <w:right w:val="single" w:color="auto" w:sz="4" w:space="0"/>
            </w:tcBorders>
            <w:vAlign w:val="center"/>
          </w:tcPr>
          <w:p>
            <w:pPr>
              <w:widowControl/>
              <w:ind w:firstLine="440" w:firstLineChars="200"/>
              <w:jc w:val="left"/>
              <w:rPr>
                <w:rFonts w:hint="default" w:ascii="宋体" w:hAnsi="宋体" w:eastAsia="宋体" w:cs="Arial"/>
                <w:color w:val="000000"/>
                <w:kern w:val="0"/>
                <w:sz w:val="22"/>
                <w:szCs w:val="22"/>
                <w:lang w:val="en-US" w:eastAsia="zh-CN"/>
              </w:rPr>
            </w:pPr>
          </w:p>
        </w:tc>
        <w:tc>
          <w:tcPr>
            <w:tcW w:w="1038"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30206</w:t>
            </w:r>
          </w:p>
        </w:tc>
        <w:tc>
          <w:tcPr>
            <w:tcW w:w="160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电费</w:t>
            </w:r>
            <w:r>
              <w:rPr>
                <w:rFonts w:hint="eastAsia" w:ascii="宋体" w:hAnsi="宋体" w:cs="Arial"/>
                <w:color w:val="000000"/>
                <w:kern w:val="0"/>
                <w:sz w:val="22"/>
                <w:szCs w:val="22"/>
              </w:rPr>
              <w:t>　</w:t>
            </w:r>
          </w:p>
        </w:tc>
        <w:tc>
          <w:tcPr>
            <w:tcW w:w="1518"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30109</w:t>
            </w:r>
          </w:p>
        </w:tc>
        <w:tc>
          <w:tcPr>
            <w:tcW w:w="26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职业年金缴费</w:t>
            </w:r>
          </w:p>
        </w:tc>
        <w:tc>
          <w:tcPr>
            <w:tcW w:w="1410" w:type="dxa"/>
            <w:tcBorders>
              <w:top w:val="nil"/>
              <w:left w:val="nil"/>
              <w:bottom w:val="single" w:color="auto" w:sz="4" w:space="0"/>
              <w:right w:val="single" w:color="auto" w:sz="4" w:space="0"/>
            </w:tcBorders>
            <w:vAlign w:val="bottom"/>
          </w:tcPr>
          <w:p>
            <w:pPr>
              <w:widowControl/>
              <w:ind w:firstLine="440" w:firstLineChars="200"/>
              <w:jc w:val="left"/>
              <w:rPr>
                <w:rFonts w:hint="default" w:ascii="宋体" w:hAnsi="宋体" w:eastAsia="宋体" w:cs="Arial"/>
                <w:color w:val="000000"/>
                <w:kern w:val="0"/>
                <w:sz w:val="22"/>
                <w:szCs w:val="22"/>
                <w:lang w:val="en-US" w:eastAsia="zh-CN"/>
              </w:rPr>
            </w:pPr>
          </w:p>
        </w:tc>
        <w:tc>
          <w:tcPr>
            <w:tcW w:w="1038"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30207</w:t>
            </w:r>
          </w:p>
        </w:tc>
        <w:tc>
          <w:tcPr>
            <w:tcW w:w="16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邮电费</w:t>
            </w:r>
            <w:r>
              <w:rPr>
                <w:rFonts w:ascii="宋体" w:hAnsi="宋体" w:cs="Arial"/>
                <w:color w:val="000000"/>
                <w:kern w:val="0"/>
                <w:sz w:val="22"/>
                <w:szCs w:val="22"/>
              </w:rPr>
              <w:t>　</w:t>
            </w:r>
          </w:p>
        </w:tc>
        <w:tc>
          <w:tcPr>
            <w:tcW w:w="1518"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30110</w:t>
            </w:r>
          </w:p>
        </w:tc>
        <w:tc>
          <w:tcPr>
            <w:tcW w:w="26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职工基本医疗保险缴费</w:t>
            </w:r>
          </w:p>
        </w:tc>
        <w:tc>
          <w:tcPr>
            <w:tcW w:w="1410" w:type="dxa"/>
            <w:tcBorders>
              <w:top w:val="nil"/>
              <w:left w:val="nil"/>
              <w:bottom w:val="single" w:color="auto" w:sz="4" w:space="0"/>
              <w:right w:val="single" w:color="auto" w:sz="4" w:space="0"/>
            </w:tcBorders>
            <w:vAlign w:val="bottom"/>
          </w:tcPr>
          <w:p>
            <w:pPr>
              <w:widowControl/>
              <w:ind w:firstLine="440" w:firstLineChars="200"/>
              <w:jc w:val="left"/>
              <w:rPr>
                <w:rFonts w:hint="default" w:ascii="宋体" w:hAnsi="宋体" w:eastAsia="宋体" w:cs="Arial"/>
                <w:color w:val="000000"/>
                <w:kern w:val="0"/>
                <w:sz w:val="22"/>
                <w:szCs w:val="22"/>
                <w:lang w:val="en-US" w:eastAsia="zh-CN"/>
              </w:rPr>
            </w:pPr>
          </w:p>
        </w:tc>
        <w:tc>
          <w:tcPr>
            <w:tcW w:w="1038"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30208</w:t>
            </w:r>
          </w:p>
        </w:tc>
        <w:tc>
          <w:tcPr>
            <w:tcW w:w="16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取暖费</w:t>
            </w:r>
            <w:r>
              <w:rPr>
                <w:rFonts w:ascii="宋体" w:hAnsi="宋体" w:cs="Arial"/>
                <w:color w:val="000000"/>
                <w:kern w:val="0"/>
                <w:sz w:val="22"/>
                <w:szCs w:val="22"/>
              </w:rPr>
              <w:t>　</w:t>
            </w:r>
          </w:p>
        </w:tc>
        <w:tc>
          <w:tcPr>
            <w:tcW w:w="151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30111</w:t>
            </w:r>
          </w:p>
        </w:tc>
        <w:tc>
          <w:tcPr>
            <w:tcW w:w="26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公务员医疗补助缴费</w:t>
            </w:r>
          </w:p>
        </w:tc>
        <w:tc>
          <w:tcPr>
            <w:tcW w:w="1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38"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30209</w:t>
            </w:r>
          </w:p>
        </w:tc>
        <w:tc>
          <w:tcPr>
            <w:tcW w:w="16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物业管理费</w:t>
            </w:r>
            <w:r>
              <w:rPr>
                <w:rFonts w:ascii="宋体" w:hAnsi="宋体" w:cs="Arial"/>
                <w:color w:val="000000"/>
                <w:kern w:val="0"/>
                <w:sz w:val="22"/>
                <w:szCs w:val="22"/>
              </w:rPr>
              <w:t>　</w:t>
            </w:r>
          </w:p>
        </w:tc>
        <w:tc>
          <w:tcPr>
            <w:tcW w:w="151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30112</w:t>
            </w:r>
          </w:p>
        </w:tc>
        <w:tc>
          <w:tcPr>
            <w:tcW w:w="26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其他社会保障缴费</w:t>
            </w:r>
          </w:p>
        </w:tc>
        <w:tc>
          <w:tcPr>
            <w:tcW w:w="1410" w:type="dxa"/>
            <w:tcBorders>
              <w:top w:val="nil"/>
              <w:left w:val="nil"/>
              <w:bottom w:val="single" w:color="auto" w:sz="4" w:space="0"/>
              <w:right w:val="single" w:color="auto" w:sz="4" w:space="0"/>
            </w:tcBorders>
            <w:vAlign w:val="bottom"/>
          </w:tcPr>
          <w:p>
            <w:pPr>
              <w:widowControl/>
              <w:ind w:firstLine="440" w:firstLineChars="200"/>
              <w:jc w:val="left"/>
              <w:rPr>
                <w:rFonts w:hint="default" w:ascii="宋体" w:hAnsi="宋体" w:eastAsia="宋体" w:cs="Arial"/>
                <w:color w:val="000000"/>
                <w:kern w:val="0"/>
                <w:sz w:val="22"/>
                <w:szCs w:val="22"/>
                <w:lang w:val="en-US" w:eastAsia="zh-CN"/>
              </w:rPr>
            </w:pPr>
          </w:p>
        </w:tc>
        <w:tc>
          <w:tcPr>
            <w:tcW w:w="1038"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30218</w:t>
            </w:r>
          </w:p>
        </w:tc>
        <w:tc>
          <w:tcPr>
            <w:tcW w:w="1608"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专用材料费</w:t>
            </w:r>
          </w:p>
        </w:tc>
        <w:tc>
          <w:tcPr>
            <w:tcW w:w="1518" w:type="dxa"/>
            <w:tcBorders>
              <w:top w:val="nil"/>
              <w:left w:val="nil"/>
              <w:bottom w:val="single" w:color="auto" w:sz="4" w:space="0"/>
              <w:right w:val="single" w:color="auto" w:sz="4" w:space="0"/>
            </w:tcBorders>
            <w:vAlign w:val="bottom"/>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7.29</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30113</w:t>
            </w:r>
          </w:p>
        </w:tc>
        <w:tc>
          <w:tcPr>
            <w:tcW w:w="26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住房公积金</w:t>
            </w:r>
          </w:p>
        </w:tc>
        <w:tc>
          <w:tcPr>
            <w:tcW w:w="141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w:t>
            </w:r>
          </w:p>
        </w:tc>
        <w:tc>
          <w:tcPr>
            <w:tcW w:w="1038"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30227</w:t>
            </w:r>
          </w:p>
        </w:tc>
        <w:tc>
          <w:tcPr>
            <w:tcW w:w="1608"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业务委托费</w:t>
            </w:r>
          </w:p>
        </w:tc>
        <w:tc>
          <w:tcPr>
            <w:tcW w:w="1518"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30114</w:t>
            </w:r>
          </w:p>
        </w:tc>
        <w:tc>
          <w:tcPr>
            <w:tcW w:w="26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医疗费</w:t>
            </w:r>
          </w:p>
        </w:tc>
        <w:tc>
          <w:tcPr>
            <w:tcW w:w="1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38"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30299</w:t>
            </w:r>
          </w:p>
        </w:tc>
        <w:tc>
          <w:tcPr>
            <w:tcW w:w="1608"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其他商品和服务</w:t>
            </w:r>
          </w:p>
        </w:tc>
        <w:tc>
          <w:tcPr>
            <w:tcW w:w="151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30199</w:t>
            </w:r>
          </w:p>
        </w:tc>
        <w:tc>
          <w:tcPr>
            <w:tcW w:w="26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其他工资福利支出</w:t>
            </w:r>
          </w:p>
        </w:tc>
        <w:tc>
          <w:tcPr>
            <w:tcW w:w="1410" w:type="dxa"/>
            <w:tcBorders>
              <w:top w:val="nil"/>
              <w:left w:val="nil"/>
              <w:bottom w:val="single" w:color="auto" w:sz="4" w:space="0"/>
              <w:right w:val="single" w:color="auto" w:sz="4" w:space="0"/>
            </w:tcBorders>
            <w:vAlign w:val="bottom"/>
          </w:tcPr>
          <w:p>
            <w:pPr>
              <w:widowControl/>
              <w:ind w:firstLine="440" w:firstLineChars="200"/>
              <w:jc w:val="left"/>
              <w:rPr>
                <w:rFonts w:hint="default" w:ascii="宋体" w:hAnsi="宋体" w:eastAsia="宋体" w:cs="Arial"/>
                <w:color w:val="000000"/>
                <w:kern w:val="0"/>
                <w:sz w:val="22"/>
                <w:szCs w:val="22"/>
                <w:lang w:val="en-US" w:eastAsia="zh-CN"/>
              </w:rPr>
            </w:pPr>
          </w:p>
        </w:tc>
        <w:tc>
          <w:tcPr>
            <w:tcW w:w="1038"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bidi="ar-SA"/>
              </w:rPr>
            </w:pPr>
          </w:p>
        </w:tc>
        <w:tc>
          <w:tcPr>
            <w:tcW w:w="1608"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bidi="ar-SA"/>
              </w:rPr>
            </w:pPr>
          </w:p>
        </w:tc>
        <w:tc>
          <w:tcPr>
            <w:tcW w:w="15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303</w:t>
            </w:r>
          </w:p>
        </w:tc>
        <w:tc>
          <w:tcPr>
            <w:tcW w:w="26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对个人和家庭的补助</w:t>
            </w:r>
          </w:p>
        </w:tc>
        <w:tc>
          <w:tcPr>
            <w:tcW w:w="1410" w:type="dxa"/>
            <w:tcBorders>
              <w:top w:val="nil"/>
              <w:left w:val="nil"/>
              <w:bottom w:val="single" w:color="auto" w:sz="4" w:space="0"/>
              <w:right w:val="single" w:color="auto" w:sz="4" w:space="0"/>
            </w:tcBorders>
            <w:vAlign w:val="bottom"/>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4.04</w:t>
            </w:r>
          </w:p>
        </w:tc>
        <w:tc>
          <w:tcPr>
            <w:tcW w:w="1038"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p>
        </w:tc>
        <w:tc>
          <w:tcPr>
            <w:tcW w:w="1608"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p>
        </w:tc>
        <w:tc>
          <w:tcPr>
            <w:tcW w:w="1518" w:type="dxa"/>
            <w:tcBorders>
              <w:top w:val="nil"/>
              <w:left w:val="nil"/>
              <w:bottom w:val="single" w:color="auto" w:sz="4" w:space="0"/>
              <w:right w:val="single" w:color="auto" w:sz="4" w:space="0"/>
            </w:tcBorders>
            <w:vAlign w:val="bottom"/>
          </w:tcPr>
          <w:p>
            <w:pPr>
              <w:widowControl/>
              <w:ind w:firstLine="440" w:firstLineChars="200"/>
              <w:jc w:val="left"/>
              <w:rPr>
                <w:rFonts w:hint="default" w:ascii="宋体" w:hAnsi="宋体" w:cs="Arial"/>
                <w:color w:val="000000"/>
                <w:kern w:val="0"/>
                <w:sz w:val="22"/>
                <w:szCs w:val="22"/>
                <w:lang w:val="en-US"/>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6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038"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307</w:t>
            </w:r>
          </w:p>
        </w:tc>
        <w:tc>
          <w:tcPr>
            <w:tcW w:w="16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债务利息支出</w:t>
            </w:r>
            <w:r>
              <w:rPr>
                <w:rFonts w:ascii="宋体" w:hAnsi="宋体" w:cs="Arial"/>
                <w:color w:val="000000"/>
                <w:kern w:val="0"/>
                <w:sz w:val="22"/>
                <w:szCs w:val="22"/>
              </w:rPr>
              <w:t>　</w:t>
            </w:r>
          </w:p>
        </w:tc>
        <w:tc>
          <w:tcPr>
            <w:tcW w:w="15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6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038"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310</w:t>
            </w:r>
          </w:p>
        </w:tc>
        <w:tc>
          <w:tcPr>
            <w:tcW w:w="16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资本性支出</w:t>
            </w:r>
          </w:p>
        </w:tc>
        <w:tc>
          <w:tcPr>
            <w:tcW w:w="15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6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038"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399</w:t>
            </w:r>
          </w:p>
        </w:tc>
        <w:tc>
          <w:tcPr>
            <w:tcW w:w="16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其他支出</w:t>
            </w:r>
            <w:r>
              <w:rPr>
                <w:rFonts w:ascii="宋体" w:hAnsi="宋体" w:cs="Arial"/>
                <w:color w:val="000000"/>
                <w:kern w:val="0"/>
                <w:sz w:val="22"/>
                <w:szCs w:val="22"/>
              </w:rPr>
              <w:t>　</w:t>
            </w:r>
          </w:p>
        </w:tc>
        <w:tc>
          <w:tcPr>
            <w:tcW w:w="15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trPr>
        <w:tc>
          <w:tcPr>
            <w:tcW w:w="3577"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人员经费合计</w:t>
            </w:r>
          </w:p>
        </w:tc>
        <w:tc>
          <w:tcPr>
            <w:tcW w:w="1410" w:type="dxa"/>
            <w:tcBorders>
              <w:top w:val="nil"/>
              <w:left w:val="nil"/>
              <w:bottom w:val="single" w:color="auto" w:sz="4" w:space="0"/>
              <w:right w:val="single" w:color="auto" w:sz="4" w:space="0"/>
            </w:tcBorders>
            <w:vAlign w:val="bottom"/>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88.46</w:t>
            </w:r>
          </w:p>
        </w:tc>
        <w:tc>
          <w:tcPr>
            <w:tcW w:w="2646"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公用经费合计</w:t>
            </w:r>
          </w:p>
        </w:tc>
        <w:tc>
          <w:tcPr>
            <w:tcW w:w="1518"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7.29</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lang w:eastAsia="zh-CN"/>
        </w:rPr>
        <w:t>注：本表反映部门本年度一般公共预算财政拨款基本支出明细情况。</w:t>
      </w:r>
    </w:p>
    <w:p>
      <w:pPr>
        <w:jc w:val="both"/>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rPr>
          <w:rFonts w:hint="eastAsia"/>
        </w:rPr>
      </w:pPr>
    </w:p>
    <w:p>
      <w:pPr>
        <w:jc w:val="center"/>
        <w:rPr>
          <w:rFonts w:hint="eastAsia"/>
        </w:rPr>
      </w:pPr>
      <w:r>
        <w:rPr>
          <w:rFonts w:hint="eastAsia"/>
          <w:lang w:val="en-US" w:eastAsia="zh-CN"/>
        </w:rPr>
        <w:t xml:space="preserve">                                                                                                         </w:t>
      </w:r>
      <w:r>
        <w:rPr>
          <w:rFonts w:hint="eastAsia"/>
        </w:rPr>
        <w:t>单位：万元</w:t>
      </w:r>
    </w:p>
    <w:tbl>
      <w:tblPr>
        <w:tblStyle w:val="6"/>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2020</w:t>
            </w:r>
            <w:r>
              <w:rPr>
                <w:rFonts w:hint="eastAsia" w:ascii="宋体" w:hAnsi="宋体" w:cs="Arial"/>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2020</w:t>
            </w:r>
            <w:r>
              <w:rPr>
                <w:rFonts w:hint="eastAsia" w:ascii="宋体" w:hAnsi="宋体" w:cs="Arial"/>
                <w:kern w:val="0"/>
                <w:sz w:val="22"/>
                <w:szCs w:val="22"/>
              </w:rPr>
              <w:t>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vAlign w:val="top"/>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vAlign w:val="top"/>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vAlign w:val="top"/>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vAlign w:val="top"/>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r>
    </w:tbl>
    <w:p>
      <w:pPr>
        <w:rPr>
          <w:rFonts w:hint="eastAsia"/>
          <w:lang w:eastAsia="zh-CN"/>
        </w:rPr>
      </w:pPr>
      <w:r>
        <w:rPr>
          <w:rFonts w:hint="eastAsia"/>
          <w:lang w:eastAsia="zh-CN"/>
        </w:rPr>
        <w:t>注：本表反映部门本年度“三公”经费支出预决算情况。其中，</w:t>
      </w:r>
      <w:r>
        <w:rPr>
          <w:rFonts w:hint="eastAsia"/>
          <w:lang w:val="en-US" w:eastAsia="zh-CN"/>
        </w:rPr>
        <w:t>2020年度预算数为“三公”经费年初预算数，决算数是包括当年一般公共预算财政拨款和以前年度结转资金安排的实际支出。</w:t>
      </w:r>
    </w:p>
    <w:p>
      <w:pPr>
        <w:rPr>
          <w:rFonts w:hint="eastAsia"/>
          <w:lang w:eastAsia="zh-CN"/>
        </w:rPr>
      </w:pPr>
      <w:r>
        <w:rPr>
          <w:rFonts w:hint="eastAsia" w:ascii="仿宋_GB2312" w:hAnsi="黑体" w:eastAsia="仿宋_GB2312"/>
          <w:b/>
          <w:sz w:val="32"/>
          <w:szCs w:val="32"/>
        </w:rPr>
        <w:t>柳州市鱼峰区洛埠镇卫生院没有“三公”经费收入，也没有“三公”经费安排的支出，故本表无数据”。</w:t>
      </w:r>
    </w:p>
    <w:p>
      <w:pPr>
        <w:rPr>
          <w:rFonts w:hint="eastAsia"/>
          <w:lang w:eastAsia="zh-CN"/>
        </w:rPr>
      </w:pPr>
    </w:p>
    <w:p>
      <w:pPr>
        <w:rPr>
          <w:rFonts w:hint="eastAsia"/>
          <w:lang w:eastAsia="zh-CN"/>
        </w:rPr>
      </w:pPr>
    </w:p>
    <w:p>
      <w:pPr>
        <w:rPr>
          <w:rFonts w:hint="eastAsia"/>
        </w:rPr>
      </w:pPr>
    </w:p>
    <w:p>
      <w:pPr>
        <w:rPr>
          <w:rFonts w:hint="eastAsia"/>
        </w:rPr>
      </w:pPr>
    </w:p>
    <w:tbl>
      <w:tblPr>
        <w:tblStyle w:val="6"/>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支出功能分类</w:t>
            </w: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lang w:eastAsia="zh-CN"/>
        </w:rPr>
      </w:pPr>
      <w:r>
        <w:rPr>
          <w:rFonts w:hint="eastAsia"/>
          <w:lang w:eastAsia="zh-CN"/>
        </w:rPr>
        <w:t>注：本表反映部门本年度政府性基金预算财政拨款收入支出及结转和结余情况。</w:t>
      </w:r>
    </w:p>
    <w:p>
      <w:pPr>
        <w:spacing w:line="560" w:lineRule="exact"/>
        <w:rPr>
          <w:rFonts w:hint="eastAsia"/>
          <w:lang w:eastAsia="zh-CN"/>
        </w:rPr>
      </w:pPr>
    </w:p>
    <w:p>
      <w:pPr>
        <w:rPr>
          <w:rFonts w:hint="eastAsia" w:ascii="仿宋_GB2312" w:hAnsi="黑体" w:eastAsia="仿宋_GB2312"/>
          <w:b/>
          <w:sz w:val="32"/>
          <w:szCs w:val="32"/>
        </w:rPr>
      </w:pPr>
      <w:r>
        <w:rPr>
          <w:rFonts w:hint="eastAsia" w:ascii="仿宋_GB2312" w:hAnsi="黑体" w:eastAsia="仿宋_GB2312"/>
          <w:b/>
          <w:sz w:val="32"/>
          <w:szCs w:val="32"/>
        </w:rPr>
        <w:t>柳州市鱼峰区洛埠镇卫生院没有</w:t>
      </w:r>
      <w:r>
        <w:rPr>
          <w:rFonts w:hint="eastAsia" w:ascii="仿宋_GB2312" w:hAnsi="宋体" w:eastAsia="仿宋_GB2312" w:cs="宋体"/>
          <w:b/>
          <w:kern w:val="0"/>
          <w:sz w:val="32"/>
          <w:szCs w:val="32"/>
        </w:rPr>
        <w:t>政府性基金</w:t>
      </w:r>
      <w:r>
        <w:rPr>
          <w:rFonts w:hint="eastAsia" w:ascii="仿宋_GB2312" w:hAnsi="黑体" w:eastAsia="仿宋_GB2312"/>
          <w:b/>
          <w:sz w:val="32"/>
          <w:szCs w:val="32"/>
        </w:rPr>
        <w:t>收入，也没有政府性基金经费安排的支出，故本表无数据”。</w:t>
      </w:r>
    </w:p>
    <w:p>
      <w:pPr>
        <w:rPr>
          <w:rFonts w:hint="eastAsia" w:ascii="仿宋_GB2312" w:hAnsi="黑体" w:eastAsia="仿宋_GB2312"/>
          <w:b/>
          <w:sz w:val="32"/>
          <w:szCs w:val="32"/>
          <w:lang w:eastAsia="zh-CN"/>
        </w:rPr>
      </w:pPr>
    </w:p>
    <w:tbl>
      <w:tblPr>
        <w:tblStyle w:val="6"/>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31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1292"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2249"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3242"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134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9"/>
                <w:highlight w:val="none"/>
                <w:lang w:val="en-US" w:eastAsia="zh-CN" w:bidi="ar"/>
              </w:rPr>
              <w:t xml:space="preserve">   </w:t>
            </w:r>
            <w:r>
              <w:rPr>
                <w:rStyle w:val="10"/>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注：本表反映部门本年度国有资本经营预算财政拨款支出情况。</w:t>
            </w:r>
          </w:p>
        </w:tc>
      </w:tr>
    </w:tbl>
    <w:p>
      <w:pPr>
        <w:spacing w:line="560" w:lineRule="exact"/>
        <w:rPr>
          <w:rFonts w:hint="eastAsia"/>
          <w:lang w:eastAsia="zh-CN"/>
        </w:r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黑体" w:eastAsia="仿宋_GB2312"/>
          <w:b/>
          <w:sz w:val="32"/>
          <w:szCs w:val="32"/>
        </w:rPr>
        <w:t>柳州市鱼峰区洛埠镇卫生院没有</w:t>
      </w:r>
      <w:r>
        <w:rPr>
          <w:rFonts w:hint="eastAsia" w:ascii="仿宋_GB2312" w:hAnsi="宋体" w:eastAsia="仿宋_GB2312" w:cs="宋体"/>
          <w:b/>
          <w:kern w:val="0"/>
          <w:sz w:val="32"/>
          <w:szCs w:val="32"/>
          <w:lang w:eastAsia="zh-CN"/>
        </w:rPr>
        <w:t>国有资本经营预算财政拨款</w:t>
      </w:r>
      <w:r>
        <w:rPr>
          <w:rFonts w:hint="eastAsia" w:ascii="仿宋_GB2312" w:hAnsi="黑体" w:eastAsia="仿宋_GB2312"/>
          <w:b/>
          <w:sz w:val="32"/>
          <w:szCs w:val="32"/>
        </w:rPr>
        <w:t>收入，也没有</w:t>
      </w:r>
      <w:r>
        <w:rPr>
          <w:rFonts w:hint="eastAsia" w:ascii="仿宋_GB2312" w:hAnsi="宋体" w:eastAsia="仿宋_GB2312" w:cs="宋体"/>
          <w:b/>
          <w:kern w:val="0"/>
          <w:sz w:val="32"/>
          <w:szCs w:val="32"/>
          <w:lang w:eastAsia="zh-CN"/>
        </w:rPr>
        <w:t>国有资本经营</w:t>
      </w:r>
      <w:r>
        <w:rPr>
          <w:rFonts w:hint="eastAsia" w:ascii="仿宋_GB2312" w:hAnsi="黑体" w:eastAsia="仿宋_GB2312"/>
          <w:b/>
          <w:sz w:val="32"/>
          <w:szCs w:val="32"/>
        </w:rPr>
        <w:t>经费安排的支出，故本表无数据”</w:t>
      </w:r>
    </w:p>
    <w:p>
      <w:pPr>
        <w:spacing w:line="560" w:lineRule="exact"/>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洛埠镇卫生院</w:t>
      </w:r>
      <w:r>
        <w:rPr>
          <w:rFonts w:hint="eastAsia" w:ascii="仿宋_GB2312" w:eastAsia="仿宋_GB2312"/>
          <w:b/>
          <w:sz w:val="32"/>
          <w:szCs w:val="32"/>
          <w:lang w:eastAsia="zh-CN"/>
        </w:rPr>
        <w:t>2020</w:t>
      </w:r>
      <w:r>
        <w:rPr>
          <w:rFonts w:hint="eastAsia" w:ascii="仿宋_GB2312" w:eastAsia="仿宋_GB2312"/>
          <w:b/>
          <w:sz w:val="32"/>
          <w:szCs w:val="32"/>
        </w:rPr>
        <w:t>年度部门决算情况说明</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lang w:eastAsia="zh-CN"/>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hint="eastAsia" w:ascii="仿宋_GB2312" w:eastAsia="仿宋_GB2312" w:cs="仿宋_GB2312"/>
          <w:b w:val="0"/>
          <w:bCs/>
          <w:kern w:val="0"/>
          <w:sz w:val="32"/>
          <w:szCs w:val="32"/>
          <w:lang w:eastAsia="zh-CN"/>
        </w:rPr>
      </w:pPr>
      <w:r>
        <w:rPr>
          <w:rFonts w:hint="eastAsia" w:ascii="仿宋_GB2312" w:eastAsia="仿宋_GB2312" w:cs="仿宋_GB2312"/>
          <w:b/>
          <w:color w:val="000000" w:themeColor="text1"/>
          <w:kern w:val="0"/>
          <w:sz w:val="32"/>
          <w:szCs w:val="32"/>
          <w14:textFill>
            <w14:solidFill>
              <w14:schemeClr w14:val="tx1"/>
            </w14:solidFill>
          </w14:textFill>
        </w:rPr>
        <w:t xml:space="preserve"> </w:t>
      </w:r>
      <w:r>
        <w:rPr>
          <w:rFonts w:hint="eastAsia" w:ascii="仿宋_GB2312" w:eastAsia="仿宋_GB2312" w:cs="仿宋_GB2312"/>
          <w:b w:val="0"/>
          <w:bCs/>
          <w:color w:val="000000" w:themeColor="text1"/>
          <w:kern w:val="0"/>
          <w:sz w:val="32"/>
          <w:szCs w:val="32"/>
          <w:lang w:eastAsia="zh-CN"/>
          <w14:textFill>
            <w14:solidFill>
              <w14:schemeClr w14:val="tx1"/>
            </w14:solidFill>
          </w14:textFill>
        </w:rPr>
        <w:t>2020</w:t>
      </w:r>
      <w:r>
        <w:rPr>
          <w:rFonts w:hint="eastAsia" w:ascii="仿宋_GB2312" w:eastAsia="仿宋_GB2312" w:cs="仿宋_GB2312"/>
          <w:b w:val="0"/>
          <w:bCs/>
          <w:color w:val="000000" w:themeColor="text1"/>
          <w:kern w:val="0"/>
          <w:sz w:val="32"/>
          <w:szCs w:val="32"/>
          <w14:textFill>
            <w14:solidFill>
              <w14:schemeClr w14:val="tx1"/>
            </w14:solidFill>
          </w14:textFill>
        </w:rPr>
        <w:t>年度收入总计</w:t>
      </w:r>
      <w:r>
        <w:rPr>
          <w:rFonts w:hint="eastAsia" w:ascii="仿宋_GB2312" w:eastAsia="仿宋_GB2312" w:cs="仿宋_GB2312"/>
          <w:b w:val="0"/>
          <w:bCs/>
          <w:color w:val="000000" w:themeColor="text1"/>
          <w:kern w:val="0"/>
          <w:sz w:val="32"/>
          <w:szCs w:val="32"/>
          <w:lang w:val="en-US" w:eastAsia="zh-CN"/>
          <w14:textFill>
            <w14:solidFill>
              <w14:schemeClr w14:val="tx1"/>
            </w14:solidFill>
          </w14:textFill>
        </w:rPr>
        <w:t>477.6</w:t>
      </w:r>
      <w:r>
        <w:rPr>
          <w:rFonts w:hint="eastAsia" w:ascii="仿宋_GB2312" w:eastAsia="仿宋_GB2312" w:cs="仿宋_GB2312"/>
          <w:b w:val="0"/>
          <w:bCs/>
          <w:color w:val="000000" w:themeColor="text1"/>
          <w:kern w:val="0"/>
          <w:sz w:val="32"/>
          <w:szCs w:val="32"/>
          <w14:textFill>
            <w14:solidFill>
              <w14:schemeClr w14:val="tx1"/>
            </w14:solidFill>
          </w14:textFill>
        </w:rPr>
        <w:t>万元，支出总计</w:t>
      </w:r>
      <w:r>
        <w:rPr>
          <w:rFonts w:hint="eastAsia" w:ascii="仿宋_GB2312" w:eastAsia="仿宋_GB2312" w:cs="仿宋_GB2312"/>
          <w:b w:val="0"/>
          <w:bCs/>
          <w:color w:val="000000" w:themeColor="text1"/>
          <w:kern w:val="0"/>
          <w:sz w:val="32"/>
          <w:szCs w:val="32"/>
          <w:lang w:val="en-US" w:eastAsia="zh-CN"/>
          <w14:textFill>
            <w14:solidFill>
              <w14:schemeClr w14:val="tx1"/>
            </w14:solidFill>
          </w14:textFill>
        </w:rPr>
        <w:t>379.36</w:t>
      </w:r>
      <w:r>
        <w:rPr>
          <w:rFonts w:hint="eastAsia" w:ascii="仿宋_GB2312" w:eastAsia="仿宋_GB2312" w:cs="仿宋_GB2312"/>
          <w:b w:val="0"/>
          <w:bCs/>
          <w:color w:val="000000" w:themeColor="text1"/>
          <w:kern w:val="0"/>
          <w:sz w:val="32"/>
          <w:szCs w:val="32"/>
          <w14:textFill>
            <w14:solidFill>
              <w14:schemeClr w14:val="tx1"/>
            </w14:solidFill>
          </w14:textFill>
        </w:rPr>
        <w:t>万元，</w:t>
      </w:r>
      <w:r>
        <w:rPr>
          <w:rFonts w:hint="eastAsia" w:ascii="仿宋_GB2312" w:eastAsia="仿宋_GB2312" w:cs="仿宋_GB2312"/>
          <w:b w:val="0"/>
          <w:bCs/>
          <w:kern w:val="0"/>
          <w:sz w:val="32"/>
          <w:szCs w:val="32"/>
        </w:rPr>
        <w:t>与</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年相比，收</w:t>
      </w:r>
      <w:r>
        <w:rPr>
          <w:rFonts w:hint="eastAsia" w:ascii="仿宋_GB2312" w:eastAsia="仿宋_GB2312" w:cs="仿宋_GB2312"/>
          <w:b w:val="0"/>
          <w:bCs/>
          <w:kern w:val="0"/>
          <w:sz w:val="32"/>
          <w:szCs w:val="32"/>
          <w:lang w:eastAsia="zh-CN"/>
        </w:rPr>
        <w:t>入</w:t>
      </w:r>
      <w:r>
        <w:rPr>
          <w:rFonts w:hint="eastAsia" w:ascii="仿宋_GB2312" w:eastAsia="仿宋_GB2312" w:cs="仿宋_GB2312"/>
          <w:b w:val="0"/>
          <w:bCs/>
          <w:kern w:val="0"/>
          <w:sz w:val="32"/>
          <w:szCs w:val="32"/>
        </w:rPr>
        <w:t>增加</w:t>
      </w:r>
      <w:r>
        <w:rPr>
          <w:rFonts w:hint="eastAsia" w:ascii="仿宋_GB2312" w:eastAsia="仿宋_GB2312" w:cs="仿宋_GB2312"/>
          <w:b w:val="0"/>
          <w:bCs/>
          <w:kern w:val="0"/>
          <w:sz w:val="32"/>
          <w:szCs w:val="32"/>
          <w:lang w:val="en-US" w:eastAsia="zh-CN"/>
        </w:rPr>
        <w:t>61.45万元、增长14.8%；支出增加26.25万元</w:t>
      </w:r>
      <w:r>
        <w:rPr>
          <w:rFonts w:hint="eastAsia" w:ascii="仿宋_GB2312" w:eastAsia="仿宋_GB2312" w:cs="仿宋_GB2312"/>
          <w:b w:val="0"/>
          <w:bCs/>
          <w:kern w:val="0"/>
          <w:sz w:val="32"/>
          <w:szCs w:val="32"/>
          <w:lang w:eastAsia="zh-CN"/>
        </w:rPr>
        <w:t>、</w:t>
      </w:r>
      <w:r>
        <w:rPr>
          <w:rFonts w:hint="eastAsia" w:ascii="仿宋_GB2312" w:eastAsia="仿宋_GB2312" w:cs="仿宋_GB2312"/>
          <w:b w:val="0"/>
          <w:bCs/>
          <w:kern w:val="0"/>
          <w:sz w:val="32"/>
          <w:szCs w:val="32"/>
        </w:rPr>
        <w:t>增长</w:t>
      </w:r>
      <w:r>
        <w:rPr>
          <w:rFonts w:hint="eastAsia" w:ascii="仿宋_GB2312" w:eastAsia="仿宋_GB2312" w:cs="仿宋_GB2312"/>
          <w:b w:val="0"/>
          <w:bCs/>
          <w:kern w:val="0"/>
          <w:sz w:val="32"/>
          <w:szCs w:val="32"/>
          <w:lang w:val="en-US" w:eastAsia="zh-CN"/>
        </w:rPr>
        <w:t>7.4</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二、</w:t>
      </w:r>
      <w:r>
        <w:rPr>
          <w:rFonts w:hint="eastAsia" w:eastAsia="仿宋_GB2312"/>
          <w:b/>
          <w:kern w:val="0"/>
          <w:sz w:val="32"/>
          <w:szCs w:val="32"/>
          <w:lang w:eastAsia="zh-CN"/>
        </w:rPr>
        <w:t>2020</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b w:val="0"/>
          <w:bCs/>
          <w:kern w:val="0"/>
          <w:sz w:val="32"/>
          <w:szCs w:val="32"/>
        </w:rPr>
        <w:t>本年收入总计</w:t>
      </w:r>
      <w:r>
        <w:rPr>
          <w:rFonts w:hint="eastAsia" w:ascii="仿宋_GB2312" w:eastAsia="仿宋_GB2312" w:cs="仿宋_GB2312"/>
          <w:b w:val="0"/>
          <w:bCs/>
          <w:kern w:val="0"/>
          <w:sz w:val="32"/>
          <w:szCs w:val="32"/>
          <w:lang w:val="en-US" w:eastAsia="zh-CN"/>
        </w:rPr>
        <w:t>477.6</w:t>
      </w:r>
      <w:r>
        <w:rPr>
          <w:rFonts w:hint="eastAsia" w:ascii="仿宋_GB2312" w:eastAsia="仿宋_GB2312" w:cs="仿宋_GB2312"/>
          <w:b w:val="0"/>
          <w:bCs/>
          <w:kern w:val="0"/>
          <w:sz w:val="32"/>
          <w:szCs w:val="32"/>
        </w:rPr>
        <w:t>万元 ，其中：</w:t>
      </w:r>
      <w:r>
        <w:rPr>
          <w:rFonts w:hint="eastAsia" w:ascii="仿宋_GB2312" w:eastAsia="仿宋_GB2312" w:cs="仿宋_GB2312"/>
          <w:b w:val="0"/>
          <w:bCs/>
          <w:kern w:val="0"/>
          <w:sz w:val="32"/>
          <w:szCs w:val="32"/>
          <w:lang w:eastAsia="zh-CN"/>
        </w:rPr>
        <w:t>一般公共预算财政拨款</w:t>
      </w:r>
      <w:r>
        <w:rPr>
          <w:rFonts w:hint="eastAsia" w:ascii="仿宋_GB2312" w:eastAsia="仿宋_GB2312" w:cs="仿宋_GB2312"/>
          <w:b w:val="0"/>
          <w:bCs/>
          <w:kern w:val="0"/>
          <w:sz w:val="32"/>
          <w:szCs w:val="32"/>
        </w:rPr>
        <w:t>收入</w:t>
      </w:r>
      <w:r>
        <w:rPr>
          <w:rFonts w:hint="eastAsia" w:ascii="仿宋_GB2312" w:eastAsia="仿宋_GB2312" w:cs="仿宋_GB2312"/>
          <w:b w:val="0"/>
          <w:bCs/>
          <w:kern w:val="0"/>
          <w:sz w:val="32"/>
          <w:szCs w:val="32"/>
          <w:lang w:val="en-US" w:eastAsia="zh-CN"/>
        </w:rPr>
        <w:t>200.73</w:t>
      </w:r>
      <w:r>
        <w:rPr>
          <w:rFonts w:hint="eastAsia" w:ascii="仿宋_GB2312" w:eastAsia="仿宋_GB2312" w:cs="仿宋_GB2312"/>
          <w:b w:val="0"/>
          <w:bCs/>
          <w:kern w:val="0"/>
          <w:sz w:val="32"/>
          <w:szCs w:val="32"/>
        </w:rPr>
        <w:t>万元</w:t>
      </w:r>
      <w:r>
        <w:rPr>
          <w:rFonts w:hint="eastAsia" w:ascii="仿宋_GB2312" w:eastAsia="仿宋_GB2312" w:cs="仿宋_GB2312"/>
          <w:b w:val="0"/>
          <w:bCs/>
          <w:kern w:val="0"/>
          <w:sz w:val="32"/>
          <w:szCs w:val="32"/>
          <w:lang w:eastAsia="zh-CN"/>
        </w:rPr>
        <w:t>，</w:t>
      </w:r>
      <w:r>
        <w:rPr>
          <w:rFonts w:hint="eastAsia" w:ascii="仿宋_GB2312" w:eastAsia="仿宋_GB2312" w:cs="仿宋_GB2312"/>
          <w:b w:val="0"/>
          <w:bCs/>
          <w:kern w:val="0"/>
          <w:sz w:val="32"/>
          <w:szCs w:val="32"/>
        </w:rPr>
        <w:t>占比</w:t>
      </w:r>
      <w:r>
        <w:rPr>
          <w:rFonts w:hint="eastAsia" w:ascii="仿宋_GB2312" w:eastAsia="仿宋_GB2312" w:cs="仿宋_GB2312"/>
          <w:b w:val="0"/>
          <w:bCs/>
          <w:kern w:val="0"/>
          <w:sz w:val="32"/>
          <w:szCs w:val="32"/>
          <w:lang w:val="en-US" w:eastAsia="zh-CN"/>
        </w:rPr>
        <w:t>42%</w:t>
      </w:r>
      <w:r>
        <w:rPr>
          <w:rFonts w:hint="eastAsia" w:ascii="仿宋_GB2312" w:eastAsia="仿宋_GB2312" w:cs="仿宋_GB2312"/>
          <w:b w:val="0"/>
          <w:bCs/>
          <w:kern w:val="0"/>
          <w:sz w:val="32"/>
          <w:szCs w:val="32"/>
        </w:rPr>
        <w:t> ；</w:t>
      </w:r>
      <w:r>
        <w:rPr>
          <w:rFonts w:hint="eastAsia" w:ascii="仿宋_GB2312" w:eastAsia="仿宋_GB2312" w:cs="仿宋_GB2312"/>
          <w:b w:val="0"/>
          <w:bCs/>
          <w:kern w:val="0"/>
          <w:sz w:val="32"/>
          <w:szCs w:val="32"/>
          <w:lang w:eastAsia="zh-CN"/>
        </w:rPr>
        <w:t>政府基金预算财政拨款收入</w:t>
      </w:r>
      <w:r>
        <w:rPr>
          <w:rFonts w:hint="eastAsia" w:ascii="仿宋_GB2312" w:eastAsia="仿宋_GB2312" w:cs="仿宋_GB2312"/>
          <w:b w:val="0"/>
          <w:bCs/>
          <w:kern w:val="0"/>
          <w:sz w:val="32"/>
          <w:szCs w:val="32"/>
          <w:lang w:val="en-US" w:eastAsia="zh-CN"/>
        </w:rPr>
        <w:t>0万元，占比0%；</w:t>
      </w:r>
      <w:r>
        <w:rPr>
          <w:rFonts w:hint="eastAsia" w:ascii="仿宋_GB2312" w:eastAsia="仿宋_GB2312" w:cs="仿宋_GB2312"/>
          <w:b w:val="0"/>
          <w:bCs/>
          <w:kern w:val="0"/>
          <w:sz w:val="32"/>
          <w:szCs w:val="32"/>
        </w:rPr>
        <w:t>上级补助收入</w:t>
      </w:r>
      <w:r>
        <w:rPr>
          <w:rFonts w:hint="eastAsia" w:ascii="仿宋_GB2312" w:eastAsia="仿宋_GB2312" w:cs="仿宋_GB2312"/>
          <w:b w:val="0"/>
          <w:bCs/>
          <w:kern w:val="0"/>
          <w:sz w:val="32"/>
          <w:szCs w:val="32"/>
          <w:lang w:val="en-US" w:eastAsia="zh-CN"/>
        </w:rPr>
        <w:t>28.19</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5.9%</w:t>
      </w:r>
      <w:r>
        <w:rPr>
          <w:rFonts w:hint="eastAsia" w:ascii="仿宋_GB2312" w:eastAsia="仿宋_GB2312" w:cs="仿宋_GB2312"/>
          <w:b w:val="0"/>
          <w:bCs/>
          <w:kern w:val="0"/>
          <w:sz w:val="32"/>
          <w:szCs w:val="32"/>
        </w:rPr>
        <w:t xml:space="preserve"> ；事业收入</w:t>
      </w:r>
      <w:r>
        <w:rPr>
          <w:rFonts w:hint="eastAsia" w:ascii="仿宋_GB2312" w:eastAsia="仿宋_GB2312" w:cs="仿宋_GB2312"/>
          <w:b w:val="0"/>
          <w:bCs/>
          <w:kern w:val="0"/>
          <w:sz w:val="32"/>
          <w:szCs w:val="32"/>
          <w:lang w:val="en-US" w:eastAsia="zh-CN"/>
        </w:rPr>
        <w:t>243.03</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50.9%</w:t>
      </w:r>
      <w:r>
        <w:rPr>
          <w:rFonts w:hint="eastAsia" w:ascii="仿宋_GB2312" w:eastAsia="仿宋_GB2312" w:cs="仿宋_GB2312"/>
          <w:b w:val="0"/>
          <w:bCs/>
          <w:kern w:val="0"/>
          <w:sz w:val="32"/>
          <w:szCs w:val="32"/>
        </w:rPr>
        <w:t xml:space="preserve"> ；事业单位经营收入</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；其他收入</w:t>
      </w:r>
      <w:r>
        <w:rPr>
          <w:rFonts w:hint="eastAsia" w:ascii="仿宋_GB2312" w:eastAsia="仿宋_GB2312" w:cs="仿宋_GB2312"/>
          <w:b w:val="0"/>
          <w:bCs/>
          <w:kern w:val="0"/>
          <w:sz w:val="32"/>
          <w:szCs w:val="32"/>
          <w:lang w:val="en-US" w:eastAsia="zh-CN"/>
        </w:rPr>
        <w:t>5.65</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1.2%</w:t>
      </w:r>
      <w:r>
        <w:rPr>
          <w:rFonts w:hint="eastAsia" w:ascii="仿宋_GB2312" w:eastAsia="仿宋_GB2312" w:cs="仿宋_GB2312"/>
          <w:b w:val="0"/>
          <w:bCs/>
          <w:kern w:val="0"/>
          <w:sz w:val="32"/>
          <w:szCs w:val="32"/>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三、</w:t>
      </w:r>
      <w:r>
        <w:rPr>
          <w:rFonts w:hint="eastAsia" w:eastAsia="仿宋_GB2312"/>
          <w:b/>
          <w:kern w:val="0"/>
          <w:sz w:val="32"/>
          <w:szCs w:val="32"/>
          <w:lang w:eastAsia="zh-CN"/>
        </w:rPr>
        <w:t>2020</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支出</w:t>
      </w:r>
      <w:r>
        <w:rPr>
          <w:rFonts w:hint="eastAsia" w:ascii="仿宋_GB2312" w:eastAsia="仿宋_GB2312" w:cs="仿宋_GB2312"/>
          <w:b/>
          <w:kern w:val="0"/>
          <w:sz w:val="32"/>
          <w:szCs w:val="32"/>
        </w:rPr>
        <w:t>决算情况</w:t>
      </w:r>
    </w:p>
    <w:p>
      <w:pPr>
        <w:autoSpaceDE w:val="0"/>
        <w:autoSpaceDN w:val="0"/>
        <w:adjustRightInd w:val="0"/>
        <w:spacing w:line="560" w:lineRule="exact"/>
        <w:ind w:firstLine="640" w:firstLineChars="200"/>
        <w:jc w:val="left"/>
        <w:rPr>
          <w:rFonts w:hint="default"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rPr>
        <w:t xml:space="preserve">本年支出合计 </w:t>
      </w:r>
      <w:r>
        <w:rPr>
          <w:rFonts w:hint="eastAsia" w:ascii="仿宋_GB2312" w:eastAsia="仿宋_GB2312" w:cs="仿宋_GB2312"/>
          <w:b w:val="0"/>
          <w:bCs/>
          <w:kern w:val="0"/>
          <w:sz w:val="32"/>
          <w:szCs w:val="32"/>
          <w:lang w:val="en-US" w:eastAsia="zh-CN"/>
        </w:rPr>
        <w:t>379.36</w:t>
      </w:r>
      <w:r>
        <w:rPr>
          <w:rFonts w:hint="eastAsia" w:ascii="仿宋_GB2312" w:eastAsia="仿宋_GB2312" w:cs="仿宋_GB2312"/>
          <w:b w:val="0"/>
          <w:bCs/>
          <w:kern w:val="0"/>
          <w:sz w:val="32"/>
          <w:szCs w:val="32"/>
        </w:rPr>
        <w:t xml:space="preserve"> 万元，其中：基本支出 </w:t>
      </w:r>
      <w:r>
        <w:rPr>
          <w:rFonts w:hint="eastAsia" w:ascii="仿宋_GB2312" w:eastAsia="仿宋_GB2312" w:cs="仿宋_GB2312"/>
          <w:b w:val="0"/>
          <w:bCs/>
          <w:kern w:val="0"/>
          <w:sz w:val="32"/>
          <w:szCs w:val="32"/>
          <w:lang w:val="en-US" w:eastAsia="zh-CN"/>
        </w:rPr>
        <w:t>274.38</w:t>
      </w:r>
      <w:r>
        <w:rPr>
          <w:rFonts w:hint="eastAsia" w:ascii="仿宋_GB2312" w:eastAsia="仿宋_GB2312" w:cs="仿宋_GB2312"/>
          <w:b w:val="0"/>
          <w:bCs/>
          <w:kern w:val="0"/>
          <w:sz w:val="32"/>
          <w:szCs w:val="32"/>
        </w:rPr>
        <w:t xml:space="preserve">万元，占 </w:t>
      </w:r>
      <w:r>
        <w:rPr>
          <w:rFonts w:hint="eastAsia" w:ascii="仿宋_GB2312" w:eastAsia="仿宋_GB2312" w:cs="仿宋_GB2312"/>
          <w:b w:val="0"/>
          <w:bCs/>
          <w:kern w:val="0"/>
          <w:sz w:val="32"/>
          <w:szCs w:val="32"/>
          <w:lang w:val="en-US" w:eastAsia="zh-CN"/>
        </w:rPr>
        <w:t>72.3</w:t>
      </w:r>
      <w:r>
        <w:rPr>
          <w:rFonts w:hint="eastAsia" w:ascii="仿宋_GB2312" w:eastAsia="仿宋_GB2312" w:cs="仿宋_GB2312"/>
          <w:b w:val="0"/>
          <w:bCs/>
          <w:kern w:val="0"/>
          <w:sz w:val="32"/>
          <w:szCs w:val="32"/>
        </w:rPr>
        <w:t xml:space="preserve">%；项目支出 </w:t>
      </w:r>
      <w:r>
        <w:rPr>
          <w:rFonts w:hint="eastAsia" w:ascii="仿宋_GB2312" w:eastAsia="仿宋_GB2312" w:cs="仿宋_GB2312"/>
          <w:b w:val="0"/>
          <w:bCs/>
          <w:kern w:val="0"/>
          <w:sz w:val="32"/>
          <w:szCs w:val="32"/>
          <w:lang w:val="en-US" w:eastAsia="zh-CN"/>
        </w:rPr>
        <w:t>104.98</w:t>
      </w:r>
      <w:r>
        <w:rPr>
          <w:rFonts w:hint="eastAsia" w:ascii="仿宋_GB2312" w:eastAsia="仿宋_GB2312" w:cs="仿宋_GB2312"/>
          <w:b w:val="0"/>
          <w:bCs/>
          <w:kern w:val="0"/>
          <w:sz w:val="32"/>
          <w:szCs w:val="32"/>
        </w:rPr>
        <w:t>万元，占</w:t>
      </w:r>
      <w:r>
        <w:rPr>
          <w:rFonts w:hint="eastAsia" w:ascii="仿宋_GB2312" w:eastAsia="仿宋_GB2312" w:cs="仿宋_GB2312"/>
          <w:b w:val="0"/>
          <w:bCs/>
          <w:kern w:val="0"/>
          <w:sz w:val="32"/>
          <w:szCs w:val="32"/>
          <w:lang w:val="en-US" w:eastAsia="zh-CN"/>
        </w:rPr>
        <w:t>27.7</w:t>
      </w:r>
      <w:r>
        <w:rPr>
          <w:rFonts w:hint="eastAsia" w:ascii="仿宋_GB2312" w:eastAsia="仿宋_GB2312" w:cs="仿宋_GB2312"/>
          <w:b w:val="0"/>
          <w:bCs/>
          <w:kern w:val="0"/>
          <w:sz w:val="32"/>
          <w:szCs w:val="32"/>
        </w:rPr>
        <w:t>%；经营支出</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万元，占</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val="en-US" w:eastAsia="zh-CN"/>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lang w:eastAsia="zh-CN"/>
        </w:rPr>
      </w:pPr>
      <w:r>
        <w:rPr>
          <w:rFonts w:hint="eastAsia" w:ascii="仿宋_GB2312" w:eastAsia="仿宋_GB2312" w:cs="仿宋_GB2312"/>
          <w:b/>
          <w:bCs w:val="0"/>
          <w:kern w:val="0"/>
          <w:sz w:val="32"/>
          <w:szCs w:val="32"/>
          <w:lang w:eastAsia="zh-CN"/>
        </w:rPr>
        <w:t>四、</w:t>
      </w:r>
      <w:r>
        <w:rPr>
          <w:rFonts w:hint="eastAsia" w:eastAsia="仿宋_GB2312"/>
          <w:b/>
          <w:kern w:val="0"/>
          <w:sz w:val="32"/>
          <w:szCs w:val="32"/>
          <w:lang w:eastAsia="zh-CN"/>
        </w:rPr>
        <w:t>2020</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财政拨款收入支出决算情况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本部门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年度财政拨款收、支总决算 </w:t>
      </w:r>
      <w:r>
        <w:rPr>
          <w:rFonts w:hint="eastAsia" w:ascii="仿宋_GB2312" w:eastAsia="仿宋_GB2312" w:cs="仿宋_GB2312"/>
          <w:bCs/>
          <w:kern w:val="0"/>
          <w:sz w:val="32"/>
          <w:szCs w:val="32"/>
          <w:lang w:val="en-US" w:eastAsia="zh-CN"/>
        </w:rPr>
        <w:t>200.73</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200.73</w:t>
      </w:r>
      <w:r>
        <w:rPr>
          <w:rFonts w:hint="eastAsia" w:ascii="仿宋_GB2312" w:eastAsia="仿宋_GB2312" w:cs="仿宋_GB2312"/>
          <w:bCs/>
          <w:kern w:val="0"/>
          <w:sz w:val="32"/>
          <w:szCs w:val="32"/>
        </w:rPr>
        <w:t xml:space="preserve">万元。与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年相比，财政拨款收、支总计各增加</w:t>
      </w:r>
      <w:r>
        <w:rPr>
          <w:rFonts w:hint="eastAsia" w:ascii="仿宋_GB2312" w:eastAsia="仿宋_GB2312" w:cs="仿宋_GB2312"/>
          <w:bCs/>
          <w:kern w:val="0"/>
          <w:sz w:val="32"/>
          <w:szCs w:val="32"/>
          <w:lang w:val="en-US" w:eastAsia="zh-CN"/>
        </w:rPr>
        <w:t>23.39</w:t>
      </w:r>
      <w:r>
        <w:rPr>
          <w:rFonts w:hint="eastAsia" w:ascii="仿宋_GB2312" w:eastAsia="仿宋_GB2312" w:cs="仿宋_GB2312"/>
          <w:bCs/>
          <w:kern w:val="0"/>
          <w:sz w:val="32"/>
          <w:szCs w:val="32"/>
        </w:rPr>
        <w:t xml:space="preserve"> 万元，增长</w:t>
      </w:r>
      <w:r>
        <w:rPr>
          <w:rFonts w:hint="eastAsia" w:ascii="仿宋_GB2312" w:eastAsia="仿宋_GB2312" w:cs="仿宋_GB2312"/>
          <w:bCs/>
          <w:kern w:val="0"/>
          <w:sz w:val="32"/>
          <w:szCs w:val="32"/>
          <w:lang w:val="en-US" w:eastAsia="zh-CN"/>
        </w:rPr>
        <w:t>13.1</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hint="eastAsia" w:eastAsia="仿宋_GB2312"/>
          <w:b/>
          <w:kern w:val="0"/>
          <w:sz w:val="32"/>
          <w:szCs w:val="32"/>
        </w:rPr>
      </w:pPr>
      <w:r>
        <w:rPr>
          <w:rFonts w:hint="eastAsia" w:ascii="仿宋_GB2312" w:eastAsia="仿宋_GB2312" w:cs="仿宋_GB2312"/>
          <w:b/>
          <w:bCs w:val="0"/>
          <w:kern w:val="0"/>
          <w:sz w:val="32"/>
          <w:szCs w:val="32"/>
        </w:rPr>
        <w:t>五</w:t>
      </w:r>
      <w:r>
        <w:rPr>
          <w:rFonts w:hint="eastAsia" w:ascii="仿宋_GB2312" w:eastAsia="仿宋_GB2312" w:cs="仿宋_GB2312"/>
          <w:b/>
          <w:bCs w:val="0"/>
          <w:kern w:val="0"/>
          <w:sz w:val="32"/>
          <w:szCs w:val="32"/>
          <w:lang w:eastAsia="zh-CN"/>
        </w:rPr>
        <w:t>、</w:t>
      </w:r>
      <w:r>
        <w:rPr>
          <w:rFonts w:hint="eastAsia" w:eastAsia="仿宋_GB2312"/>
          <w:b/>
          <w:kern w:val="0"/>
          <w:sz w:val="32"/>
          <w:szCs w:val="32"/>
          <w:lang w:eastAsia="zh-CN"/>
        </w:rPr>
        <w:t>2020</w:t>
      </w:r>
      <w:r>
        <w:rPr>
          <w:rFonts w:hint="eastAsia" w:eastAsia="仿宋_GB2312"/>
          <w:b/>
          <w:kern w:val="0"/>
          <w:sz w:val="32"/>
          <w:szCs w:val="32"/>
        </w:rPr>
        <w:t>年度一般公共预算财政拨款支出决算情况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部门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年度财政拨款支出 </w:t>
      </w:r>
      <w:r>
        <w:rPr>
          <w:rFonts w:hint="eastAsia" w:ascii="仿宋_GB2312" w:eastAsia="仿宋_GB2312" w:cs="仿宋_GB2312"/>
          <w:bCs/>
          <w:kern w:val="0"/>
          <w:sz w:val="32"/>
          <w:szCs w:val="32"/>
          <w:lang w:val="en-US" w:eastAsia="zh-CN"/>
        </w:rPr>
        <w:t>200.73</w:t>
      </w:r>
      <w:r>
        <w:rPr>
          <w:rFonts w:hint="eastAsia" w:ascii="仿宋_GB2312" w:eastAsia="仿宋_GB2312" w:cs="仿宋_GB2312"/>
          <w:bCs/>
          <w:kern w:val="0"/>
          <w:sz w:val="32"/>
          <w:szCs w:val="32"/>
        </w:rPr>
        <w:t xml:space="preserve"> 万元，占本年支出合计的 </w:t>
      </w:r>
      <w:r>
        <w:rPr>
          <w:rFonts w:hint="eastAsia" w:ascii="仿宋_GB2312" w:eastAsia="仿宋_GB2312" w:cs="仿宋_GB2312"/>
          <w:bCs/>
          <w:kern w:val="0"/>
          <w:sz w:val="32"/>
          <w:szCs w:val="32"/>
          <w:lang w:val="en-US" w:eastAsia="zh-CN"/>
        </w:rPr>
        <w:t>52.9</w:t>
      </w:r>
      <w:r>
        <w:rPr>
          <w:rFonts w:hint="eastAsia" w:ascii="仿宋_GB2312" w:eastAsia="仿宋_GB2312" w:cs="仿宋_GB2312"/>
          <w:bCs/>
          <w:kern w:val="0"/>
          <w:sz w:val="32"/>
          <w:szCs w:val="32"/>
        </w:rPr>
        <w:t xml:space="preserve">%。与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年相比，财政拨款支出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21.57</w:t>
      </w:r>
      <w:r>
        <w:rPr>
          <w:rFonts w:hint="eastAsia" w:ascii="仿宋_GB2312" w:eastAsia="仿宋_GB2312" w:cs="仿宋_GB2312"/>
          <w:bCs/>
          <w:kern w:val="0"/>
          <w:sz w:val="32"/>
          <w:szCs w:val="32"/>
        </w:rPr>
        <w:t xml:space="preserve"> 万元，</w:t>
      </w:r>
      <w:r>
        <w:rPr>
          <w:rFonts w:hint="eastAsia" w:ascii="仿宋_GB2312" w:eastAsia="仿宋_GB2312" w:cs="仿宋_GB2312"/>
          <w:bCs/>
          <w:kern w:val="0"/>
          <w:sz w:val="32"/>
          <w:szCs w:val="32"/>
          <w:lang w:eastAsia="zh-CN"/>
        </w:rPr>
        <w:t>增</w:t>
      </w:r>
      <w:r>
        <w:rPr>
          <w:rFonts w:hint="eastAsia" w:ascii="仿宋_GB2312" w:eastAsia="仿宋_GB2312" w:cs="仿宋_GB2312"/>
          <w:bCs/>
          <w:kern w:val="0"/>
          <w:sz w:val="32"/>
          <w:szCs w:val="32"/>
          <w:lang w:val="en-US" w:eastAsia="zh-CN"/>
        </w:rPr>
        <w:t>长12</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ind w:firstLine="0" w:firstLineChars="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 年度财政拨款支出</w:t>
      </w:r>
      <w:r>
        <w:rPr>
          <w:rFonts w:hint="eastAsia" w:ascii="仿宋_GB2312" w:eastAsia="仿宋_GB2312" w:cs="仿宋_GB2312"/>
          <w:bCs/>
          <w:kern w:val="0"/>
          <w:sz w:val="32"/>
          <w:szCs w:val="32"/>
          <w:lang w:val="en-US" w:eastAsia="zh-CN"/>
        </w:rPr>
        <w:t>200.73</w:t>
      </w:r>
      <w:r>
        <w:rPr>
          <w:rFonts w:hint="eastAsia" w:ascii="仿宋_GB2312" w:eastAsia="仿宋_GB2312" w:cs="仿宋_GB2312"/>
          <w:bCs/>
          <w:kern w:val="0"/>
          <w:sz w:val="32"/>
          <w:szCs w:val="32"/>
        </w:rPr>
        <w:t xml:space="preserve">万元，主要用于以下方面：一般公共服务（类）支出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 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教育（类）支出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 万元，占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%；科学技术（类） 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%；文化体育与传媒（类）支出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%；社会保障和就业（类）支出</w:t>
      </w:r>
      <w:r>
        <w:rPr>
          <w:rFonts w:hint="eastAsia" w:ascii="仿宋_GB2312" w:eastAsia="仿宋_GB2312" w:cs="仿宋_GB2312"/>
          <w:bCs/>
          <w:kern w:val="0"/>
          <w:sz w:val="32"/>
          <w:szCs w:val="32"/>
          <w:lang w:val="en-US" w:eastAsia="zh-CN"/>
        </w:rPr>
        <w:t>4.04</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%；农林水（类）支出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 万元，占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住房保障（类）支出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lang w:val="en-US" w:eastAsia="zh-CN"/>
        </w:rPr>
        <w:t>196.69万元，</w:t>
      </w:r>
      <w:r>
        <w:rPr>
          <w:rFonts w:hint="eastAsia" w:ascii="仿宋_GB2312" w:eastAsia="仿宋_GB2312" w:cs="仿宋_GB2312"/>
          <w:bCs/>
          <w:kern w:val="0"/>
          <w:sz w:val="32"/>
          <w:szCs w:val="32"/>
          <w:lang w:eastAsia="zh-CN"/>
        </w:rPr>
        <w:t>占</w:t>
      </w:r>
      <w:r>
        <w:rPr>
          <w:rFonts w:hint="eastAsia" w:ascii="仿宋_GB2312" w:eastAsia="仿宋_GB2312" w:cs="仿宋_GB2312"/>
          <w:bCs/>
          <w:kern w:val="0"/>
          <w:sz w:val="32"/>
          <w:szCs w:val="32"/>
          <w:lang w:val="en-US" w:eastAsia="zh-CN"/>
        </w:rPr>
        <w:t>98%。</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 年度财政拨款支出年初预算为</w:t>
      </w:r>
      <w:r>
        <w:rPr>
          <w:rFonts w:hint="eastAsia" w:ascii="仿宋_GB2312" w:eastAsia="仿宋_GB2312" w:cs="仿宋_GB2312"/>
          <w:bCs/>
          <w:kern w:val="0"/>
          <w:sz w:val="32"/>
          <w:szCs w:val="32"/>
          <w:lang w:val="en-US" w:eastAsia="zh-CN"/>
        </w:rPr>
        <w:t>200.73</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200.73</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numPr>
          <w:ilvl w:val="0"/>
          <w:numId w:val="0"/>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社会保障和就业支出（类）</w:t>
      </w:r>
      <w:r>
        <w:rPr>
          <w:rFonts w:hint="eastAsia" w:ascii="仿宋_GB2312" w:eastAsia="仿宋_GB2312" w:cs="仿宋_GB2312"/>
          <w:bCs/>
          <w:kern w:val="0"/>
          <w:sz w:val="32"/>
          <w:szCs w:val="32"/>
          <w:lang w:val="en-US" w:eastAsia="zh-CN"/>
        </w:rPr>
        <w:t>行政事业单位养老支出（款）事业单位离退休（项），年初预算为4.04</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支出决算为4.04万元，完成年初预算的100%。</w:t>
      </w:r>
    </w:p>
    <w:p>
      <w:pPr>
        <w:numPr>
          <w:ilvl w:val="0"/>
          <w:numId w:val="0"/>
        </w:numPr>
        <w:autoSpaceDE w:val="0"/>
        <w:autoSpaceDN w:val="0"/>
        <w:adjustRightInd w:val="0"/>
        <w:spacing w:line="56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2.卫生健康支出（类）基层医疗卫生机构（款）乡镇卫生院（项），年初预算为83.98万元，支出决算为83.98万元，完成年初预算的100%。</w:t>
      </w:r>
    </w:p>
    <w:p>
      <w:pPr>
        <w:numPr>
          <w:ilvl w:val="0"/>
          <w:numId w:val="0"/>
        </w:numPr>
        <w:autoSpaceDE w:val="0"/>
        <w:autoSpaceDN w:val="0"/>
        <w:adjustRightInd w:val="0"/>
        <w:spacing w:line="56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3.卫生健康支出（类）基层医疗卫生机构（款）其他基层医疗卫生机构支出（项），年初预算为7.29万元，支出决算为7.29万元，完成年初预算的100%。</w:t>
      </w:r>
    </w:p>
    <w:p>
      <w:pPr>
        <w:numPr>
          <w:ilvl w:val="0"/>
          <w:numId w:val="0"/>
        </w:numPr>
        <w:autoSpaceDE w:val="0"/>
        <w:autoSpaceDN w:val="0"/>
        <w:adjustRightInd w:val="0"/>
        <w:spacing w:line="56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4.卫生健康支出（类）公共卫生（款） 基本公共卫生服务（项），年初预算为104.98万元，支出决算为104.98万元，完成年初预算的100%。</w:t>
      </w:r>
    </w:p>
    <w:p>
      <w:pPr>
        <w:numPr>
          <w:ilvl w:val="0"/>
          <w:numId w:val="0"/>
        </w:numPr>
        <w:autoSpaceDE w:val="0"/>
        <w:autoSpaceDN w:val="0"/>
        <w:adjustRightInd w:val="0"/>
        <w:spacing w:line="56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5.卫生健康支出（类）计划生育事务（款）其他计划生育事务支出（项），年初预算为0.44万元，支出决算为0.44万元，完成年初预算的100%。</w:t>
      </w:r>
    </w:p>
    <w:p>
      <w:pPr>
        <w:autoSpaceDE w:val="0"/>
        <w:autoSpaceDN w:val="0"/>
        <w:adjustRightInd w:val="0"/>
        <w:spacing w:line="560" w:lineRule="exact"/>
        <w:ind w:firstLine="320" w:firstLineChars="100"/>
        <w:jc w:val="left"/>
        <w:rPr>
          <w:rFonts w:hint="eastAsia" w:ascii="仿宋_GB2312" w:eastAsia="仿宋_GB2312" w:cs="仿宋_GB2312"/>
          <w:b/>
          <w:bCs w:val="0"/>
          <w:kern w:val="0"/>
          <w:sz w:val="32"/>
          <w:szCs w:val="32"/>
          <w:lang w:eastAsia="zh-CN"/>
        </w:rPr>
      </w:pPr>
      <w:r>
        <w:rPr>
          <w:rFonts w:hint="eastAsia" w:ascii="仿宋_GB2312" w:eastAsia="仿宋_GB2312" w:cs="仿宋_GB2312"/>
          <w:bCs/>
          <w:kern w:val="0"/>
          <w:sz w:val="32"/>
          <w:szCs w:val="32"/>
        </w:rPr>
        <w:t>六、</w:t>
      </w:r>
      <w:r>
        <w:rPr>
          <w:rFonts w:hint="eastAsia" w:ascii="仿宋_GB2312" w:eastAsia="仿宋_GB2312" w:cs="仿宋_GB2312"/>
          <w:b/>
          <w:bCs w:val="0"/>
          <w:kern w:val="0"/>
          <w:sz w:val="32"/>
          <w:szCs w:val="32"/>
          <w:lang w:eastAsia="zh-CN"/>
        </w:rPr>
        <w:t>2020</w:t>
      </w:r>
      <w:r>
        <w:rPr>
          <w:rFonts w:hint="eastAsia" w:ascii="仿宋_GB2312" w:eastAsia="仿宋_GB2312" w:cs="仿宋_GB2312"/>
          <w:b/>
          <w:bCs w:val="0"/>
          <w:kern w:val="0"/>
          <w:sz w:val="32"/>
          <w:szCs w:val="32"/>
        </w:rPr>
        <w:t>年度一般公共预算财政拨款基本支出决算情况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lang w:eastAsia="zh-CN"/>
        </w:rPr>
        <w:t>2020</w:t>
      </w:r>
      <w:r>
        <w:rPr>
          <w:rFonts w:hint="eastAsia" w:ascii="仿宋_GB2312" w:eastAsia="仿宋_GB2312" w:cs="仿宋_GB2312"/>
          <w:b w:val="0"/>
          <w:bCs/>
          <w:kern w:val="0"/>
          <w:sz w:val="32"/>
          <w:szCs w:val="32"/>
        </w:rPr>
        <w:t>年度财政拨款基本支出</w:t>
      </w:r>
      <w:r>
        <w:rPr>
          <w:rFonts w:hint="eastAsia" w:ascii="仿宋_GB2312" w:eastAsia="仿宋_GB2312" w:cs="仿宋_GB2312"/>
          <w:b w:val="0"/>
          <w:bCs/>
          <w:kern w:val="0"/>
          <w:sz w:val="32"/>
          <w:szCs w:val="32"/>
          <w:lang w:val="en-US" w:eastAsia="zh-CN"/>
        </w:rPr>
        <w:t>95.75</w:t>
      </w:r>
      <w:r>
        <w:rPr>
          <w:rFonts w:hint="eastAsia" w:ascii="仿宋_GB2312" w:eastAsia="仿宋_GB2312" w:cs="仿宋_GB2312"/>
          <w:b w:val="0"/>
          <w:bCs/>
          <w:kern w:val="0"/>
          <w:sz w:val="32"/>
          <w:szCs w:val="32"/>
        </w:rPr>
        <w:t>万元，其中：</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eastAsia="zh-CN"/>
        </w:rPr>
      </w:pPr>
      <w:r>
        <w:rPr>
          <w:rFonts w:hint="eastAsia" w:ascii="仿宋_GB2312" w:eastAsia="仿宋_GB2312" w:cs="仿宋_GB2312"/>
          <w:b w:val="0"/>
          <w:bCs/>
          <w:kern w:val="0"/>
          <w:sz w:val="32"/>
          <w:szCs w:val="32"/>
        </w:rPr>
        <w:t>人员经费</w:t>
      </w:r>
      <w:r>
        <w:rPr>
          <w:rFonts w:hint="eastAsia" w:ascii="仿宋_GB2312" w:eastAsia="仿宋_GB2312" w:cs="仿宋_GB2312"/>
          <w:b w:val="0"/>
          <w:bCs/>
          <w:kern w:val="0"/>
          <w:sz w:val="32"/>
          <w:szCs w:val="32"/>
          <w:lang w:val="en-US" w:eastAsia="zh-CN"/>
        </w:rPr>
        <w:t>88.46</w:t>
      </w:r>
      <w:r>
        <w:rPr>
          <w:rFonts w:hint="eastAsia" w:ascii="仿宋_GB2312" w:eastAsia="仿宋_GB2312" w:cs="仿宋_GB2312"/>
          <w:b w:val="0"/>
          <w:bCs/>
          <w:kern w:val="0"/>
          <w:sz w:val="32"/>
          <w:szCs w:val="32"/>
        </w:rPr>
        <w:t>万元，主要包括：基本工资、津贴补贴、 奖金、伙食补助费、绩效工资、机关事业单位基本养老保险缴费、职业年金缴费、其他社会保障缴费、其他工资福利支出、 离休费、退休费、抚恤金、生活补助、医疗费、奖励金、住房公积金</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eastAsia="zh-CN"/>
        </w:rPr>
      </w:pPr>
      <w:r>
        <w:rPr>
          <w:rFonts w:hint="eastAsia" w:ascii="仿宋_GB2312" w:eastAsia="仿宋_GB2312" w:cs="仿宋_GB2312"/>
          <w:b w:val="0"/>
          <w:bCs/>
          <w:kern w:val="0"/>
          <w:sz w:val="32"/>
          <w:szCs w:val="32"/>
        </w:rPr>
        <w:t>公用经费</w:t>
      </w:r>
      <w:r>
        <w:rPr>
          <w:rFonts w:hint="eastAsia" w:ascii="仿宋_GB2312" w:eastAsia="仿宋_GB2312" w:cs="仿宋_GB2312"/>
          <w:b w:val="0"/>
          <w:bCs/>
          <w:kern w:val="0"/>
          <w:sz w:val="32"/>
          <w:szCs w:val="32"/>
          <w:lang w:val="en-US" w:eastAsia="zh-CN"/>
        </w:rPr>
        <w:t>7.29</w:t>
      </w:r>
      <w:r>
        <w:rPr>
          <w:rFonts w:hint="eastAsia" w:ascii="仿宋_GB2312" w:eastAsia="仿宋_GB2312" w:cs="仿宋_GB2312"/>
          <w:b w:val="0"/>
          <w:bCs/>
          <w:kern w:val="0"/>
          <w:sz w:val="32"/>
          <w:szCs w:val="32"/>
        </w:rPr>
        <w:t>万元，主要 包括：办公费、印刷费、咨询费、手续费、水费、电费、邮电费、取暖费、物业管理费、差旅费、因公出国（境）费用、维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bCs w:val="0"/>
          <w:kern w:val="0"/>
          <w:sz w:val="32"/>
          <w:szCs w:val="32"/>
          <w:lang w:eastAsia="zh-CN"/>
        </w:rPr>
        <w:t>2020</w:t>
      </w:r>
      <w:r>
        <w:rPr>
          <w:rFonts w:hint="eastAsia" w:ascii="仿宋_GB2312" w:eastAsia="仿宋_GB2312" w:cs="仿宋_GB2312"/>
          <w:b/>
          <w:bCs w:val="0"/>
          <w:kern w:val="0"/>
          <w:sz w:val="32"/>
          <w:szCs w:val="32"/>
        </w:rPr>
        <w:t xml:space="preserve">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eastAsia="仿宋_GB2312"/>
          <w:bCs/>
          <w:kern w:val="0"/>
          <w:sz w:val="32"/>
          <w:szCs w:val="32"/>
        </w:rPr>
        <w:t>2020</w:t>
      </w:r>
      <w:r>
        <w:rPr>
          <w:rFonts w:hint="eastAsia" w:ascii="仿宋_GB2312" w:eastAsia="仿宋_GB2312" w:cs="仿宋_GB2312"/>
          <w:bCs/>
          <w:kern w:val="0"/>
          <w:sz w:val="32"/>
          <w:szCs w:val="32"/>
        </w:rPr>
        <w:t>年度“三公”经费财政拨款支出预算为</w:t>
      </w:r>
      <w:r>
        <w:rPr>
          <w:rFonts w:hint="eastAsia" w:eastAsia="仿宋_GB2312"/>
          <w:bCs/>
          <w:kern w:val="0"/>
          <w:sz w:val="32"/>
          <w:szCs w:val="32"/>
        </w:rPr>
        <w:t>0</w:t>
      </w:r>
      <w:r>
        <w:rPr>
          <w:rFonts w:hint="eastAsia" w:ascii="仿宋_GB2312" w:eastAsia="仿宋_GB2312" w:cs="仿宋_GB2312"/>
          <w:bCs/>
          <w:kern w:val="0"/>
          <w:sz w:val="32"/>
          <w:szCs w:val="32"/>
        </w:rPr>
        <w:t>万元，支出决算为</w:t>
      </w:r>
      <w:r>
        <w:rPr>
          <w:rFonts w:hint="eastAsia" w:eastAsia="仿宋_GB2312"/>
          <w:bCs/>
          <w:kern w:val="0"/>
          <w:sz w:val="32"/>
          <w:szCs w:val="32"/>
        </w:rPr>
        <w:t>0</w:t>
      </w:r>
      <w:r>
        <w:rPr>
          <w:rFonts w:hint="eastAsia" w:ascii="仿宋_GB2312" w:eastAsia="仿宋_GB2312" w:cs="仿宋_GB2312"/>
          <w:bCs/>
          <w:kern w:val="0"/>
          <w:sz w:val="32"/>
          <w:szCs w:val="32"/>
        </w:rPr>
        <w:t>万元，其中：因公出国（境）费</w:t>
      </w:r>
      <w:r>
        <w:rPr>
          <w:rFonts w:hint="eastAsia" w:ascii="仿宋_GB2312" w:eastAsia="仿宋_GB2312" w:cs="仿宋_GB2312"/>
          <w:bCs/>
          <w:kern w:val="0"/>
          <w:sz w:val="32"/>
          <w:szCs w:val="32"/>
          <w:lang w:val="en-US" w:eastAsia="zh-CN"/>
        </w:rPr>
        <w:t>预算为0万元，</w:t>
      </w:r>
      <w:r>
        <w:rPr>
          <w:rFonts w:hint="eastAsia" w:ascii="仿宋_GB2312" w:eastAsia="仿宋_GB2312" w:cs="仿宋_GB2312"/>
          <w:bCs/>
          <w:kern w:val="0"/>
          <w:sz w:val="32"/>
          <w:szCs w:val="32"/>
        </w:rPr>
        <w:t>支出决算为</w:t>
      </w:r>
      <w:r>
        <w:rPr>
          <w:rFonts w:hint="eastAsia" w:eastAsia="仿宋_GB2312"/>
          <w:bCs/>
          <w:kern w:val="0"/>
          <w:sz w:val="32"/>
          <w:szCs w:val="32"/>
        </w:rPr>
        <w:t>0</w:t>
      </w:r>
      <w:r>
        <w:rPr>
          <w:rFonts w:hint="eastAsia" w:ascii="仿宋_GB2312" w:eastAsia="仿宋_GB2312" w:cs="仿宋_GB2312"/>
          <w:bCs/>
          <w:kern w:val="0"/>
          <w:sz w:val="32"/>
          <w:szCs w:val="32"/>
        </w:rPr>
        <w:t>万元；公务用车购置及运行费</w:t>
      </w:r>
      <w:r>
        <w:rPr>
          <w:rFonts w:hint="eastAsia" w:ascii="仿宋_GB2312" w:eastAsia="仿宋_GB2312" w:cs="仿宋_GB2312"/>
          <w:bCs/>
          <w:kern w:val="0"/>
          <w:sz w:val="32"/>
          <w:szCs w:val="32"/>
          <w:lang w:val="en-US" w:eastAsia="zh-CN"/>
        </w:rPr>
        <w:t>预算为0万元，</w:t>
      </w:r>
      <w:r>
        <w:rPr>
          <w:rFonts w:hint="eastAsia" w:ascii="仿宋_GB2312" w:eastAsia="仿宋_GB2312" w:cs="仿宋_GB2312"/>
          <w:bCs/>
          <w:kern w:val="0"/>
          <w:sz w:val="32"/>
          <w:szCs w:val="32"/>
        </w:rPr>
        <w:t>支出决算为</w:t>
      </w:r>
      <w:r>
        <w:rPr>
          <w:rFonts w:hint="eastAsia" w:eastAsia="仿宋_GB2312"/>
          <w:bCs/>
          <w:kern w:val="0"/>
          <w:sz w:val="32"/>
          <w:szCs w:val="32"/>
        </w:rPr>
        <w:t>0</w:t>
      </w:r>
      <w:r>
        <w:rPr>
          <w:rFonts w:hint="eastAsia" w:ascii="仿宋_GB2312" w:eastAsia="仿宋_GB2312" w:cs="仿宋_GB2312"/>
          <w:bCs/>
          <w:kern w:val="0"/>
          <w:sz w:val="32"/>
          <w:szCs w:val="32"/>
        </w:rPr>
        <w:t>万元；公务接待费支出</w:t>
      </w:r>
      <w:r>
        <w:rPr>
          <w:rFonts w:hint="eastAsia" w:ascii="仿宋_GB2312" w:eastAsia="仿宋_GB2312" w:cs="仿宋_GB2312"/>
          <w:bCs/>
          <w:kern w:val="0"/>
          <w:sz w:val="32"/>
          <w:szCs w:val="32"/>
          <w:lang w:val="en-US" w:eastAsia="zh-CN"/>
        </w:rPr>
        <w:t>预算为0万元，</w:t>
      </w:r>
      <w:r>
        <w:rPr>
          <w:rFonts w:hint="eastAsia" w:ascii="仿宋_GB2312" w:eastAsia="仿宋_GB2312" w:cs="仿宋_GB2312"/>
          <w:bCs/>
          <w:kern w:val="0"/>
          <w:sz w:val="32"/>
          <w:szCs w:val="32"/>
        </w:rPr>
        <w:t>决算为</w:t>
      </w:r>
      <w:r>
        <w:rPr>
          <w:rFonts w:hint="eastAsia" w:eastAsia="仿宋_GB2312"/>
          <w:bCs/>
          <w:kern w:val="0"/>
          <w:sz w:val="32"/>
          <w:szCs w:val="32"/>
        </w:rPr>
        <w:t>0</w:t>
      </w:r>
      <w:r>
        <w:rPr>
          <w:rFonts w:hint="eastAsia" w:ascii="仿宋_GB2312" w:eastAsia="仿宋_GB2312" w:cs="仿宋_GB2312"/>
          <w:bCs/>
          <w:kern w:val="0"/>
          <w:sz w:val="32"/>
          <w:szCs w:val="32"/>
        </w:rPr>
        <w:t>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2019年度</w:t>
      </w:r>
      <w:r>
        <w:rPr>
          <w:rFonts w:hint="eastAsia" w:ascii="仿宋_GB2312" w:eastAsia="仿宋_GB2312" w:cs="仿宋_GB2312"/>
          <w:bCs/>
          <w:kern w:val="0"/>
          <w:sz w:val="32"/>
          <w:szCs w:val="32"/>
        </w:rPr>
        <w:t>“三公”经费财政拨款支出决算数</w:t>
      </w:r>
      <w:r>
        <w:rPr>
          <w:rFonts w:hint="eastAsia" w:ascii="仿宋_GB2312" w:eastAsia="仿宋_GB2312" w:cs="仿宋_GB2312"/>
          <w:bCs/>
          <w:kern w:val="0"/>
          <w:sz w:val="32"/>
          <w:szCs w:val="32"/>
          <w:lang w:val="en-US" w:eastAsia="zh-CN"/>
        </w:rPr>
        <w:t>为0万元，</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年度“三公”经费财政拨款支出决算数比</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万元，其中：因公出国（境）费支出决算减少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万元；公务接待费支出决算减少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2020年度“三公”经费财政拨款支出决算中，因公出国（境）费支出决算0万元，占0%；公务用车购置及运行费 支出决算0万元，占0 %；公务接待费支出决算0万元，占0%。具体情况如下：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w:t>
      </w:r>
    </w:p>
    <w:p>
      <w:pPr>
        <w:autoSpaceDE w:val="0"/>
        <w:autoSpaceDN w:val="0"/>
        <w:adjustRightInd w:val="0"/>
        <w:spacing w:line="560" w:lineRule="exact"/>
        <w:ind w:firstLine="630"/>
        <w:jc w:val="left"/>
        <w:rPr>
          <w:rFonts w:ascii="仿宋_GB2312" w:eastAsia="仿宋_GB2312" w:cs="仿宋_GB2312"/>
          <w:bCs/>
          <w:kern w:val="0"/>
          <w:sz w:val="32"/>
          <w:szCs w:val="32"/>
        </w:rPr>
      </w:pPr>
      <w:r>
        <w:rPr>
          <w:rFonts w:hint="eastAsia" w:ascii="仿宋_GB2312" w:eastAsia="仿宋_GB2312" w:cs="仿宋_GB2312"/>
          <w:bCs/>
          <w:kern w:val="0"/>
          <w:sz w:val="32"/>
          <w:szCs w:val="32"/>
        </w:rPr>
        <w:t>2.公务用车购置及运行费支出0万元。其中： 公务用车购置支出为0万元。公务用车运行支出0万元。</w:t>
      </w:r>
    </w:p>
    <w:p>
      <w:pPr>
        <w:autoSpaceDE w:val="0"/>
        <w:autoSpaceDN w:val="0"/>
        <w:adjustRightInd w:val="0"/>
        <w:spacing w:line="560" w:lineRule="exact"/>
        <w:ind w:firstLine="630"/>
        <w:jc w:val="left"/>
        <w:rPr>
          <w:rFonts w:ascii="仿宋_GB2312" w:eastAsia="仿宋_GB2312" w:cs="仿宋_GB2312"/>
          <w:bCs/>
          <w:kern w:val="0"/>
          <w:sz w:val="32"/>
          <w:szCs w:val="32"/>
        </w:rPr>
      </w:pPr>
      <w:r>
        <w:rPr>
          <w:rFonts w:hint="eastAsia" w:ascii="仿宋_GB2312" w:eastAsia="仿宋_GB2312" w:cs="仿宋_GB2312"/>
          <w:bCs/>
          <w:kern w:val="0"/>
          <w:sz w:val="32"/>
          <w:szCs w:val="32"/>
        </w:rPr>
        <w:t>3.公务接待费支出0万元。其中：</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外宾接待支出0万元。2020 年共接待国（境）外来访团组0个、来访外宾0人次。</w:t>
      </w:r>
    </w:p>
    <w:p>
      <w:pPr>
        <w:autoSpaceDE w:val="0"/>
        <w:autoSpaceDN w:val="0"/>
        <w:adjustRightInd w:val="0"/>
        <w:spacing w:line="560" w:lineRule="exact"/>
        <w:ind w:firstLine="66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国内公务接待支出0万元。2020 年共接待国内来访团组0个、来宾0人次。</w:t>
      </w:r>
    </w:p>
    <w:p>
      <w:pPr>
        <w:autoSpaceDE w:val="0"/>
        <w:autoSpaceDN w:val="0"/>
        <w:adjustRightInd w:val="0"/>
        <w:spacing w:line="560" w:lineRule="exact"/>
        <w:ind w:firstLine="0" w:firstLineChars="0"/>
        <w:jc w:val="left"/>
        <w:rPr>
          <w:rFonts w:hint="eastAsia" w:ascii="仿宋_GB2312" w:eastAsia="仿宋_GB2312" w:cs="仿宋_GB2312"/>
          <w:b/>
          <w:bCs w:val="0"/>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
          <w:bCs w:val="0"/>
          <w:kern w:val="0"/>
          <w:sz w:val="32"/>
          <w:szCs w:val="32"/>
        </w:rPr>
        <w:t>八、</w:t>
      </w:r>
      <w:r>
        <w:rPr>
          <w:rFonts w:hint="eastAsia" w:ascii="仿宋_GB2312" w:eastAsia="仿宋_GB2312" w:cs="仿宋_GB2312"/>
          <w:b/>
          <w:bCs w:val="0"/>
          <w:kern w:val="0"/>
          <w:sz w:val="32"/>
          <w:szCs w:val="32"/>
          <w:lang w:eastAsia="zh-CN"/>
        </w:rPr>
        <w:t>2020</w:t>
      </w:r>
      <w:r>
        <w:rPr>
          <w:rFonts w:hint="eastAsia" w:ascii="仿宋_GB2312" w:eastAsia="仿宋_GB2312" w:cs="仿宋_GB2312"/>
          <w:b/>
          <w:bCs w:val="0"/>
          <w:kern w:val="0"/>
          <w:sz w:val="32"/>
          <w:szCs w:val="32"/>
        </w:rPr>
        <w:t xml:space="preserve"> 年度政府性基金预算财政拨款收入支出决算情况说明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本部门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年度政府基金预算财政拨款收、支总决算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年相比，收、支总计各增加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万元，增长</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p>
    <w:p>
      <w:pPr>
        <w:numPr>
          <w:ilvl w:val="0"/>
          <w:numId w:val="2"/>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pPr>
        <w:numPr>
          <w:ilvl w:val="0"/>
          <w:numId w:val="0"/>
        </w:numPr>
        <w:autoSpaceDE w:val="0"/>
        <w:autoSpaceDN w:val="0"/>
        <w:adjustRightInd w:val="0"/>
        <w:spacing w:line="580" w:lineRule="exact"/>
        <w:jc w:val="left"/>
        <w:rPr>
          <w:rFonts w:hint="eastAsia" w:ascii="仿宋_GB2312" w:eastAsia="仿宋_GB2312" w:cs="仿宋_GB2312"/>
          <w:bCs/>
          <w:kern w:val="0"/>
          <w:sz w:val="32"/>
          <w:szCs w:val="32"/>
          <w:highlight w:val="none"/>
        </w:rPr>
      </w:pPr>
      <w:r>
        <w:rPr>
          <w:rFonts w:hint="eastAsia" w:ascii="仿宋_GB2312" w:eastAsia="仿宋_GB2312" w:cs="仿宋_GB2312"/>
          <w:b/>
          <w:kern w:val="0"/>
          <w:sz w:val="32"/>
          <w:szCs w:val="32"/>
          <w:highlight w:val="none"/>
          <w:lang w:val="en-US" w:eastAsia="zh-CN"/>
        </w:rPr>
        <w:t xml:space="preserve">      </w:t>
      </w:r>
      <w:r>
        <w:rPr>
          <w:rFonts w:hint="eastAsia" w:ascii="仿宋_GB2312" w:eastAsia="仿宋_GB2312" w:cs="仿宋_GB2312"/>
          <w:b w:val="0"/>
          <w:bCs/>
          <w:kern w:val="0"/>
          <w:sz w:val="32"/>
          <w:szCs w:val="32"/>
          <w:highlight w:val="none"/>
          <w:lang w:val="en-US" w:eastAsia="zh-CN"/>
        </w:rPr>
        <w:t>2020年度国有资本经营预算财政拨款本年支出0万元</w:t>
      </w:r>
      <w:r>
        <w:rPr>
          <w:rFonts w:hint="eastAsia" w:ascii="仿宋_GB2312" w:hAnsi="黑体" w:eastAsia="仿宋_GB2312"/>
          <w:b/>
          <w:sz w:val="32"/>
          <w:szCs w:val="32"/>
          <w:highlight w:val="none"/>
        </w:rPr>
        <w:t>。</w:t>
      </w:r>
      <w:bookmarkStart w:id="0" w:name="_GoBack"/>
      <w:bookmarkEnd w:id="0"/>
    </w:p>
    <w:p>
      <w:pPr>
        <w:autoSpaceDE w:val="0"/>
        <w:autoSpaceDN w:val="0"/>
        <w:adjustRightInd w:val="0"/>
        <w:ind w:firstLine="643" w:firstLineChars="200"/>
        <w:jc w:val="left"/>
        <w:rPr>
          <w:rFonts w:hint="eastAsia" w:ascii="仿宋_GB2312" w:hAnsi="仿宋_GB2312" w:eastAsia="仿宋_GB2312" w:cs="仿宋_GB2312"/>
          <w:b w:val="0"/>
          <w:bCs/>
          <w:color w:val="FF0000"/>
          <w:kern w:val="0"/>
          <w:sz w:val="32"/>
          <w:szCs w:val="32"/>
          <w:lang w:eastAsia="zh-CN"/>
        </w:rPr>
      </w:pPr>
      <w:r>
        <w:rPr>
          <w:rFonts w:hint="eastAsia" w:ascii="仿宋_GB2312" w:eastAsia="仿宋_GB2312" w:cs="仿宋_GB2312"/>
          <w:b/>
          <w:bCs w:val="0"/>
          <w:kern w:val="0"/>
          <w:sz w:val="32"/>
          <w:szCs w:val="32"/>
          <w:lang w:val="en-US" w:eastAsia="zh-CN"/>
        </w:rPr>
        <w:t>十</w:t>
      </w:r>
      <w:r>
        <w:rPr>
          <w:rFonts w:hint="eastAsia" w:ascii="仿宋_GB2312" w:eastAsia="仿宋_GB2312" w:cs="仿宋_GB2312"/>
          <w:b/>
          <w:bCs w:val="0"/>
          <w:kern w:val="0"/>
          <w:sz w:val="32"/>
          <w:szCs w:val="32"/>
          <w:lang w:eastAsia="zh-CN"/>
        </w:rPr>
        <w:t>、</w:t>
      </w:r>
      <w:r>
        <w:rPr>
          <w:rFonts w:hint="eastAsia" w:eastAsia="仿宋_GB2312"/>
          <w:b/>
          <w:kern w:val="0"/>
          <w:sz w:val="32"/>
          <w:szCs w:val="32"/>
          <w:lang w:eastAsia="zh-CN"/>
        </w:rPr>
        <w:t>2020</w:t>
      </w:r>
      <w:r>
        <w:rPr>
          <w:rFonts w:hint="eastAsia" w:ascii="仿宋_GB2312" w:eastAsia="仿宋_GB2312" w:cs="仿宋_GB2312"/>
          <w:b/>
          <w:bCs w:val="0"/>
          <w:kern w:val="0"/>
          <w:sz w:val="32"/>
          <w:szCs w:val="32"/>
        </w:rPr>
        <w:t xml:space="preserve"> 年度预算绩效情况说明</w:t>
      </w:r>
    </w:p>
    <w:p>
      <w:pPr>
        <w:autoSpaceDE w:val="0"/>
        <w:autoSpaceDN w:val="0"/>
        <w:adjustRightInd w:val="0"/>
        <w:spacing w:line="560" w:lineRule="exact"/>
        <w:ind w:firstLine="800" w:firstLineChars="250"/>
        <w:jc w:val="left"/>
        <w:rPr>
          <w:rFonts w:hint="eastAsia" w:ascii="仿宋_GB2312" w:hAnsi="Times New Roman" w:eastAsia="仿宋_GB2312" w:cs="仿宋_GB2312"/>
          <w:bCs/>
          <w:kern w:val="0"/>
          <w:sz w:val="32"/>
          <w:szCs w:val="32"/>
          <w:lang w:val="en-US" w:eastAsia="zh-CN" w:bidi="ar-SA"/>
        </w:rPr>
      </w:pPr>
      <w:r>
        <w:rPr>
          <w:rFonts w:hint="eastAsia" w:ascii="仿宋_GB2312" w:eastAsia="仿宋_GB2312" w:cs="仿宋_GB2312"/>
          <w:bCs/>
          <w:kern w:val="0"/>
          <w:sz w:val="32"/>
          <w:szCs w:val="32"/>
        </w:rPr>
        <w:t>根据财政预算</w:t>
      </w:r>
      <w:r>
        <w:rPr>
          <w:rFonts w:hint="eastAsia" w:ascii="仿宋_GB2312" w:eastAsia="仿宋_GB2312" w:cs="仿宋_GB2312"/>
          <w:bCs/>
          <w:kern w:val="0"/>
          <w:sz w:val="32"/>
          <w:szCs w:val="32"/>
          <w:lang w:eastAsia="zh-CN"/>
        </w:rPr>
        <w:t>绩效</w:t>
      </w:r>
      <w:r>
        <w:rPr>
          <w:rFonts w:hint="eastAsia" w:ascii="仿宋_GB2312" w:eastAsia="仿宋_GB2312" w:cs="仿宋_GB2312"/>
          <w:bCs/>
          <w:kern w:val="0"/>
          <w:sz w:val="32"/>
          <w:szCs w:val="32"/>
        </w:rPr>
        <w:t>管理要求</w:t>
      </w:r>
      <w:r>
        <w:rPr>
          <w:rFonts w:hint="eastAsia" w:ascii="仿宋_GB2312" w:eastAsia="仿宋_GB2312" w:cs="仿宋_GB2312"/>
          <w:bCs/>
          <w:kern w:val="0"/>
          <w:sz w:val="32"/>
          <w:szCs w:val="32"/>
          <w:lang w:eastAsia="zh-CN"/>
        </w:rPr>
        <w:t>：</w:t>
      </w:r>
      <w:r>
        <w:rPr>
          <w:rFonts w:hint="eastAsia" w:ascii="仿宋_GB2312" w:eastAsia="仿宋_GB2312" w:cs="仿宋_GB2312"/>
          <w:b/>
          <w:bCs w:val="0"/>
          <w:kern w:val="0"/>
          <w:sz w:val="32"/>
          <w:szCs w:val="32"/>
          <w:lang w:eastAsia="zh-CN"/>
        </w:rPr>
        <w:t>一是</w:t>
      </w:r>
      <w:r>
        <w:rPr>
          <w:rFonts w:hint="eastAsia" w:ascii="仿宋_GB2312" w:eastAsia="仿宋_GB2312" w:cs="仿宋_GB2312"/>
          <w:bCs/>
          <w:kern w:val="0"/>
          <w:sz w:val="32"/>
          <w:szCs w:val="32"/>
        </w:rPr>
        <w:t>我部门</w:t>
      </w:r>
      <w:r>
        <w:rPr>
          <w:rFonts w:hint="eastAsia" w:ascii="仿宋_GB2312" w:eastAsia="仿宋_GB2312" w:cs="仿宋_GB2312"/>
          <w:bCs/>
          <w:kern w:val="0"/>
          <w:sz w:val="32"/>
          <w:szCs w:val="32"/>
          <w:lang w:eastAsia="zh-CN"/>
        </w:rPr>
        <w:t>完成了</w:t>
      </w:r>
      <w:r>
        <w:rPr>
          <w:rFonts w:hint="eastAsia" w:ascii="仿宋_GB2312" w:eastAsia="仿宋_GB2312" w:cs="仿宋_GB2312"/>
          <w:bCs/>
          <w:kern w:val="0"/>
          <w:sz w:val="32"/>
          <w:szCs w:val="32"/>
          <w:lang w:val="en-US" w:eastAsia="zh-CN"/>
        </w:rPr>
        <w:t>2020年部门整体绩效自评</w:t>
      </w:r>
      <w:r>
        <w:rPr>
          <w:rFonts w:hint="eastAsia" w:ascii="仿宋_GB2312" w:hAnsi="Times New Roman" w:eastAsia="仿宋_GB2312" w:cs="仿宋_GB2312"/>
          <w:bCs/>
          <w:kern w:val="0"/>
          <w:sz w:val="32"/>
          <w:szCs w:val="32"/>
          <w:lang w:val="en-US" w:eastAsia="zh-CN" w:bidi="ar-SA"/>
        </w:rPr>
        <w:t>。</w:t>
      </w:r>
      <w:r>
        <w:rPr>
          <w:rFonts w:hint="eastAsia" w:ascii="仿宋_GB2312" w:eastAsia="仿宋_GB2312" w:cs="仿宋_GB2312"/>
          <w:b/>
          <w:bCs w:val="0"/>
          <w:kern w:val="0"/>
          <w:sz w:val="32"/>
          <w:szCs w:val="32"/>
          <w:lang w:val="en-US" w:eastAsia="zh-CN"/>
        </w:rPr>
        <w:t>二是</w:t>
      </w:r>
      <w:r>
        <w:rPr>
          <w:rFonts w:hint="eastAsia" w:ascii="仿宋_GB2312" w:eastAsia="仿宋_GB2312" w:cs="仿宋_GB2312"/>
          <w:bCs/>
          <w:kern w:val="0"/>
          <w:sz w:val="32"/>
          <w:szCs w:val="32"/>
          <w:lang w:val="en-US" w:eastAsia="zh-CN"/>
        </w:rPr>
        <w:t>完成了2021年绩效目标申报工作。</w:t>
      </w:r>
    </w:p>
    <w:p>
      <w:pPr>
        <w:autoSpaceDE w:val="0"/>
        <w:autoSpaceDN w:val="0"/>
        <w:adjustRightInd w:val="0"/>
        <w:ind w:firstLine="643"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
          <w:bCs w:val="0"/>
          <w:kern w:val="0"/>
          <w:sz w:val="32"/>
          <w:szCs w:val="32"/>
          <w:lang w:eastAsia="zh-CN"/>
        </w:rPr>
        <w:t>十</w:t>
      </w:r>
      <w:r>
        <w:rPr>
          <w:rFonts w:hint="eastAsia" w:ascii="仿宋_GB2312" w:eastAsia="仿宋_GB2312" w:cs="仿宋_GB2312"/>
          <w:b/>
          <w:bCs w:val="0"/>
          <w:kern w:val="0"/>
          <w:sz w:val="32"/>
          <w:szCs w:val="32"/>
          <w:lang w:val="en-US" w:eastAsia="zh-CN"/>
        </w:rPr>
        <w:t>一</w:t>
      </w:r>
      <w:r>
        <w:rPr>
          <w:rFonts w:hint="eastAsia" w:ascii="仿宋_GB2312" w:eastAsia="仿宋_GB2312" w:cs="仿宋_GB2312"/>
          <w:b/>
          <w:bCs w:val="0"/>
          <w:kern w:val="0"/>
          <w:sz w:val="32"/>
          <w:szCs w:val="32"/>
          <w:lang w:eastAsia="zh-CN"/>
        </w:rPr>
        <w:t>、</w:t>
      </w:r>
      <w:r>
        <w:rPr>
          <w:rFonts w:hint="eastAsia" w:ascii="仿宋_GB2312" w:eastAsia="仿宋_GB2312" w:cs="仿宋_GB2312"/>
          <w:b/>
          <w:bCs w:val="0"/>
          <w:kern w:val="0"/>
          <w:sz w:val="32"/>
          <w:szCs w:val="32"/>
        </w:rPr>
        <w:t>其他重要事项的情况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p>
    <w:p>
      <w:pPr>
        <w:autoSpaceDE w:val="0"/>
        <w:autoSpaceDN w:val="0"/>
        <w:adjustRightInd w:val="0"/>
        <w:ind w:firstLine="640" w:firstLineChars="200"/>
        <w:jc w:val="left"/>
        <w:rPr>
          <w:rFonts w:hint="eastAsia"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rPr>
        <w:t>本单位性质为事业单位，无机关运行经费</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lang w:val="en-US" w:eastAsia="zh-CN"/>
        </w:rPr>
        <w:t>参照机关运行经费统计口径，我单位事业运行经费情况如下：</w:t>
      </w:r>
    </w:p>
    <w:p>
      <w:pPr>
        <w:autoSpaceDE w:val="0"/>
        <w:autoSpaceDN w:val="0"/>
        <w:adjustRightInd w:val="0"/>
        <w:ind w:firstLine="640" w:firstLineChars="200"/>
        <w:jc w:val="left"/>
        <w:rPr>
          <w:rFonts w:hint="default"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rPr>
        <w:t>2020年度部门</w:t>
      </w:r>
      <w:r>
        <w:rPr>
          <w:rFonts w:hint="eastAsia" w:ascii="仿宋_GB2312" w:eastAsia="仿宋_GB2312" w:cs="仿宋_GB2312"/>
          <w:kern w:val="0"/>
          <w:sz w:val="32"/>
          <w:szCs w:val="32"/>
          <w:highlight w:val="none"/>
          <w:lang w:val="en-US" w:eastAsia="zh-CN"/>
        </w:rPr>
        <w:t>事业</w:t>
      </w:r>
      <w:r>
        <w:rPr>
          <w:rFonts w:hint="eastAsia" w:ascii="仿宋_GB2312" w:eastAsia="仿宋_GB2312" w:cs="仿宋_GB2312"/>
          <w:kern w:val="0"/>
          <w:sz w:val="32"/>
          <w:szCs w:val="32"/>
          <w:highlight w:val="none"/>
        </w:rPr>
        <w:t>运行经费支出</w:t>
      </w:r>
      <w:r>
        <w:rPr>
          <w:rFonts w:hint="eastAsia" w:ascii="仿宋_GB2312" w:eastAsia="仿宋_GB2312" w:cs="仿宋_GB2312"/>
          <w:kern w:val="0"/>
          <w:sz w:val="32"/>
          <w:szCs w:val="32"/>
          <w:highlight w:val="none"/>
          <w:lang w:val="en-US" w:eastAsia="zh-CN"/>
        </w:rPr>
        <w:t>7.29</w:t>
      </w:r>
      <w:r>
        <w:rPr>
          <w:rFonts w:hint="eastAsia" w:ascii="仿宋_GB2312" w:eastAsia="仿宋_GB2312" w:cs="仿宋_GB2312"/>
          <w:kern w:val="0"/>
          <w:sz w:val="32"/>
          <w:szCs w:val="32"/>
          <w:highlight w:val="none"/>
        </w:rPr>
        <w:t>万元，主要包括：</w:t>
      </w:r>
      <w:r>
        <w:rPr>
          <w:rFonts w:hint="eastAsia" w:ascii="仿宋_GB2312" w:eastAsia="仿宋_GB2312" w:cs="仿宋_GB2312"/>
          <w:kern w:val="0"/>
          <w:sz w:val="32"/>
          <w:szCs w:val="32"/>
          <w:highlight w:val="none"/>
          <w:lang w:eastAsia="zh-CN"/>
        </w:rPr>
        <w:t>专用材料费</w:t>
      </w:r>
      <w:r>
        <w:rPr>
          <w:rFonts w:hint="eastAsia" w:ascii="仿宋_GB2312" w:eastAsia="仿宋_GB2312" w:cs="仿宋_GB2312"/>
          <w:kern w:val="0"/>
          <w:sz w:val="32"/>
          <w:szCs w:val="32"/>
          <w:highlight w:val="none"/>
          <w:lang w:val="en-US" w:eastAsia="zh-CN"/>
        </w:rPr>
        <w:t>7.29万元。</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二</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政府采购支出情况</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2020年度部门政府采购支出总额0万元，其中：货物支出0万元、工程支出0万元、服务支出0万元。</w:t>
      </w:r>
    </w:p>
    <w:p>
      <w:pPr>
        <w:numPr>
          <w:ilvl w:val="0"/>
          <w:numId w:val="3"/>
        </w:numPr>
        <w:autoSpaceDE w:val="0"/>
        <w:autoSpaceDN w:val="0"/>
        <w:adjustRightInd w:val="0"/>
        <w:ind w:left="0" w:leftChars="0"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国有资产占用情况</w:t>
      </w:r>
    </w:p>
    <w:p>
      <w:pPr>
        <w:autoSpaceDE w:val="0"/>
        <w:autoSpaceDN w:val="0"/>
        <w:adjustRightInd w:val="0"/>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截至年末部门共有车辆</w:t>
      </w:r>
      <w:r>
        <w:rPr>
          <w:rFonts w:hint="eastAsia" w:ascii="仿宋_GB2312" w:eastAsia="仿宋_GB2312" w:cs="仿宋_GB2312"/>
          <w:kern w:val="0"/>
          <w:sz w:val="32"/>
          <w:szCs w:val="32"/>
          <w:highlight w:val="none"/>
          <w:lang w:val="en-US" w:eastAsia="zh-CN"/>
        </w:rPr>
        <w:t>2</w:t>
      </w:r>
      <w:r>
        <w:rPr>
          <w:rFonts w:hint="eastAsia" w:ascii="仿宋_GB2312" w:eastAsia="仿宋_GB2312" w:cs="仿宋_GB2312"/>
          <w:kern w:val="0"/>
          <w:sz w:val="32"/>
          <w:szCs w:val="32"/>
          <w:highlight w:val="none"/>
        </w:rPr>
        <w:t>辆，其中</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公务用车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 xml:space="preserve"> 辆</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执法执勤用车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 xml:space="preserve"> 辆；专业技术用</w:t>
      </w:r>
      <w:r>
        <w:rPr>
          <w:rFonts w:hint="eastAsia" w:ascii="仿宋_GB2312" w:eastAsia="仿宋_GB2312" w:cs="仿宋_GB2312"/>
          <w:kern w:val="0"/>
          <w:sz w:val="32"/>
          <w:szCs w:val="32"/>
          <w:highlight w:val="none"/>
          <w:lang w:eastAsia="zh-CN"/>
        </w:rPr>
        <w:t>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 xml:space="preserve"> 辆；</w:t>
      </w:r>
      <w:r>
        <w:rPr>
          <w:rFonts w:hint="eastAsia" w:ascii="仿宋_GB2312" w:eastAsia="仿宋_GB2312" w:cs="仿宋_GB2312"/>
          <w:kern w:val="0"/>
          <w:sz w:val="32"/>
          <w:szCs w:val="32"/>
          <w:highlight w:val="none"/>
          <w:lang w:eastAsia="zh-CN"/>
        </w:rPr>
        <w:t>其他用车（救护车）</w:t>
      </w:r>
      <w:r>
        <w:rPr>
          <w:rFonts w:hint="eastAsia" w:ascii="仿宋_GB2312" w:eastAsia="仿宋_GB2312" w:cs="仿宋_GB2312"/>
          <w:kern w:val="0"/>
          <w:sz w:val="32"/>
          <w:szCs w:val="32"/>
          <w:highlight w:val="none"/>
          <w:lang w:val="en-US" w:eastAsia="zh-CN"/>
        </w:rPr>
        <w:t>2辆；</w:t>
      </w:r>
      <w:r>
        <w:rPr>
          <w:rFonts w:hint="eastAsia" w:ascii="仿宋_GB2312" w:eastAsia="仿宋_GB2312" w:cs="仿宋_GB2312"/>
          <w:kern w:val="0"/>
          <w:sz w:val="32"/>
          <w:szCs w:val="32"/>
          <w:highlight w:val="none"/>
        </w:rPr>
        <w:t>单价50万元 以上通用设备</w:t>
      </w:r>
      <w:r>
        <w:rPr>
          <w:rFonts w:hint="eastAsia" w:ascii="仿宋_GB2312" w:eastAsia="仿宋_GB2312" w:cs="仿宋_GB2312"/>
          <w:kern w:val="0"/>
          <w:sz w:val="32"/>
          <w:szCs w:val="32"/>
          <w:highlight w:val="none"/>
          <w:lang w:val="en-US" w:eastAsia="zh-CN"/>
        </w:rPr>
        <w:t>1</w:t>
      </w:r>
      <w:r>
        <w:rPr>
          <w:rFonts w:hint="eastAsia" w:ascii="仿宋_GB2312" w:eastAsia="仿宋_GB2312" w:cs="仿宋_GB2312"/>
          <w:kern w:val="0"/>
          <w:sz w:val="32"/>
          <w:szCs w:val="32"/>
          <w:highlight w:val="none"/>
        </w:rPr>
        <w:t>台（套）</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单价100 万元以上专用设备</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lang w:eastAsia="zh-CN"/>
        </w:rPr>
        <w:t>台</w:t>
      </w:r>
      <w:r>
        <w:rPr>
          <w:rFonts w:hint="eastAsia" w:ascii="仿宋_GB2312" w:eastAsia="仿宋_GB2312" w:cs="仿宋_GB2312"/>
          <w:kern w:val="0"/>
          <w:sz w:val="32"/>
          <w:szCs w:val="32"/>
          <w:highlight w:val="none"/>
        </w:rPr>
        <w:t xml:space="preserve">（套）。 </w:t>
      </w:r>
    </w:p>
    <w:p>
      <w:pPr>
        <w:numPr>
          <w:ilvl w:val="0"/>
          <w:numId w:val="0"/>
        </w:numPr>
        <w:ind w:firstLine="643" w:firstLineChars="200"/>
        <w:rPr>
          <w:rFonts w:hint="eastAsia" w:ascii="仿宋_GB2312" w:eastAsia="仿宋_GB2312"/>
          <w:b/>
          <w:color w:val="FF0000"/>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numPr>
          <w:ilvl w:val="0"/>
          <w:numId w:val="4"/>
        </w:numPr>
        <w:ind w:left="638" w:leftChars="304" w:firstLine="0" w:firstLineChars="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财政拨款收入：指本级财政当年拨付的资金。</w:t>
      </w:r>
    </w:p>
    <w:p>
      <w:pPr>
        <w:numPr>
          <w:ilvl w:val="0"/>
          <w:numId w:val="0"/>
        </w:numPr>
        <w:ind w:firstLine="640" w:firstLineChars="20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二、事业收入：指事业单位开展专业活动用辅助活动所取得的收入。</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三、年初结转和结余：指以前年度尚未完成、结转到本年按规定继续使用的资金。</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四、年末结转和结余：指本年度或以前年度预算安排、因客观条件发生变化无法按原计划实施，需延迟到以后年度按有关规定继续使用的资金。</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五、基本支出：指为保障机构正常运转、完成日常工作任务而发生的人员支出和公用支出。</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六、项目支出：指在基本支出之外为完成特定行政任务和事业发展目标所发生的支出。</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七、“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八、事业运行经费：为保障事业单位运行用于购买货物和服务的各项资金，包括办公及印刷费、邮电费、差旅费、会议费、福利费、日常维修费、专用材料及一般设备购置费、办公用房物业管理费、公务用车运行维护费以及其他费用。</w:t>
      </w:r>
    </w:p>
    <w:p/>
    <w:p/>
    <w:p/>
    <w:p/>
    <w:p/>
    <w:p>
      <w:pPr>
        <w:rPr>
          <w:rFonts w:hint="eastAsia"/>
          <w:lang w:val="en-US" w:eastAsia="zh-CN"/>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- 16 -</w:t>
    </w:r>
    <w:r>
      <w:rPr>
        <w:sz w:val="30"/>
        <w:szCs w:val="30"/>
      </w:rPr>
      <w:fldChar w:fldCharType="end"/>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A6E89219"/>
    <w:multiLevelType w:val="singleLevel"/>
    <w:tmpl w:val="A6E89219"/>
    <w:lvl w:ilvl="0" w:tentative="0">
      <w:start w:val="1"/>
      <w:numFmt w:val="chineseCounting"/>
      <w:suff w:val="nothing"/>
      <w:lvlText w:val="%1、"/>
      <w:lvlJc w:val="left"/>
      <w:rPr>
        <w:rFonts w:hint="eastAsia"/>
      </w:rPr>
    </w:lvl>
  </w:abstractNum>
  <w:abstractNum w:abstractNumId="2">
    <w:nsid w:val="DBFF204C"/>
    <w:multiLevelType w:val="singleLevel"/>
    <w:tmpl w:val="DBFF204C"/>
    <w:lvl w:ilvl="0" w:tentative="0">
      <w:start w:val="2"/>
      <w:numFmt w:val="chineseCounting"/>
      <w:suff w:val="nothing"/>
      <w:lvlText w:val="（%1）"/>
      <w:lvlJc w:val="left"/>
      <w:rPr>
        <w:rFonts w:hint="eastAsia"/>
      </w:rPr>
    </w:lvl>
  </w:abstractNum>
  <w:abstractNum w:abstractNumId="3">
    <w:nsid w:val="29299EBB"/>
    <w:multiLevelType w:val="singleLevel"/>
    <w:tmpl w:val="29299EBB"/>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2071E5A"/>
    <w:rsid w:val="033A6A21"/>
    <w:rsid w:val="04BE3384"/>
    <w:rsid w:val="05D312DD"/>
    <w:rsid w:val="063861B4"/>
    <w:rsid w:val="08C7430F"/>
    <w:rsid w:val="099647D0"/>
    <w:rsid w:val="09CA04E9"/>
    <w:rsid w:val="0AD7190A"/>
    <w:rsid w:val="0B075C89"/>
    <w:rsid w:val="0FE67AD7"/>
    <w:rsid w:val="116A61DC"/>
    <w:rsid w:val="11AC4EC9"/>
    <w:rsid w:val="124204B5"/>
    <w:rsid w:val="12BD0681"/>
    <w:rsid w:val="13B26D57"/>
    <w:rsid w:val="18A60E77"/>
    <w:rsid w:val="18F00954"/>
    <w:rsid w:val="1A2B5E45"/>
    <w:rsid w:val="1DBD636D"/>
    <w:rsid w:val="21BF59CB"/>
    <w:rsid w:val="22D35FD2"/>
    <w:rsid w:val="24FF55EC"/>
    <w:rsid w:val="26460DBA"/>
    <w:rsid w:val="29044456"/>
    <w:rsid w:val="2964176A"/>
    <w:rsid w:val="2B272E47"/>
    <w:rsid w:val="2B6F74EB"/>
    <w:rsid w:val="2C4219FE"/>
    <w:rsid w:val="2D59087A"/>
    <w:rsid w:val="2DEE224E"/>
    <w:rsid w:val="2FB67F2B"/>
    <w:rsid w:val="305F6DBC"/>
    <w:rsid w:val="33C76EF0"/>
    <w:rsid w:val="34020F86"/>
    <w:rsid w:val="34EE41B6"/>
    <w:rsid w:val="362007B5"/>
    <w:rsid w:val="3670099D"/>
    <w:rsid w:val="39A63F06"/>
    <w:rsid w:val="39A8528A"/>
    <w:rsid w:val="3B044394"/>
    <w:rsid w:val="3BFA75A1"/>
    <w:rsid w:val="3ED1439F"/>
    <w:rsid w:val="3FA42D7B"/>
    <w:rsid w:val="43B15990"/>
    <w:rsid w:val="43FE3B3E"/>
    <w:rsid w:val="45800281"/>
    <w:rsid w:val="45910DA3"/>
    <w:rsid w:val="45B33268"/>
    <w:rsid w:val="46616A6E"/>
    <w:rsid w:val="4A464E55"/>
    <w:rsid w:val="4A46671F"/>
    <w:rsid w:val="4B5F6BEE"/>
    <w:rsid w:val="4C256E3D"/>
    <w:rsid w:val="4CB52F0F"/>
    <w:rsid w:val="4F247ECA"/>
    <w:rsid w:val="4F313502"/>
    <w:rsid w:val="4FF32B00"/>
    <w:rsid w:val="50E228F4"/>
    <w:rsid w:val="50F80D26"/>
    <w:rsid w:val="532F1F9A"/>
    <w:rsid w:val="57230354"/>
    <w:rsid w:val="5A381F5C"/>
    <w:rsid w:val="5C342E02"/>
    <w:rsid w:val="5E995A3E"/>
    <w:rsid w:val="61AA2DE5"/>
    <w:rsid w:val="62163194"/>
    <w:rsid w:val="624D024D"/>
    <w:rsid w:val="62993460"/>
    <w:rsid w:val="650E086A"/>
    <w:rsid w:val="67CE25CF"/>
    <w:rsid w:val="67D430FA"/>
    <w:rsid w:val="68E156BF"/>
    <w:rsid w:val="6BAA0708"/>
    <w:rsid w:val="6C2F016E"/>
    <w:rsid w:val="6CA57803"/>
    <w:rsid w:val="6CB37885"/>
    <w:rsid w:val="71E96987"/>
    <w:rsid w:val="72551E5C"/>
    <w:rsid w:val="78675937"/>
    <w:rsid w:val="7AAE10F4"/>
    <w:rsid w:val="7B415BFB"/>
    <w:rsid w:val="7E1B39BA"/>
    <w:rsid w:val="7E573EA9"/>
    <w:rsid w:val="7E993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font11"/>
    <w:basedOn w:val="7"/>
    <w:qFormat/>
    <w:uiPriority w:val="0"/>
    <w:rPr>
      <w:rFonts w:hint="eastAsia" w:ascii="宋体" w:hAnsi="宋体" w:eastAsia="宋体" w:cs="宋体"/>
      <w:color w:val="000000"/>
      <w:sz w:val="22"/>
      <w:szCs w:val="22"/>
      <w:u w:val="none"/>
    </w:rPr>
  </w:style>
  <w:style w:type="character" w:customStyle="1" w:styleId="10">
    <w:name w:val="font01"/>
    <w:basedOn w:val="7"/>
    <w:qFormat/>
    <w:uiPriority w:val="0"/>
    <w:rPr>
      <w:rFonts w:hint="eastAsia" w:ascii="宋体" w:hAnsi="宋体" w:eastAsia="宋体" w:cs="宋体"/>
      <w:color w:val="000000"/>
      <w:sz w:val="24"/>
      <w:szCs w:val="24"/>
      <w:u w:val="non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cp:lastPrinted>2021-07-23T07:54:00Z</cp:lastPrinted>
  <dcterms:modified xsi:type="dcterms:W3CDTF">2021-08-01T07:59:08Z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1183273BB0C1480F89DAEDD17484C429</vt:lpwstr>
  </property>
</Properties>
</file>