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柳东新区石冲小区幼儿园</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柳州市柳东新区石冲小区幼儿园</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柳州市柳东新区石冲小区幼儿园</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cs="仿宋_GB2312"/>
          <w:bCs/>
          <w:kern w:val="0"/>
          <w:sz w:val="32"/>
          <w:szCs w:val="32"/>
        </w:rPr>
      </w:pPr>
      <w:r>
        <w:rPr>
          <w:rFonts w:hint="eastAsia" w:ascii="仿宋_GB2312" w:eastAsia="仿宋_GB2312"/>
          <w:sz w:val="32"/>
          <w:szCs w:val="32"/>
        </w:rPr>
        <w:t>表九：国有资本经营预算财政拨款支出决算情况</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柳州市柳东新区石冲小区幼儿园</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柳州市柳东新区石冲小区幼儿园</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1、实施幼儿、学前教育，为基础教育发展、管理提供良好基础。</w:t>
      </w:r>
    </w:p>
    <w:p>
      <w:pPr>
        <w:ind w:firstLine="640" w:firstLineChars="200"/>
        <w:rPr>
          <w:rFonts w:hint="eastAsia" w:ascii="仿宋_GB2312" w:eastAsia="仿宋_GB2312"/>
          <w:sz w:val="32"/>
          <w:szCs w:val="32"/>
        </w:rPr>
      </w:pPr>
      <w:r>
        <w:rPr>
          <w:rFonts w:hint="eastAsia" w:ascii="仿宋_GB2312" w:eastAsia="仿宋_GB2312"/>
          <w:sz w:val="32"/>
          <w:szCs w:val="32"/>
        </w:rPr>
        <w:t>2、努力做好幼儿的教育、培养工作。</w:t>
      </w:r>
    </w:p>
    <w:p>
      <w:pPr>
        <w:ind w:firstLine="640" w:firstLineChars="200"/>
        <w:rPr>
          <w:rFonts w:hint="eastAsia" w:ascii="仿宋_GB2312" w:eastAsia="仿宋_GB2312"/>
          <w:sz w:val="32"/>
          <w:szCs w:val="32"/>
        </w:rPr>
      </w:pPr>
      <w:r>
        <w:rPr>
          <w:rFonts w:hint="eastAsia" w:ascii="仿宋_GB2312" w:eastAsia="仿宋_GB2312"/>
          <w:sz w:val="32"/>
          <w:szCs w:val="32"/>
        </w:rPr>
        <w:t>3、注重幼儿的潜能开发，让孩子懂得学习、爱上学习。</w:t>
      </w:r>
    </w:p>
    <w:p>
      <w:pPr>
        <w:ind w:firstLine="640" w:firstLineChars="200"/>
        <w:rPr>
          <w:rFonts w:hint="eastAsia" w:ascii="仿宋_GB2312" w:eastAsia="仿宋_GB2312"/>
          <w:sz w:val="32"/>
          <w:szCs w:val="32"/>
        </w:rPr>
      </w:pPr>
      <w:r>
        <w:rPr>
          <w:rFonts w:hint="eastAsia" w:ascii="仿宋_GB2312" w:eastAsia="仿宋_GB2312"/>
          <w:sz w:val="32"/>
          <w:szCs w:val="32"/>
        </w:rPr>
        <w:t>4、重视教师队伍素质的培养。</w:t>
      </w:r>
    </w:p>
    <w:p>
      <w:pPr>
        <w:ind w:firstLine="640" w:firstLineChars="200"/>
        <w:rPr>
          <w:rFonts w:ascii="仿宋_GB2312" w:eastAsia="仿宋_GB2312"/>
          <w:sz w:val="32"/>
          <w:szCs w:val="32"/>
        </w:rPr>
      </w:pPr>
      <w:r>
        <w:rPr>
          <w:rFonts w:hint="eastAsia" w:ascii="仿宋_GB2312" w:eastAsia="仿宋_GB2312"/>
          <w:sz w:val="32"/>
          <w:szCs w:val="32"/>
        </w:rPr>
        <w:t>5、争做有系统课程、专业的育园基地。</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柳州市柳东新区石冲小区幼儿园内设行政、教学、保育、后勤等部门，至2020年开园以来共招收幼儿共计140人，教职工队伍人数23人（全为聘用人员）。</w:t>
      </w: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柳州市柳东新区石冲小区幼儿园</w:t>
      </w:r>
      <w:r>
        <w:rPr>
          <w:rFonts w:hint="eastAsia" w:ascii="仿宋_GB2312" w:eastAsia="仿宋_GB2312"/>
          <w:b/>
          <w:sz w:val="32"/>
          <w:szCs w:val="32"/>
        </w:rPr>
        <w:t>2020年部门决算报表</w:t>
      </w:r>
    </w:p>
    <w:p>
      <w:pPr>
        <w:jc w:val="center"/>
      </w:pPr>
    </w:p>
    <w:p>
      <w:pPr>
        <w:jc w:val="center"/>
      </w:pPr>
    </w:p>
    <w:p>
      <w:pPr>
        <w:jc w:val="center"/>
      </w:pPr>
    </w:p>
    <w:p/>
    <w:tbl>
      <w:tblPr>
        <w:tblStyle w:val="6"/>
        <w:tblW w:w="8720" w:type="dxa"/>
        <w:jc w:val="center"/>
        <w:tblInd w:w="0"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42.67</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79"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42.67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42.67</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42.67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42.67</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42.67</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6"/>
        <w:tblW w:w="14140" w:type="dxa"/>
        <w:jc w:val="center"/>
        <w:tblInd w:w="0" w:type="dxa"/>
        <w:tblLayout w:type="fixed"/>
        <w:tblCellMar>
          <w:top w:w="0" w:type="dxa"/>
          <w:left w:w="108" w:type="dxa"/>
          <w:bottom w:w="0" w:type="dxa"/>
          <w:right w:w="108" w:type="dxa"/>
        </w:tblCellMar>
      </w:tblPr>
      <w:tblGrid>
        <w:gridCol w:w="960"/>
        <w:gridCol w:w="2400"/>
        <w:gridCol w:w="1540"/>
        <w:gridCol w:w="1540"/>
        <w:gridCol w:w="1540"/>
        <w:gridCol w:w="1540"/>
        <w:gridCol w:w="1540"/>
        <w:gridCol w:w="1540"/>
        <w:gridCol w:w="1540"/>
      </w:tblGrid>
      <w:tr>
        <w:tblPrEx>
          <w:tblLayout w:type="fixed"/>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事业收入</w:t>
            </w:r>
          </w:p>
          <w:p>
            <w:pPr>
              <w:widowControl/>
              <w:jc w:val="left"/>
              <w:rPr>
                <w:rFonts w:ascii="宋体" w:hAns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4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Layout w:type="fixed"/>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24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2050201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学前教育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注：本表反映部门本年度取得的各项收入情况。</w:t>
      </w:r>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6"/>
        <w:tblW w:w="14049" w:type="dxa"/>
        <w:jc w:val="center"/>
        <w:tblInd w:w="0" w:type="dxa"/>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2050201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xml:space="preserve"> 学前教育</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注：本表反映部门本年度各项支出情况。</w:t>
      </w:r>
    </w:p>
    <w:p/>
    <w:p/>
    <w:p/>
    <w:p/>
    <w:p>
      <w:pPr>
        <w:ind w:firstLine="3600" w:firstLineChars="1000"/>
        <w:rPr>
          <w:rFonts w:hint="eastAsia"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ascii="方正小标宋简体" w:hAnsi="宋体" w:eastAsia="方正小标宋简体" w:cs="宋体"/>
          <w:kern w:val="0"/>
          <w:sz w:val="36"/>
          <w:szCs w:val="36"/>
        </w:rPr>
        <w:t xml:space="preserve">                                                </w:t>
      </w:r>
      <w:r>
        <w:rPr>
          <w:rFonts w:hint="eastAsia"/>
          <w:sz w:val="22"/>
          <w:szCs w:val="22"/>
        </w:rPr>
        <w:t>单位：万元</w:t>
      </w:r>
    </w:p>
    <w:tbl>
      <w:tblPr>
        <w:tblStyle w:val="6"/>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858"/>
        <w:gridCol w:w="551"/>
        <w:gridCol w:w="795"/>
        <w:gridCol w:w="3148"/>
        <w:gridCol w:w="681"/>
        <w:gridCol w:w="1267"/>
        <w:gridCol w:w="1149"/>
        <w:gridCol w:w="1316"/>
      </w:tblGrid>
      <w:tr>
        <w:tblPrEx>
          <w:tblLayout w:type="fixed"/>
          <w:tblCellMar>
            <w:top w:w="0" w:type="dxa"/>
            <w:left w:w="108" w:type="dxa"/>
            <w:bottom w:w="0" w:type="dxa"/>
            <w:right w:w="108" w:type="dxa"/>
          </w:tblCellMar>
        </w:tblPrEx>
        <w:trPr>
          <w:trHeight w:val="300" w:hRule="atLeast"/>
        </w:trPr>
        <w:tc>
          <w:tcPr>
            <w:tcW w:w="6204"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561"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trPr>
        <w:tc>
          <w:tcPr>
            <w:tcW w:w="485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14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5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14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79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42.67</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79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42.67</w:t>
            </w: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79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42.67</w:t>
            </w: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42.67</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Ind w:w="0" w:type="dxa"/>
        <w:tblLayout w:type="fixed"/>
        <w:tblCellMar>
          <w:top w:w="0" w:type="dxa"/>
          <w:left w:w="108" w:type="dxa"/>
          <w:bottom w:w="0" w:type="dxa"/>
          <w:right w:w="108" w:type="dxa"/>
        </w:tblCellMar>
      </w:tblPr>
      <w:tblGrid>
        <w:gridCol w:w="1283"/>
        <w:gridCol w:w="3000"/>
        <w:gridCol w:w="2900"/>
        <w:gridCol w:w="2900"/>
        <w:gridCol w:w="3396"/>
      </w:tblGrid>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42.67</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42.67</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30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42.67</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42.67</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30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42.67</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42.67</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2050201  </w:t>
            </w:r>
          </w:p>
        </w:tc>
        <w:tc>
          <w:tcPr>
            <w:tcW w:w="30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xml:space="preserve"> 学前教育</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42.67</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42.67</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bl>
    <w:p/>
    <w:p>
      <w:r>
        <w:rPr>
          <w:rFonts w:hint="eastAsia"/>
        </w:rPr>
        <w:t>注：本表反映部门本年度一般公共预算财政拨款实际支出情况。</w:t>
      </w:r>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9151" w:type="dxa"/>
        <w:tblInd w:w="93" w:type="dxa"/>
        <w:tblLayout w:type="fixed"/>
        <w:tblCellMar>
          <w:top w:w="0" w:type="dxa"/>
          <w:left w:w="108" w:type="dxa"/>
          <w:bottom w:w="0" w:type="dxa"/>
          <w:right w:w="108" w:type="dxa"/>
        </w:tblCellMar>
      </w:tblPr>
      <w:tblGrid>
        <w:gridCol w:w="916"/>
        <w:gridCol w:w="3240"/>
        <w:gridCol w:w="831"/>
        <w:gridCol w:w="849"/>
        <w:gridCol w:w="1710"/>
        <w:gridCol w:w="1605"/>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24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伙食补助费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绩效工资</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机关事业单位基本养老保险缴费</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职业年金缴费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职工基本医疗保险缴费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公务员医疗补助缴费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其他社会保障缴费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住房公积金</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医疗费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64" w:hRule="atLeast"/>
        </w:trPr>
        <w:tc>
          <w:tcPr>
            <w:tcW w:w="41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bl>
    <w:p>
      <w:r>
        <w:rPr>
          <w:rFonts w:hint="eastAsia"/>
        </w:rPr>
        <w:t>注：本表反映部门本年度一般公共预算财政拨款基本支出明细情况。</w:t>
      </w:r>
    </w:p>
    <w:p>
      <w:pPr>
        <w:rPr>
          <w:rFonts w:hint="eastAsia"/>
        </w:rPr>
      </w:pPr>
    </w:p>
    <w:p>
      <w:pPr>
        <w:sectPr>
          <w:pgSz w:w="11906" w:h="16838"/>
          <w:pgMar w:top="1440" w:right="1797" w:bottom="1440" w:left="1797" w:header="851" w:footer="992" w:gutter="0"/>
          <w:pgNumType w:fmt="numberInDash"/>
          <w:cols w:space="720" w:num="1"/>
          <w:docGrid w:type="lines" w:linePitch="312" w:charSpace="0"/>
        </w:sectPr>
      </w:pPr>
      <w:r>
        <w:rPr>
          <w:rFonts w:hint="eastAsia"/>
        </w:rPr>
        <w:t>柳州市柳东新区石冲小区幼儿园没有安排基本支出，故本表无数据。</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6"/>
        <w:tblW w:w="13921" w:type="dxa"/>
        <w:jc w:val="center"/>
        <w:tblInd w:w="0"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r>
        <w:rPr>
          <w:rFonts w:hint="eastAsia"/>
        </w:rPr>
        <w:t>注：本表反映部门本年度“三公”经费支出预决算情况。其中，2020年度预算数为“三公”经费年初预算数，决算数是包括当年一般公共预算财政拨款和以前年度结转资金安排的实际支出。</w:t>
      </w:r>
    </w:p>
    <w:p>
      <w:pPr>
        <w:rPr>
          <w:rFonts w:hint="eastAsia"/>
        </w:rPr>
      </w:pPr>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柳州市柳东新区石冲小区幼儿园没有“三公经费”预算，也没有安排“三公经费”支出，故本表无数据。</w:t>
      </w:r>
    </w:p>
    <w:p/>
    <w:p/>
    <w:tbl>
      <w:tblPr>
        <w:tblStyle w:val="6"/>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pPr>
      <w:r>
        <w:rPr>
          <w:rFonts w:hint="eastAsia"/>
        </w:rPr>
        <w:t xml:space="preserve">    注：本表反映部门本年度政府性基金预算财政拨款收入支出及结转和结余情况。</w:t>
      </w:r>
    </w:p>
    <w:p>
      <w:pPr>
        <w:spacing w:line="560" w:lineRule="exact"/>
      </w:pPr>
      <w:r>
        <w:rPr>
          <w:rFonts w:hint="eastAsia"/>
        </w:rPr>
        <w:t>柳州市柳东新区石冲小区幼儿园没有政府性基金预算财政拨款收入，也没有安排政府性基金预算财政拨款支出，故本表无数据。</w:t>
      </w:r>
    </w:p>
    <w:p>
      <w:pPr>
        <w:spacing w:line="560" w:lineRule="exact"/>
      </w:pPr>
    </w:p>
    <w:p>
      <w:pPr>
        <w:spacing w:line="560" w:lineRule="exact"/>
      </w:pPr>
    </w:p>
    <w:tbl>
      <w:tblPr>
        <w:tblStyle w:val="6"/>
        <w:tblW w:w="13520" w:type="dxa"/>
        <w:tblInd w:w="0" w:type="dxa"/>
        <w:tblLayout w:type="fixed"/>
        <w:tblCellMar>
          <w:top w:w="15" w:type="dxa"/>
          <w:left w:w="15" w:type="dxa"/>
          <w:bottom w:w="15" w:type="dxa"/>
          <w:right w:w="15" w:type="dxa"/>
        </w:tblCellMar>
      </w:tblPr>
      <w:tblGrid>
        <w:gridCol w:w="2610"/>
        <w:gridCol w:w="2249"/>
        <w:gridCol w:w="3242"/>
        <w:gridCol w:w="1344"/>
        <w:gridCol w:w="4075"/>
      </w:tblGrid>
      <w:tr>
        <w:tblPrEx>
          <w:tblLayout w:type="fixed"/>
          <w:tblCellMar>
            <w:top w:w="15" w:type="dxa"/>
            <w:left w:w="15" w:type="dxa"/>
            <w:bottom w:w="15" w:type="dxa"/>
            <w:right w:w="15" w:type="dxa"/>
          </w:tblCellMar>
        </w:tblPrEx>
        <w:trPr>
          <w:trHeight w:val="768" w:hRule="atLeast"/>
        </w:trPr>
        <w:tc>
          <w:tcPr>
            <w:tcW w:w="13520" w:type="dxa"/>
            <w:gridSpan w:val="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Layout w:type="fixed"/>
          <w:tblCellMar>
            <w:top w:w="15" w:type="dxa"/>
            <w:left w:w="15" w:type="dxa"/>
            <w:bottom w:w="15" w:type="dxa"/>
            <w:right w:w="15" w:type="dxa"/>
          </w:tblCellMar>
        </w:tblPrEx>
        <w:trPr>
          <w:trHeight w:val="350" w:hRule="atLeast"/>
        </w:trPr>
        <w:tc>
          <w:tcPr>
            <w:tcW w:w="8101" w:type="dxa"/>
            <w:gridSpan w:val="3"/>
            <w:shd w:val="clear" w:color="auto" w:fill="FFFFFF"/>
            <w:vAlign w:val="center"/>
          </w:tcPr>
          <w:p>
            <w:pPr>
              <w:rPr>
                <w:rFonts w:ascii="宋体" w:hAnsi="宋体" w:cs="宋体"/>
                <w:color w:val="000000"/>
                <w:sz w:val="20"/>
                <w:szCs w:val="20"/>
              </w:rPr>
            </w:pPr>
            <w:r>
              <w:rPr>
                <w:rFonts w:hint="eastAsia" w:ascii="宋体" w:hAnsi="宋体" w:cs="宋体"/>
                <w:color w:val="000000"/>
                <w:kern w:val="0"/>
                <w:sz w:val="20"/>
                <w:szCs w:val="20"/>
              </w:rPr>
              <w:t>部门：柳州市柳东新区石冲小区幼儿园</w:t>
            </w: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15" w:type="dxa"/>
            <w:left w:w="15" w:type="dxa"/>
            <w:bottom w:w="15" w:type="dxa"/>
            <w:right w:w="15" w:type="dxa"/>
          </w:tblCellMar>
        </w:tblPrEx>
        <w:trPr>
          <w:trHeight w:val="341"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8"/>
                <w:rFonts w:hint="default"/>
              </w:rPr>
              <w:t xml:space="preserve">   </w:t>
            </w:r>
            <w:r>
              <w:rPr>
                <w:rStyle w:val="9"/>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Layout w:type="fixed"/>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Layout w:type="fixed"/>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12"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214"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Layout w:type="fixed"/>
          <w:tblCellMar>
            <w:top w:w="15" w:type="dxa"/>
            <w:left w:w="15" w:type="dxa"/>
            <w:bottom w:w="15" w:type="dxa"/>
            <w:right w:w="15" w:type="dxa"/>
          </w:tblCellMar>
        </w:tblPrEx>
        <w:trPr>
          <w:trHeight w:val="107"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147"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101"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318"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252"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173" w:hRule="atLeast"/>
        </w:trPr>
        <w:tc>
          <w:tcPr>
            <w:tcW w:w="2610"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798" w:hRule="atLeast"/>
        </w:trPr>
        <w:tc>
          <w:tcPr>
            <w:tcW w:w="13520" w:type="dxa"/>
            <w:gridSpan w:val="5"/>
            <w:tcBorders>
              <w:top w:val="single" w:color="000000" w:sz="12"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注：本表反映部门本年度国有资本经营预算财政拨款支出情况。</w:t>
            </w:r>
          </w:p>
          <w:p>
            <w:pPr>
              <w:spacing w:line="560" w:lineRule="exact"/>
              <w:rPr>
                <w:rFonts w:ascii="宋体" w:hAnsi="宋体" w:cs="宋体"/>
                <w:color w:val="000000"/>
                <w:kern w:val="0"/>
                <w:sz w:val="24"/>
              </w:rPr>
            </w:pPr>
            <w:r>
              <w:rPr>
                <w:rFonts w:hint="eastAsia" w:ascii="宋体" w:hAnsi="宋体" w:cs="宋体"/>
                <w:color w:val="000000"/>
                <w:kern w:val="0"/>
                <w:sz w:val="24"/>
              </w:rPr>
              <w:t>柳州市柳东新区石冲小区幼儿园没有国有资本经营预算收入，也没有国有资本经营安排的支出，故本表无数据</w:t>
            </w:r>
          </w:p>
          <w:p>
            <w:pPr>
              <w:widowControl/>
              <w:jc w:val="left"/>
              <w:textAlignment w:val="center"/>
              <w:rPr>
                <w:rFonts w:ascii="宋体" w:hAnsi="宋体" w:cs="宋体"/>
                <w:color w:val="000000"/>
                <w:sz w:val="24"/>
              </w:rPr>
            </w:pPr>
          </w:p>
        </w:tc>
      </w:tr>
    </w:tbl>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柳州市柳东新区石冲小区幼儿园</w:t>
      </w:r>
      <w:r>
        <w:rPr>
          <w:rFonts w:hint="eastAsia" w:ascii="仿宋_GB2312" w:eastAsia="仿宋_GB2312"/>
          <w:b/>
          <w:sz w:val="32"/>
          <w:szCs w:val="32"/>
        </w:rPr>
        <w:t>2020年度部门决算情况说明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2020年度收入总计42.67万元，支出总计42.67万元，因新区石冲小区幼儿园是2020年新增幼儿园，</w:t>
      </w:r>
      <w:r>
        <w:rPr>
          <w:rFonts w:hint="eastAsia" w:ascii="仿宋_GB2312" w:eastAsia="仿宋_GB2312" w:cs="仿宋_GB2312"/>
          <w:bCs/>
          <w:kern w:val="0"/>
          <w:sz w:val="32"/>
          <w:szCs w:val="32"/>
          <w:lang w:eastAsia="zh-CN"/>
        </w:rPr>
        <w:t>无2019年对比</w:t>
      </w:r>
      <w:r>
        <w:rPr>
          <w:rFonts w:hint="eastAsia" w:ascii="仿宋_GB2312" w:eastAsia="仿宋_GB2312" w:cs="仿宋_GB2312"/>
          <w:bCs/>
          <w:kern w:val="0"/>
          <w:sz w:val="32"/>
          <w:szCs w:val="32"/>
        </w:rPr>
        <w:t>数据。</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本年收入总计42.67万元 ，其中：一般公共预算财政拨款收入42.67万元；占比100%；政府基金预算财政拨款收入0万元；占比0%；上级补助收入0万元，占比0%；事业收入0万元，占比0%；事业单位经营收入0万元，占比0%；其他收入0万元，占比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bookmarkStart w:id="0" w:name="_GoBack"/>
      <w:r>
        <w:rPr>
          <w:rFonts w:hint="eastAsia" w:ascii="仿宋_GB2312" w:eastAsia="仿宋_GB2312" w:cs="仿宋_GB2312"/>
          <w:b/>
          <w:bCs w:val="0"/>
          <w:kern w:val="0"/>
          <w:sz w:val="32"/>
          <w:szCs w:val="32"/>
        </w:rPr>
        <w:t>三、</w:t>
      </w:r>
      <w:bookmarkEnd w:id="0"/>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本年支出合计42.67万元，其中：基本支出0万元，占 0%；项目支出42.67万元，占100%；经营支出0万元，占0%。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本部门2020年度财政拨款收、支总决算42.67万元、42.67万元。因是2020年新增幼儿园，</w:t>
      </w:r>
      <w:r>
        <w:rPr>
          <w:rFonts w:hint="eastAsia" w:ascii="仿宋_GB2312" w:eastAsia="仿宋_GB2312" w:cs="仿宋_GB2312"/>
          <w:bCs/>
          <w:kern w:val="0"/>
          <w:sz w:val="32"/>
          <w:szCs w:val="32"/>
          <w:lang w:eastAsia="zh-CN"/>
        </w:rPr>
        <w:t>无2019年对比</w:t>
      </w:r>
      <w:r>
        <w:rPr>
          <w:rFonts w:hint="eastAsia" w:ascii="仿宋_GB2312" w:eastAsia="仿宋_GB2312" w:cs="仿宋_GB2312"/>
          <w:bCs/>
          <w:kern w:val="0"/>
          <w:sz w:val="32"/>
          <w:szCs w:val="32"/>
        </w:rPr>
        <w:t>数据。</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pPr>
        <w:autoSpaceDE w:val="0"/>
        <w:autoSpaceDN w:val="0"/>
        <w:adjustRightInd w:val="0"/>
        <w:spacing w:line="560" w:lineRule="exact"/>
        <w:ind w:firstLine="800" w:firstLineChars="25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本部门2020年度财政拨款支出42.67万元，占本年支出合计的100%。因是2020年新增幼儿园，</w:t>
      </w:r>
      <w:r>
        <w:rPr>
          <w:rFonts w:hint="eastAsia" w:ascii="仿宋_GB2312" w:eastAsia="仿宋_GB2312" w:cs="仿宋_GB2312"/>
          <w:bCs/>
          <w:kern w:val="0"/>
          <w:sz w:val="32"/>
          <w:szCs w:val="32"/>
          <w:lang w:eastAsia="zh-CN"/>
        </w:rPr>
        <w:t>无2019年对比</w:t>
      </w:r>
      <w:r>
        <w:rPr>
          <w:rFonts w:hint="eastAsia" w:ascii="仿宋_GB2312" w:eastAsia="仿宋_GB2312" w:cs="仿宋_GB2312"/>
          <w:bCs/>
          <w:kern w:val="0"/>
          <w:sz w:val="32"/>
          <w:szCs w:val="32"/>
        </w:rPr>
        <w:t>数据。</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年度财政拨款支出42.67万元，主要用于以下方面：一般公共服务（类）支出 0万元， 占0%； 教育（类）支出42.67万元，占100%；科学技术（类） 支出0万元，占 0%；文化体育与传媒（类）支出0万元，占0%；社会保障和就业（类）支出0万元，占0%；农林水（类）支出0万元，占0%； 住房保障（类）支出0万元，占0%。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2020年度财政拨款支出年初预算为42.67万元，支出决算为42.67万元，完成年初预算的100%。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1.教育支出（类）普通教育（款）学前教育（项）。 年初预算为42.67万元，支出决算为42.67万元，完成年初预算的100%。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2020年度财政拨款基本支出0万元，其中：人员经费0万元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公用经费0万元。</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年度“三公”经费财政拨款支出预算为0万元，支出决算为0万元，其中：因公出国（境）费支出决算为0万元，；公务用车购置及运行费支出决算为0万元；公务接待费支出决算为0万元。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因是2020年新增幼儿园，</w:t>
      </w:r>
      <w:r>
        <w:rPr>
          <w:rFonts w:hint="eastAsia" w:ascii="仿宋_GB2312" w:eastAsia="仿宋_GB2312" w:cs="仿宋_GB2312"/>
          <w:bCs/>
          <w:kern w:val="0"/>
          <w:sz w:val="32"/>
          <w:szCs w:val="32"/>
          <w:lang w:eastAsia="zh-CN"/>
        </w:rPr>
        <w:t>无2019年对比</w:t>
      </w:r>
      <w:r>
        <w:rPr>
          <w:rFonts w:hint="eastAsia" w:ascii="仿宋_GB2312" w:eastAsia="仿宋_GB2312" w:cs="仿宋_GB2312"/>
          <w:bCs/>
          <w:kern w:val="0"/>
          <w:sz w:val="32"/>
          <w:szCs w:val="32"/>
        </w:rPr>
        <w:t>数据。</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 支出决算0万元，占0%；公务接待费支出决算0万元，占0%。具体情况如下：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2.公务用车购置及运行费支出0万元。其中：公务用车购置支出为0万元。公务用车运行支出0万元。2020年单位开支财政拨款的公务用车保有量为0辆。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外宾接待支出0万元。2020 年共接待国（境）外来访团组0个、来访外宾0人次。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国内公务接待支出0万元。2020 年共接待国内来访团组0个、来宾0人次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 2020年度政府基金预算财政拨款收、支总决算 0万元、0万元。因是2020年新增幼儿园，</w:t>
      </w:r>
      <w:r>
        <w:rPr>
          <w:rFonts w:hint="eastAsia" w:ascii="仿宋_GB2312" w:eastAsia="仿宋_GB2312" w:cs="仿宋_GB2312"/>
          <w:bCs/>
          <w:kern w:val="0"/>
          <w:sz w:val="32"/>
          <w:szCs w:val="32"/>
          <w:lang w:eastAsia="zh-CN"/>
        </w:rPr>
        <w:t>无2019年对比</w:t>
      </w:r>
      <w:r>
        <w:rPr>
          <w:rFonts w:hint="eastAsia" w:ascii="仿宋_GB2312" w:eastAsia="仿宋_GB2312" w:cs="仿宋_GB2312"/>
          <w:bCs/>
          <w:kern w:val="0"/>
          <w:sz w:val="32"/>
          <w:szCs w:val="32"/>
        </w:rPr>
        <w:t>数据。</w:t>
      </w:r>
    </w:p>
    <w:p>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2020年度国有资本经营预算财政拨款本年支出0万元。</w:t>
      </w:r>
    </w:p>
    <w:p>
      <w:pPr>
        <w:autoSpaceDE w:val="0"/>
        <w:autoSpaceDN w:val="0"/>
        <w:adjustRightInd w:val="0"/>
        <w:ind w:firstLine="643" w:firstLineChars="200"/>
        <w:jc w:val="left"/>
        <w:rPr>
          <w:rFonts w:ascii="仿宋_GB2312" w:hAnsi="仿宋_GB2312" w:eastAsia="仿宋_GB2312" w:cs="仿宋_GB2312"/>
          <w:bCs/>
          <w:color w:val="FF0000"/>
          <w:kern w:val="0"/>
          <w:sz w:val="32"/>
          <w:szCs w:val="32"/>
        </w:rPr>
      </w:pPr>
      <w:r>
        <w:rPr>
          <w:rFonts w:hint="eastAsia" w:ascii="仿宋_GB2312" w:eastAsia="仿宋_GB2312" w:cs="仿宋_GB2312"/>
          <w:b/>
          <w:kern w:val="0"/>
          <w:sz w:val="32"/>
          <w:szCs w:val="32"/>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柳州市柳东新区石冲小区幼儿园于2020年7月成立，针对2020年未开展绩效管理工作。根据财政预算</w:t>
      </w:r>
      <w:r>
        <w:rPr>
          <w:rFonts w:hint="eastAsia" w:ascii="仿宋_GB2312" w:eastAsia="仿宋_GB2312" w:cs="仿宋_GB2312"/>
          <w:bCs/>
          <w:kern w:val="0"/>
          <w:sz w:val="32"/>
          <w:szCs w:val="32"/>
          <w:lang w:eastAsia="zh-CN"/>
        </w:rPr>
        <w:t>绩效</w:t>
      </w:r>
      <w:r>
        <w:rPr>
          <w:rFonts w:hint="eastAsia" w:ascii="仿宋_GB2312" w:eastAsia="仿宋_GB2312" w:cs="仿宋_GB2312"/>
          <w:bCs/>
          <w:kern w:val="0"/>
          <w:sz w:val="32"/>
          <w:szCs w:val="32"/>
        </w:rPr>
        <w:t>管理要求</w:t>
      </w:r>
      <w:r>
        <w:rPr>
          <w:rFonts w:hint="eastAsia" w:ascii="仿宋_GB2312" w:eastAsia="仿宋_GB2312" w:cs="仿宋_GB2312"/>
          <w:bCs/>
          <w:kern w:val="0"/>
          <w:sz w:val="32"/>
          <w:szCs w:val="32"/>
          <w:lang w:eastAsia="zh-CN"/>
        </w:rPr>
        <w:t>，我部门</w:t>
      </w:r>
      <w:r>
        <w:rPr>
          <w:rFonts w:hint="eastAsia" w:ascii="仿宋_GB2312" w:eastAsia="仿宋_GB2312" w:cs="仿宋_GB2312"/>
          <w:bCs/>
          <w:kern w:val="0"/>
          <w:sz w:val="32"/>
          <w:szCs w:val="32"/>
          <w:lang w:val="en-US" w:eastAsia="zh-CN"/>
        </w:rPr>
        <w:t>完成了2021年绩效目标申报工作。</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（一）机关运行经费支出情况。本单位性质为事业单位，无机关运行经费；参照机关运行经费统计口径，我单位事业运行经费</w:t>
      </w:r>
      <w:r>
        <w:rPr>
          <w:rFonts w:hint="eastAsia" w:ascii="仿宋_GB2312" w:eastAsia="仿宋_GB2312" w:cs="仿宋_GB2312"/>
          <w:kern w:val="0"/>
          <w:sz w:val="32"/>
          <w:szCs w:val="32"/>
          <w:lang w:eastAsia="zh-CN"/>
        </w:rPr>
        <w:t>为</w:t>
      </w:r>
      <w:r>
        <w:rPr>
          <w:rFonts w:hint="eastAsia" w:ascii="仿宋_GB2312" w:eastAsia="仿宋_GB2312" w:cs="仿宋_GB2312"/>
          <w:kern w:val="0"/>
          <w:sz w:val="32"/>
          <w:szCs w:val="32"/>
          <w:lang w:val="en-US" w:eastAsia="zh-CN"/>
        </w:rPr>
        <w:t>0万元。</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（二）政府采购支出情况。2020年度部门政府采购支出总额0万元，其中：货物支出0万元、工程支出0万元、服务支出0万元。</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（三）国有资产占用情况。截至年末部门共有车辆0辆，其中：公务用车0辆；执法执勤用车0辆；专业技术用车0辆；单价50万元 以上通用设备0台（套），单价100 万元以上专用设备0台（套）。 </w:t>
      </w:r>
    </w:p>
    <w:p>
      <w:pPr>
        <w:ind w:firstLine="643" w:firstLineChars="200"/>
        <w:rPr>
          <w:rFonts w:ascii="仿宋_GB2312" w:eastAsia="仿宋_GB2312"/>
          <w:b/>
          <w:color w:val="FF0000"/>
          <w:sz w:val="32"/>
          <w:szCs w:val="32"/>
        </w:rPr>
      </w:pPr>
      <w:r>
        <w:rPr>
          <w:rFonts w:hint="eastAsia" w:ascii="仿宋_GB2312" w:eastAsia="仿宋_GB2312"/>
          <w:b/>
          <w:sz w:val="32"/>
          <w:szCs w:val="32"/>
        </w:rPr>
        <w:t>第四部分：名词解释</w:t>
      </w:r>
    </w:p>
    <w:p>
      <w:pPr>
        <w:numPr>
          <w:ilvl w:val="0"/>
          <w:numId w:val="2"/>
        </w:numPr>
        <w:ind w:left="638" w:leftChars="304"/>
        <w:rPr>
          <w:rFonts w:ascii="仿宋_GB2312" w:eastAsia="仿宋_GB2312"/>
          <w:bCs/>
          <w:sz w:val="32"/>
          <w:szCs w:val="32"/>
        </w:rPr>
      </w:pPr>
      <w:r>
        <w:rPr>
          <w:rFonts w:hint="eastAsia" w:ascii="仿宋_GB2312" w:eastAsia="仿宋_GB2312"/>
          <w:bCs/>
          <w:sz w:val="32"/>
          <w:szCs w:val="32"/>
        </w:rPr>
        <w:t>财政拨款收入：指本级财政当年拨付的资金。</w:t>
      </w:r>
    </w:p>
    <w:p>
      <w:pPr>
        <w:ind w:firstLine="640" w:firstLineChars="200"/>
        <w:rPr>
          <w:rFonts w:ascii="仿宋_GB2312" w:eastAsia="仿宋_GB2312"/>
          <w:bCs/>
          <w:sz w:val="32"/>
          <w:szCs w:val="32"/>
        </w:rPr>
      </w:pPr>
      <w:r>
        <w:rPr>
          <w:rFonts w:hint="eastAsia" w:ascii="仿宋_GB2312" w:eastAsia="仿宋_GB2312"/>
          <w:bCs/>
          <w:sz w:val="32"/>
          <w:szCs w:val="32"/>
        </w:rPr>
        <w:t>二、事业收入：指事业单位开展专业活动用辅助活动所取得的收入。</w:t>
      </w:r>
      <w:r>
        <w:rPr>
          <w:rFonts w:hint="eastAsia" w:ascii="仿宋_GB2312" w:eastAsia="仿宋_GB2312"/>
          <w:bCs/>
          <w:sz w:val="32"/>
          <w:szCs w:val="32"/>
        </w:rPr>
        <w:br w:type="textWrapping"/>
      </w:r>
      <w:r>
        <w:rPr>
          <w:rFonts w:hint="eastAsia" w:ascii="仿宋_GB2312" w:eastAsia="仿宋_GB2312"/>
          <w:bCs/>
          <w:sz w:val="32"/>
          <w:szCs w:val="32"/>
        </w:rPr>
        <w:t xml:space="preserve">    三、年初结转和结余：指以前年度尚未完成、结转到本年按规定继续使用的资金。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五、基本支出：指为保障机构正常运转、完成日常工作任务而发生的人员支出和公用支出。</w:t>
      </w:r>
      <w:r>
        <w:rPr>
          <w:rFonts w:hint="eastAsia" w:ascii="仿宋_GB2312" w:eastAsia="仿宋_GB2312"/>
          <w:bCs/>
          <w:sz w:val="32"/>
          <w:szCs w:val="32"/>
        </w:rPr>
        <w:br w:type="textWrapping"/>
      </w:r>
      <w:r>
        <w:rPr>
          <w:rFonts w:hint="eastAsia" w:ascii="仿宋_GB2312" w:eastAsia="仿宋_GB2312"/>
          <w:bCs/>
          <w:sz w:val="32"/>
          <w:szCs w:val="32"/>
        </w:rPr>
        <w:t xml:space="preserve">    六、项目支出：指在基本支出之外为完成特定行政任务和事业发展目标所发生的支出。</w:t>
      </w:r>
      <w:r>
        <w:rPr>
          <w:rFonts w:hint="eastAsia" w:ascii="仿宋_GB2312" w:eastAsia="仿宋_GB2312"/>
          <w:bCs/>
          <w:sz w:val="32"/>
          <w:szCs w:val="32"/>
        </w:rPr>
        <w:br w:type="textWrapping"/>
      </w:r>
      <w:r>
        <w:rPr>
          <w:rFonts w:hint="eastAsia" w:ascii="仿宋_GB2312" w:eastAsia="仿宋_GB2312"/>
          <w:bCs/>
          <w:sz w:val="32"/>
          <w:szCs w:val="32"/>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Cs/>
          <w:sz w:val="32"/>
          <w:szCs w:val="32"/>
        </w:rPr>
        <w:br w:type="textWrapping"/>
      </w:r>
      <w:r>
        <w:rPr>
          <w:rFonts w:hint="eastAsia" w:ascii="仿宋_GB2312" w:eastAsia="仿宋_GB2312"/>
          <w:bCs/>
          <w:sz w:val="32"/>
          <w:szCs w:val="32"/>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30"/>
        <w:szCs w:val="30"/>
      </w:rPr>
    </w:pP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- 14 -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6E89219"/>
    <w:multiLevelType w:val="singleLevel"/>
    <w:tmpl w:val="A6E8921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7347C"/>
    <w:rsid w:val="000855FB"/>
    <w:rsid w:val="000931FB"/>
    <w:rsid w:val="000960F1"/>
    <w:rsid w:val="000A682D"/>
    <w:rsid w:val="000B0EEB"/>
    <w:rsid w:val="000E6B06"/>
    <w:rsid w:val="000F6C06"/>
    <w:rsid w:val="0013154E"/>
    <w:rsid w:val="001861FC"/>
    <w:rsid w:val="001C1F7C"/>
    <w:rsid w:val="001C2ED7"/>
    <w:rsid w:val="001F3473"/>
    <w:rsid w:val="00215208"/>
    <w:rsid w:val="00222FA8"/>
    <w:rsid w:val="002A3E6C"/>
    <w:rsid w:val="002E192A"/>
    <w:rsid w:val="002F5E42"/>
    <w:rsid w:val="003523C9"/>
    <w:rsid w:val="0039559F"/>
    <w:rsid w:val="003E57C2"/>
    <w:rsid w:val="00467DC0"/>
    <w:rsid w:val="00470F07"/>
    <w:rsid w:val="004B364B"/>
    <w:rsid w:val="004C5E3B"/>
    <w:rsid w:val="005E15AC"/>
    <w:rsid w:val="005E48A4"/>
    <w:rsid w:val="00612A7F"/>
    <w:rsid w:val="00613DEE"/>
    <w:rsid w:val="00617719"/>
    <w:rsid w:val="00737A14"/>
    <w:rsid w:val="0075582B"/>
    <w:rsid w:val="007D0961"/>
    <w:rsid w:val="007E386F"/>
    <w:rsid w:val="00820CDA"/>
    <w:rsid w:val="00823641"/>
    <w:rsid w:val="008C17B6"/>
    <w:rsid w:val="008C5032"/>
    <w:rsid w:val="008F76D8"/>
    <w:rsid w:val="00911555"/>
    <w:rsid w:val="0091506E"/>
    <w:rsid w:val="009443C3"/>
    <w:rsid w:val="009A799A"/>
    <w:rsid w:val="009F7816"/>
    <w:rsid w:val="00A22ECE"/>
    <w:rsid w:val="00AB5312"/>
    <w:rsid w:val="00B101CE"/>
    <w:rsid w:val="00BC5FAD"/>
    <w:rsid w:val="00C101F6"/>
    <w:rsid w:val="00C109C2"/>
    <w:rsid w:val="00C16839"/>
    <w:rsid w:val="00C521BD"/>
    <w:rsid w:val="00C6141C"/>
    <w:rsid w:val="00C97CCE"/>
    <w:rsid w:val="00D23095"/>
    <w:rsid w:val="00D456FE"/>
    <w:rsid w:val="00D945DE"/>
    <w:rsid w:val="00DA7097"/>
    <w:rsid w:val="00EC5CBE"/>
    <w:rsid w:val="00EF3321"/>
    <w:rsid w:val="00EF6B37"/>
    <w:rsid w:val="00F26F7C"/>
    <w:rsid w:val="00FD123E"/>
    <w:rsid w:val="00FD1AE0"/>
    <w:rsid w:val="063861B4"/>
    <w:rsid w:val="124204B5"/>
    <w:rsid w:val="21BF59CB"/>
    <w:rsid w:val="26460DBA"/>
    <w:rsid w:val="29044456"/>
    <w:rsid w:val="2B6F74EB"/>
    <w:rsid w:val="2C4219FE"/>
    <w:rsid w:val="2DD341E1"/>
    <w:rsid w:val="33C76EF0"/>
    <w:rsid w:val="34020F86"/>
    <w:rsid w:val="34EE41B6"/>
    <w:rsid w:val="39A63F06"/>
    <w:rsid w:val="3ED1439F"/>
    <w:rsid w:val="45910DA3"/>
    <w:rsid w:val="4A46671F"/>
    <w:rsid w:val="4C256E3D"/>
    <w:rsid w:val="4CB52F0F"/>
    <w:rsid w:val="4F49745E"/>
    <w:rsid w:val="517A2010"/>
    <w:rsid w:val="532F1F9A"/>
    <w:rsid w:val="5E995A3E"/>
    <w:rsid w:val="62163194"/>
    <w:rsid w:val="624D024D"/>
    <w:rsid w:val="650E086A"/>
    <w:rsid w:val="6BAA0708"/>
    <w:rsid w:val="7D1B0B77"/>
    <w:rsid w:val="7EC7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paragraph" w:styleId="7">
    <w:name w:val="List Paragraph"/>
    <w:basedOn w:val="1"/>
    <w:unhideWhenUsed/>
    <w:qFormat/>
    <w:uiPriority w:val="99"/>
    <w:pPr>
      <w:ind w:firstLine="420" w:firstLineChars="200"/>
    </w:pPr>
  </w:style>
  <w:style w:type="character" w:customStyle="1" w:styleId="8">
    <w:name w:val="font11"/>
    <w:basedOn w:val="4"/>
    <w:qFormat/>
    <w:uiPriority w:val="0"/>
    <w:rPr>
      <w:rFonts w:hint="eastAsia" w:ascii="宋体" w:hAnsi="宋体" w:eastAsia="宋体" w:cs="宋体"/>
      <w:color w:val="000000"/>
      <w:sz w:val="22"/>
      <w:szCs w:val="22"/>
      <w:u w:val="none"/>
    </w:rPr>
  </w:style>
  <w:style w:type="character" w:customStyle="1" w:styleId="9">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0D42F-A8B3-4CE1-A858-0C08349CA204}">
  <ds:schemaRefs/>
</ds:datastoreItem>
</file>

<file path=docProps/app.xml><?xml version="1.0" encoding="utf-8"?>
<Properties xmlns="http://schemas.openxmlformats.org/officeDocument/2006/extended-properties" xmlns:vt="http://schemas.openxmlformats.org/officeDocument/2006/docPropsVTypes">
  <Template>Normal</Template>
  <Pages>20</Pages>
  <Words>5426</Words>
  <Characters>2311</Characters>
  <Lines>19</Lines>
  <Paragraphs>15</Paragraphs>
  <TotalTime>5</TotalTime>
  <ScaleCrop>false</ScaleCrop>
  <LinksUpToDate>false</LinksUpToDate>
  <CharactersWithSpaces>7722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2021-07-09T05:08:00Z</dcterms:created>
  <dc:creator>陈冬雪</dc:creator>
  <cp:lastModifiedBy>覃燕</cp:lastModifiedBy>
  <cp:lastPrinted>2021-07-09T01:51:00Z</cp:lastPrinted>
  <dcterms:modified xsi:type="dcterms:W3CDTF">2021-08-02T07:36:35Z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