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柳州市鱼峰区雒容镇司法所</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雒容镇司法所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雒容镇司法所</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雒容镇司法所</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雒容镇司法所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（一）指导管理人民调解工作，参与调解疑难、复杂民间纠纷。</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（二）承担社区矫正日常工作，组织开展对社区服刑人员的管理、教育和帮助。</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（三）指导管理基层法律服务工作。 </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（四）协调有关部门和单位开展对刑释解教人员的安置帮教工作。</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（五）组织开展法制宣传教育工作。</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（六）组织开展基层依法治理工作，为乡（镇、街道、场）人民政府、开发区管委会依法行政、依法管理提供法律意见和建议。</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（七）协助乡（镇、街道、场）人民政府、开发区管委会处理社会矛盾纠纷。</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（八）贯彻上级禁毒工作指示，拟定全镇禁毒工作计划和措施，并负责组织实施，宣传禁毒法律法规和政策。</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right="-218" w:rightChars="-104" w:firstLine="640" w:firstLineChars="200"/>
        <w:rPr>
          <w:rFonts w:ascii="仿宋" w:hAnsi="仿宋" w:eastAsia="仿宋" w:cs="仿宋"/>
          <w:sz w:val="32"/>
          <w:szCs w:val="32"/>
        </w:rPr>
      </w:pPr>
      <w:r>
        <w:rPr>
          <w:rFonts w:hint="eastAsia" w:ascii="仿宋" w:hAnsi="仿宋" w:eastAsia="仿宋" w:cs="仿宋"/>
          <w:sz w:val="32"/>
          <w:szCs w:val="32"/>
        </w:rPr>
        <w:t>雒容镇司法所是行政机关单位，在职在编人员4人，编外聘用人员7人。</w:t>
      </w:r>
    </w:p>
    <w:p>
      <w:pPr>
        <w:jc w:val="center"/>
      </w:pPr>
    </w:p>
    <w:p>
      <w:pPr>
        <w:jc w:val="center"/>
      </w:pPr>
    </w:p>
    <w:p>
      <w:pPr>
        <w:jc w:val="center"/>
      </w:pPr>
    </w:p>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雒容镇司法所</w:t>
      </w:r>
      <w:r>
        <w:rPr>
          <w:rFonts w:hint="eastAsia" w:ascii="仿宋_GB2312" w:eastAsia="仿宋_GB2312"/>
          <w:b/>
          <w:sz w:val="32"/>
          <w:szCs w:val="32"/>
        </w:rPr>
        <w:t xml:space="preserve"> 2020年部门决算报表</w:t>
      </w:r>
    </w:p>
    <w:p/>
    <w:tbl>
      <w:tblPr>
        <w:tblStyle w:val="6"/>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198.64</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三、国防支出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176.33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198.64</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198.64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201.53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color w:val="000000"/>
                <w:kern w:val="0"/>
                <w:sz w:val="22"/>
                <w:szCs w:val="22"/>
              </w:rPr>
              <w:t>201.53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6"/>
        <w:tblW w:w="14700" w:type="dxa"/>
        <w:tblInd w:w="93" w:type="dxa"/>
        <w:tblLayout w:type="fixed"/>
        <w:tblCellMar>
          <w:top w:w="0" w:type="dxa"/>
          <w:left w:w="108" w:type="dxa"/>
          <w:bottom w:w="0" w:type="dxa"/>
          <w:right w:w="108" w:type="dxa"/>
        </w:tblCellMar>
      </w:tblPr>
      <w:tblGrid>
        <w:gridCol w:w="436"/>
        <w:gridCol w:w="436"/>
        <w:gridCol w:w="436"/>
        <w:gridCol w:w="3956"/>
        <w:gridCol w:w="1380"/>
        <w:gridCol w:w="1381"/>
        <w:gridCol w:w="1335"/>
        <w:gridCol w:w="1335"/>
        <w:gridCol w:w="1335"/>
        <w:gridCol w:w="1335"/>
        <w:gridCol w:w="1335"/>
      </w:tblGrid>
      <w:tr>
        <w:tblPrEx>
          <w:tblLayout w:type="fixed"/>
          <w:tblCellMar>
            <w:top w:w="0" w:type="dxa"/>
            <w:left w:w="108" w:type="dxa"/>
            <w:bottom w:w="0" w:type="dxa"/>
            <w:right w:w="108" w:type="dxa"/>
          </w:tblCellMar>
        </w:tblPrEx>
        <w:trPr>
          <w:trHeight w:val="308" w:hRule="atLeast"/>
        </w:trPr>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3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38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13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3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13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13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335"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支出功能分类科目编码</w:t>
            </w:r>
          </w:p>
        </w:tc>
        <w:tc>
          <w:tcPr>
            <w:tcW w:w="395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35"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395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38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38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33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198.64</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198.64</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司法</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2040602</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72.32</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72.32</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2040604</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基层司法业务</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9.61</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9.61</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普法宣传</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7.70</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7.70</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2040610</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社区矫正</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3.09</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3.09</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38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380"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381"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335"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nil"/>
              <w:left w:val="nil"/>
              <w:bottom w:val="single" w:color="auto"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single" w:color="auto" w:sz="4" w:space="0"/>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380"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381"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335"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335"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r>
    </w:tbl>
    <w:p/>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6"/>
        <w:tblW w:w="13860" w:type="dxa"/>
        <w:tblInd w:w="93" w:type="dxa"/>
        <w:tblLayout w:type="fixed"/>
        <w:tblCellMar>
          <w:top w:w="0" w:type="dxa"/>
          <w:left w:w="108" w:type="dxa"/>
          <w:bottom w:w="0" w:type="dxa"/>
          <w:right w:w="108" w:type="dxa"/>
        </w:tblCellMar>
      </w:tblPr>
      <w:tblGrid>
        <w:gridCol w:w="436"/>
        <w:gridCol w:w="436"/>
        <w:gridCol w:w="436"/>
        <w:gridCol w:w="3956"/>
        <w:gridCol w:w="1443"/>
        <w:gridCol w:w="1443"/>
        <w:gridCol w:w="1438"/>
        <w:gridCol w:w="1424"/>
        <w:gridCol w:w="1424"/>
        <w:gridCol w:w="1424"/>
      </w:tblGrid>
      <w:tr>
        <w:tblPrEx>
          <w:tblLayout w:type="fixed"/>
          <w:tblCellMar>
            <w:top w:w="0" w:type="dxa"/>
            <w:left w:w="108" w:type="dxa"/>
            <w:bottom w:w="0" w:type="dxa"/>
            <w:right w:w="108" w:type="dxa"/>
          </w:tblCellMar>
        </w:tblPrEx>
        <w:trPr>
          <w:trHeight w:val="308" w:hRule="atLeast"/>
        </w:trPr>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44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44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43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4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142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424" w:type="dxa"/>
            <w:vMerge w:val="restart"/>
            <w:tcBorders>
              <w:top w:val="single" w:color="000000" w:sz="4" w:space="0"/>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支出功能分类科目编码</w:t>
            </w:r>
          </w:p>
        </w:tc>
        <w:tc>
          <w:tcPr>
            <w:tcW w:w="395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4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424" w:type="dxa"/>
            <w:vMerge w:val="continue"/>
            <w:tcBorders>
              <w:top w:val="single" w:color="000000" w:sz="4" w:space="0"/>
              <w:left w:val="nil"/>
              <w:bottom w:val="single" w:color="000000" w:sz="4" w:space="0"/>
              <w:right w:val="single" w:color="000000" w:sz="8"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395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44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44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3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42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2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24" w:type="dxa"/>
            <w:tcBorders>
              <w:top w:val="nil"/>
              <w:left w:val="nil"/>
              <w:bottom w:val="single" w:color="000000" w:sz="4" w:space="0"/>
              <w:right w:val="single" w:color="000000" w:sz="8"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95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198.64</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106.30</w:t>
            </w: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92.34</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92.34</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司法</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92.34</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2040602</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72.32</w:t>
            </w:r>
          </w:p>
        </w:tc>
        <w:tc>
          <w:tcPr>
            <w:tcW w:w="144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72.32</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2040604</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基层司法业务</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9.61</w:t>
            </w:r>
          </w:p>
        </w:tc>
        <w:tc>
          <w:tcPr>
            <w:tcW w:w="144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9.61</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普法宣传</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7.70</w:t>
            </w:r>
          </w:p>
        </w:tc>
        <w:tc>
          <w:tcPr>
            <w:tcW w:w="144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7.70</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2040610</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社区矫正</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144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38"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3.09</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3.09</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443"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443" w:type="dxa"/>
            <w:tcBorders>
              <w:top w:val="nil"/>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438"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auto"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single" w:color="auto" w:sz="4" w:space="0"/>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443"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443" w:type="dxa"/>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1438"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single" w:color="auto" w:sz="4" w:space="0"/>
              <w:left w:val="nil"/>
              <w:bottom w:val="single" w:color="auto"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single" w:color="auto"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443"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w:t>
            </w:r>
          </w:p>
        </w:tc>
        <w:tc>
          <w:tcPr>
            <w:tcW w:w="1443" w:type="dxa"/>
            <w:tcBorders>
              <w:top w:val="single" w:color="auto" w:sz="4" w:space="0"/>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w:t>
            </w:r>
          </w:p>
        </w:tc>
        <w:tc>
          <w:tcPr>
            <w:tcW w:w="1438" w:type="dxa"/>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single" w:color="auto" w:sz="4" w:space="0"/>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single" w:color="auto" w:sz="4" w:space="0"/>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443"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43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443"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443"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1438" w:type="dxa"/>
            <w:tcBorders>
              <w:top w:val="nil"/>
              <w:left w:val="nil"/>
              <w:bottom w:val="single" w:color="000000" w:sz="8"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8"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8" w:space="0"/>
              <w:right w:val="single" w:color="000000" w:sz="4" w:space="0"/>
            </w:tcBorders>
            <w:shd w:val="clear" w:color="auto" w:fill="auto"/>
            <w:vAlign w:val="center"/>
          </w:tcPr>
          <w:p>
            <w:pPr>
              <w:jc w:val="right"/>
              <w:rPr>
                <w:rFonts w:ascii="宋体" w:hAnsi="宋体" w:cs="宋体"/>
                <w:color w:val="000000"/>
                <w:sz w:val="22"/>
                <w:szCs w:val="22"/>
              </w:rPr>
            </w:pPr>
          </w:p>
        </w:tc>
        <w:tc>
          <w:tcPr>
            <w:tcW w:w="1424" w:type="dxa"/>
            <w:tcBorders>
              <w:top w:val="nil"/>
              <w:left w:val="nil"/>
              <w:bottom w:val="single" w:color="000000" w:sz="8" w:space="0"/>
              <w:right w:val="single" w:color="000000" w:sz="8" w:space="0"/>
            </w:tcBorders>
            <w:shd w:val="clear" w:color="auto" w:fill="auto"/>
            <w:vAlign w:val="center"/>
          </w:tcPr>
          <w:p>
            <w:pPr>
              <w:jc w:val="right"/>
              <w:rPr>
                <w:rFonts w:ascii="宋体" w:hAnsi="宋体" w:cs="宋体"/>
                <w:color w:val="000000"/>
                <w:sz w:val="22"/>
                <w:szCs w:val="22"/>
              </w:rPr>
            </w:pPr>
          </w:p>
        </w:tc>
      </w:tr>
    </w:tbl>
    <w:p/>
    <w:p>
      <w:r>
        <w:rPr>
          <w:rFonts w:hint="eastAsia"/>
        </w:rPr>
        <w:t>注：本表反映部门本年度各项支出情况。</w:t>
      </w:r>
    </w:p>
    <w:p/>
    <w:p/>
    <w:p>
      <w:pPr>
        <w:jc w:val="center"/>
        <w:rPr>
          <w:sz w:val="22"/>
          <w:szCs w:val="22"/>
        </w:rPr>
      </w:pPr>
      <w:r>
        <w:rPr>
          <w:rFonts w:hint="eastAsia" w:ascii="方正小标宋简体" w:hAnsi="宋体" w:eastAsia="方正小标宋简体" w:cs="宋体"/>
          <w:kern w:val="0"/>
          <w:sz w:val="36"/>
          <w:szCs w:val="36"/>
        </w:rPr>
        <w:t>表四：财政拨款收入支出决算总表</w:t>
      </w:r>
    </w:p>
    <w:p>
      <w:pPr>
        <w:jc w:val="right"/>
        <w:rPr>
          <w:rFonts w:eastAsia="方正小标宋简体"/>
        </w:rPr>
      </w:pPr>
      <w:r>
        <w:rPr>
          <w:rFonts w:hint="eastAsia"/>
          <w:sz w:val="22"/>
          <w:szCs w:val="22"/>
        </w:rPr>
        <w:t>单位：万元</w:t>
      </w:r>
    </w:p>
    <w:tbl>
      <w:tblPr>
        <w:tblStyle w:val="6"/>
        <w:tblpPr w:leftFromText="180" w:rightFromText="180" w:vertAnchor="text" w:horzAnchor="page" w:tblpX="1768" w:tblpY="24"/>
        <w:tblOverlap w:val="never"/>
        <w:tblW w:w="14000" w:type="dxa"/>
        <w:tblInd w:w="0" w:type="dxa"/>
        <w:tblLayout w:type="fixed"/>
        <w:tblCellMar>
          <w:top w:w="0" w:type="dxa"/>
          <w:left w:w="108" w:type="dxa"/>
          <w:bottom w:w="0" w:type="dxa"/>
          <w:right w:w="108" w:type="dxa"/>
        </w:tblCellMar>
      </w:tblPr>
      <w:tblGrid>
        <w:gridCol w:w="3508"/>
        <w:gridCol w:w="709"/>
        <w:gridCol w:w="1761"/>
        <w:gridCol w:w="3200"/>
        <w:gridCol w:w="709"/>
        <w:gridCol w:w="1125"/>
        <w:gridCol w:w="9"/>
        <w:gridCol w:w="1418"/>
        <w:gridCol w:w="1561"/>
      </w:tblGrid>
      <w:tr>
        <w:tblPrEx>
          <w:tblLayout w:type="fixed"/>
          <w:tblCellMar>
            <w:top w:w="0" w:type="dxa"/>
            <w:left w:w="108" w:type="dxa"/>
            <w:bottom w:w="0" w:type="dxa"/>
            <w:right w:w="108" w:type="dxa"/>
          </w:tblCellMar>
        </w:tblPrEx>
        <w:trPr>
          <w:trHeight w:val="300" w:hRule="atLeast"/>
        </w:trPr>
        <w:tc>
          <w:tcPr>
            <w:tcW w:w="5978"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022" w:type="dxa"/>
            <w:gridSpan w:val="6"/>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350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761"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0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56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0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6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198.64　</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134" w:type="dxa"/>
            <w:gridSpan w:val="2"/>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5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134" w:type="dxa"/>
            <w:gridSpan w:val="2"/>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5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134" w:type="dxa"/>
            <w:gridSpan w:val="2"/>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5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61" w:type="dxa"/>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四、公共安全支出</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134" w:type="dxa"/>
            <w:gridSpan w:val="2"/>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176.33　</w:t>
            </w:r>
          </w:p>
        </w:tc>
        <w:tc>
          <w:tcPr>
            <w:tcW w:w="1418" w:type="dxa"/>
            <w:tcBorders>
              <w:top w:val="single" w:color="auto" w:sz="4" w:space="0"/>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176.33</w:t>
            </w:r>
          </w:p>
        </w:tc>
        <w:tc>
          <w:tcPr>
            <w:tcW w:w="1561" w:type="dxa"/>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61" w:type="dxa"/>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五、教育支出</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134" w:type="dxa"/>
            <w:gridSpan w:val="2"/>
            <w:tcBorders>
              <w:top w:val="single" w:color="auto" w:sz="4" w:space="0"/>
              <w:left w:val="nil"/>
              <w:bottom w:val="single" w:color="auto" w:sz="4" w:space="0"/>
              <w:right w:val="single" w:color="auto" w:sz="4" w:space="0"/>
            </w:tcBorders>
          </w:tcPr>
          <w:p>
            <w:pPr>
              <w:widowControl/>
              <w:ind w:firstLine="660" w:firstLineChars="300"/>
              <w:jc w:val="center"/>
              <w:rPr>
                <w:rFonts w:ascii="宋体" w:hAnsi="宋体" w:cs="Arial"/>
                <w:color w:val="000000"/>
                <w:kern w:val="0"/>
                <w:sz w:val="22"/>
                <w:szCs w:val="22"/>
              </w:rPr>
            </w:pPr>
          </w:p>
        </w:tc>
        <w:tc>
          <w:tcPr>
            <w:tcW w:w="1418"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61" w:type="dxa"/>
            <w:tcBorders>
              <w:top w:val="single" w:color="auto" w:sz="4" w:space="0"/>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六、科学技术支出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134"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6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七、文化旅游体育与传媒支出</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134"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八、社会保障和就业支出</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134"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9.38</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9.38</w:t>
            </w:r>
          </w:p>
        </w:tc>
        <w:tc>
          <w:tcPr>
            <w:tcW w:w="156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九、卫生健康支出</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134"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5.69</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宋体"/>
                <w:color w:val="000000"/>
                <w:kern w:val="0"/>
                <w:sz w:val="22"/>
                <w:szCs w:val="22"/>
              </w:rPr>
              <w:t>5.69</w:t>
            </w:r>
          </w:p>
        </w:tc>
        <w:tc>
          <w:tcPr>
            <w:tcW w:w="15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十九、</w:t>
            </w:r>
            <w:r>
              <w:rPr>
                <w:rFonts w:hint="eastAsia" w:ascii="宋体" w:hAnsi="宋体" w:cs="宋体"/>
                <w:color w:val="000000"/>
                <w:kern w:val="0"/>
                <w:sz w:val="22"/>
                <w:szCs w:val="22"/>
              </w:rPr>
              <w:t>住房保障支出</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134" w:type="dxa"/>
            <w:gridSpan w:val="2"/>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7.23</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7.23</w:t>
            </w:r>
          </w:p>
        </w:tc>
        <w:tc>
          <w:tcPr>
            <w:tcW w:w="15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125" w:type="dxa"/>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427" w:type="dxa"/>
            <w:gridSpan w:val="2"/>
            <w:tcBorders>
              <w:top w:val="single" w:color="auto" w:sz="4" w:space="0"/>
              <w:left w:val="nil"/>
              <w:bottom w:val="single" w:color="auto" w:sz="4" w:space="0"/>
              <w:right w:val="single" w:color="auto" w:sz="4" w:space="0"/>
            </w:tcBorders>
          </w:tcPr>
          <w:p>
            <w:pPr>
              <w:ind w:left="1295"/>
              <w:jc w:val="left"/>
              <w:rPr>
                <w:rFonts w:ascii="宋体" w:hAnsi="宋体" w:cs="Arial"/>
                <w:color w:val="000000"/>
                <w:kern w:val="0"/>
                <w:sz w:val="22"/>
                <w:szCs w:val="22"/>
              </w:rPr>
            </w:pPr>
          </w:p>
        </w:tc>
        <w:tc>
          <w:tcPr>
            <w:tcW w:w="1561" w:type="dxa"/>
            <w:tcBorders>
              <w:top w:val="single" w:color="auto" w:sz="4" w:space="0"/>
              <w:left w:val="nil"/>
              <w:bottom w:val="single" w:color="auto" w:sz="4" w:space="0"/>
              <w:right w:val="single" w:color="auto" w:sz="4" w:space="0"/>
            </w:tcBorders>
          </w:tcPr>
          <w:p>
            <w:pPr>
              <w:ind w:left="1367"/>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198.64</w:t>
            </w:r>
          </w:p>
        </w:tc>
        <w:tc>
          <w:tcPr>
            <w:tcW w:w="32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125"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198.63</w:t>
            </w:r>
          </w:p>
        </w:tc>
        <w:tc>
          <w:tcPr>
            <w:tcW w:w="1427" w:type="dxa"/>
            <w:gridSpan w:val="2"/>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198.63</w:t>
            </w:r>
          </w:p>
        </w:tc>
        <w:tc>
          <w:tcPr>
            <w:tcW w:w="1561" w:type="dxa"/>
            <w:tcBorders>
              <w:top w:val="single" w:color="auto" w:sz="4" w:space="0"/>
              <w:left w:val="nil"/>
              <w:bottom w:val="single" w:color="auto" w:sz="4" w:space="0"/>
              <w:right w:val="single" w:color="auto" w:sz="4" w:space="0"/>
            </w:tcBorders>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0.65</w:t>
            </w:r>
          </w:p>
        </w:tc>
        <w:tc>
          <w:tcPr>
            <w:tcW w:w="32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125"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0.65</w:t>
            </w:r>
          </w:p>
        </w:tc>
        <w:tc>
          <w:tcPr>
            <w:tcW w:w="1427" w:type="dxa"/>
            <w:gridSpan w:val="2"/>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0.65</w:t>
            </w:r>
          </w:p>
        </w:tc>
        <w:tc>
          <w:tcPr>
            <w:tcW w:w="1561" w:type="dxa"/>
            <w:tcBorders>
              <w:top w:val="single" w:color="auto" w:sz="4" w:space="0"/>
              <w:left w:val="nil"/>
              <w:bottom w:val="single" w:color="auto" w:sz="4" w:space="0"/>
              <w:right w:val="single" w:color="auto" w:sz="4" w:space="0"/>
            </w:tcBorders>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0.65</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125"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000000"/>
                <w:kern w:val="0"/>
                <w:sz w:val="22"/>
                <w:szCs w:val="22"/>
              </w:rPr>
            </w:pPr>
          </w:p>
        </w:tc>
        <w:tc>
          <w:tcPr>
            <w:tcW w:w="1427" w:type="dxa"/>
            <w:gridSpan w:val="2"/>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000000"/>
                <w:kern w:val="0"/>
                <w:sz w:val="22"/>
                <w:szCs w:val="22"/>
              </w:rPr>
            </w:pPr>
          </w:p>
        </w:tc>
        <w:tc>
          <w:tcPr>
            <w:tcW w:w="1561" w:type="dxa"/>
            <w:tcBorders>
              <w:top w:val="single" w:color="auto" w:sz="4" w:space="0"/>
              <w:left w:val="nil"/>
              <w:bottom w:val="single" w:color="auto" w:sz="4" w:space="0"/>
              <w:right w:val="single" w:color="auto" w:sz="4" w:space="0"/>
            </w:tcBorders>
          </w:tcPr>
          <w:p>
            <w:pPr>
              <w:widowControl/>
              <w:ind w:firstLine="2420" w:firstLineChars="1100"/>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76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125"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000000"/>
                <w:kern w:val="0"/>
                <w:sz w:val="22"/>
                <w:szCs w:val="22"/>
              </w:rPr>
            </w:pPr>
          </w:p>
        </w:tc>
        <w:tc>
          <w:tcPr>
            <w:tcW w:w="1427" w:type="dxa"/>
            <w:gridSpan w:val="2"/>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000000"/>
                <w:kern w:val="0"/>
                <w:sz w:val="22"/>
                <w:szCs w:val="22"/>
              </w:rPr>
            </w:pPr>
          </w:p>
        </w:tc>
        <w:tc>
          <w:tcPr>
            <w:tcW w:w="1561" w:type="dxa"/>
            <w:tcBorders>
              <w:top w:val="single" w:color="auto" w:sz="4" w:space="0"/>
              <w:left w:val="nil"/>
              <w:bottom w:val="single" w:color="auto" w:sz="4" w:space="0"/>
              <w:right w:val="single" w:color="auto" w:sz="4" w:space="0"/>
            </w:tcBorders>
          </w:tcPr>
          <w:p>
            <w:pPr>
              <w:widowControl/>
              <w:ind w:firstLine="2420" w:firstLineChars="1100"/>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125"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000000"/>
                <w:kern w:val="0"/>
                <w:sz w:val="22"/>
                <w:szCs w:val="22"/>
              </w:rPr>
            </w:pPr>
          </w:p>
        </w:tc>
        <w:tc>
          <w:tcPr>
            <w:tcW w:w="1427" w:type="dxa"/>
            <w:gridSpan w:val="2"/>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000000"/>
                <w:kern w:val="0"/>
                <w:sz w:val="22"/>
                <w:szCs w:val="22"/>
              </w:rPr>
            </w:pPr>
          </w:p>
        </w:tc>
        <w:tc>
          <w:tcPr>
            <w:tcW w:w="1561" w:type="dxa"/>
            <w:tcBorders>
              <w:top w:val="single" w:color="auto" w:sz="4" w:space="0"/>
              <w:left w:val="nil"/>
              <w:bottom w:val="single" w:color="auto" w:sz="4" w:space="0"/>
              <w:right w:val="single" w:color="auto" w:sz="4" w:space="0"/>
            </w:tcBorders>
          </w:tcPr>
          <w:p>
            <w:pPr>
              <w:widowControl/>
              <w:ind w:firstLine="2420" w:firstLineChars="1100"/>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08"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76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199.28</w:t>
            </w:r>
          </w:p>
        </w:tc>
        <w:tc>
          <w:tcPr>
            <w:tcW w:w="32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125" w:type="dxa"/>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199.28</w:t>
            </w:r>
          </w:p>
        </w:tc>
        <w:tc>
          <w:tcPr>
            <w:tcW w:w="1427" w:type="dxa"/>
            <w:gridSpan w:val="2"/>
            <w:tcBorders>
              <w:top w:val="single" w:color="auto" w:sz="4" w:space="0"/>
              <w:left w:val="nil"/>
              <w:bottom w:val="single" w:color="auto" w:sz="4" w:space="0"/>
              <w:right w:val="single" w:color="auto" w:sz="4" w:space="0"/>
            </w:tcBorders>
          </w:tcPr>
          <w:p>
            <w:pPr>
              <w:jc w:val="center"/>
              <w:rPr>
                <w:rFonts w:ascii="宋体" w:hAnsi="宋体" w:cs="Arial"/>
                <w:color w:val="000000"/>
                <w:kern w:val="0"/>
                <w:sz w:val="22"/>
                <w:szCs w:val="22"/>
              </w:rPr>
            </w:pPr>
            <w:r>
              <w:rPr>
                <w:rFonts w:hint="eastAsia" w:ascii="宋体" w:hAnsi="宋体" w:cs="Arial"/>
                <w:color w:val="000000"/>
                <w:kern w:val="0"/>
                <w:sz w:val="22"/>
                <w:szCs w:val="22"/>
              </w:rPr>
              <w:t>199.28</w:t>
            </w:r>
          </w:p>
        </w:tc>
        <w:tc>
          <w:tcPr>
            <w:tcW w:w="1561" w:type="dxa"/>
            <w:tcBorders>
              <w:top w:val="single" w:color="auto" w:sz="4" w:space="0"/>
              <w:left w:val="nil"/>
              <w:bottom w:val="single" w:color="auto" w:sz="4" w:space="0"/>
              <w:right w:val="single" w:color="auto" w:sz="4" w:space="0"/>
            </w:tcBorders>
          </w:tcPr>
          <w:p>
            <w:pPr>
              <w:rPr>
                <w:rFonts w:ascii="宋体" w:hAnsi="宋体" w:cs="Arial"/>
                <w:color w:val="000000"/>
                <w:kern w:val="0"/>
                <w:sz w:val="22"/>
                <w:szCs w:val="22"/>
              </w:rPr>
            </w:pP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623" w:type="dxa"/>
        <w:tblInd w:w="93" w:type="dxa"/>
        <w:tblLayout w:type="fixed"/>
        <w:tblCellMar>
          <w:top w:w="0" w:type="dxa"/>
          <w:left w:w="108" w:type="dxa"/>
          <w:bottom w:w="0" w:type="dxa"/>
          <w:right w:w="108" w:type="dxa"/>
        </w:tblCellMar>
      </w:tblPr>
      <w:tblGrid>
        <w:gridCol w:w="436"/>
        <w:gridCol w:w="436"/>
        <w:gridCol w:w="436"/>
        <w:gridCol w:w="4094"/>
        <w:gridCol w:w="1984"/>
        <w:gridCol w:w="2977"/>
        <w:gridCol w:w="3260"/>
      </w:tblGrid>
      <w:tr>
        <w:tblPrEx>
          <w:tblLayout w:type="fixed"/>
          <w:tblCellMar>
            <w:top w:w="0" w:type="dxa"/>
            <w:left w:w="108" w:type="dxa"/>
            <w:bottom w:w="0" w:type="dxa"/>
            <w:right w:w="108" w:type="dxa"/>
          </w:tblCellMar>
        </w:tblPrEx>
        <w:trPr>
          <w:trHeight w:val="270" w:hRule="atLeast"/>
        </w:trPr>
        <w:tc>
          <w:tcPr>
            <w:tcW w:w="5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98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97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326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支出功能分类科目编码</w:t>
            </w:r>
          </w:p>
        </w:tc>
        <w:tc>
          <w:tcPr>
            <w:tcW w:w="409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09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09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98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32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43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4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97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26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270" w:hRule="atLeast"/>
        </w:trPr>
        <w:tc>
          <w:tcPr>
            <w:tcW w:w="4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4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198.64</w:t>
            </w:r>
          </w:p>
        </w:tc>
        <w:tc>
          <w:tcPr>
            <w:tcW w:w="29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106.30</w:t>
            </w:r>
          </w:p>
        </w:tc>
        <w:tc>
          <w:tcPr>
            <w:tcW w:w="32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92.34</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29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32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92.34</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司法</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176.33</w:t>
            </w:r>
          </w:p>
        </w:tc>
        <w:tc>
          <w:tcPr>
            <w:tcW w:w="297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3260" w:type="dxa"/>
            <w:tcBorders>
              <w:top w:val="nil"/>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92.34</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2040601</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2040602</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72.32</w:t>
            </w:r>
          </w:p>
        </w:tc>
        <w:tc>
          <w:tcPr>
            <w:tcW w:w="2977" w:type="dxa"/>
            <w:tcBorders>
              <w:top w:val="nil"/>
              <w:left w:val="nil"/>
              <w:bottom w:val="single" w:color="000000" w:sz="4" w:space="0"/>
              <w:right w:val="nil"/>
            </w:tcBorders>
            <w:shd w:val="clear" w:color="auto" w:fill="auto"/>
            <w:vAlign w:val="center"/>
          </w:tcPr>
          <w:p>
            <w:pPr>
              <w:jc w:val="right"/>
              <w:rPr>
                <w:rFonts w:ascii="宋体" w:hAnsi="宋体" w:cs="宋体"/>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72.32</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2040604</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基层司法业务</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9.61</w:t>
            </w:r>
          </w:p>
        </w:tc>
        <w:tc>
          <w:tcPr>
            <w:tcW w:w="2977" w:type="dxa"/>
            <w:tcBorders>
              <w:top w:val="nil"/>
              <w:left w:val="nil"/>
              <w:bottom w:val="single" w:color="000000" w:sz="4" w:space="0"/>
              <w:right w:val="nil"/>
            </w:tcBorders>
            <w:shd w:val="clear" w:color="auto" w:fill="auto"/>
            <w:vAlign w:val="center"/>
          </w:tcPr>
          <w:p>
            <w:pPr>
              <w:jc w:val="right"/>
              <w:rPr>
                <w:rFonts w:ascii="宋体" w:hAnsi="宋体" w:cs="宋体"/>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9.61</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2040605</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普法宣传</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7.70</w:t>
            </w:r>
          </w:p>
        </w:tc>
        <w:tc>
          <w:tcPr>
            <w:tcW w:w="2977" w:type="dxa"/>
            <w:tcBorders>
              <w:top w:val="nil"/>
              <w:left w:val="nil"/>
              <w:bottom w:val="single" w:color="000000" w:sz="4" w:space="0"/>
              <w:right w:val="nil"/>
            </w:tcBorders>
            <w:shd w:val="clear" w:color="auto" w:fill="auto"/>
            <w:vAlign w:val="center"/>
          </w:tcPr>
          <w:p>
            <w:pPr>
              <w:jc w:val="right"/>
              <w:rPr>
                <w:rFonts w:ascii="宋体" w:hAnsi="宋体" w:cs="宋体"/>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7.70</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2040610</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社区矫正</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2977" w:type="dxa"/>
            <w:tcBorders>
              <w:top w:val="nil"/>
              <w:left w:val="nil"/>
              <w:bottom w:val="single" w:color="000000" w:sz="4" w:space="0"/>
              <w:right w:val="nil"/>
            </w:tcBorders>
            <w:shd w:val="clear" w:color="auto" w:fill="auto"/>
            <w:vAlign w:val="center"/>
          </w:tcPr>
          <w:p>
            <w:pPr>
              <w:jc w:val="right"/>
              <w:rPr>
                <w:rFonts w:ascii="宋体" w:hAnsi="宋体" w:cs="宋体"/>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2.70</w:t>
            </w: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3.09</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70"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409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98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2977"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85" w:hRule="atLeast"/>
        </w:trPr>
        <w:tc>
          <w:tcPr>
            <w:tcW w:w="1308" w:type="dxa"/>
            <w:gridSpan w:val="3"/>
            <w:tcBorders>
              <w:top w:val="nil"/>
              <w:left w:val="single" w:color="000000" w:sz="4" w:space="0"/>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4094" w:type="dxa"/>
            <w:tcBorders>
              <w:top w:val="nil"/>
              <w:left w:val="nil"/>
              <w:bottom w:val="single" w:color="000000" w:sz="8"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984" w:type="dxa"/>
            <w:tcBorders>
              <w:top w:val="nil"/>
              <w:left w:val="nil"/>
              <w:bottom w:val="single" w:color="000000" w:sz="8"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2977" w:type="dxa"/>
            <w:tcBorders>
              <w:top w:val="nil"/>
              <w:left w:val="nil"/>
              <w:bottom w:val="single" w:color="000000" w:sz="8" w:space="0"/>
              <w:right w:val="nil"/>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Arial" w:hAnsi="Arial" w:cs="Arial"/>
                <w:color w:val="000000"/>
                <w:sz w:val="20"/>
                <w:szCs w:val="20"/>
              </w:rPr>
            </w:pPr>
          </w:p>
        </w:tc>
      </w:tr>
    </w:tbl>
    <w:p/>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134" w:left="1440" w:header="851" w:footer="992" w:gutter="0"/>
          <w:pgNumType w:fmt="numberInDash"/>
          <w:cols w:space="720" w:num="1"/>
          <w:docGrid w:type="lines" w:linePitch="312" w:charSpace="0"/>
        </w:sectPr>
      </w:pPr>
    </w:p>
    <w:p>
      <w:pP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53.87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8.02</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10.83</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2.04</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18.23</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0.90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0.03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6.29</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1.71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0.58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3.70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rPr>
              <w:t>维修（护）费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0.32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其他交通费用</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3.12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7.23</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0.23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44.41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30309</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奖励金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44.41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710" w:type="dxa"/>
            <w:tcBorders>
              <w:bottom w:val="single" w:color="auto" w:sz="4" w:space="0"/>
              <w:right w:val="single" w:color="auto" w:sz="4" w:space="0"/>
            </w:tcBorders>
          </w:tcPr>
          <w:p>
            <w:pPr>
              <w:widowControl/>
              <w:jc w:val="left"/>
              <w:rPr>
                <w:rFonts w:ascii="宋体" w:hAnsi="宋体" w:cs="Arial"/>
                <w:color w:val="000000"/>
                <w:kern w:val="0"/>
                <w:sz w:val="22"/>
                <w:szCs w:val="22"/>
              </w:rPr>
            </w:pPr>
          </w:p>
        </w:tc>
        <w:tc>
          <w:tcPr>
            <w:tcW w:w="1605"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98.28</w:t>
            </w:r>
          </w:p>
        </w:tc>
        <w:tc>
          <w:tcPr>
            <w:tcW w:w="2559" w:type="dxa"/>
            <w:gridSpan w:val="2"/>
            <w:tcBorders>
              <w:top w:val="nil"/>
              <w:left w:val="nil"/>
              <w:bottom w:val="single" w:color="auto" w:sz="4" w:space="0"/>
              <w:right w:val="single" w:color="auto" w:sz="4" w:space="0"/>
            </w:tcBorders>
            <w:vAlign w:val="center"/>
          </w:tcPr>
          <w:p>
            <w:pPr>
              <w:widowControl/>
              <w:jc w:val="center"/>
            </w:pPr>
            <w:r>
              <w:t>公用经费合计</w:t>
            </w:r>
          </w:p>
        </w:tc>
        <w:tc>
          <w:tcPr>
            <w:tcW w:w="1605" w:type="dxa"/>
            <w:tcBorders>
              <w:top w:val="single" w:color="auto" w:sz="4" w:space="0"/>
              <w:left w:val="nil"/>
              <w:bottom w:val="single" w:color="auto" w:sz="4" w:space="0"/>
              <w:right w:val="single" w:color="auto" w:sz="4" w:space="0"/>
            </w:tcBorders>
            <w:vAlign w:val="center"/>
          </w:tcPr>
          <w:p>
            <w:pPr>
              <w:widowControl/>
              <w:ind w:right="880"/>
              <w:jc w:val="center"/>
              <w:rPr>
                <w:rFonts w:ascii="宋体" w:hAnsi="宋体" w:cs="Arial"/>
                <w:color w:val="000000"/>
                <w:kern w:val="0"/>
                <w:sz w:val="22"/>
                <w:szCs w:val="22"/>
              </w:rPr>
            </w:pPr>
            <w:r>
              <w:rPr>
                <w:rFonts w:hint="eastAsia" w:ascii="宋体" w:hAnsi="宋体" w:cs="Arial"/>
                <w:color w:val="000000"/>
                <w:kern w:val="0"/>
                <w:sz w:val="22"/>
                <w:szCs w:val="22"/>
              </w:rPr>
              <w:t>8.02</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60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vAlign w:val="center"/>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0</w:t>
            </w:r>
          </w:p>
        </w:tc>
        <w:tc>
          <w:tcPr>
            <w:tcW w:w="1183" w:type="dxa"/>
            <w:tcBorders>
              <w:top w:val="nil"/>
              <w:left w:val="nil"/>
              <w:bottom w:val="single" w:color="auto" w:sz="4" w:space="0"/>
              <w:right w:val="single" w:color="auto" w:sz="4" w:space="0"/>
            </w:tcBorders>
            <w:vAlign w:val="center"/>
          </w:tcPr>
          <w:p>
            <w:pPr>
              <w:widowControl/>
              <w:ind w:firstLine="200" w:firstLineChars="100"/>
              <w:jc w:val="center"/>
              <w:rPr>
                <w:rFonts w:ascii="Arial" w:hAnsi="Arial" w:cs="Arial"/>
                <w:color w:val="000000"/>
                <w:kern w:val="0"/>
                <w:sz w:val="20"/>
                <w:szCs w:val="20"/>
              </w:rPr>
            </w:pPr>
            <w:r>
              <w:rPr>
                <w:rFonts w:hint="eastAsia" w:ascii="Arial" w:hAnsi="Arial" w:cs="Arial"/>
                <w:color w:val="000000"/>
                <w:kern w:val="0"/>
                <w:sz w:val="20"/>
                <w:szCs w:val="20"/>
              </w:rPr>
              <w:t>0</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柳州市鱼峰区雒容镇司法所没有“三公”经费收入，也没有“三公”经费安排的支出，故本表无数据。</w:t>
      </w:r>
    </w:p>
    <w:p/>
    <w:tbl>
      <w:tblPr>
        <w:tblStyle w:val="6"/>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0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pPr>
      <w:r>
        <w:rPr>
          <w:rFonts w:hint="eastAsia"/>
        </w:rPr>
        <w:t>柳州市鱼峰区雒容镇司法所没有政府性基金预算收入，也没有政府性基金预算安排的支出，故本表无数据。</w:t>
      </w:r>
    </w:p>
    <w:p>
      <w:pPr>
        <w:spacing w:line="560" w:lineRule="exact"/>
        <w:ind w:firstLine="420"/>
      </w:pPr>
    </w:p>
    <w:p>
      <w:pPr>
        <w:spacing w:line="560" w:lineRule="exact"/>
        <w:ind w:firstLine="420"/>
      </w:pPr>
    </w:p>
    <w:p>
      <w:pPr>
        <w:spacing w:line="560" w:lineRule="exact"/>
        <w:ind w:firstLine="420"/>
      </w:pPr>
    </w:p>
    <w:tbl>
      <w:tblPr>
        <w:tblStyle w:val="6"/>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Layout w:type="fixed"/>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方正小标宋简体" w:hAnsi="宋体" w:eastAsia="方正小标宋简体" w:cs="宋体"/>
                <w:kern w:val="0"/>
                <w:sz w:val="36"/>
                <w:szCs w:val="36"/>
              </w:rPr>
              <w:t>表九：国有资本经营预算财政拨款支出决算表</w:t>
            </w:r>
          </w:p>
        </w:tc>
      </w:tr>
      <w:tr>
        <w:tblPrEx>
          <w:tblLayout w:type="fixed"/>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7"/>
                <w:rFonts w:hint="default"/>
              </w:rPr>
              <w:t xml:space="preserve">   </w:t>
            </w:r>
            <w:r>
              <w:rPr>
                <w:rStyle w:val="8"/>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Layout w:type="fixed"/>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Layout w:type="fixed"/>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widowControl/>
        <w:jc w:val="left"/>
        <w:textAlignment w:val="center"/>
        <w:sectPr>
          <w:pgSz w:w="16838" w:h="11906" w:orient="landscape"/>
          <w:pgMar w:top="1797" w:right="1440" w:bottom="1797" w:left="1440" w:header="851" w:footer="992" w:gutter="0"/>
          <w:pgNumType w:fmt="numberInDash"/>
          <w:cols w:space="720" w:num="1"/>
          <w:docGrid w:type="lines" w:linePitch="312" w:charSpace="0"/>
        </w:sectPr>
      </w:pPr>
      <w:r>
        <w:rPr>
          <w:rFonts w:hint="eastAsia" w:ascii="宋体" w:hAnsi="宋体" w:cs="宋体"/>
          <w:color w:val="000000"/>
          <w:kern w:val="0"/>
          <w:sz w:val="24"/>
        </w:rPr>
        <w:t>柳州市鱼峰区雒容镇司法所没有国有资本经营预算财政拨款收入，也没有国有资本经营预算财政拨款安排的支出，故本表无数据。</w:t>
      </w:r>
    </w:p>
    <w:p>
      <w:pPr>
        <w:spacing w:line="560" w:lineRule="exact"/>
        <w:jc w:val="center"/>
        <w:rPr>
          <w:rFonts w:ascii="仿宋_GB2312" w:eastAsia="仿宋_GB2312"/>
          <w:b/>
          <w:sz w:val="32"/>
          <w:szCs w:val="32"/>
        </w:rPr>
      </w:pPr>
      <w:r>
        <w:rPr>
          <w:rFonts w:hint="eastAsia" w:ascii="仿宋_GB2312" w:eastAsia="仿宋_GB2312"/>
          <w:b/>
          <w:sz w:val="32"/>
          <w:szCs w:val="32"/>
        </w:rPr>
        <w:t>第三部分：雒容镇司法所</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2020年度收入总计198.64万元，支出总计198.64万元，与2019年相比，收、支均增加52.74万元；均增长36.15%。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本年收入总计198.64万元 ，其中：一般公共预算财政拨款收入198.64万元，占比100% ；政府基金预算财政拨款收入0万元，占比0%；上级补助收入0万元，占比0% ；事业收入0万元，占比0% ；事业单位经营收入0万元，占比0%；其他收入0万元，占比0%。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198.64 万元，其中：基本支出 106.30万元，占53.51%；项目支出92.34万元，占46.49%；</w:t>
      </w:r>
      <w:r>
        <w:rPr>
          <w:rFonts w:hint="eastAsia" w:ascii="仿宋_GB2312" w:eastAsia="仿宋_GB2312"/>
          <w:bCs/>
          <w:color w:val="000000"/>
          <w:sz w:val="32"/>
          <w:szCs w:val="32"/>
        </w:rPr>
        <w:t>上缴上级支出0万元，占比0%；经营支出0万元，占比0%；对附属单位补助支出0万元，占比0%</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 198.64万元、198.64万元。与 2019 年相比，财政拨款收、支总计均增加52.74 万元，增长36.15%。</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 198.64万元，占本年支出合计的 100%。与 2019 年相比，财政拨款支出增加 52.74  万元，增长36.15%。</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198.64万元，主要用于以下方面：公共安全（类）支出176.33万元，占88.77%；社会保障和就业（类）支出9.38万元，占4.72%；卫生健康（类）支出5.69万元，占2.86%；住房保障（类）支出7.23万元，占 3.64%。</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kern w:val="0"/>
          <w:sz w:val="32"/>
          <w:szCs w:val="32"/>
        </w:rPr>
        <w:t xml:space="preserve"> 2020 年度财政拨款支出年初预算为 198.64万元，支出决算为198.64万元，</w:t>
      </w:r>
      <w:r>
        <w:rPr>
          <w:rFonts w:hint="eastAsia" w:ascii="仿宋_GB2312" w:eastAsia="仿宋_GB2312" w:cs="仿宋_GB2312"/>
          <w:bCs/>
          <w:color w:val="000000" w:themeColor="text1"/>
          <w:kern w:val="0"/>
          <w:sz w:val="32"/>
          <w:szCs w:val="32"/>
        </w:rPr>
        <w:t>完成年初预算的 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 xml:space="preserve"> 公共安全支出（类）司法（款）行政运行（项）年初预算为84.00万元，支出决算为84.00万元，完成年初预算的100%。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公共安全支出（类）司法（款）一般行政管理事务（项）年初预算为72.32万元，支出决算为72.32万元，完成年初预算的100%。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公共安全支出（类）司法（款）基层司法业务（项）年初预算为9.61万元，支出决算为9.61万元，完成年初预算的100%。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公共安全支出（类）司法（款）普法宣传（项）年初预算为7.70万元，支出决算为7.70万元，完成年初预算的100%。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hAnsi="黑体" w:eastAsia="仿宋_GB2312"/>
          <w:bCs/>
          <w:color w:val="000000"/>
          <w:sz w:val="32"/>
          <w:szCs w:val="32"/>
        </w:rPr>
        <w:t>公共安全支出（类）司法（款）社区矫正（项）年初预算为2.70万元，支出决算为2.70万元，完成年初预算的100%。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themeColor="text1"/>
          <w:sz w:val="32"/>
          <w:szCs w:val="32"/>
        </w:rPr>
      </w:pPr>
      <w:r>
        <w:rPr>
          <w:rFonts w:hint="eastAsia" w:ascii="仿宋_GB2312" w:hAnsi="黑体" w:eastAsia="仿宋_GB2312"/>
          <w:bCs/>
          <w:color w:val="0000FF"/>
          <w:sz w:val="32"/>
          <w:szCs w:val="32"/>
        </w:rPr>
        <w:t xml:space="preserve"> </w:t>
      </w:r>
      <w:r>
        <w:rPr>
          <w:rFonts w:hint="eastAsia" w:ascii="仿宋_GB2312" w:hAnsi="黑体" w:eastAsia="仿宋_GB2312"/>
          <w:bCs/>
          <w:color w:val="000000" w:themeColor="text1"/>
          <w:sz w:val="32"/>
          <w:szCs w:val="32"/>
        </w:rPr>
        <w:t>社会保障和就业支出（类）行政事业单位养老支出（款）机关事业单位基本养老保险缴费支出（项）年初预算为6.29万元，支出决算为6.29万元，完成年初预算的100%。</w:t>
      </w:r>
    </w:p>
    <w:p>
      <w:pPr>
        <w:numPr>
          <w:ilvl w:val="0"/>
          <w:numId w:val="1"/>
        </w:numPr>
        <w:autoSpaceDE w:val="0"/>
        <w:autoSpaceDN w:val="0"/>
        <w:adjustRightInd w:val="0"/>
        <w:spacing w:line="560" w:lineRule="exact"/>
        <w:ind w:firstLine="640" w:firstLineChars="200"/>
        <w:jc w:val="left"/>
        <w:rPr>
          <w:rFonts w:ascii="仿宋_GB2312" w:hAnsi="黑体" w:eastAsia="仿宋_GB2312"/>
          <w:bCs/>
          <w:color w:val="000000" w:themeColor="text1"/>
          <w:sz w:val="32"/>
          <w:szCs w:val="32"/>
        </w:rPr>
      </w:pPr>
      <w:r>
        <w:rPr>
          <w:rFonts w:hint="eastAsia" w:ascii="仿宋_GB2312" w:hAnsi="黑体" w:eastAsia="仿宋_GB2312"/>
          <w:bCs/>
          <w:color w:val="000000" w:themeColor="text1"/>
          <w:sz w:val="32"/>
          <w:szCs w:val="32"/>
        </w:rPr>
        <w:t>社会保障和就业支出（类）行政事业单位养老支出（款）机关事业单位职业年金缴费支出（项）年初预算为3.09万元，支出决算为3.09万元，完成年初预算的100%。</w:t>
      </w:r>
    </w:p>
    <w:p>
      <w:pPr>
        <w:widowControl/>
        <w:numPr>
          <w:ilvl w:val="0"/>
          <w:numId w:val="2"/>
        </w:numPr>
        <w:spacing w:line="560" w:lineRule="atLeast"/>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卫生健康支出（类）行政事业单位医疗（款）行政单位医疗（项）年初预算为3.70万元，支出决算为3.70万元，完成年初预算的100%。</w:t>
      </w:r>
    </w:p>
    <w:p>
      <w:pPr>
        <w:widowControl/>
        <w:numPr>
          <w:ilvl w:val="0"/>
          <w:numId w:val="2"/>
        </w:numPr>
        <w:spacing w:line="560" w:lineRule="atLeast"/>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卫生健康支出（类）行政事业单位医疗（款）公务员医疗补助（项）年初预算为1.99万元，支出决算为1.99万元，完成年初预算的100%。</w:t>
      </w:r>
    </w:p>
    <w:p>
      <w:pPr>
        <w:widowControl/>
        <w:numPr>
          <w:ilvl w:val="0"/>
          <w:numId w:val="2"/>
        </w:numPr>
        <w:spacing w:line="560" w:lineRule="atLeast"/>
        <w:ind w:firstLine="640" w:firstLineChars="200"/>
        <w:rPr>
          <w:rFonts w:ascii="仿宋_GB2312" w:hAnsi="黑体" w:eastAsia="仿宋_GB2312"/>
          <w:bCs/>
          <w:color w:val="000000"/>
          <w:sz w:val="32"/>
          <w:szCs w:val="32"/>
        </w:rPr>
      </w:pPr>
      <w:r>
        <w:rPr>
          <w:rFonts w:hint="eastAsia" w:ascii="仿宋_GB2312" w:hAnsi="黑体" w:eastAsia="仿宋_GB2312"/>
          <w:bCs/>
          <w:color w:val="000000"/>
          <w:sz w:val="32"/>
          <w:szCs w:val="32"/>
        </w:rPr>
        <w:t>住房保障（类）住房改革（款）支出住房公积金（项）年初预算数为7.23万元，决算数为7.23万元，完成年初预算的100%。</w:t>
      </w:r>
    </w:p>
    <w:p>
      <w:pPr>
        <w:autoSpaceDE w:val="0"/>
        <w:autoSpaceDN w:val="0"/>
        <w:adjustRightInd w:val="0"/>
        <w:spacing w:line="560" w:lineRule="exact"/>
        <w:ind w:left="420" w:left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r>
        <w:rPr>
          <w:rFonts w:hint="eastAsia" w:ascii="仿宋_GB2312" w:eastAsia="仿宋_GB2312" w:cs="仿宋_GB2312"/>
          <w:bCs/>
          <w:kern w:val="0"/>
          <w:sz w:val="32"/>
          <w:szCs w:val="32"/>
        </w:rPr>
        <w:t>2020年度财政拨款基本支出106.30万元，其中：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人员经费98.28万元，主要包括：基本工资、津贴补贴、 奖金、伙食补助费、机关事业单位基本养老保险缴费、职业年金缴费、其他社会保障缴费、住房公积金、奖励金；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公用经费8.02万元，主要包括：办公费、水费、电费、邮电 费、物业管理费、差旅费、维修（护）费、租赁费、其他交通费用、其他商品和服务支出。</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bookmarkStart w:id="0" w:name="_GoBack"/>
      <w:r>
        <w:rPr>
          <w:rFonts w:hint="eastAsia" w:ascii="仿宋_GB2312" w:eastAsia="仿宋_GB2312" w:cs="仿宋_GB2312"/>
          <w:b/>
          <w:bCs w:val="0"/>
          <w:kern w:val="0"/>
          <w:sz w:val="32"/>
          <w:szCs w:val="32"/>
        </w:rPr>
        <w:t>七、2</w:t>
      </w:r>
      <w:bookmarkEnd w:id="0"/>
      <w:r>
        <w:rPr>
          <w:rFonts w:hint="eastAsia" w:ascii="仿宋_GB2312" w:eastAsia="仿宋_GB2312" w:cs="仿宋_GB2312"/>
          <w:b/>
          <w:kern w:val="0"/>
          <w:sz w:val="32"/>
          <w:szCs w:val="32"/>
        </w:rPr>
        <w:t>020 年度一般公共预算财政拨款“三公” 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为0万元，2020年度“三公”经费财政拨款支出决算数比2019年减少0万元，其中：因公出国（境）费支出决算减少0万元；公务用车购置及运行费支出决算减少0万元；公务接待费支出决算减少0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2020年度“三公”经费财政拨款支出决算中，因公出国（境）费支出决算0万元，占0%；公务用车购置及运行费支出决算0万元，占0 %；公务接待费支出决算0万元，占0 %。具体情况如下：  </w:t>
      </w:r>
    </w:p>
    <w:p>
      <w:pPr>
        <w:numPr>
          <w:ilvl w:val="0"/>
          <w:numId w:val="3"/>
        </w:numPr>
        <w:autoSpaceDE w:val="0"/>
        <w:autoSpaceDN w:val="0"/>
        <w:adjustRightInd w:val="0"/>
        <w:spacing w:line="560" w:lineRule="exact"/>
        <w:ind w:left="0" w:firstLine="640" w:firstLineChars="200"/>
        <w:jc w:val="left"/>
        <w:rPr>
          <w:rFonts w:ascii="仿宋_GB2312" w:eastAsia="仿宋_GB2312" w:cs="仿宋_GB2312"/>
          <w:bCs/>
          <w:color w:val="000000" w:themeColor="text1"/>
          <w:kern w:val="0"/>
          <w:sz w:val="32"/>
          <w:szCs w:val="32"/>
        </w:rPr>
      </w:pPr>
      <w:r>
        <w:rPr>
          <w:rFonts w:hint="eastAsia" w:ascii="仿宋_GB2312" w:eastAsia="仿宋_GB2312" w:cs="仿宋_GB2312"/>
          <w:bCs/>
          <w:kern w:val="0"/>
          <w:sz w:val="32"/>
          <w:szCs w:val="32"/>
        </w:rPr>
        <w:t>因公出国（境）费支出0万元。全年安排机关和所属单位因公出国 （境）团组0个。</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公务用车购置支出为0万元。公务用车运行支出0万元。2020年，机关所属单位开支财政拨款的公务用车保有量为0辆。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外宾接待支出0万元。2020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kern w:val="0"/>
          <w:sz w:val="32"/>
          <w:szCs w:val="32"/>
        </w:rPr>
        <w:t>八、2020 年度政府性基金预算财政拨款收入支出决算情况说明</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0万元、0万元。与 2019 年相比，收、支总计各增加0万元。     </w:t>
      </w:r>
    </w:p>
    <w:p>
      <w:pPr>
        <w:numPr>
          <w:ilvl w:val="0"/>
          <w:numId w:val="4"/>
        </w:numPr>
        <w:autoSpaceDE w:val="0"/>
        <w:autoSpaceDN w:val="0"/>
        <w:adjustRightInd w:val="0"/>
        <w:ind w:left="1281" w:leftChars="304" w:hanging="643" w:hanging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 xml:space="preserve">国有资本经营预算财政拨款支出情况说明 </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2020年度国有资本经营预算财政拨款本年支出 0万元。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rPr>
        <w:t>根据财政预算绩效管理要求：</w:t>
      </w:r>
      <w:r>
        <w:rPr>
          <w:rFonts w:hint="eastAsia" w:ascii="仿宋_GB2312" w:eastAsia="仿宋_GB2312" w:cs="仿宋_GB2312"/>
          <w:b/>
          <w:kern w:val="0"/>
          <w:sz w:val="32"/>
          <w:szCs w:val="32"/>
        </w:rPr>
        <w:t>一是</w:t>
      </w:r>
      <w:r>
        <w:rPr>
          <w:rFonts w:hint="eastAsia" w:ascii="仿宋_GB2312" w:eastAsia="仿宋_GB2312" w:cs="仿宋_GB2312"/>
          <w:bCs/>
          <w:kern w:val="0"/>
          <w:sz w:val="32"/>
          <w:szCs w:val="32"/>
        </w:rPr>
        <w:t>我部门完成了2020年部门整体绩效自评。</w:t>
      </w:r>
      <w:r>
        <w:rPr>
          <w:rFonts w:hint="eastAsia" w:ascii="仿宋_GB2312" w:eastAsia="仿宋_GB2312" w:cs="仿宋_GB2312"/>
          <w:b/>
          <w:kern w:val="0"/>
          <w:sz w:val="32"/>
          <w:szCs w:val="32"/>
        </w:rPr>
        <w:t>二是</w:t>
      </w:r>
      <w:r>
        <w:rPr>
          <w:rFonts w:hint="eastAsia" w:ascii="仿宋_GB2312" w:eastAsia="仿宋_GB2312" w:cs="仿宋_GB2312"/>
          <w:bCs/>
          <w:kern w:val="0"/>
          <w:sz w:val="32"/>
          <w:szCs w:val="32"/>
        </w:rPr>
        <w:t>完成了2021年绩效目标申报。</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（一）机关运行经费支出情况。2020年度部门机关运行经费支出8.02万元，比 2019年增加 4.75万元，增长145.26 %，增加原因人员及办公经费增加。</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（二）政府采购支出情况。2020年度部门政府采购支出总额8.12万元，其中：货物支出8.12万元、工程支出0万元、服务支出0万元。</w:t>
      </w:r>
    </w:p>
    <w:p>
      <w:pPr>
        <w:autoSpaceDE w:val="0"/>
        <w:autoSpaceDN w:val="0"/>
        <w:adjustRightInd w:val="0"/>
        <w:ind w:firstLine="640"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kern w:val="0"/>
          <w:sz w:val="32"/>
          <w:szCs w:val="32"/>
        </w:rPr>
        <w:t>（三）国有资产占用情况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截至年末部门共有车辆0辆，其中：公务用车0辆；执法执勤用车0 辆；专业技术用车0 辆；单价50万元 以上通用设备0台（套），单价100 万元以上专用设备0台（套）。 </w:t>
      </w:r>
    </w:p>
    <w:p>
      <w:pPr>
        <w:ind w:left="638" w:leftChars="304"/>
        <w:rPr>
          <w:rFonts w:ascii="仿宋_GB2312" w:eastAsia="仿宋_GB2312"/>
          <w:b/>
          <w:sz w:val="32"/>
          <w:szCs w:val="32"/>
        </w:rPr>
      </w:pPr>
      <w:r>
        <w:rPr>
          <w:rFonts w:hint="eastAsia" w:ascii="仿宋_GB2312" w:eastAsia="仿宋_GB2312"/>
          <w:b/>
          <w:sz w:val="32"/>
          <w:szCs w:val="32"/>
        </w:rPr>
        <w:t>第四部分：名词解释</w:t>
      </w:r>
    </w:p>
    <w:p>
      <w:pPr>
        <w:numPr>
          <w:ilvl w:val="0"/>
          <w:numId w:val="5"/>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p>
    <w:p>
      <w:pPr>
        <w:ind w:firstLine="640" w:firstLineChars="200"/>
        <w:rPr>
          <w:rFonts w:ascii="仿宋_GB2312" w:eastAsia="仿宋_GB2312"/>
          <w:bCs/>
          <w:sz w:val="32"/>
          <w:szCs w:val="32"/>
        </w:rPr>
      </w:pPr>
      <w:r>
        <w:rPr>
          <w:rFonts w:hint="eastAsia" w:ascii="仿宋_GB2312" w:eastAsia="仿宋_GB2312"/>
          <w:bCs/>
          <w:sz w:val="32"/>
          <w:szCs w:val="32"/>
        </w:rPr>
        <w:t>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bCs/>
          <w:sz w:val="32"/>
          <w:szCs w:val="32"/>
        </w:rPr>
      </w:pPr>
      <w:r>
        <w:rPr>
          <w:rFonts w:hint="eastAsia" w:ascii="仿宋_GB2312" w:eastAsia="仿宋_GB2312"/>
          <w:bCs/>
          <w:sz w:val="32"/>
          <w:szCs w:val="32"/>
        </w:rPr>
        <w:t>八、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0000000000000000000"/>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- 10 -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42FF4"/>
    <w:multiLevelType w:val="singleLevel"/>
    <w:tmpl w:val="B3C42FF4"/>
    <w:lvl w:ilvl="0" w:tentative="0">
      <w:start w:val="1"/>
      <w:numFmt w:val="chineseCounting"/>
      <w:suff w:val="nothing"/>
      <w:lvlText w:val="%1、"/>
      <w:lvlJc w:val="left"/>
      <w:rPr>
        <w:rFonts w:hint="eastAsia"/>
      </w:rPr>
    </w:lvl>
  </w:abstractNum>
  <w:abstractNum w:abstractNumId="1">
    <w:nsid w:val="B97B5DDB"/>
    <w:multiLevelType w:val="singleLevel"/>
    <w:tmpl w:val="B97B5DDB"/>
    <w:lvl w:ilvl="0" w:tentative="0">
      <w:start w:val="3"/>
      <w:numFmt w:val="decimal"/>
      <w:lvlText w:val="%1."/>
      <w:lvlJc w:val="left"/>
      <w:pPr>
        <w:tabs>
          <w:tab w:val="left" w:pos="312"/>
        </w:tabs>
      </w:pPr>
    </w:lvl>
  </w:abstractNum>
  <w:abstractNum w:abstractNumId="2">
    <w:nsid w:val="C7F7A8D6"/>
    <w:multiLevelType w:val="singleLevel"/>
    <w:tmpl w:val="C7F7A8D6"/>
    <w:lvl w:ilvl="0" w:tentative="0">
      <w:start w:val="1"/>
      <w:numFmt w:val="decimal"/>
      <w:lvlText w:val="%1."/>
      <w:lvlJc w:val="left"/>
      <w:pPr>
        <w:tabs>
          <w:tab w:val="left" w:pos="312"/>
        </w:tabs>
        <w:ind w:left="640" w:firstLine="0"/>
      </w:pPr>
    </w:lvl>
  </w:abstractNum>
  <w:abstractNum w:abstractNumId="3">
    <w:nsid w:val="28F0D5A3"/>
    <w:multiLevelType w:val="singleLevel"/>
    <w:tmpl w:val="28F0D5A3"/>
    <w:lvl w:ilvl="0" w:tentative="0">
      <w:start w:val="1"/>
      <w:numFmt w:val="decimal"/>
      <w:suff w:val="space"/>
      <w:lvlText w:val="%1."/>
      <w:lvlJc w:val="left"/>
    </w:lvl>
  </w:abstractNum>
  <w:abstractNum w:abstractNumId="4">
    <w:nsid w:val="537CDC6A"/>
    <w:multiLevelType w:val="singleLevel"/>
    <w:tmpl w:val="537CDC6A"/>
    <w:lvl w:ilvl="0" w:tentative="0">
      <w:start w:val="9"/>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245F6A"/>
    <w:rsid w:val="00246C77"/>
    <w:rsid w:val="002A6F17"/>
    <w:rsid w:val="002C15F7"/>
    <w:rsid w:val="00396BCC"/>
    <w:rsid w:val="00442DAB"/>
    <w:rsid w:val="00550F3A"/>
    <w:rsid w:val="00551B48"/>
    <w:rsid w:val="005C0E0C"/>
    <w:rsid w:val="00616E7F"/>
    <w:rsid w:val="006545E8"/>
    <w:rsid w:val="007452C9"/>
    <w:rsid w:val="00783037"/>
    <w:rsid w:val="00895FBF"/>
    <w:rsid w:val="00896631"/>
    <w:rsid w:val="00897B24"/>
    <w:rsid w:val="008E4E70"/>
    <w:rsid w:val="008F6298"/>
    <w:rsid w:val="00943559"/>
    <w:rsid w:val="00975D68"/>
    <w:rsid w:val="00A12A22"/>
    <w:rsid w:val="00B05B71"/>
    <w:rsid w:val="00B75F7B"/>
    <w:rsid w:val="00BF7506"/>
    <w:rsid w:val="00C3655E"/>
    <w:rsid w:val="00CA10D1"/>
    <w:rsid w:val="00CB09F9"/>
    <w:rsid w:val="00CC40FE"/>
    <w:rsid w:val="00D26CEF"/>
    <w:rsid w:val="00E161BC"/>
    <w:rsid w:val="00E648D4"/>
    <w:rsid w:val="00F07F64"/>
    <w:rsid w:val="00FB3436"/>
    <w:rsid w:val="00FC3F3A"/>
    <w:rsid w:val="035E3A4A"/>
    <w:rsid w:val="060E0D6F"/>
    <w:rsid w:val="063861B4"/>
    <w:rsid w:val="068F0CBE"/>
    <w:rsid w:val="069B725E"/>
    <w:rsid w:val="07B44255"/>
    <w:rsid w:val="09D50FDF"/>
    <w:rsid w:val="0C324EC2"/>
    <w:rsid w:val="0C503F1E"/>
    <w:rsid w:val="0CDB35E5"/>
    <w:rsid w:val="0D137B2C"/>
    <w:rsid w:val="108714E8"/>
    <w:rsid w:val="10BE46E2"/>
    <w:rsid w:val="124204B5"/>
    <w:rsid w:val="136E5536"/>
    <w:rsid w:val="145F44DC"/>
    <w:rsid w:val="14D86620"/>
    <w:rsid w:val="16C86733"/>
    <w:rsid w:val="17D11E7F"/>
    <w:rsid w:val="187602BE"/>
    <w:rsid w:val="18E0043C"/>
    <w:rsid w:val="19482F9F"/>
    <w:rsid w:val="19B9554E"/>
    <w:rsid w:val="19D33608"/>
    <w:rsid w:val="1A6710C3"/>
    <w:rsid w:val="1DB77011"/>
    <w:rsid w:val="1DBD636D"/>
    <w:rsid w:val="1E8C63E2"/>
    <w:rsid w:val="1EB01677"/>
    <w:rsid w:val="1F3306E2"/>
    <w:rsid w:val="20181C24"/>
    <w:rsid w:val="20C26876"/>
    <w:rsid w:val="21531413"/>
    <w:rsid w:val="21BF59CB"/>
    <w:rsid w:val="220221FC"/>
    <w:rsid w:val="255269CA"/>
    <w:rsid w:val="25C863B0"/>
    <w:rsid w:val="26460DBA"/>
    <w:rsid w:val="26624FBE"/>
    <w:rsid w:val="287310D9"/>
    <w:rsid w:val="29044456"/>
    <w:rsid w:val="29126691"/>
    <w:rsid w:val="2AED1E68"/>
    <w:rsid w:val="2B6F74EB"/>
    <w:rsid w:val="2C4219FE"/>
    <w:rsid w:val="2CCF5D7F"/>
    <w:rsid w:val="2CEE23CD"/>
    <w:rsid w:val="2DFB0006"/>
    <w:rsid w:val="2E8E347D"/>
    <w:rsid w:val="31166E3F"/>
    <w:rsid w:val="33476518"/>
    <w:rsid w:val="33C76EF0"/>
    <w:rsid w:val="34020F86"/>
    <w:rsid w:val="341B6DAB"/>
    <w:rsid w:val="34EE41B6"/>
    <w:rsid w:val="359312F4"/>
    <w:rsid w:val="365F55AE"/>
    <w:rsid w:val="377A3DDD"/>
    <w:rsid w:val="39A63F06"/>
    <w:rsid w:val="3AB042CC"/>
    <w:rsid w:val="3B4A592D"/>
    <w:rsid w:val="3B974070"/>
    <w:rsid w:val="3C1249A9"/>
    <w:rsid w:val="3E3C5B09"/>
    <w:rsid w:val="3ED1439F"/>
    <w:rsid w:val="41E749E8"/>
    <w:rsid w:val="42713B10"/>
    <w:rsid w:val="42FE0D10"/>
    <w:rsid w:val="45910DA3"/>
    <w:rsid w:val="46880BD2"/>
    <w:rsid w:val="487F6942"/>
    <w:rsid w:val="48C30BD8"/>
    <w:rsid w:val="48C966A5"/>
    <w:rsid w:val="49ED01DE"/>
    <w:rsid w:val="4A46671F"/>
    <w:rsid w:val="4B594A05"/>
    <w:rsid w:val="4C256E3D"/>
    <w:rsid w:val="4CB52F0F"/>
    <w:rsid w:val="4CDF6776"/>
    <w:rsid w:val="4CF74743"/>
    <w:rsid w:val="4F660908"/>
    <w:rsid w:val="50514012"/>
    <w:rsid w:val="51A20167"/>
    <w:rsid w:val="532F1F9A"/>
    <w:rsid w:val="545E2DB6"/>
    <w:rsid w:val="549A4B49"/>
    <w:rsid w:val="54E40E72"/>
    <w:rsid w:val="562C22D0"/>
    <w:rsid w:val="57960220"/>
    <w:rsid w:val="581757F9"/>
    <w:rsid w:val="58274F1B"/>
    <w:rsid w:val="584C598F"/>
    <w:rsid w:val="585553EE"/>
    <w:rsid w:val="594F58BC"/>
    <w:rsid w:val="5AB24260"/>
    <w:rsid w:val="5E995A3E"/>
    <w:rsid w:val="61417214"/>
    <w:rsid w:val="62163194"/>
    <w:rsid w:val="624D024D"/>
    <w:rsid w:val="644038CD"/>
    <w:rsid w:val="650E086A"/>
    <w:rsid w:val="68280BB1"/>
    <w:rsid w:val="69265B27"/>
    <w:rsid w:val="6BAA0708"/>
    <w:rsid w:val="6D1836C5"/>
    <w:rsid w:val="6D4207E0"/>
    <w:rsid w:val="6DB84220"/>
    <w:rsid w:val="70266A0B"/>
    <w:rsid w:val="70F40BFE"/>
    <w:rsid w:val="712232CE"/>
    <w:rsid w:val="725A5A01"/>
    <w:rsid w:val="72612108"/>
    <w:rsid w:val="7426449D"/>
    <w:rsid w:val="75275198"/>
    <w:rsid w:val="7682302F"/>
    <w:rsid w:val="77944070"/>
    <w:rsid w:val="77E1694B"/>
    <w:rsid w:val="787E0D84"/>
    <w:rsid w:val="7ADB2D70"/>
    <w:rsid w:val="7E71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font11"/>
    <w:basedOn w:val="4"/>
    <w:qFormat/>
    <w:uiPriority w:val="0"/>
    <w:rPr>
      <w:rFonts w:hint="eastAsia" w:ascii="宋体" w:hAnsi="宋体" w:eastAsia="宋体" w:cs="宋体"/>
      <w:color w:val="000000"/>
      <w:sz w:val="22"/>
      <w:szCs w:val="22"/>
      <w:u w:val="none"/>
    </w:rPr>
  </w:style>
  <w:style w:type="character" w:customStyle="1" w:styleId="8">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5974</Words>
  <Characters>3295</Characters>
  <Lines>27</Lines>
  <Paragraphs>18</Paragraphs>
  <TotalTime>18</TotalTime>
  <ScaleCrop>false</ScaleCrop>
  <LinksUpToDate>false</LinksUpToDate>
  <CharactersWithSpaces>9251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2021-07-30T10:21:00Z</dcterms:created>
  <dc:creator>陈冬雪</dc:creator>
  <cp:lastModifiedBy>覃燕</cp:lastModifiedBy>
  <dcterms:modified xsi:type="dcterms:W3CDTF">2021-09-15T03:42:36Z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9DFAEFCF04294D6F8FA4FEAF1E48F31D</vt:lpwstr>
  </property>
</Properties>
</file>