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bookmarkStart w:id="0" w:name="PO_title1"/>
      <w:r>
        <w:rPr>
          <w:rFonts w:ascii="黑体" w:hAnsi="黑体" w:eastAsia="黑体" w:cs="宋体"/>
          <w:b/>
          <w:bCs/>
          <w:color w:val="000000"/>
          <w:sz w:val="52"/>
          <w:szCs w:val="52"/>
        </w:rPr>
        <w:t>201006柳州市鱼峰区雒容镇公共文化服务中心</w:t>
      </w:r>
      <w:bookmarkEnd w:id="0"/>
      <w:r>
        <w:rPr>
          <w:rFonts w:hint="eastAsia" w:ascii="黑体" w:hAnsi="黑体" w:eastAsia="黑体" w:cs="宋体"/>
          <w:b/>
          <w:bCs/>
          <w:color w:val="000000"/>
          <w:sz w:val="52"/>
          <w:szCs w:val="52"/>
        </w:rPr>
        <w:t>202</w:t>
      </w:r>
      <w:r>
        <w:rPr>
          <w:rFonts w:ascii="黑体" w:hAnsi="黑体" w:eastAsia="黑体" w:cs="宋体"/>
          <w:b/>
          <w:bCs/>
          <w:color w:val="000000"/>
          <w:sz w:val="52"/>
          <w:szCs w:val="52"/>
        </w:rPr>
        <w:t>3</w:t>
      </w:r>
      <w:r>
        <w:rPr>
          <w:rFonts w:hint="eastAsia" w:ascii="黑体" w:hAnsi="黑体" w:eastAsia="黑体" w:cs="宋体"/>
          <w:b/>
          <w:bCs/>
          <w:color w:val="000000"/>
          <w:sz w:val="52"/>
          <w:szCs w:val="52"/>
        </w:rPr>
        <w:t>年部门预算公开说明</w:t>
      </w:r>
    </w:p>
    <w:p>
      <w:pPr>
        <w:jc w:val="center"/>
        <w:rPr>
          <w:rFonts w:ascii="黑体" w:hAnsi="黑体" w:eastAsia="黑体" w:cs="方正小标宋简体"/>
          <w:sz w:val="44"/>
          <w:szCs w:val="44"/>
        </w:rPr>
      </w:pPr>
      <w:r>
        <w:rPr>
          <w:rFonts w:hint="eastAsia" w:ascii="黑体" w:hAnsi="黑体" w:eastAsia="黑体" w:cs="方正小标宋简体"/>
          <w:sz w:val="44"/>
          <w:szCs w:val="44"/>
        </w:rPr>
        <w:t>目录</w:t>
      </w:r>
    </w:p>
    <w:p>
      <w:pPr>
        <w:ind w:firstLine="643" w:firstLineChars="200"/>
        <w:rPr>
          <w:rFonts w:ascii="黑体" w:hAnsi="黑体" w:eastAsia="黑体" w:cs="黑体"/>
          <w:b/>
          <w:sz w:val="32"/>
          <w:szCs w:val="32"/>
        </w:rPr>
      </w:pPr>
      <w:r>
        <w:rPr>
          <w:rFonts w:hint="eastAsia" w:ascii="黑体" w:hAnsi="黑体" w:eastAsia="黑体" w:cs="黑体"/>
          <w:b/>
          <w:sz w:val="32"/>
          <w:szCs w:val="32"/>
        </w:rPr>
        <w:t>第一部分</w:t>
      </w:r>
      <w:bookmarkStart w:id="1" w:name="PO_dirDivName1"/>
      <w:r>
        <w:rPr>
          <w:rFonts w:ascii="黑体" w:hAnsi="黑体" w:eastAsia="黑体" w:cs="黑体"/>
          <w:b/>
          <w:sz w:val="32"/>
          <w:szCs w:val="32"/>
        </w:rPr>
        <w:t>201006柳州市鱼峰区雒容镇公共文化服务中心</w:t>
      </w:r>
      <w:bookmarkEnd w:id="1"/>
      <w:r>
        <w:rPr>
          <w:rFonts w:hint="eastAsia" w:ascii="黑体" w:hAnsi="黑体" w:eastAsia="黑体" w:cs="黑体"/>
          <w:b/>
          <w:sz w:val="32"/>
          <w:szCs w:val="32"/>
        </w:rPr>
        <w:t>概况</w:t>
      </w:r>
    </w:p>
    <w:p>
      <w:pPr>
        <w:numPr>
          <w:ilvl w:val="0"/>
          <w:numId w:val="1"/>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机构设置情况</w:t>
      </w:r>
    </w:p>
    <w:p>
      <w:pPr>
        <w:ind w:firstLine="643" w:firstLineChars="200"/>
        <w:rPr>
          <w:rFonts w:ascii="仿宋_GB2312" w:hAnsi="仿宋_GB2312" w:cs="仿宋_GB2312"/>
          <w:b/>
          <w:sz w:val="32"/>
          <w:szCs w:val="32"/>
        </w:rPr>
      </w:pPr>
      <w:r>
        <w:rPr>
          <w:rFonts w:hint="eastAsia" w:ascii="黑体" w:hAnsi="黑体" w:eastAsia="黑体" w:cs="黑体"/>
          <w:b/>
          <w:sz w:val="32"/>
          <w:szCs w:val="32"/>
        </w:rPr>
        <w:t>第二部分</w:t>
      </w:r>
      <w:bookmarkStart w:id="2" w:name="PO_Year1"/>
      <w:r>
        <w:rPr>
          <w:rFonts w:ascii="黑体" w:hAnsi="黑体" w:eastAsia="黑体" w:cs="黑体"/>
          <w:b/>
          <w:sz w:val="32"/>
          <w:szCs w:val="32"/>
        </w:rPr>
        <w:t>201006柳州市鱼峰区雒容镇公共文化服务中心2023</w:t>
      </w:r>
      <w:bookmarkEnd w:id="2"/>
      <w:r>
        <w:rPr>
          <w:rFonts w:hint="eastAsia" w:ascii="黑体" w:hAnsi="黑体" w:eastAsia="黑体" w:cs="黑体"/>
          <w:b/>
          <w:sz w:val="32"/>
          <w:szCs w:val="32"/>
        </w:rPr>
        <w:t>年部门预算情况说明</w:t>
      </w:r>
    </w:p>
    <w:p>
      <w:pPr>
        <w:numPr>
          <w:ilvl w:val="0"/>
          <w:numId w:val="2"/>
        </w:numPr>
        <w:ind w:left="600" w:leftChars="200" w:firstLine="64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收支预算情况说明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收入预算情况说明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支出预算情况说明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财政拨款收支预算情况说明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一般公共预算支出情况说明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一般公共预算基本支出情况说明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一般公共预算“三公”经费情况说明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政府性基金预算情况说明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国有资本经营预算情况说明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政府采购预算情况说明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政府购买服务预算情况说明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重点项目支出绩效目标情况说明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2023年</w:t>
      </w:r>
      <w:r>
        <w:rPr>
          <w:rFonts w:hint="eastAsia" w:ascii="黑体" w:hAnsi="黑体" w:eastAsia="黑体" w:cs="仿宋_GB2312"/>
          <w:sz w:val="32"/>
          <w:szCs w:val="32"/>
        </w:rPr>
        <w:t>部门</w:t>
      </w:r>
      <w:r>
        <w:rPr>
          <w:rFonts w:ascii="黑体" w:hAnsi="黑体" w:eastAsia="黑体" w:cs="仿宋_GB2312"/>
          <w:sz w:val="32"/>
          <w:szCs w:val="32"/>
        </w:rPr>
        <w:t>预算其他重要事项情况说明</w:t>
      </w:r>
    </w:p>
    <w:p>
      <w:pPr>
        <w:ind w:firstLine="643" w:firstLineChars="200"/>
        <w:rPr>
          <w:rFonts w:ascii="黑体" w:hAnsi="黑体" w:eastAsia="黑体" w:cs="黑体"/>
          <w:b/>
          <w:sz w:val="32"/>
          <w:szCs w:val="32"/>
        </w:rPr>
      </w:pPr>
      <w:r>
        <w:rPr>
          <w:rFonts w:hint="eastAsia" w:ascii="黑体" w:hAnsi="黑体" w:eastAsia="黑体" w:cs="黑体"/>
          <w:b/>
          <w:sz w:val="32"/>
          <w:szCs w:val="32"/>
        </w:rPr>
        <w:t>第三部分</w:t>
      </w:r>
      <w:bookmarkStart w:id="3" w:name="PO_Year2"/>
      <w:r>
        <w:rPr>
          <w:rFonts w:ascii="黑体" w:hAnsi="黑体" w:eastAsia="黑体" w:cs="黑体"/>
          <w:b/>
          <w:sz w:val="32"/>
          <w:szCs w:val="32"/>
        </w:rPr>
        <w:t>201006柳州市鱼峰区雒容镇公共文化服务中心2023</w:t>
      </w:r>
      <w:bookmarkEnd w:id="3"/>
      <w:r>
        <w:rPr>
          <w:rFonts w:hint="eastAsia" w:ascii="黑体" w:hAnsi="黑体" w:eastAsia="黑体" w:cs="黑体"/>
          <w:b/>
          <w:sz w:val="32"/>
          <w:szCs w:val="32"/>
        </w:rPr>
        <w:t>年部门预算报表</w:t>
      </w:r>
    </w:p>
    <w:p>
      <w:pPr>
        <w:ind w:firstLine="643" w:firstLineChars="200"/>
        <w:rPr>
          <w:rFonts w:ascii="黑体" w:hAnsi="黑体" w:eastAsia="黑体" w:cs="黑体"/>
          <w:b/>
          <w:sz w:val="32"/>
          <w:szCs w:val="32"/>
        </w:rPr>
      </w:pPr>
      <w:r>
        <w:rPr>
          <w:rFonts w:hint="eastAsia" w:ascii="黑体" w:hAnsi="黑体" w:eastAsia="黑体" w:cs="黑体"/>
          <w:b/>
          <w:sz w:val="32"/>
          <w:szCs w:val="32"/>
        </w:rPr>
        <w:t>第四部分名词解释</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第五部分附件</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bookmarkStart w:id="4" w:name="PO_part1DivName1"/>
      <w:r>
        <w:rPr>
          <w:rFonts w:ascii="黑体" w:hAnsi="黑体" w:eastAsia="黑体" w:cs="方正小标宋简体"/>
          <w:sz w:val="44"/>
          <w:szCs w:val="44"/>
        </w:rPr>
        <w:t>201006柳州市鱼峰区雒容镇公共文化服务中心</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ind w:firstLine="640" w:firstLineChars="200"/>
        <w:rPr>
          <w:rFonts w:ascii="仿宋_GB2312" w:hAnsi="Times New Roman"/>
          <w:sz w:val="32"/>
          <w:szCs w:val="32"/>
        </w:rPr>
      </w:pPr>
      <w:bookmarkStart w:id="5" w:name="PO_part1Responsibilities"/>
      <w:r>
        <w:rPr>
          <w:rFonts w:hint="eastAsia" w:ascii="仿宋_GB2312" w:hAnsi="Times New Roman"/>
          <w:sz w:val="32"/>
          <w:szCs w:val="32"/>
        </w:rPr>
        <w:t>本部门主要职能：</w:t>
      </w:r>
    </w:p>
    <w:p>
      <w:pPr>
        <w:ind w:firstLine="640" w:firstLineChars="200"/>
        <w:rPr>
          <w:rFonts w:ascii="仿宋_GB2312" w:hAnsi="Times New Roman"/>
          <w:sz w:val="32"/>
          <w:szCs w:val="32"/>
        </w:rPr>
      </w:pPr>
      <w:r>
        <w:rPr>
          <w:rFonts w:hint="eastAsia" w:ascii="仿宋_GB2312" w:hAnsi="Times New Roman"/>
          <w:sz w:val="32"/>
          <w:szCs w:val="32"/>
        </w:rPr>
        <w:t>（一）</w:t>
      </w:r>
      <w:r>
        <w:rPr>
          <w:rFonts w:hint="eastAsia" w:ascii="仿宋_GB2312" w:cs="仿宋_GB2312"/>
          <w:kern w:val="0"/>
          <w:sz w:val="32"/>
          <w:szCs w:val="32"/>
        </w:rPr>
        <w:t>组织群众文化和体育活动，繁华文化和体育事业。</w:t>
      </w:r>
    </w:p>
    <w:p>
      <w:pPr>
        <w:ind w:firstLine="640" w:firstLineChars="200"/>
        <w:rPr>
          <w:rFonts w:ascii="仿宋_GB2312" w:hAnsi="Times New Roman"/>
          <w:sz w:val="32"/>
          <w:szCs w:val="32"/>
        </w:rPr>
      </w:pPr>
      <w:r>
        <w:rPr>
          <w:rFonts w:hint="eastAsia" w:ascii="仿宋_GB2312" w:hAnsi="Times New Roman"/>
          <w:sz w:val="32"/>
          <w:szCs w:val="32"/>
        </w:rPr>
        <w:t>（二）保证广播电视播出质量，提供监测保障。</w:t>
      </w:r>
    </w:p>
    <w:p>
      <w:pPr>
        <w:ind w:firstLine="640" w:firstLineChars="200"/>
        <w:rPr>
          <w:rFonts w:ascii="仿宋_GB2312" w:hAnsi="Times New Roman"/>
          <w:sz w:val="32"/>
          <w:szCs w:val="32"/>
        </w:rPr>
      </w:pPr>
      <w:r>
        <w:rPr>
          <w:rFonts w:hint="eastAsia" w:ascii="仿宋_GB2312" w:hAnsi="Times New Roman"/>
          <w:sz w:val="32"/>
          <w:szCs w:val="32"/>
        </w:rPr>
        <w:t>（三）文化宣传、组织文艺演出、群众体育健身活动。</w:t>
      </w:r>
    </w:p>
    <w:p>
      <w:pPr>
        <w:ind w:firstLine="640" w:firstLineChars="200"/>
        <w:rPr>
          <w:rFonts w:ascii="仿宋_GB2312" w:hAnsi="Times New Roman"/>
          <w:sz w:val="32"/>
          <w:szCs w:val="32"/>
        </w:rPr>
      </w:pPr>
      <w:r>
        <w:rPr>
          <w:rFonts w:hint="eastAsia" w:ascii="仿宋_GB2312" w:hAnsi="Times New Roman"/>
          <w:sz w:val="32"/>
          <w:szCs w:val="32"/>
        </w:rPr>
        <w:t>（四）有线广播电视监测。</w:t>
      </w:r>
    </w:p>
    <w:p>
      <w:pPr>
        <w:ind w:firstLine="640" w:firstLineChars="200"/>
        <w:rPr>
          <w:rFonts w:ascii="仿宋_GB2312" w:hAnsi="Times New Roman"/>
          <w:sz w:val="32"/>
          <w:szCs w:val="32"/>
        </w:rPr>
      </w:pPr>
      <w:r>
        <w:rPr>
          <w:rFonts w:hint="eastAsia" w:ascii="仿宋_GB2312" w:hAnsi="Times New Roman"/>
          <w:sz w:val="32"/>
          <w:szCs w:val="32"/>
        </w:rPr>
        <w:t>（五）广播电视节目卫星传输质量与覆盖效果监测。</w:t>
      </w:r>
    </w:p>
    <w:p>
      <w:pPr>
        <w:ind w:firstLine="640" w:firstLineChars="200"/>
        <w:rPr>
          <w:rFonts w:ascii="仿宋_GB2312" w:hAnsi="Times New Roman"/>
          <w:sz w:val="32"/>
          <w:szCs w:val="32"/>
        </w:rPr>
      </w:pPr>
      <w:r>
        <w:rPr>
          <w:rFonts w:hint="eastAsia" w:ascii="仿宋_GB2312" w:hAnsi="Times New Roman"/>
          <w:sz w:val="32"/>
          <w:szCs w:val="32"/>
        </w:rPr>
        <w:t>（六）广播电视专用设备的维护</w:t>
      </w:r>
      <w:bookmarkEnd w:id="5"/>
      <w:r>
        <w:rPr>
          <w:rFonts w:hint="eastAsia" w:ascii="仿宋_GB2312" w:hAnsi="Times New Roman"/>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二、机构设置情况</w:t>
      </w:r>
    </w:p>
    <w:p>
      <w:pPr>
        <w:ind w:firstLine="640" w:firstLineChars="200"/>
        <w:rPr>
          <w:rFonts w:ascii="黑体" w:hAnsi="黑体" w:eastAsia="黑体" w:cs="方正小标宋简体"/>
          <w:sz w:val="44"/>
          <w:szCs w:val="44"/>
        </w:rPr>
      </w:pPr>
      <w:bookmarkStart w:id="6" w:name="PO_part1Organization"/>
      <w:r>
        <w:rPr>
          <w:rFonts w:hint="eastAsia" w:ascii="仿宋_GB2312" w:hAnsi="Times New Roman"/>
          <w:sz w:val="32"/>
          <w:szCs w:val="32"/>
        </w:rPr>
        <w:t>柳</w:t>
      </w:r>
      <w:r>
        <w:rPr>
          <w:rFonts w:hint="eastAsia" w:ascii="仿宋_GB2312" w:cs="仿宋_GB2312"/>
          <w:kern w:val="0"/>
          <w:sz w:val="32"/>
          <w:szCs w:val="32"/>
        </w:rPr>
        <w:t>州市鱼峰区雒容镇公共文化服务中心为柳州市鱼峰区雒容镇人民政府下设事业单位。人员构成：在编人员3</w:t>
      </w:r>
      <w:bookmarkEnd w:id="6"/>
      <w:r>
        <w:rPr>
          <w:rFonts w:hint="eastAsia" w:ascii="仿宋_GB2312" w:cs="仿宋_GB2312"/>
          <w:kern w:val="0"/>
          <w:sz w:val="32"/>
          <w:szCs w:val="32"/>
        </w:rPr>
        <w:t>人。</w:t>
      </w:r>
      <w:r>
        <w:rPr>
          <w:rFonts w:ascii="仿宋_GB2312" w:hAnsi="仿宋_GB2312" w:cs="仿宋_GB2312"/>
          <w:szCs w:val="30"/>
        </w:rPr>
        <w:br w:type="page"/>
      </w:r>
      <w:r>
        <w:rPr>
          <w:rFonts w:hint="eastAsia" w:ascii="黑体" w:hAnsi="黑体" w:eastAsia="黑体" w:cs="方正小标宋简体"/>
          <w:sz w:val="44"/>
          <w:szCs w:val="44"/>
        </w:rPr>
        <w:t>第二部分</w:t>
      </w:r>
      <w:bookmarkStart w:id="7" w:name="PO_part2Year1"/>
      <w:r>
        <w:rPr>
          <w:rFonts w:ascii="黑体" w:hAnsi="黑体" w:eastAsia="黑体" w:cs="方正小标宋简体"/>
          <w:sz w:val="44"/>
          <w:szCs w:val="44"/>
        </w:rPr>
        <w:t>201006柳州市鱼峰区雒容镇公共文化服务中心2023</w:t>
      </w:r>
      <w:bookmarkEnd w:id="7"/>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部门收支预算情况说明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2023年部门收支总预算</w:t>
      </w:r>
      <w:bookmarkStart w:id="8" w:name="PO_part2A1Amount1"/>
      <w:r>
        <w:rPr>
          <w:rFonts w:ascii="仿宋_GB2312" w:cs="仿宋_GB2312"/>
          <w:kern w:val="0"/>
          <w:sz w:val="32"/>
          <w:szCs w:val="32"/>
        </w:rPr>
        <w:t>137.14</w:t>
      </w:r>
      <w:bookmarkEnd w:id="8"/>
      <w:r>
        <w:rPr>
          <w:rFonts w:hint="eastAsia" w:ascii="仿宋_GB2312" w:hAnsi="仿宋_GB2312" w:cs="仿宋_GB2312"/>
          <w:szCs w:val="30"/>
        </w:rPr>
        <w:t>万元，</w:t>
      </w:r>
      <w:bookmarkStart w:id="9" w:name="PO_part2A1IncAmount1"/>
      <w:r>
        <w:rPr>
          <w:rFonts w:hint="eastAsia" w:ascii="仿宋_GB2312" w:cs="仿宋_GB2312"/>
          <w:kern w:val="0"/>
          <w:sz w:val="32"/>
          <w:szCs w:val="32"/>
        </w:rPr>
        <w:t>同比减少37.35万元，同比下降21.41%</w:t>
      </w:r>
      <w:bookmarkEnd w:id="9"/>
      <w:r>
        <w:rPr>
          <w:rFonts w:hint="eastAsia" w:ascii="仿宋_GB2312" w:cs="仿宋_GB2312"/>
          <w:kern w:val="0"/>
          <w:sz w:val="32"/>
          <w:szCs w:val="32"/>
        </w:rPr>
        <w:t>，收入包括：</w:t>
      </w:r>
      <w:bookmarkStart w:id="10" w:name="PO_part2A1IncReason1"/>
      <w:r>
        <w:rPr>
          <w:rFonts w:hint="eastAsia" w:ascii="仿宋_GB2312" w:cs="仿宋_GB2312"/>
          <w:kern w:val="0"/>
          <w:sz w:val="32"/>
          <w:szCs w:val="32"/>
        </w:rPr>
        <w:t>一般公共预算拨款137.14万元。</w:t>
      </w:r>
      <w:bookmarkEnd w:id="10"/>
      <w:r>
        <w:rPr>
          <w:rFonts w:hint="eastAsia" w:ascii="仿宋_GB2312" w:cs="仿宋_GB2312"/>
          <w:kern w:val="0"/>
          <w:sz w:val="32"/>
          <w:szCs w:val="32"/>
        </w:rPr>
        <w:t>支出包括：</w:t>
      </w:r>
      <w:bookmarkStart w:id="11" w:name="PO_part2A1IncReason2"/>
      <w:r>
        <w:rPr>
          <w:rFonts w:hint="eastAsia" w:ascii="仿宋_GB2312" w:cs="仿宋_GB2312"/>
          <w:kern w:val="0"/>
          <w:sz w:val="32"/>
          <w:szCs w:val="32"/>
        </w:rPr>
        <w:t>文化旅游体育与传媒支出85.45万元、社会保障和就业支出11.13万元、卫生健康支出4.92万元、住房保障支出4.26万元、灾害防治及应急管理支出31.38万元。</w:t>
      </w:r>
      <w:bookmarkEnd w:id="11"/>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部门收入预算情况说明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2023年部门收入总预算</w:t>
      </w:r>
      <w:bookmarkStart w:id="12" w:name="PO_part2A2Amount1"/>
      <w:r>
        <w:rPr>
          <w:rFonts w:ascii="仿宋_GB2312" w:cs="仿宋_GB2312"/>
          <w:kern w:val="0"/>
          <w:sz w:val="32"/>
          <w:szCs w:val="32"/>
        </w:rPr>
        <w:t>137.14</w:t>
      </w:r>
      <w:bookmarkEnd w:id="12"/>
      <w:r>
        <w:rPr>
          <w:rFonts w:hint="eastAsia" w:ascii="仿宋_GB2312" w:cs="仿宋_GB2312"/>
          <w:kern w:val="0"/>
          <w:sz w:val="32"/>
          <w:szCs w:val="32"/>
        </w:rPr>
        <w:t>万元，</w:t>
      </w:r>
      <w:bookmarkStart w:id="13" w:name="PO_part2A2IncAmount1"/>
      <w:r>
        <w:rPr>
          <w:rFonts w:hint="eastAsia" w:ascii="仿宋_GB2312" w:cs="仿宋_GB2312"/>
          <w:kern w:val="0"/>
          <w:sz w:val="32"/>
          <w:szCs w:val="32"/>
        </w:rPr>
        <w:t>同比减少37.35万元，同比下降21.41%</w:t>
      </w:r>
      <w:bookmarkEnd w:id="13"/>
      <w:r>
        <w:rPr>
          <w:rFonts w:hint="eastAsia" w:ascii="仿宋_GB2312" w:cs="仿宋_GB2312"/>
          <w:kern w:val="0"/>
          <w:sz w:val="32"/>
          <w:szCs w:val="32"/>
        </w:rPr>
        <w:t>，其中：</w:t>
      </w:r>
      <w:bookmarkStart w:id="14" w:name="PO_part2A2IncReason1"/>
    </w:p>
    <w:p>
      <w:pPr>
        <w:ind w:firstLine="640" w:firstLineChars="200"/>
        <w:rPr>
          <w:rFonts w:ascii="仿宋_GB2312" w:cs="仿宋_GB2312"/>
          <w:kern w:val="0"/>
          <w:sz w:val="32"/>
          <w:szCs w:val="32"/>
        </w:rPr>
      </w:pPr>
      <w:r>
        <w:rPr>
          <w:rFonts w:hint="eastAsia" w:ascii="仿宋_GB2312" w:cs="仿宋_GB2312"/>
          <w:kern w:val="0"/>
          <w:sz w:val="32"/>
          <w:szCs w:val="32"/>
        </w:rPr>
        <w:t>（一）一般公共预算拨款收入137.14万元，同比减少37.35万元，同比下降21.41%，减少的主要原因是：文化旅游体育与传媒支出减少。</w:t>
      </w:r>
      <w:bookmarkEnd w:id="14"/>
    </w:p>
    <w:p>
      <w:pPr>
        <w:ind w:firstLine="640" w:firstLineChars="200"/>
        <w:rPr>
          <w:rFonts w:ascii="仿宋_GB2312" w:cs="仿宋_GB2312"/>
          <w:kern w:val="0"/>
          <w:sz w:val="32"/>
          <w:szCs w:val="32"/>
        </w:rPr>
      </w:pPr>
      <w:r>
        <w:rPr>
          <w:rFonts w:hint="eastAsia" w:ascii="仿宋_GB2312" w:cs="仿宋_GB2312"/>
          <w:kern w:val="0"/>
          <w:sz w:val="32"/>
          <w:szCs w:val="32"/>
        </w:rPr>
        <w:t>2023年收入预算总体</w:t>
      </w:r>
      <w:bookmarkStart w:id="15" w:name="PO_part2A2IncReason2"/>
      <w:r>
        <w:rPr>
          <w:rFonts w:hint="eastAsia" w:ascii="仿宋_GB2312" w:cs="仿宋_GB2312"/>
          <w:kern w:val="0"/>
          <w:sz w:val="32"/>
          <w:szCs w:val="32"/>
        </w:rPr>
        <w:t>减少的主要原因是：文化旅游体育与传媒支出减少。</w:t>
      </w:r>
      <w:bookmarkEnd w:id="15"/>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部门支出预算情况说明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2023年部门支出总预算</w:t>
      </w:r>
      <w:bookmarkStart w:id="16" w:name="PO_part2A3Amount1"/>
      <w:r>
        <w:rPr>
          <w:rFonts w:ascii="仿宋_GB2312" w:cs="仿宋_GB2312"/>
          <w:kern w:val="0"/>
          <w:sz w:val="32"/>
          <w:szCs w:val="32"/>
        </w:rPr>
        <w:t>137.14</w:t>
      </w:r>
      <w:bookmarkEnd w:id="16"/>
      <w:r>
        <w:rPr>
          <w:rFonts w:hint="eastAsia" w:ascii="仿宋_GB2312" w:cs="仿宋_GB2312"/>
          <w:kern w:val="0"/>
          <w:sz w:val="32"/>
          <w:szCs w:val="32"/>
        </w:rPr>
        <w:t>万元，基本支出预算</w:t>
      </w:r>
      <w:bookmarkStart w:id="17" w:name="PO_part2A3Amount2"/>
      <w:r>
        <w:rPr>
          <w:rFonts w:ascii="仿宋_GB2312" w:cs="仿宋_GB2312"/>
          <w:kern w:val="0"/>
          <w:sz w:val="32"/>
          <w:szCs w:val="32"/>
        </w:rPr>
        <w:t>65.36</w:t>
      </w:r>
      <w:bookmarkEnd w:id="17"/>
      <w:r>
        <w:rPr>
          <w:rFonts w:hint="eastAsia" w:ascii="仿宋_GB2312" w:cs="仿宋_GB2312"/>
          <w:kern w:val="0"/>
          <w:sz w:val="32"/>
          <w:szCs w:val="32"/>
        </w:rPr>
        <w:t>万元，占支出总预算</w:t>
      </w:r>
      <w:bookmarkStart w:id="18" w:name="PO_part2A3Amount3"/>
      <w:r>
        <w:rPr>
          <w:rFonts w:ascii="仿宋_GB2312" w:cs="仿宋_GB2312"/>
          <w:kern w:val="0"/>
          <w:sz w:val="32"/>
          <w:szCs w:val="32"/>
        </w:rPr>
        <w:t>47.66</w:t>
      </w:r>
      <w:bookmarkEnd w:id="18"/>
      <w:r>
        <w:rPr>
          <w:rFonts w:hint="eastAsia" w:ascii="仿宋_GB2312" w:cs="仿宋_GB2312"/>
          <w:kern w:val="0"/>
          <w:sz w:val="32"/>
          <w:szCs w:val="32"/>
        </w:rPr>
        <w:t>%，</w:t>
      </w:r>
      <w:bookmarkStart w:id="19" w:name="PO_part2A3IncAmount1"/>
      <w:r>
        <w:rPr>
          <w:rFonts w:hint="eastAsia" w:ascii="仿宋_GB2312" w:cs="仿宋_GB2312"/>
          <w:kern w:val="0"/>
          <w:sz w:val="32"/>
          <w:szCs w:val="32"/>
        </w:rPr>
        <w:t>同比增加3.86万元，同比增长6.28%</w:t>
      </w:r>
      <w:bookmarkEnd w:id="19"/>
      <w:r>
        <w:rPr>
          <w:rFonts w:hint="eastAsia" w:ascii="仿宋_GB2312" w:cs="仿宋_GB2312"/>
          <w:kern w:val="0"/>
          <w:sz w:val="32"/>
          <w:szCs w:val="32"/>
        </w:rPr>
        <w:t>。项目支出预算</w:t>
      </w:r>
      <w:bookmarkStart w:id="20" w:name="PO_part2A3Amount4"/>
      <w:r>
        <w:rPr>
          <w:rFonts w:ascii="仿宋_GB2312" w:cs="仿宋_GB2312"/>
          <w:kern w:val="0"/>
          <w:sz w:val="32"/>
          <w:szCs w:val="32"/>
        </w:rPr>
        <w:t>71.77</w:t>
      </w:r>
      <w:bookmarkEnd w:id="20"/>
      <w:r>
        <w:rPr>
          <w:rFonts w:hint="eastAsia" w:ascii="仿宋_GB2312" w:cs="仿宋_GB2312"/>
          <w:kern w:val="0"/>
          <w:sz w:val="32"/>
          <w:szCs w:val="32"/>
        </w:rPr>
        <w:t>万元，占支出总预算</w:t>
      </w:r>
      <w:bookmarkStart w:id="21" w:name="PO_part2A3Amount5"/>
      <w:r>
        <w:rPr>
          <w:rFonts w:ascii="仿宋_GB2312" w:cs="仿宋_GB2312"/>
          <w:kern w:val="0"/>
          <w:sz w:val="32"/>
          <w:szCs w:val="32"/>
        </w:rPr>
        <w:t>52.34</w:t>
      </w:r>
      <w:bookmarkEnd w:id="21"/>
      <w:r>
        <w:rPr>
          <w:rFonts w:hint="eastAsia" w:ascii="仿宋_GB2312" w:cs="仿宋_GB2312"/>
          <w:kern w:val="0"/>
          <w:sz w:val="32"/>
          <w:szCs w:val="32"/>
        </w:rPr>
        <w:t>%，</w:t>
      </w:r>
      <w:bookmarkStart w:id="22" w:name="PO_part2A3IncAmount2"/>
      <w:r>
        <w:rPr>
          <w:rFonts w:hint="eastAsia" w:ascii="仿宋_GB2312" w:cs="仿宋_GB2312"/>
          <w:kern w:val="0"/>
          <w:sz w:val="32"/>
          <w:szCs w:val="32"/>
        </w:rPr>
        <w:t>同比减少41.22万元，同比下降36.48%</w:t>
      </w:r>
      <w:bookmarkEnd w:id="22"/>
      <w:r>
        <w:rPr>
          <w:rFonts w:hint="eastAsia" w:ascii="仿宋_GB2312" w:cs="仿宋_GB2312"/>
          <w:kern w:val="0"/>
          <w:sz w:val="32"/>
          <w:szCs w:val="32"/>
        </w:rPr>
        <w:t>。</w:t>
      </w:r>
    </w:p>
    <w:p>
      <w:pPr>
        <w:ind w:firstLine="640" w:firstLineChars="200"/>
        <w:rPr>
          <w:rFonts w:ascii="仿宋_GB2312" w:hAnsi="仿宋_GB2312" w:cs="仿宋_GB2312"/>
          <w:sz w:val="32"/>
          <w:szCs w:val="32"/>
        </w:rPr>
      </w:pPr>
      <w:r>
        <w:rPr>
          <w:rFonts w:hint="eastAsia" w:ascii="仿宋_GB2312" w:hAnsi="仿宋_GB2312" w:cs="仿宋_GB2312"/>
          <w:sz w:val="32"/>
          <w:szCs w:val="32"/>
        </w:rPr>
        <w:t>（一）按支出功能分类科目划分，共分为</w:t>
      </w:r>
      <w:bookmarkStart w:id="23" w:name="PO_part2A3B1Amount1"/>
      <w:r>
        <w:rPr>
          <w:rFonts w:ascii="仿宋_GB2312" w:hAnsi="仿宋_GB2312" w:cs="仿宋_GB2312"/>
          <w:sz w:val="32"/>
          <w:szCs w:val="32"/>
        </w:rPr>
        <w:t>5</w:t>
      </w:r>
      <w:bookmarkEnd w:id="23"/>
      <w:r>
        <w:rPr>
          <w:rFonts w:hint="eastAsia" w:ascii="仿宋_GB2312" w:hAnsi="仿宋_GB2312" w:cs="仿宋_GB2312"/>
          <w:sz w:val="32"/>
          <w:szCs w:val="32"/>
        </w:rPr>
        <w:t>类，其中：</w:t>
      </w:r>
    </w:p>
    <w:p>
      <w:pPr>
        <w:ind w:firstLine="640" w:firstLineChars="200"/>
        <w:rPr>
          <w:rFonts w:ascii="仿宋_GB2312" w:cs="仿宋_GB2312"/>
          <w:kern w:val="0"/>
          <w:sz w:val="32"/>
          <w:szCs w:val="32"/>
        </w:rPr>
      </w:pPr>
      <w:bookmarkStart w:id="24" w:name="PO_part2A3B1IncReason1"/>
      <w:r>
        <w:rPr>
          <w:rFonts w:hint="eastAsia" w:ascii="仿宋_GB2312" w:cs="仿宋_GB2312"/>
          <w:kern w:val="0"/>
          <w:sz w:val="32"/>
          <w:szCs w:val="32"/>
        </w:rPr>
        <w:t>1. 文化旅游体育与传媒支出85.45万元，占支出总预算62.31%，同比减少43.71万元，同比下降33.84%，减少的主要原因是：关帝庙、老县衙安保经费减少。</w:t>
      </w:r>
    </w:p>
    <w:p>
      <w:pPr>
        <w:ind w:firstLine="640" w:firstLineChars="200"/>
        <w:rPr>
          <w:rFonts w:ascii="仿宋_GB2312" w:cs="仿宋_GB2312"/>
          <w:kern w:val="0"/>
          <w:sz w:val="32"/>
          <w:szCs w:val="32"/>
        </w:rPr>
      </w:pPr>
      <w:r>
        <w:rPr>
          <w:rFonts w:hint="eastAsia" w:ascii="仿宋_GB2312" w:cs="仿宋_GB2312"/>
          <w:kern w:val="0"/>
          <w:sz w:val="32"/>
          <w:szCs w:val="32"/>
        </w:rPr>
        <w:t>2.社会保障和就业支出11.13万元，占支出总预算8.12%，同比增加0.64万元，同比增长6.14%，增加的主要原因是：社保基数调整。</w:t>
      </w:r>
    </w:p>
    <w:p>
      <w:pPr>
        <w:ind w:firstLine="640" w:firstLineChars="200"/>
        <w:rPr>
          <w:rFonts w:ascii="仿宋_GB2312" w:cs="仿宋_GB2312"/>
          <w:kern w:val="0"/>
          <w:sz w:val="32"/>
          <w:szCs w:val="32"/>
        </w:rPr>
      </w:pPr>
      <w:r>
        <w:rPr>
          <w:rFonts w:hint="eastAsia" w:ascii="仿宋_GB2312" w:cs="仿宋_GB2312"/>
          <w:kern w:val="0"/>
          <w:sz w:val="32"/>
          <w:szCs w:val="32"/>
        </w:rPr>
        <w:t>3.卫生健康支出4.92万元，占支出总预算3.58%，同比增加2.13万元，同比增长76.52%，增加的主要原因是：社保基数调整。</w:t>
      </w:r>
    </w:p>
    <w:p>
      <w:pPr>
        <w:ind w:firstLine="640" w:firstLineChars="200"/>
        <w:rPr>
          <w:rFonts w:ascii="仿宋_GB2312" w:cs="仿宋_GB2312"/>
          <w:kern w:val="0"/>
          <w:sz w:val="32"/>
          <w:szCs w:val="32"/>
        </w:rPr>
      </w:pPr>
      <w:r>
        <w:rPr>
          <w:rFonts w:hint="eastAsia" w:ascii="仿宋_GB2312" w:cs="仿宋_GB2312"/>
          <w:kern w:val="0"/>
          <w:sz w:val="32"/>
          <w:szCs w:val="32"/>
        </w:rPr>
        <w:t>4.住房保障支出4.26万元，占支出总预算3.10%，同比增加1.26万元，同比增长42.04%，增加的主要原因是：公积金基数调整。</w:t>
      </w:r>
    </w:p>
    <w:p>
      <w:pPr>
        <w:ind w:firstLine="640" w:firstLineChars="200"/>
        <w:rPr>
          <w:rFonts w:ascii="仿宋_GB2312" w:cs="仿宋_GB2312"/>
          <w:kern w:val="0"/>
          <w:sz w:val="32"/>
          <w:szCs w:val="32"/>
        </w:rPr>
      </w:pPr>
      <w:r>
        <w:rPr>
          <w:rFonts w:hint="eastAsia" w:ascii="仿宋_GB2312" w:cs="仿宋_GB2312"/>
          <w:kern w:val="0"/>
          <w:sz w:val="32"/>
          <w:szCs w:val="32"/>
        </w:rPr>
        <w:t>5.灾害防治及应急管理支出31.38万元，占支出总预算22.89%，同比增加4.32万元，同比增长15.97%，增加的主要原因是：聘请水域巡查员。</w:t>
      </w:r>
      <w:bookmarkEnd w:id="24"/>
    </w:p>
    <w:p>
      <w:pPr>
        <w:ind w:firstLine="640" w:firstLineChars="200"/>
        <w:rPr>
          <w:rFonts w:ascii="仿宋_GB2312" w:cs="仿宋_GB2312"/>
          <w:kern w:val="0"/>
          <w:sz w:val="32"/>
          <w:szCs w:val="32"/>
        </w:rPr>
      </w:pPr>
      <w:r>
        <w:rPr>
          <w:rFonts w:hint="eastAsia" w:ascii="仿宋_GB2312" w:cs="仿宋_GB2312"/>
          <w:kern w:val="0"/>
          <w:sz w:val="32"/>
          <w:szCs w:val="32"/>
        </w:rPr>
        <w:t>（二）按支出结构分类划分，分为基本支出预算和项目支出预算。</w:t>
      </w:r>
    </w:p>
    <w:p>
      <w:pPr>
        <w:ind w:firstLine="640" w:firstLineChars="200"/>
        <w:rPr>
          <w:rFonts w:ascii="仿宋_GB2312" w:cs="仿宋_GB2312"/>
          <w:kern w:val="0"/>
          <w:sz w:val="32"/>
          <w:szCs w:val="32"/>
        </w:rPr>
      </w:pPr>
      <w:r>
        <w:rPr>
          <w:rFonts w:hint="eastAsia" w:ascii="仿宋_GB2312" w:cs="仿宋_GB2312"/>
          <w:kern w:val="0"/>
          <w:sz w:val="32"/>
          <w:szCs w:val="32"/>
        </w:rPr>
        <w:t>1.基本支出预算</w:t>
      </w:r>
      <w:bookmarkStart w:id="25" w:name="PO_part2A3B2C1Amount1"/>
      <w:r>
        <w:rPr>
          <w:rFonts w:ascii="仿宋_GB2312" w:cs="仿宋_GB2312"/>
          <w:kern w:val="0"/>
          <w:sz w:val="32"/>
          <w:szCs w:val="32"/>
        </w:rPr>
        <w:t>65.36</w:t>
      </w:r>
      <w:bookmarkEnd w:id="25"/>
      <w:r>
        <w:rPr>
          <w:rFonts w:hint="eastAsia" w:ascii="仿宋_GB2312" w:cs="仿宋_GB2312"/>
          <w:kern w:val="0"/>
          <w:sz w:val="32"/>
          <w:szCs w:val="32"/>
        </w:rPr>
        <w:t>万元，占支出总预算</w:t>
      </w:r>
      <w:bookmarkStart w:id="26" w:name="PO_part2A3B2C1Amount2"/>
      <w:r>
        <w:rPr>
          <w:rFonts w:ascii="仿宋_GB2312" w:cs="仿宋_GB2312"/>
          <w:kern w:val="0"/>
          <w:sz w:val="32"/>
          <w:szCs w:val="32"/>
        </w:rPr>
        <w:t>47.66</w:t>
      </w:r>
      <w:bookmarkEnd w:id="26"/>
      <w:r>
        <w:rPr>
          <w:rFonts w:hint="eastAsia" w:ascii="仿宋_GB2312" w:cs="仿宋_GB2312"/>
          <w:kern w:val="0"/>
          <w:sz w:val="32"/>
          <w:szCs w:val="32"/>
        </w:rPr>
        <w:t>%，</w:t>
      </w:r>
      <w:bookmarkStart w:id="27" w:name="PO_part2A3B2C1IncAmount1"/>
      <w:r>
        <w:rPr>
          <w:rFonts w:hint="eastAsia" w:ascii="仿宋_GB2312" w:cs="仿宋_GB2312"/>
          <w:kern w:val="0"/>
          <w:sz w:val="32"/>
          <w:szCs w:val="32"/>
        </w:rPr>
        <w:t>同比增加3.86万元，同比增长6.28%</w:t>
      </w:r>
      <w:bookmarkEnd w:id="27"/>
      <w:r>
        <w:rPr>
          <w:rFonts w:hint="eastAsia" w:ascii="仿宋_GB2312" w:cs="仿宋_GB2312"/>
          <w:kern w:val="0"/>
          <w:sz w:val="32"/>
          <w:szCs w:val="32"/>
        </w:rPr>
        <w:t>。</w:t>
      </w:r>
    </w:p>
    <w:p>
      <w:pPr>
        <w:ind w:firstLine="640" w:firstLineChars="200"/>
        <w:rPr>
          <w:rFonts w:ascii="仿宋_GB2312" w:cs="仿宋_GB2312"/>
          <w:kern w:val="0"/>
          <w:sz w:val="32"/>
          <w:szCs w:val="32"/>
        </w:rPr>
      </w:pPr>
      <w:r>
        <w:rPr>
          <w:rFonts w:hint="eastAsia" w:ascii="仿宋_GB2312" w:cs="仿宋_GB2312"/>
          <w:kern w:val="0"/>
          <w:sz w:val="32"/>
          <w:szCs w:val="32"/>
        </w:rPr>
        <w:t>2.项目支出预算</w:t>
      </w:r>
      <w:bookmarkStart w:id="28" w:name="PO_part2A3B2C2Amount1"/>
      <w:r>
        <w:rPr>
          <w:rFonts w:ascii="仿宋_GB2312" w:cs="仿宋_GB2312"/>
          <w:kern w:val="0"/>
          <w:sz w:val="32"/>
          <w:szCs w:val="32"/>
        </w:rPr>
        <w:t>71.77</w:t>
      </w:r>
      <w:bookmarkEnd w:id="28"/>
      <w:r>
        <w:rPr>
          <w:rFonts w:hint="eastAsia" w:ascii="仿宋_GB2312" w:cs="仿宋_GB2312"/>
          <w:kern w:val="0"/>
          <w:sz w:val="32"/>
          <w:szCs w:val="32"/>
        </w:rPr>
        <w:t>万元，占支出总预算</w:t>
      </w:r>
      <w:bookmarkStart w:id="29" w:name="PO_part2A3B2C2Amount2"/>
      <w:r>
        <w:rPr>
          <w:rFonts w:ascii="仿宋_GB2312" w:cs="仿宋_GB2312"/>
          <w:kern w:val="0"/>
          <w:sz w:val="32"/>
          <w:szCs w:val="32"/>
        </w:rPr>
        <w:t>52.34</w:t>
      </w:r>
      <w:bookmarkEnd w:id="29"/>
      <w:r>
        <w:rPr>
          <w:rFonts w:hint="eastAsia" w:ascii="仿宋_GB2312" w:cs="仿宋_GB2312"/>
          <w:kern w:val="0"/>
          <w:sz w:val="32"/>
          <w:szCs w:val="32"/>
        </w:rPr>
        <w:t>%，</w:t>
      </w:r>
      <w:bookmarkStart w:id="30" w:name="PO_part2A3B2C2IncAmount1"/>
      <w:r>
        <w:rPr>
          <w:rFonts w:hint="eastAsia" w:ascii="仿宋_GB2312" w:cs="仿宋_GB2312"/>
          <w:kern w:val="0"/>
          <w:sz w:val="32"/>
          <w:szCs w:val="32"/>
        </w:rPr>
        <w:t>同比减少41.22万元，同比下降36.48%</w:t>
      </w:r>
      <w:bookmarkEnd w:id="30"/>
      <w:r>
        <w:rPr>
          <w:rFonts w:hint="eastAsia" w:ascii="仿宋_GB2312" w:cs="仿宋_GB2312"/>
          <w:kern w:val="0"/>
          <w:sz w:val="32"/>
          <w:szCs w:val="32"/>
        </w:rPr>
        <w:t>。</w:t>
      </w:r>
    </w:p>
    <w:p>
      <w:pPr>
        <w:ind w:firstLine="640" w:firstLineChars="200"/>
        <w:rPr>
          <w:rFonts w:ascii="仿宋_GB2312" w:cs="仿宋_GB2312"/>
          <w:kern w:val="0"/>
          <w:sz w:val="32"/>
          <w:szCs w:val="32"/>
        </w:rPr>
      </w:pPr>
      <w:bookmarkStart w:id="31" w:name="PO_part2A3B2C2Amount3"/>
      <w:r>
        <w:rPr>
          <w:rFonts w:ascii="仿宋_GB2312" w:cs="仿宋_GB2312"/>
          <w:kern w:val="0"/>
          <w:sz w:val="32"/>
          <w:szCs w:val="32"/>
        </w:rPr>
        <w:t>2023</w:t>
      </w:r>
      <w:bookmarkEnd w:id="31"/>
      <w:r>
        <w:rPr>
          <w:rFonts w:hint="eastAsia" w:ascii="仿宋_GB2312" w:cs="仿宋_GB2312"/>
          <w:kern w:val="0"/>
          <w:sz w:val="32"/>
          <w:szCs w:val="32"/>
        </w:rPr>
        <w:t>年支出预算总体</w:t>
      </w:r>
      <w:bookmarkStart w:id="32" w:name="PO_part2A3B2C2IncReason1"/>
      <w:r>
        <w:rPr>
          <w:rFonts w:hint="eastAsia" w:ascii="仿宋_GB2312" w:cs="仿宋_GB2312"/>
          <w:kern w:val="0"/>
          <w:sz w:val="32"/>
          <w:szCs w:val="32"/>
        </w:rPr>
        <w:t>减少的主要原因是：文化旅游体育与传媒支出减少。</w:t>
      </w:r>
      <w:bookmarkEnd w:id="32"/>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财政拨款收支预算情况说明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2023年部门财政拨款收支总预算</w:t>
      </w:r>
      <w:bookmarkStart w:id="33" w:name="PO_part2A4Amount1"/>
      <w:r>
        <w:rPr>
          <w:rFonts w:ascii="仿宋_GB2312" w:cs="仿宋_GB2312"/>
          <w:kern w:val="0"/>
          <w:sz w:val="32"/>
          <w:szCs w:val="32"/>
        </w:rPr>
        <w:t>137.14</w:t>
      </w:r>
      <w:bookmarkEnd w:id="33"/>
      <w:r>
        <w:rPr>
          <w:rFonts w:hint="eastAsia" w:ascii="仿宋_GB2312" w:cs="仿宋_GB2312"/>
          <w:kern w:val="0"/>
          <w:sz w:val="32"/>
          <w:szCs w:val="32"/>
        </w:rPr>
        <w:t>万元，收入包括：</w:t>
      </w:r>
      <w:bookmarkStart w:id="34" w:name="PO_part2A4IncReason1"/>
      <w:r>
        <w:rPr>
          <w:rFonts w:hint="eastAsia" w:ascii="仿宋_GB2312" w:cs="仿宋_GB2312"/>
          <w:kern w:val="0"/>
          <w:sz w:val="32"/>
          <w:szCs w:val="32"/>
        </w:rPr>
        <w:t>一般公共预算拨款137.14万元。</w:t>
      </w:r>
      <w:bookmarkEnd w:id="34"/>
      <w:r>
        <w:rPr>
          <w:rFonts w:hint="eastAsia" w:ascii="仿宋_GB2312" w:cs="仿宋_GB2312"/>
          <w:kern w:val="0"/>
          <w:sz w:val="32"/>
          <w:szCs w:val="32"/>
        </w:rPr>
        <w:t>支出包括：</w:t>
      </w:r>
      <w:bookmarkStart w:id="35" w:name="PO_part2A4IncReason2"/>
      <w:r>
        <w:rPr>
          <w:rFonts w:hint="eastAsia" w:ascii="仿宋_GB2312" w:cs="仿宋_GB2312"/>
          <w:kern w:val="0"/>
          <w:sz w:val="32"/>
          <w:szCs w:val="32"/>
        </w:rPr>
        <w:t>文化旅游体育与传媒支出85.45万元、社会保障和就业支出11.13万元、卫生健康支出4.92万元、住房保障支出4.26万元、灾害防治及应急管理支出31.38万元。</w:t>
      </w:r>
      <w:bookmarkEnd w:id="35"/>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一般公共预算支出情况说明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2023年部门一般公共预算拨款支出</w:t>
      </w:r>
      <w:bookmarkStart w:id="36" w:name="PO_part2A5Amount1"/>
      <w:r>
        <w:rPr>
          <w:rFonts w:ascii="仿宋_GB2312" w:cs="仿宋_GB2312"/>
          <w:kern w:val="0"/>
          <w:sz w:val="32"/>
          <w:szCs w:val="32"/>
        </w:rPr>
        <w:t>137.14</w:t>
      </w:r>
      <w:bookmarkEnd w:id="36"/>
      <w:r>
        <w:rPr>
          <w:rFonts w:hint="eastAsia" w:ascii="仿宋_GB2312" w:cs="仿宋_GB2312"/>
          <w:kern w:val="0"/>
          <w:sz w:val="32"/>
          <w:szCs w:val="32"/>
        </w:rPr>
        <w:t>万元，其中：基本支出</w:t>
      </w:r>
      <w:bookmarkStart w:id="37" w:name="PO_part2A5Amount2"/>
      <w:r>
        <w:rPr>
          <w:rFonts w:ascii="仿宋_GB2312" w:cs="仿宋_GB2312"/>
          <w:kern w:val="0"/>
          <w:sz w:val="32"/>
          <w:szCs w:val="32"/>
        </w:rPr>
        <w:t>65.36</w:t>
      </w:r>
      <w:bookmarkEnd w:id="37"/>
      <w:r>
        <w:rPr>
          <w:rFonts w:hint="eastAsia" w:ascii="仿宋_GB2312" w:cs="仿宋_GB2312"/>
          <w:kern w:val="0"/>
          <w:sz w:val="32"/>
          <w:szCs w:val="32"/>
        </w:rPr>
        <w:t>万元，项目支出</w:t>
      </w:r>
      <w:bookmarkStart w:id="38" w:name="PO_part2A5Amount3"/>
      <w:r>
        <w:rPr>
          <w:rFonts w:ascii="仿宋_GB2312" w:cs="仿宋_GB2312"/>
          <w:kern w:val="0"/>
          <w:sz w:val="32"/>
          <w:szCs w:val="32"/>
        </w:rPr>
        <w:t>71.77</w:t>
      </w:r>
      <w:bookmarkEnd w:id="38"/>
      <w:r>
        <w:rPr>
          <w:rFonts w:hint="eastAsia" w:ascii="仿宋_GB2312" w:cs="仿宋_GB2312"/>
          <w:kern w:val="0"/>
          <w:sz w:val="32"/>
          <w:szCs w:val="32"/>
        </w:rPr>
        <w:t>万元。具体支出预算如下：</w:t>
      </w:r>
      <w:bookmarkStart w:id="39" w:name="PO_part2A5IncReason1"/>
    </w:p>
    <w:p>
      <w:pPr>
        <w:ind w:firstLine="640" w:firstLineChars="200"/>
        <w:rPr>
          <w:rFonts w:ascii="仿宋_GB2312" w:cs="仿宋_GB2312"/>
          <w:kern w:val="0"/>
          <w:sz w:val="32"/>
          <w:szCs w:val="32"/>
        </w:rPr>
      </w:pPr>
      <w:r>
        <w:rPr>
          <w:rFonts w:hint="eastAsia" w:ascii="仿宋_GB2312" w:cs="仿宋_GB2312"/>
          <w:kern w:val="0"/>
          <w:sz w:val="32"/>
          <w:szCs w:val="32"/>
        </w:rPr>
        <w:t>（一）艺术表演团体支出1.40万元，全部为项目支出。主要用于：业余文艺团队培训课时费。</w:t>
      </w:r>
    </w:p>
    <w:p>
      <w:pPr>
        <w:ind w:firstLine="640" w:firstLineChars="200"/>
        <w:rPr>
          <w:rFonts w:ascii="仿宋_GB2312" w:cs="仿宋_GB2312"/>
          <w:kern w:val="0"/>
          <w:sz w:val="32"/>
          <w:szCs w:val="32"/>
        </w:rPr>
      </w:pPr>
      <w:r>
        <w:rPr>
          <w:rFonts w:hint="eastAsia" w:ascii="仿宋_GB2312" w:cs="仿宋_GB2312"/>
          <w:kern w:val="0"/>
          <w:sz w:val="32"/>
          <w:szCs w:val="32"/>
        </w:rPr>
        <w:t>（二）文化活动支出32.40万元，全部为项目支出。主要用于：文艺下村（社区）演出、重阳节及年度优秀节目汇报演出，以及春节群众活动。</w:t>
      </w:r>
    </w:p>
    <w:p>
      <w:pPr>
        <w:ind w:firstLine="640" w:firstLineChars="200"/>
        <w:rPr>
          <w:rFonts w:ascii="仿宋_GB2312" w:cs="仿宋_GB2312"/>
          <w:kern w:val="0"/>
          <w:sz w:val="32"/>
          <w:szCs w:val="32"/>
        </w:rPr>
      </w:pPr>
      <w:r>
        <w:rPr>
          <w:rFonts w:hint="eastAsia" w:ascii="仿宋_GB2312" w:cs="仿宋_GB2312"/>
          <w:kern w:val="0"/>
          <w:sz w:val="32"/>
          <w:szCs w:val="32"/>
        </w:rPr>
        <w:t>（三）其他文化和旅游支出45.06万元，全部为基本支出。主要用于：办公费、职工伙食补助及社保。</w:t>
      </w:r>
    </w:p>
    <w:p>
      <w:pPr>
        <w:ind w:firstLine="640" w:firstLineChars="200"/>
        <w:rPr>
          <w:rFonts w:ascii="仿宋_GB2312" w:cs="仿宋_GB2312"/>
          <w:kern w:val="0"/>
          <w:sz w:val="32"/>
          <w:szCs w:val="32"/>
        </w:rPr>
      </w:pPr>
      <w:r>
        <w:rPr>
          <w:rFonts w:hint="eastAsia" w:ascii="仿宋_GB2312" w:cs="仿宋_GB2312"/>
          <w:kern w:val="0"/>
          <w:sz w:val="32"/>
          <w:szCs w:val="32"/>
        </w:rPr>
        <w:t>（四）历史名城与古迹支出6.59万元，全部为项目支出。主要用于：关帝庙、老县衙安保工资。</w:t>
      </w:r>
    </w:p>
    <w:p>
      <w:pPr>
        <w:ind w:firstLine="640" w:firstLineChars="200"/>
        <w:rPr>
          <w:rFonts w:ascii="仿宋_GB2312" w:cs="仿宋_GB2312"/>
          <w:kern w:val="0"/>
          <w:sz w:val="32"/>
          <w:szCs w:val="32"/>
        </w:rPr>
      </w:pPr>
      <w:r>
        <w:rPr>
          <w:rFonts w:hint="eastAsia" w:ascii="仿宋_GB2312" w:cs="仿宋_GB2312"/>
          <w:kern w:val="0"/>
          <w:sz w:val="32"/>
          <w:szCs w:val="32"/>
        </w:rPr>
        <w:t>（五）事业单位离退休支出2.62万元，全部为基本支出。主要用于：退休人员春节慰问经费、生活补贴、物业补贴，以及缴纳退休医疗补助。</w:t>
      </w:r>
    </w:p>
    <w:p>
      <w:pPr>
        <w:ind w:firstLine="640" w:firstLineChars="200"/>
        <w:rPr>
          <w:rFonts w:ascii="仿宋_GB2312" w:cs="仿宋_GB2312"/>
          <w:kern w:val="0"/>
          <w:sz w:val="32"/>
          <w:szCs w:val="32"/>
        </w:rPr>
      </w:pPr>
      <w:r>
        <w:rPr>
          <w:rFonts w:hint="eastAsia" w:ascii="仿宋_GB2312" w:cs="仿宋_GB2312"/>
          <w:kern w:val="0"/>
          <w:sz w:val="32"/>
          <w:szCs w:val="32"/>
        </w:rPr>
        <w:t>（六）社会机关事业单位基本养老保险缴费支出5.67万元，全部为基本支出。主要用于：缴纳在职人员基本养老保险。</w:t>
      </w:r>
    </w:p>
    <w:p>
      <w:pPr>
        <w:ind w:firstLine="640" w:firstLineChars="200"/>
        <w:rPr>
          <w:rFonts w:ascii="仿宋_GB2312" w:cs="仿宋_GB2312"/>
          <w:kern w:val="0"/>
          <w:sz w:val="32"/>
          <w:szCs w:val="32"/>
        </w:rPr>
      </w:pPr>
      <w:r>
        <w:rPr>
          <w:rFonts w:hint="eastAsia" w:ascii="仿宋_GB2312" w:cs="仿宋_GB2312"/>
          <w:kern w:val="0"/>
          <w:sz w:val="32"/>
          <w:szCs w:val="32"/>
        </w:rPr>
        <w:t>（七）机关事业单位职业年金缴费支出2.84万元，全部为基本支出。主要用于：缴纳在职人员职业年金。</w:t>
      </w:r>
    </w:p>
    <w:p>
      <w:pPr>
        <w:ind w:firstLine="640" w:firstLineChars="200"/>
        <w:rPr>
          <w:rFonts w:ascii="仿宋_GB2312" w:cs="仿宋_GB2312"/>
          <w:kern w:val="0"/>
          <w:sz w:val="32"/>
          <w:szCs w:val="32"/>
        </w:rPr>
      </w:pPr>
      <w:r>
        <w:rPr>
          <w:rFonts w:hint="eastAsia" w:ascii="仿宋_GB2312" w:cs="仿宋_GB2312"/>
          <w:kern w:val="0"/>
          <w:sz w:val="32"/>
          <w:szCs w:val="32"/>
        </w:rPr>
        <w:t>（八）事业单位医疗支出4.92万元，全部为基本支出。主要用于：缴纳在职人员医疗保险。</w:t>
      </w:r>
    </w:p>
    <w:p>
      <w:pPr>
        <w:ind w:firstLine="640" w:firstLineChars="200"/>
        <w:rPr>
          <w:rFonts w:ascii="仿宋_GB2312" w:cs="仿宋_GB2312"/>
          <w:kern w:val="0"/>
          <w:sz w:val="32"/>
          <w:szCs w:val="32"/>
        </w:rPr>
      </w:pPr>
      <w:r>
        <w:rPr>
          <w:rFonts w:hint="eastAsia" w:ascii="仿宋_GB2312" w:cs="仿宋_GB2312"/>
          <w:kern w:val="0"/>
          <w:sz w:val="32"/>
          <w:szCs w:val="32"/>
        </w:rPr>
        <w:t>（九）住房公积金支出4.26万元，全部为基本支出。主要用于：缴纳在职人员住房公积金。</w:t>
      </w:r>
    </w:p>
    <w:p>
      <w:pPr>
        <w:ind w:firstLine="640" w:firstLineChars="200"/>
        <w:rPr>
          <w:rFonts w:ascii="仿宋_GB2312" w:cs="仿宋_GB2312"/>
          <w:kern w:val="0"/>
          <w:sz w:val="32"/>
          <w:szCs w:val="32"/>
        </w:rPr>
      </w:pPr>
      <w:r>
        <w:rPr>
          <w:rFonts w:hint="eastAsia" w:ascii="仿宋_GB2312" w:cs="仿宋_GB2312"/>
          <w:kern w:val="0"/>
          <w:sz w:val="32"/>
          <w:szCs w:val="32"/>
        </w:rPr>
        <w:t>（十）其他灾害防治及应急管理支出31.38万元，全部为项目支出。主要用于：水域巡查员工资、防溺水宣传及救生物资采购。</w:t>
      </w:r>
      <w:bookmarkEnd w:id="39"/>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一般公共预算基本支出情况说明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2023年部门一般公共预算基本支出</w:t>
      </w:r>
      <w:bookmarkStart w:id="40" w:name="PO_part2A6Amount1"/>
      <w:r>
        <w:rPr>
          <w:rFonts w:ascii="仿宋_GB2312" w:cs="仿宋_GB2312"/>
          <w:kern w:val="0"/>
          <w:sz w:val="32"/>
          <w:szCs w:val="32"/>
        </w:rPr>
        <w:t>65.36</w:t>
      </w:r>
      <w:bookmarkEnd w:id="40"/>
      <w:r>
        <w:rPr>
          <w:rFonts w:hint="eastAsia" w:ascii="仿宋_GB2312" w:cs="仿宋_GB2312"/>
          <w:kern w:val="0"/>
          <w:sz w:val="32"/>
          <w:szCs w:val="32"/>
        </w:rPr>
        <w:t>万元，其中：</w:t>
      </w:r>
    </w:p>
    <w:p>
      <w:pPr>
        <w:ind w:firstLine="640" w:firstLineChars="200"/>
        <w:rPr>
          <w:rFonts w:ascii="仿宋_GB2312" w:cs="仿宋_GB2312"/>
          <w:kern w:val="0"/>
          <w:sz w:val="32"/>
          <w:szCs w:val="32"/>
        </w:rPr>
      </w:pPr>
      <w:r>
        <w:rPr>
          <w:rFonts w:hint="eastAsia" w:ascii="仿宋_GB2312" w:cs="仿宋_GB2312"/>
          <w:kern w:val="0"/>
          <w:sz w:val="32"/>
          <w:szCs w:val="32"/>
        </w:rPr>
        <w:t>（一）人员经费</w:t>
      </w:r>
      <w:bookmarkStart w:id="41" w:name="PO_part2A6B1Amount1"/>
      <w:r>
        <w:rPr>
          <w:rFonts w:ascii="仿宋_GB2312" w:cs="仿宋_GB2312"/>
          <w:kern w:val="0"/>
          <w:sz w:val="32"/>
          <w:szCs w:val="32"/>
        </w:rPr>
        <w:t>58.33</w:t>
      </w:r>
      <w:bookmarkEnd w:id="41"/>
      <w:r>
        <w:rPr>
          <w:rFonts w:hint="eastAsia" w:ascii="仿宋_GB2312" w:cs="仿宋_GB2312"/>
          <w:kern w:val="0"/>
          <w:sz w:val="32"/>
          <w:szCs w:val="32"/>
        </w:rPr>
        <w:t>万元，主要包括：</w:t>
      </w:r>
      <w:bookmarkStart w:id="42" w:name="PO_part2A6B1IncReason1"/>
      <w:r>
        <w:rPr>
          <w:rFonts w:hint="eastAsia" w:ascii="仿宋_GB2312" w:cs="仿宋_GB2312"/>
          <w:kern w:val="0"/>
          <w:sz w:val="32"/>
          <w:szCs w:val="32"/>
        </w:rPr>
        <w:t>基本工资、津贴补贴、奖金、绩效工资、机关事业单位基本养老保险缴费、职业年金缴费、职工基本医疗保险缴费、公务员医疗补助缴费、其他社会保障缴费、住房公积金、退休费、医疗费补助、其他对个人和家庭的补助。</w:t>
      </w:r>
      <w:bookmarkEnd w:id="42"/>
    </w:p>
    <w:p>
      <w:pPr>
        <w:ind w:firstLine="640" w:firstLineChars="200"/>
        <w:rPr>
          <w:rFonts w:ascii="仿宋_GB2312" w:cs="仿宋_GB2312"/>
          <w:kern w:val="0"/>
          <w:sz w:val="32"/>
          <w:szCs w:val="32"/>
        </w:rPr>
      </w:pPr>
      <w:r>
        <w:rPr>
          <w:rFonts w:hint="eastAsia" w:ascii="仿宋_GB2312" w:cs="仿宋_GB2312"/>
          <w:kern w:val="0"/>
          <w:sz w:val="32"/>
          <w:szCs w:val="32"/>
        </w:rPr>
        <w:t>（二）公用经费</w:t>
      </w:r>
      <w:bookmarkStart w:id="43" w:name="PO_part2A6B2Amount1"/>
      <w:r>
        <w:rPr>
          <w:rFonts w:ascii="仿宋_GB2312" w:cs="仿宋_GB2312"/>
          <w:kern w:val="0"/>
          <w:sz w:val="32"/>
          <w:szCs w:val="32"/>
        </w:rPr>
        <w:t>7.04</w:t>
      </w:r>
      <w:bookmarkEnd w:id="43"/>
      <w:r>
        <w:rPr>
          <w:rFonts w:hint="eastAsia" w:ascii="仿宋_GB2312" w:cs="仿宋_GB2312"/>
          <w:kern w:val="0"/>
          <w:sz w:val="32"/>
          <w:szCs w:val="32"/>
        </w:rPr>
        <w:t>万元，主要包括：</w:t>
      </w:r>
      <w:bookmarkStart w:id="44" w:name="PO_part2A6B2IncReason1"/>
      <w:r>
        <w:rPr>
          <w:rFonts w:hint="eastAsia" w:ascii="仿宋_GB2312" w:cs="仿宋_GB2312"/>
          <w:kern w:val="0"/>
          <w:sz w:val="32"/>
          <w:szCs w:val="32"/>
        </w:rPr>
        <w:t>办公费、印刷费、水费、电费、邮电费、物业管理费、差旅费、维修（护）费、会议费、培训费、公务接待费、工会经费、福利费、公务用车运行维护费、其他商品和服务支出。</w:t>
      </w:r>
      <w:bookmarkEnd w:id="44"/>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一般公共预算“三公”经费情况说明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2023年部门一般公共预算安排的“三公”经费支出预算</w:t>
      </w:r>
      <w:bookmarkStart w:id="45" w:name="PO_part2A7Amount1"/>
      <w:r>
        <w:rPr>
          <w:rFonts w:ascii="仿宋_GB2312" w:cs="仿宋_GB2312"/>
          <w:kern w:val="0"/>
          <w:sz w:val="32"/>
          <w:szCs w:val="32"/>
        </w:rPr>
        <w:t>2.11</w:t>
      </w:r>
      <w:bookmarkEnd w:id="45"/>
      <w:r>
        <w:rPr>
          <w:rFonts w:hint="eastAsia" w:ascii="仿宋_GB2312" w:cs="仿宋_GB2312"/>
          <w:kern w:val="0"/>
          <w:sz w:val="32"/>
          <w:szCs w:val="32"/>
        </w:rPr>
        <w:t>万元，</w:t>
      </w:r>
      <w:bookmarkStart w:id="46" w:name="PO_part2A7IncAmount1"/>
      <w:r>
        <w:rPr>
          <w:rFonts w:hint="eastAsia" w:ascii="仿宋_GB2312" w:cs="仿宋_GB2312"/>
          <w:kern w:val="0"/>
          <w:sz w:val="32"/>
          <w:szCs w:val="32"/>
        </w:rPr>
        <w:t>与上年持平</w:t>
      </w:r>
      <w:bookmarkEnd w:id="46"/>
      <w:r>
        <w:rPr>
          <w:rFonts w:hint="eastAsia" w:ascii="仿宋_GB2312" w:cs="仿宋_GB2312"/>
          <w:kern w:val="0"/>
          <w:sz w:val="32"/>
          <w:szCs w:val="32"/>
        </w:rPr>
        <w:t>。其中：</w:t>
      </w:r>
    </w:p>
    <w:p>
      <w:pPr>
        <w:ind w:firstLine="640" w:firstLineChars="200"/>
        <w:rPr>
          <w:rFonts w:ascii="仿宋_GB2312" w:cs="仿宋_GB2312"/>
          <w:kern w:val="0"/>
          <w:sz w:val="32"/>
          <w:szCs w:val="32"/>
        </w:rPr>
      </w:pPr>
      <w:r>
        <w:rPr>
          <w:rFonts w:hint="eastAsia" w:ascii="仿宋_GB2312" w:cs="仿宋_GB2312"/>
          <w:kern w:val="0"/>
          <w:sz w:val="32"/>
          <w:szCs w:val="32"/>
        </w:rPr>
        <w:t>（一）因公出国（境）经费2023年预算</w:t>
      </w:r>
      <w:bookmarkStart w:id="47" w:name="PO_part2A7B1Amount1"/>
      <w:r>
        <w:rPr>
          <w:rFonts w:ascii="仿宋_GB2312" w:cs="仿宋_GB2312"/>
          <w:kern w:val="0"/>
          <w:sz w:val="32"/>
          <w:szCs w:val="32"/>
        </w:rPr>
        <w:t>0.00</w:t>
      </w:r>
      <w:bookmarkEnd w:id="47"/>
      <w:r>
        <w:rPr>
          <w:rFonts w:hint="eastAsia" w:ascii="仿宋_GB2312" w:cs="仿宋_GB2312"/>
          <w:kern w:val="0"/>
          <w:sz w:val="32"/>
          <w:szCs w:val="32"/>
        </w:rPr>
        <w:t>万元，</w:t>
      </w:r>
      <w:bookmarkStart w:id="48" w:name="PO_part2A7B1IncReason1"/>
      <w:r>
        <w:rPr>
          <w:rFonts w:hint="eastAsia" w:ascii="仿宋_GB2312" w:cs="仿宋_GB2312"/>
          <w:kern w:val="0"/>
          <w:sz w:val="32"/>
          <w:szCs w:val="32"/>
        </w:rPr>
        <w:t>与上年持平</w:t>
      </w:r>
      <w:bookmarkEnd w:id="48"/>
      <w:r>
        <w:rPr>
          <w:rFonts w:hint="eastAsia" w:ascii="仿宋_GB2312" w:cs="仿宋_GB2312"/>
          <w:kern w:val="0"/>
          <w:sz w:val="32"/>
          <w:szCs w:val="32"/>
        </w:rPr>
        <w:t>。</w:t>
      </w:r>
    </w:p>
    <w:p>
      <w:pPr>
        <w:ind w:firstLine="640" w:firstLineChars="200"/>
        <w:rPr>
          <w:rFonts w:ascii="仿宋_GB2312" w:cs="仿宋_GB2312"/>
          <w:kern w:val="0"/>
          <w:sz w:val="32"/>
          <w:szCs w:val="32"/>
        </w:rPr>
      </w:pPr>
      <w:r>
        <w:rPr>
          <w:rFonts w:hint="eastAsia" w:ascii="仿宋_GB2312" w:cs="仿宋_GB2312"/>
          <w:kern w:val="0"/>
          <w:sz w:val="32"/>
          <w:szCs w:val="32"/>
        </w:rPr>
        <w:t>（二）公务接待费2023年预算</w:t>
      </w:r>
      <w:bookmarkStart w:id="49" w:name="PO_part2A7B2Amount1"/>
      <w:r>
        <w:rPr>
          <w:rFonts w:ascii="仿宋_GB2312" w:cs="仿宋_GB2312"/>
          <w:kern w:val="0"/>
          <w:sz w:val="32"/>
          <w:szCs w:val="32"/>
        </w:rPr>
        <w:t>0.11</w:t>
      </w:r>
      <w:bookmarkEnd w:id="49"/>
      <w:r>
        <w:rPr>
          <w:rFonts w:hint="eastAsia" w:ascii="仿宋_GB2312" w:cs="仿宋_GB2312"/>
          <w:kern w:val="0"/>
          <w:sz w:val="32"/>
          <w:szCs w:val="32"/>
        </w:rPr>
        <w:t>万元，</w:t>
      </w:r>
      <w:bookmarkStart w:id="50" w:name="PO_part2A7B2IncReason1"/>
      <w:r>
        <w:rPr>
          <w:rFonts w:hint="eastAsia" w:ascii="仿宋_GB2312" w:cs="仿宋_GB2312"/>
          <w:kern w:val="0"/>
          <w:sz w:val="32"/>
          <w:szCs w:val="32"/>
        </w:rPr>
        <w:t>与上年持平</w:t>
      </w:r>
      <w:bookmarkEnd w:id="50"/>
      <w:r>
        <w:rPr>
          <w:rFonts w:hint="eastAsia" w:ascii="仿宋_GB2312" w:cs="仿宋_GB2312"/>
          <w:kern w:val="0"/>
          <w:sz w:val="32"/>
          <w:szCs w:val="32"/>
        </w:rPr>
        <w:t>。</w:t>
      </w:r>
    </w:p>
    <w:p>
      <w:pPr>
        <w:ind w:firstLine="640" w:firstLineChars="200"/>
        <w:rPr>
          <w:rFonts w:ascii="仿宋_GB2312" w:cs="仿宋_GB2312"/>
          <w:kern w:val="0"/>
          <w:sz w:val="32"/>
          <w:szCs w:val="32"/>
        </w:rPr>
      </w:pPr>
      <w:r>
        <w:rPr>
          <w:rFonts w:hint="eastAsia" w:ascii="仿宋_GB2312" w:cs="仿宋_GB2312"/>
          <w:kern w:val="0"/>
          <w:sz w:val="32"/>
          <w:szCs w:val="32"/>
        </w:rPr>
        <w:t>（三）公务用车购置及运行维护费2023年预算</w:t>
      </w:r>
      <w:bookmarkStart w:id="51" w:name="PO_part2A7B3Amount1"/>
      <w:r>
        <w:rPr>
          <w:rFonts w:ascii="仿宋_GB2312" w:cs="仿宋_GB2312"/>
          <w:kern w:val="0"/>
          <w:sz w:val="32"/>
          <w:szCs w:val="32"/>
        </w:rPr>
        <w:t>2.00</w:t>
      </w:r>
      <w:bookmarkEnd w:id="51"/>
      <w:r>
        <w:rPr>
          <w:rFonts w:hint="eastAsia" w:ascii="仿宋_GB2312" w:cs="仿宋_GB2312"/>
          <w:kern w:val="0"/>
          <w:sz w:val="32"/>
          <w:szCs w:val="32"/>
        </w:rPr>
        <w:t>万元，</w:t>
      </w:r>
      <w:bookmarkStart w:id="52" w:name="PO_part2A7B3IncReason1"/>
      <w:r>
        <w:rPr>
          <w:rFonts w:hint="eastAsia" w:ascii="仿宋_GB2312" w:cs="仿宋_GB2312"/>
          <w:kern w:val="0"/>
          <w:sz w:val="32"/>
          <w:szCs w:val="32"/>
        </w:rPr>
        <w:t>与上年持平</w:t>
      </w:r>
      <w:bookmarkEnd w:id="52"/>
      <w:r>
        <w:rPr>
          <w:rFonts w:hint="eastAsia" w:ascii="仿宋_GB2312" w:cs="仿宋_GB2312"/>
          <w:kern w:val="0"/>
          <w:sz w:val="32"/>
          <w:szCs w:val="32"/>
        </w:rPr>
        <w:t>。其中：</w:t>
      </w:r>
    </w:p>
    <w:p>
      <w:pPr>
        <w:ind w:firstLine="640" w:firstLineChars="200"/>
        <w:rPr>
          <w:rFonts w:ascii="仿宋_GB2312" w:cs="仿宋_GB2312"/>
          <w:kern w:val="0"/>
          <w:sz w:val="32"/>
          <w:szCs w:val="32"/>
        </w:rPr>
      </w:pPr>
      <w:r>
        <w:rPr>
          <w:rFonts w:hint="eastAsia" w:ascii="仿宋_GB2312" w:cs="仿宋_GB2312"/>
          <w:kern w:val="0"/>
          <w:sz w:val="32"/>
          <w:szCs w:val="32"/>
        </w:rPr>
        <w:t>1.公务用车购置费2023年预算</w:t>
      </w:r>
      <w:bookmarkStart w:id="53" w:name="PO_part2A7B3C1Amount1"/>
      <w:r>
        <w:rPr>
          <w:rFonts w:ascii="仿宋_GB2312" w:cs="仿宋_GB2312"/>
          <w:kern w:val="0"/>
          <w:sz w:val="32"/>
          <w:szCs w:val="32"/>
        </w:rPr>
        <w:t>0.00</w:t>
      </w:r>
      <w:bookmarkEnd w:id="53"/>
      <w:r>
        <w:rPr>
          <w:rFonts w:hint="eastAsia" w:ascii="仿宋_GB2312" w:cs="仿宋_GB2312"/>
          <w:kern w:val="0"/>
          <w:sz w:val="32"/>
          <w:szCs w:val="32"/>
        </w:rPr>
        <w:t>万元，</w:t>
      </w:r>
      <w:bookmarkStart w:id="54" w:name="PO_part2A7B3C1IncReason1"/>
      <w:r>
        <w:rPr>
          <w:rFonts w:hint="eastAsia" w:ascii="仿宋_GB2312" w:cs="仿宋_GB2312"/>
          <w:kern w:val="0"/>
          <w:sz w:val="32"/>
          <w:szCs w:val="32"/>
        </w:rPr>
        <w:t>与上年持平</w:t>
      </w:r>
      <w:bookmarkEnd w:id="54"/>
      <w:r>
        <w:rPr>
          <w:rFonts w:hint="eastAsia" w:ascii="仿宋_GB2312" w:cs="仿宋_GB2312"/>
          <w:kern w:val="0"/>
          <w:sz w:val="32"/>
          <w:szCs w:val="32"/>
        </w:rPr>
        <w:t>。</w:t>
      </w:r>
    </w:p>
    <w:p>
      <w:pPr>
        <w:ind w:firstLine="640" w:firstLineChars="200"/>
        <w:rPr>
          <w:rFonts w:ascii="仿宋_GB2312" w:cs="仿宋_GB2312"/>
          <w:kern w:val="0"/>
          <w:sz w:val="32"/>
          <w:szCs w:val="32"/>
        </w:rPr>
      </w:pPr>
      <w:r>
        <w:rPr>
          <w:rFonts w:hint="eastAsia" w:ascii="仿宋_GB2312" w:cs="仿宋_GB2312"/>
          <w:kern w:val="0"/>
          <w:sz w:val="32"/>
          <w:szCs w:val="32"/>
        </w:rPr>
        <w:t>2.公务用车运行维护费2023年预算</w:t>
      </w:r>
      <w:bookmarkStart w:id="55" w:name="PO_part2A7B3C2Amount1"/>
      <w:r>
        <w:rPr>
          <w:rFonts w:ascii="仿宋_GB2312" w:cs="仿宋_GB2312"/>
          <w:kern w:val="0"/>
          <w:sz w:val="32"/>
          <w:szCs w:val="32"/>
        </w:rPr>
        <w:t>2.00</w:t>
      </w:r>
      <w:bookmarkEnd w:id="55"/>
      <w:r>
        <w:rPr>
          <w:rFonts w:hint="eastAsia" w:ascii="仿宋_GB2312" w:cs="仿宋_GB2312"/>
          <w:kern w:val="0"/>
          <w:sz w:val="32"/>
          <w:szCs w:val="32"/>
        </w:rPr>
        <w:t>万元，</w:t>
      </w:r>
      <w:bookmarkStart w:id="56" w:name="PO_part2A7B3C2IncReason1"/>
      <w:r>
        <w:rPr>
          <w:rFonts w:hint="eastAsia" w:ascii="仿宋_GB2312" w:cs="仿宋_GB2312"/>
          <w:kern w:val="0"/>
          <w:sz w:val="32"/>
          <w:szCs w:val="32"/>
        </w:rPr>
        <w:t>与上年持平</w:t>
      </w:r>
      <w:bookmarkEnd w:id="56"/>
      <w:r>
        <w:rPr>
          <w:rFonts w:hint="eastAsia" w:ascii="仿宋_GB2312" w:cs="仿宋_GB2312"/>
          <w:kern w:val="0"/>
          <w:sz w:val="32"/>
          <w:szCs w:val="32"/>
        </w:rPr>
        <w:t>。</w:t>
      </w:r>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政府性基金预算支出情况说明</w:t>
      </w:r>
    </w:p>
    <w:p>
      <w:pPr>
        <w:ind w:firstLine="640" w:firstLineChars="200"/>
        <w:rPr>
          <w:rFonts w:ascii="仿宋_GB2312" w:cs="仿宋_GB2312"/>
          <w:kern w:val="0"/>
          <w:sz w:val="32"/>
          <w:szCs w:val="32"/>
        </w:rPr>
      </w:pPr>
      <w:bookmarkStart w:id="57" w:name="PO_part2A8IncReason1"/>
      <w:r>
        <w:rPr>
          <w:rFonts w:hint="eastAsia" w:ascii="仿宋_GB2312" w:cs="仿宋_GB2312"/>
          <w:kern w:val="0"/>
          <w:sz w:val="32"/>
          <w:szCs w:val="32"/>
        </w:rPr>
        <w:t>2023年我部门无政府性基金预算支出安排，故无数据情况说明。</w:t>
      </w:r>
      <w:bookmarkEnd w:id="57"/>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国有资本经营预算支出情况说明</w:t>
      </w:r>
    </w:p>
    <w:p>
      <w:pPr>
        <w:ind w:firstLine="640" w:firstLineChars="200"/>
        <w:rPr>
          <w:rFonts w:ascii="仿宋_GB2312" w:cs="仿宋_GB2312"/>
          <w:kern w:val="0"/>
          <w:sz w:val="32"/>
          <w:szCs w:val="32"/>
        </w:rPr>
      </w:pPr>
      <w:bookmarkStart w:id="58" w:name="PO_part2A9IncReason1"/>
      <w:r>
        <w:rPr>
          <w:rFonts w:hint="eastAsia" w:ascii="仿宋_GB2312" w:cs="仿宋_GB2312"/>
          <w:kern w:val="0"/>
          <w:sz w:val="32"/>
          <w:szCs w:val="32"/>
        </w:rPr>
        <w:t>2023年我部门无国有资本经营预算支出安排，故无数据情况说明。</w:t>
      </w:r>
      <w:bookmarkEnd w:id="58"/>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政府采购预算情况说明</w:t>
      </w:r>
    </w:p>
    <w:p>
      <w:pPr>
        <w:ind w:firstLine="640" w:firstLineChars="200"/>
        <w:rPr>
          <w:rFonts w:ascii="仿宋_GB2312" w:cs="仿宋_GB2312"/>
          <w:kern w:val="0"/>
          <w:sz w:val="32"/>
          <w:szCs w:val="32"/>
        </w:rPr>
      </w:pPr>
      <w:bookmarkStart w:id="59" w:name="PO_part2A10IncReason1"/>
      <w:r>
        <w:rPr>
          <w:rFonts w:hint="eastAsia" w:ascii="仿宋_GB2312" w:cs="仿宋_GB2312"/>
          <w:kern w:val="0"/>
          <w:sz w:val="32"/>
          <w:szCs w:val="32"/>
        </w:rPr>
        <w:t>2023年政府采购预算5.08万元，同比增加5.08万元，与上年无可比。其中：政府集中采购预算0.00万元，占政府采购预算0.00%，同比增加0.00万元，与上年无可比；分散采购预算5.08万元，占政府采购预算100.00%，同比增加5.08万元，与上年无可比。</w:t>
      </w:r>
    </w:p>
    <w:p>
      <w:pPr>
        <w:ind w:firstLine="640" w:firstLineChars="200"/>
        <w:rPr>
          <w:rFonts w:ascii="仿宋_GB2312" w:cs="仿宋_GB2312"/>
          <w:kern w:val="0"/>
          <w:sz w:val="32"/>
          <w:szCs w:val="32"/>
        </w:rPr>
      </w:pPr>
      <w:r>
        <w:rPr>
          <w:rFonts w:hint="eastAsia" w:ascii="仿宋_GB2312" w:cs="仿宋_GB2312"/>
          <w:kern w:val="0"/>
          <w:sz w:val="32"/>
          <w:szCs w:val="32"/>
        </w:rPr>
        <w:t>按政府采购项目类型划分，其中：货物类采购预算2.08万元，工程类采购预算0.00万元，服务类采购预算3.00万元。</w:t>
      </w:r>
    </w:p>
    <w:p>
      <w:pPr>
        <w:ind w:firstLine="640" w:firstLineChars="200"/>
        <w:rPr>
          <w:rFonts w:ascii="仿宋_GB2312" w:cs="仿宋_GB2312"/>
          <w:kern w:val="0"/>
          <w:sz w:val="32"/>
          <w:szCs w:val="32"/>
        </w:rPr>
      </w:pPr>
      <w:r>
        <w:rPr>
          <w:rFonts w:hint="eastAsia" w:ascii="仿宋_GB2312" w:cs="仿宋_GB2312"/>
          <w:kern w:val="0"/>
          <w:sz w:val="32"/>
          <w:szCs w:val="32"/>
        </w:rPr>
        <w:t>按政府采购资金来源划分，其中：一般公共预算安排采购支出预算5.08万元。</w:t>
      </w:r>
      <w:bookmarkEnd w:id="59"/>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政府购买服务预算情况说明</w:t>
      </w:r>
    </w:p>
    <w:p>
      <w:pPr>
        <w:ind w:firstLine="640" w:firstLineChars="200"/>
        <w:rPr>
          <w:rFonts w:ascii="仿宋_GB2312" w:cs="仿宋_GB2312"/>
          <w:kern w:val="0"/>
          <w:sz w:val="32"/>
          <w:szCs w:val="32"/>
        </w:rPr>
      </w:pPr>
      <w:bookmarkStart w:id="60" w:name="PO_part2A11IncReason1"/>
      <w:r>
        <w:rPr>
          <w:rFonts w:hint="eastAsia" w:ascii="仿宋_GB2312" w:cs="仿宋_GB2312"/>
          <w:kern w:val="0"/>
          <w:sz w:val="32"/>
          <w:szCs w:val="32"/>
        </w:rPr>
        <w:t>2023年我部门无政府购买服务预算。</w:t>
      </w:r>
      <w:bookmarkEnd w:id="60"/>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重点项目支出绩效目标情况说明</w:t>
      </w:r>
    </w:p>
    <w:p>
      <w:pPr>
        <w:ind w:firstLine="640" w:firstLineChars="200"/>
        <w:rPr>
          <w:rFonts w:ascii="仿宋_GB2312" w:hAnsi="仿宋_GB2312" w:cs="仿宋_GB2312"/>
          <w:sz w:val="32"/>
          <w:szCs w:val="32"/>
        </w:rPr>
      </w:pPr>
      <w:bookmarkStart w:id="61" w:name="PO_part2A12IncReason1"/>
      <w:r>
        <w:rPr>
          <w:rFonts w:ascii="仿宋_GB2312" w:hAnsi="仿宋_GB2312" w:cs="仿宋_GB2312"/>
          <w:sz w:val="32"/>
          <w:szCs w:val="32"/>
        </w:rPr>
        <w:t>2023年预算绩效目标公开的项目是</w:t>
      </w:r>
      <w:r>
        <w:rPr>
          <w:rFonts w:hint="eastAsia" w:ascii="仿宋_GB2312" w:hAnsi="仿宋_GB2312" w:cs="仿宋_GB2312"/>
          <w:sz w:val="32"/>
          <w:szCs w:val="32"/>
        </w:rPr>
        <w:t>春节群众活动，</w:t>
      </w:r>
      <w:r>
        <w:rPr>
          <w:rFonts w:ascii="仿宋_GB2312" w:hAnsi="仿宋_GB2312" w:cs="仿宋_GB2312"/>
          <w:sz w:val="32"/>
          <w:szCs w:val="32"/>
        </w:rPr>
        <w:t>预算支出</w:t>
      </w:r>
      <w:r>
        <w:rPr>
          <w:rFonts w:hint="eastAsia" w:ascii="仿宋_GB2312" w:hAnsi="仿宋_GB2312" w:cs="仿宋_GB2312"/>
          <w:sz w:val="32"/>
          <w:szCs w:val="32"/>
        </w:rPr>
        <w:t>20.00</w:t>
      </w:r>
      <w:r>
        <w:rPr>
          <w:rFonts w:ascii="仿宋_GB2312" w:hAnsi="仿宋_GB2312" w:cs="仿宋_GB2312"/>
          <w:sz w:val="32"/>
          <w:szCs w:val="32"/>
        </w:rPr>
        <w:t>万元，通过一般公共预算安排支出</w:t>
      </w:r>
      <w:r>
        <w:rPr>
          <w:rFonts w:hint="eastAsia" w:ascii="仿宋_GB2312" w:hAnsi="仿宋_GB2312" w:cs="仿宋_GB2312"/>
          <w:sz w:val="32"/>
          <w:szCs w:val="32"/>
        </w:rPr>
        <w:t>20.00</w:t>
      </w:r>
      <w:r>
        <w:rPr>
          <w:rFonts w:ascii="仿宋_GB2312" w:hAnsi="仿宋_GB2312" w:cs="仿宋_GB2312"/>
          <w:sz w:val="32"/>
          <w:szCs w:val="32"/>
        </w:rPr>
        <w:t>万元</w:t>
      </w:r>
      <w:r>
        <w:rPr>
          <w:rFonts w:hint="eastAsia" w:ascii="仿宋_GB2312" w:hAnsi="仿宋_GB2312" w:cs="仿宋_GB2312"/>
          <w:sz w:val="32"/>
          <w:szCs w:val="32"/>
        </w:rPr>
        <w:t>。</w:t>
      </w:r>
      <w:r>
        <w:rPr>
          <w:rFonts w:ascii="仿宋_GB2312" w:hAnsi="仿宋_GB2312" w:cs="仿宋_GB2312"/>
          <w:sz w:val="32"/>
          <w:szCs w:val="32"/>
        </w:rPr>
        <w:t>项目支出绩效目标具体指标设置情况详见</w:t>
      </w:r>
      <w:r>
        <w:rPr>
          <w:rFonts w:hint="eastAsia" w:ascii="仿宋_GB2312" w:hAnsi="仿宋_GB2312" w:cs="仿宋_GB2312"/>
          <w:sz w:val="32"/>
          <w:szCs w:val="32"/>
        </w:rPr>
        <w:t>附件</w:t>
      </w:r>
      <w:r>
        <w:rPr>
          <w:rFonts w:ascii="仿宋_GB2312" w:hAnsi="仿宋_GB2312" w:cs="仿宋_GB2312"/>
          <w:sz w:val="32"/>
          <w:szCs w:val="32"/>
        </w:rPr>
        <w:t>表12</w:t>
      </w:r>
      <w:r>
        <w:rPr>
          <w:rFonts w:hint="eastAsia" w:ascii="仿宋_GB2312" w:hAnsi="仿宋_GB2312" w:cs="仿宋_GB2312"/>
          <w:sz w:val="32"/>
          <w:szCs w:val="32"/>
        </w:rPr>
        <w:t>。</w:t>
      </w:r>
      <w:bookmarkEnd w:id="61"/>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023</w:t>
      </w:r>
      <w:r>
        <w:rPr>
          <w:rFonts w:hint="eastAsia" w:ascii="黑体" w:hAnsi="黑体" w:eastAsia="黑体" w:cs="黑体"/>
          <w:sz w:val="32"/>
          <w:szCs w:val="32"/>
        </w:rPr>
        <w:t>年部门预算其他重要事项情况说明</w:t>
      </w:r>
    </w:p>
    <w:p>
      <w:pPr>
        <w:ind w:left="630"/>
        <w:rPr>
          <w:rFonts w:ascii="黑体" w:hAnsi="黑体" w:eastAsia="黑体" w:cs="黑体"/>
          <w:sz w:val="32"/>
          <w:szCs w:val="32"/>
        </w:rPr>
      </w:pPr>
      <w:r>
        <w:rPr>
          <w:rFonts w:hint="eastAsia" w:ascii="黑体" w:hAnsi="黑体" w:eastAsia="黑体" w:cs="黑体"/>
          <w:sz w:val="32"/>
          <w:szCs w:val="32"/>
        </w:rPr>
        <w:t>（一）机关运行经费安排情况说明</w:t>
      </w:r>
    </w:p>
    <w:p>
      <w:pPr>
        <w:ind w:firstLine="640" w:firstLineChars="200"/>
        <w:rPr>
          <w:rFonts w:ascii="仿宋_GB2312" w:cs="仿宋_GB2312"/>
          <w:kern w:val="0"/>
          <w:sz w:val="32"/>
          <w:szCs w:val="32"/>
        </w:rPr>
      </w:pPr>
      <w:bookmarkStart w:id="62" w:name="PO_part2A13B1IncReason1"/>
      <w:r>
        <w:rPr>
          <w:rFonts w:hint="eastAsia" w:ascii="仿宋_GB2312" w:cs="仿宋_GB2312"/>
          <w:kern w:val="0"/>
          <w:sz w:val="32"/>
          <w:szCs w:val="32"/>
        </w:rPr>
        <w:t>2023年事业单位相关运行经费预算5.03万元，同比减少0.10万元，同比减少</w:t>
      </w:r>
      <w:r>
        <w:rPr>
          <w:rFonts w:hint="eastAsia" w:ascii="仿宋_GB2312" w:cs="仿宋_GB2312"/>
          <w:kern w:val="0"/>
          <w:sz w:val="32"/>
          <w:szCs w:val="32"/>
          <w:lang w:val="en-US" w:eastAsia="zh-CN"/>
        </w:rPr>
        <w:t>1.95</w:t>
      </w:r>
      <w:r>
        <w:rPr>
          <w:rFonts w:hint="eastAsia" w:ascii="仿宋_GB2312" w:cs="仿宋_GB2312"/>
          <w:kern w:val="0"/>
          <w:sz w:val="32"/>
          <w:szCs w:val="32"/>
        </w:rPr>
        <w:t>%，主要用于办公支出。事业单位相关运行经费减少的主要原因是：预算安排减少。</w:t>
      </w:r>
      <w:bookmarkEnd w:id="62"/>
    </w:p>
    <w:p>
      <w:pPr>
        <w:ind w:left="630"/>
        <w:rPr>
          <w:rFonts w:ascii="黑体" w:hAnsi="黑体" w:eastAsia="黑体" w:cs="黑体"/>
          <w:sz w:val="32"/>
          <w:szCs w:val="32"/>
        </w:rPr>
      </w:pPr>
      <w:r>
        <w:rPr>
          <w:rFonts w:hint="eastAsia" w:ascii="黑体" w:hAnsi="黑体" w:eastAsia="黑体" w:cs="黑体"/>
          <w:sz w:val="32"/>
          <w:szCs w:val="32"/>
        </w:rPr>
        <w:t>（二）国有资产占有使用情况说明</w:t>
      </w:r>
    </w:p>
    <w:p>
      <w:pPr>
        <w:ind w:firstLine="640" w:firstLineChars="200"/>
        <w:rPr>
          <w:rFonts w:ascii="黑体" w:hAnsi="黑体" w:eastAsia="黑体" w:cs="方正小标宋简体"/>
          <w:sz w:val="44"/>
          <w:szCs w:val="44"/>
        </w:rPr>
      </w:pPr>
      <w:r>
        <w:rPr>
          <w:rFonts w:hint="eastAsia" w:ascii="仿宋_GB2312" w:cs="仿宋_GB2312"/>
          <w:kern w:val="0"/>
          <w:sz w:val="32"/>
          <w:szCs w:val="32"/>
        </w:rPr>
        <w:t>2023年我部门实有在编车辆</w:t>
      </w:r>
      <w:bookmarkStart w:id="63" w:name="PO_part2A13B2Amount1"/>
      <w:r>
        <w:rPr>
          <w:rFonts w:hint="eastAsia" w:ascii="仿宋_GB2312" w:cs="仿宋_GB2312"/>
          <w:kern w:val="0"/>
          <w:sz w:val="32"/>
          <w:szCs w:val="32"/>
        </w:rPr>
        <w:t>1</w:t>
      </w:r>
      <w:bookmarkEnd w:id="63"/>
      <w:r>
        <w:rPr>
          <w:rFonts w:hint="eastAsia" w:ascii="仿宋_GB2312" w:cs="仿宋_GB2312"/>
          <w:kern w:val="0"/>
          <w:sz w:val="32"/>
          <w:szCs w:val="32"/>
        </w:rPr>
        <w:t>辆，</w:t>
      </w:r>
      <w:bookmarkStart w:id="64" w:name="PO_part2A13B2IncReason1"/>
      <w:r>
        <w:rPr>
          <w:rFonts w:hint="eastAsia" w:ascii="仿宋_GB2312" w:cs="仿宋_GB2312"/>
          <w:kern w:val="0"/>
          <w:sz w:val="32"/>
          <w:szCs w:val="32"/>
        </w:rPr>
        <w:t>车辆为本部门所有，按用途划分：用途一公务用车1辆，</w:t>
      </w:r>
      <w:bookmarkEnd w:id="64"/>
      <w:r>
        <w:rPr>
          <w:rFonts w:hint="eastAsia" w:ascii="仿宋_GB2312" w:cs="仿宋_GB2312"/>
          <w:kern w:val="0"/>
          <w:sz w:val="32"/>
          <w:szCs w:val="32"/>
        </w:rPr>
        <w:t>其中：机关本级核定公务用车编制</w:t>
      </w:r>
      <w:bookmarkStart w:id="65" w:name="PO_part2A13B2Amount2"/>
      <w:r>
        <w:rPr>
          <w:rFonts w:hint="eastAsia" w:ascii="仿宋_GB2312" w:cs="仿宋_GB2312"/>
          <w:kern w:val="0"/>
          <w:sz w:val="32"/>
          <w:szCs w:val="32"/>
        </w:rPr>
        <w:t>1</w:t>
      </w:r>
      <w:bookmarkEnd w:id="65"/>
      <w:r>
        <w:rPr>
          <w:rFonts w:hint="eastAsia" w:ascii="仿宋_GB2312" w:cs="仿宋_GB2312"/>
          <w:kern w:val="0"/>
          <w:sz w:val="32"/>
          <w:szCs w:val="32"/>
        </w:rPr>
        <w:t>辆，下属单位公务用车编制</w:t>
      </w:r>
      <w:bookmarkStart w:id="66" w:name="PO_part2A13B2Amount3"/>
      <w:r>
        <w:rPr>
          <w:rFonts w:hint="eastAsia" w:ascii="仿宋_GB2312" w:cs="仿宋_GB2312"/>
          <w:kern w:val="0"/>
          <w:sz w:val="32"/>
          <w:szCs w:val="32"/>
        </w:rPr>
        <w:t>0</w:t>
      </w:r>
      <w:bookmarkEnd w:id="66"/>
      <w:r>
        <w:rPr>
          <w:rFonts w:hint="eastAsia" w:ascii="仿宋_GB2312" w:cs="仿宋_GB2312"/>
          <w:kern w:val="0"/>
          <w:sz w:val="32"/>
          <w:szCs w:val="32"/>
        </w:rPr>
        <w:t>辆。</w:t>
      </w:r>
      <w:r>
        <w:rPr>
          <w:rFonts w:ascii="仿宋_GB2312" w:hAnsi="仿宋_GB2312" w:cs="仿宋_GB2312"/>
          <w:sz w:val="32"/>
          <w:szCs w:val="32"/>
        </w:rPr>
        <w:br w:type="page"/>
      </w:r>
      <w:r>
        <w:rPr>
          <w:rFonts w:hint="eastAsia" w:ascii="黑体" w:hAnsi="黑体" w:eastAsia="黑体" w:cs="方正小标宋简体"/>
          <w:sz w:val="44"/>
          <w:szCs w:val="44"/>
        </w:rPr>
        <w:t>第三部分</w:t>
      </w:r>
      <w:bookmarkStart w:id="67" w:name="PO_part3Year1"/>
      <w:r>
        <w:rPr>
          <w:rFonts w:ascii="黑体" w:hAnsi="黑体" w:eastAsia="黑体" w:cs="方正小标宋简体"/>
          <w:sz w:val="44"/>
          <w:szCs w:val="44"/>
        </w:rPr>
        <w:t>201006柳州市鱼峰区雒容镇公共文化服务中心2023</w:t>
      </w:r>
      <w:bookmarkEnd w:id="67"/>
      <w:r>
        <w:rPr>
          <w:rFonts w:hint="eastAsia" w:ascii="黑体" w:hAnsi="黑体" w:eastAsia="黑体" w:cs="方正小标宋简体"/>
          <w:sz w:val="44"/>
          <w:szCs w:val="44"/>
        </w:rPr>
        <w:t>年部门预算报表</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一、</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收支总体情况表（表1）</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二、</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收入总体情况表（表2）</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三、</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支出总体情况表（表3）</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四、财政拨款收支总体情况表（表4）</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五、一般公共预算支出情况表（表5）</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六、一般公共预算基本支出情况表（表6）</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七、财政拨款三公两费支出情况表（表7）</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八、政府性基金预算支出情况表（表8）</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九、国有资本经营预算支出情况表（表9）</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十、政府采购预算表（表10）</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十一、政府购买服务预算表（表11）</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bookmarkStart w:id="68" w:name="PO_part3Amount1"/>
      <w:r>
        <w:rPr>
          <w:rFonts w:ascii="Times New Roman" w:hAnsi="Times New Roman" w:cs="Times New Roman"/>
          <w:bCs/>
          <w:color w:val="000000"/>
          <w:sz w:val="32"/>
          <w:szCs w:val="32"/>
        </w:rPr>
        <w:t>十</w:t>
      </w:r>
      <w:r>
        <w:rPr>
          <w:rFonts w:hint="eastAsia" w:ascii="Times New Roman" w:hAnsi="Times New Roman" w:cs="Times New Roman"/>
          <w:bCs/>
          <w:color w:val="000000"/>
          <w:sz w:val="32"/>
          <w:szCs w:val="32"/>
        </w:rPr>
        <w:t>二</w:t>
      </w:r>
      <w:r>
        <w:rPr>
          <w:rFonts w:ascii="Times New Roman" w:hAnsi="Times New Roman" w:cs="Times New Roman"/>
          <w:bCs/>
          <w:color w:val="000000"/>
          <w:sz w:val="32"/>
          <w:szCs w:val="32"/>
        </w:rPr>
        <w:t>、</w:t>
      </w:r>
      <w:r>
        <w:rPr>
          <w:rFonts w:hint="eastAsia" w:ascii="Times New Roman" w:hAnsi="Times New Roman" w:cs="Times New Roman"/>
          <w:bCs/>
          <w:color w:val="000000"/>
          <w:sz w:val="32"/>
          <w:szCs w:val="32"/>
        </w:rPr>
        <w:t>重点项目绩效目标申报</w:t>
      </w:r>
      <w:r>
        <w:rPr>
          <w:rFonts w:ascii="Times New Roman" w:hAnsi="Times New Roman" w:cs="Times New Roman"/>
          <w:bCs/>
          <w:color w:val="000000"/>
          <w:sz w:val="32"/>
          <w:szCs w:val="32"/>
        </w:rPr>
        <w:t>表（表12）</w:t>
      </w:r>
      <w:bookmarkEnd w:id="68"/>
    </w:p>
    <w:p>
      <w:pPr>
        <w:pStyle w:val="6"/>
        <w:spacing w:before="0" w:beforeAutospacing="0" w:after="0" w:afterAutospacing="0" w:line="540" w:lineRule="exact"/>
        <w:ind w:firstLine="643" w:firstLineChars="200"/>
        <w:jc w:val="both"/>
        <w:rPr>
          <w:rFonts w:ascii="Times New Roman" w:hAnsi="Times New Roman" w:cs="Times New Roman"/>
          <w:bCs/>
          <w:color w:val="000000"/>
          <w:sz w:val="32"/>
          <w:szCs w:val="32"/>
        </w:rPr>
      </w:pPr>
      <w:r>
        <w:rPr>
          <w:rFonts w:ascii="Times New Roman" w:hAnsi="Times New Roman" w:cs="Times New Roman"/>
          <w:b/>
          <w:bCs/>
          <w:sz w:val="32"/>
          <w:szCs w:val="32"/>
        </w:rPr>
        <w:t>上述报表详见附件。</w:t>
      </w:r>
    </w:p>
    <w:p>
      <w:pPr>
        <w:ind w:firstLine="640"/>
        <w:rPr>
          <w:rFonts w:ascii="仿宋_GB2312" w:hAnsi="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第四部分名词解释</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一、财政拨款收入</w:t>
      </w:r>
      <w:r>
        <w:rPr>
          <w:rFonts w:ascii="Times New Roman" w:hAnsi="Times New Roman"/>
          <w:color w:val="000000"/>
          <w:kern w:val="0"/>
          <w:sz w:val="32"/>
          <w:szCs w:val="32"/>
        </w:rPr>
        <w:t>：指市本级财政部门当年拨付的资金。</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二、事业收入</w:t>
      </w:r>
      <w:r>
        <w:rPr>
          <w:rFonts w:ascii="Times New Roman" w:hAnsi="Times New Roman"/>
          <w:color w:val="000000"/>
          <w:kern w:val="0"/>
          <w:sz w:val="32"/>
          <w:szCs w:val="32"/>
        </w:rPr>
        <w:t>：指事业单位开展专业业务活动及辅助活动所取得的收入。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三、经营收入</w:t>
      </w:r>
      <w:r>
        <w:rPr>
          <w:rFonts w:ascii="Times New Roman" w:hAnsi="Times New Roman"/>
          <w:color w:val="000000"/>
          <w:kern w:val="0"/>
          <w:sz w:val="32"/>
          <w:szCs w:val="32"/>
        </w:rPr>
        <w:t>：指事业单位在专业业务活动及其辅助活动之外开展非独立核算经营活动取得的收入。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四、其他收入</w:t>
      </w:r>
      <w:r>
        <w:rPr>
          <w:rFonts w:ascii="Times New Roman" w:hAnsi="Times New Roman"/>
          <w:color w:val="000000"/>
          <w:kern w:val="0"/>
          <w:sz w:val="32"/>
          <w:szCs w:val="32"/>
        </w:rPr>
        <w:t>：指除上述“财政拨款收入”“事业收入”“经营收入”等以外的收入。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五、基本支出</w:t>
      </w:r>
      <w:r>
        <w:rPr>
          <w:rFonts w:ascii="Times New Roman" w:hAnsi="Times New Roman"/>
          <w:color w:val="000000"/>
          <w:kern w:val="0"/>
          <w:sz w:val="32"/>
          <w:szCs w:val="32"/>
        </w:rPr>
        <w:t>：指为保障机构正常运转、完成日常工作任务而发生的人员支出和公用支出。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六、项目支出</w:t>
      </w:r>
      <w:r>
        <w:rPr>
          <w:rFonts w:ascii="Times New Roman" w:hAnsi="Times New Roman"/>
          <w:color w:val="000000"/>
          <w:kern w:val="0"/>
          <w:sz w:val="32"/>
          <w:szCs w:val="32"/>
        </w:rPr>
        <w:t>：指在基本支出之外为完成特定行政任务和事业发展目标所发生的支出。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七、“三公”经费</w:t>
      </w:r>
      <w:r>
        <w:rPr>
          <w:rFonts w:ascii="Times New Roman" w:hAnsi="Times New Roman"/>
          <w:color w:val="000000"/>
          <w:kern w:val="0"/>
          <w:sz w:val="32"/>
          <w:szCs w:val="32"/>
        </w:rPr>
        <w:t>：纳入市财政预决算管理的“三公”经费，是指市</w:t>
      </w:r>
      <w:r>
        <w:rPr>
          <w:rFonts w:ascii="Times New Roman" w:hAnsi="Times New Roman"/>
          <w:sz w:val="32"/>
          <w:szCs w:val="32"/>
        </w:rPr>
        <w:t>本级各部门用财政拨款安排的因公出国（境）费、公务用车购置及运行维护费和公务接待费。</w:t>
      </w:r>
      <w:r>
        <w:rPr>
          <w:rFonts w:ascii="Times New Roman" w:hAnsi="Times New Roman"/>
          <w:color w:val="000000"/>
          <w:kern w:val="0"/>
          <w:sz w:val="32"/>
          <w:szCs w:val="32"/>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bCs/>
          <w:sz w:val="32"/>
          <w:szCs w:val="32"/>
        </w:rPr>
      </w:pPr>
      <w:r>
        <w:rPr>
          <w:rFonts w:ascii="Times New Roman" w:hAnsi="Times New Roman" w:eastAsia="黑体"/>
          <w:color w:val="000000"/>
          <w:kern w:val="0"/>
          <w:sz w:val="32"/>
          <w:szCs w:val="32"/>
        </w:rPr>
        <w:t>八、机关运行经费</w:t>
      </w:r>
      <w:r>
        <w:rPr>
          <w:rFonts w:ascii="Times New Roman" w:hAnsi="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000000"/>
          <w:kern w:val="0"/>
          <w:sz w:val="32"/>
          <w:szCs w:val="32"/>
        </w:rPr>
        <w:t>。</w:t>
      </w:r>
    </w:p>
    <w:p>
      <w:pPr>
        <w:rPr>
          <w:rFonts w:ascii="仿宋_GB2312" w:hAnsi="仿宋_GB2312" w:cs="仿宋_GB2312"/>
          <w:sz w:val="32"/>
          <w:szCs w:val="32"/>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第五部分附件</w:t>
      </w:r>
    </w:p>
    <w:p>
      <w:pPr>
        <w:jc w:val="left"/>
        <w:rPr>
          <w:rFonts w:ascii="宋体" w:hAnsi="宋体" w:eastAsia="宋体"/>
        </w:rPr>
      </w:pPr>
      <w:bookmarkStart w:id="69" w:name="PO_part5Table1"/>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826"/>
        <w:gridCol w:w="382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ascii="宋体" w:hAnsi="宋体" w:eastAsia="宋体"/>
              </w:rPr>
            </w:pPr>
            <w:r>
              <w:rPr>
                <w:rFonts w:hint="eastAsia" w:ascii="宋体" w:hAnsi="宋体" w:eastAsia="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ascii="宋体" w:hAnsi="宋体" w:eastAsia="宋体"/>
              </w:rPr>
            </w:pPr>
            <w:r>
              <w:rPr>
                <w:rFonts w:hint="eastAsia" w:ascii="宋体" w:hAnsi="宋体" w:eastAsia="宋体"/>
                <w:b/>
                <w:bCs/>
                <w:color w:val="000000"/>
                <w:kern w:val="0"/>
                <w:sz w:val="26"/>
                <w:szCs w:val="26"/>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70" w:name="PO_part5Table1DivName1"/>
            <w:r>
              <w:rPr>
                <w:rFonts w:ascii="宋体" w:hAnsi="宋体" w:eastAsia="宋体"/>
                <w:color w:val="000000"/>
                <w:kern w:val="0"/>
                <w:sz w:val="18"/>
                <w:szCs w:val="18"/>
              </w:rPr>
              <w:t>201006柳州市鱼峰区雒容镇公共文化服务中心</w:t>
            </w:r>
            <w:bookmarkEnd w:id="70"/>
          </w:p>
        </w:tc>
        <w:tc>
          <w:tcPr>
            <w:tcW w:w="3827" w:type="dxa"/>
            <w:tcBorders>
              <w:top w:val="nil"/>
              <w:left w:val="nil"/>
              <w:bottom w:val="single" w:color="auto" w:sz="4" w:space="0"/>
              <w:right w:val="nil"/>
            </w:tcBorders>
            <w:vAlign w:val="center"/>
          </w:tcPr>
          <w:p>
            <w:pPr>
              <w:jc w:val="right"/>
              <w:rPr>
                <w:rFonts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2" w:type="dxa"/>
            <w:gridSpan w:val="2"/>
            <w:tcBorders>
              <w:top w:val="single" w:color="auto" w:sz="4" w:space="0"/>
            </w:tcBorders>
            <w:vAlign w:val="center"/>
          </w:tcPr>
          <w:p>
            <w:pPr>
              <w:jc w:val="center"/>
              <w:rPr>
                <w:rFonts w:ascii="宋体" w:hAnsi="宋体" w:eastAsia="宋体" w:cs="宋体"/>
                <w:sz w:val="18"/>
                <w:szCs w:val="18"/>
              </w:rPr>
            </w:pPr>
            <w:r>
              <w:rPr>
                <w:rFonts w:hint="eastAsia" w:ascii="宋体" w:hAnsi="宋体" w:eastAsia="宋体" w:cs="宋体"/>
                <w:color w:val="000000"/>
                <w:kern w:val="0"/>
                <w:sz w:val="18"/>
                <w:szCs w:val="18"/>
              </w:rPr>
              <w:t>收入</w:t>
            </w:r>
          </w:p>
        </w:tc>
        <w:tc>
          <w:tcPr>
            <w:tcW w:w="7655" w:type="dxa"/>
            <w:gridSpan w:val="2"/>
            <w:tcBorders>
              <w:top w:val="single" w:color="auto" w:sz="4" w:space="0"/>
            </w:tcBorders>
            <w:vAlign w:val="center"/>
          </w:tcPr>
          <w:p>
            <w:pPr>
              <w:jc w:val="center"/>
              <w:rPr>
                <w:rFonts w:ascii="宋体" w:hAnsi="宋体" w:eastAsia="宋体" w:cs="宋体"/>
                <w:sz w:val="18"/>
                <w:szCs w:val="18"/>
              </w:rPr>
            </w:pPr>
            <w:r>
              <w:rPr>
                <w:rFonts w:hint="eastAsia" w:ascii="宋体" w:hAnsi="宋体" w:eastAsia="宋体" w:cs="宋体"/>
                <w:color w:val="000000"/>
                <w:kern w:val="0"/>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6"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3826"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预算数</w:t>
            </w:r>
          </w:p>
        </w:tc>
        <w:tc>
          <w:tcPr>
            <w:tcW w:w="3828"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项目（按支出功能科目分类）</w:t>
            </w:r>
          </w:p>
        </w:tc>
        <w:tc>
          <w:tcPr>
            <w:tcW w:w="3827"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3826" w:type="dxa"/>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137.14</w:t>
            </w:r>
          </w:p>
        </w:tc>
        <w:tc>
          <w:tcPr>
            <w:tcW w:w="3828"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ascii="宋体" w:hAnsi="宋体" w:eastAsia="宋体" w:cs="宋体"/>
                <w:sz w:val="18"/>
                <w:szCs w:val="18"/>
              </w:rPr>
            </w:pPr>
            <w:r>
              <w:rPr>
                <w:rFonts w:ascii="宋体" w:hAnsi="宋体" w:eastAsia="宋体" w:cs="宋体"/>
                <w:color w:val="000000"/>
                <w:sz w:val="18"/>
                <w:szCs w:val="18"/>
              </w:rPr>
              <w:t>137.14</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三)一般债券</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27" w:type="dxa"/>
            <w:vAlign w:val="center"/>
          </w:tcPr>
          <w:p>
            <w:pPr>
              <w:jc w:val="right"/>
              <w:rPr>
                <w:rFonts w:ascii="宋体" w:hAnsi="宋体" w:eastAsia="宋体" w:cs="宋体"/>
                <w:sz w:val="18"/>
                <w:szCs w:val="18"/>
              </w:rPr>
            </w:pPr>
            <w:r>
              <w:rPr>
                <w:rFonts w:ascii="宋体" w:hAnsi="宋体" w:eastAsia="宋体" w:cs="宋体"/>
                <w:color w:val="000000"/>
                <w:sz w:val="18"/>
                <w:szCs w:val="18"/>
              </w:rPr>
              <w:t>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三)专项债券</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27" w:type="dxa"/>
            <w:vAlign w:val="center"/>
          </w:tcPr>
          <w:p>
            <w:pPr>
              <w:jc w:val="right"/>
              <w:rPr>
                <w:rFonts w:ascii="宋体" w:hAnsi="宋体" w:eastAsia="宋体" w:cs="宋体"/>
                <w:sz w:val="18"/>
                <w:szCs w:val="18"/>
              </w:rPr>
            </w:pPr>
            <w:r>
              <w:rPr>
                <w:rFonts w:ascii="宋体" w:hAnsi="宋体" w:eastAsia="宋体" w:cs="宋体"/>
                <w:color w:val="000000"/>
                <w:sz w:val="18"/>
                <w:szCs w:val="18"/>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27" w:type="dxa"/>
            <w:vAlign w:val="center"/>
          </w:tcPr>
          <w:p>
            <w:pPr>
              <w:jc w:val="right"/>
              <w:rPr>
                <w:rFonts w:ascii="宋体" w:hAnsi="宋体" w:eastAsia="宋体" w:cs="宋体"/>
                <w:sz w:val="18"/>
                <w:szCs w:val="18"/>
              </w:rPr>
            </w:pPr>
            <w:r>
              <w:rPr>
                <w:rFonts w:ascii="宋体" w:hAnsi="宋体" w:eastAsia="宋体" w:cs="宋体"/>
                <w:color w:val="000000"/>
                <w:sz w:val="18"/>
                <w:szCs w:val="18"/>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四、财政专户管理资金收入</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五、事业收入</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六、事业单位经营收入</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七、上级补助收入</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18"/>
                <w:szCs w:val="18"/>
              </w:rPr>
              <w:t>八、附属单位上缴收入</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18"/>
                <w:szCs w:val="18"/>
              </w:rPr>
              <w:t>九、其他收入</w:t>
            </w:r>
          </w:p>
        </w:tc>
        <w:tc>
          <w:tcPr>
            <w:tcW w:w="3826"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3827" w:type="dxa"/>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3827" w:type="dxa"/>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ascii="宋体" w:hAnsi="宋体" w:eastAsia="宋体" w:cs="宋体"/>
                <w:color w:val="000000"/>
                <w:sz w:val="18"/>
                <w:szCs w:val="18"/>
              </w:rPr>
            </w:pPr>
          </w:p>
        </w:tc>
        <w:tc>
          <w:tcPr>
            <w:tcW w:w="3826" w:type="dxa"/>
            <w:vAlign w:val="center"/>
          </w:tcPr>
          <w:p>
            <w:pPr>
              <w:jc w:val="right"/>
              <w:rPr>
                <w:rFonts w:ascii="宋体" w:hAnsi="宋体" w:eastAsia="宋体" w:cs="宋体"/>
                <w:color w:val="000000"/>
                <w:sz w:val="18"/>
                <w:szCs w:val="18"/>
              </w:rPr>
            </w:pP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二十六、债务发行费用支出</w:t>
            </w:r>
          </w:p>
        </w:tc>
        <w:tc>
          <w:tcPr>
            <w:tcW w:w="3827" w:type="dxa"/>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本年收入合计</w:t>
            </w:r>
          </w:p>
        </w:tc>
        <w:tc>
          <w:tcPr>
            <w:tcW w:w="3826" w:type="dxa"/>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137.14</w:t>
            </w:r>
          </w:p>
        </w:tc>
        <w:tc>
          <w:tcPr>
            <w:tcW w:w="3828"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827" w:type="dxa"/>
            <w:vAlign w:val="center"/>
          </w:tcPr>
          <w:p>
            <w:pPr>
              <w:jc w:val="right"/>
              <w:rPr>
                <w:rFonts w:ascii="宋体" w:hAnsi="宋体" w:eastAsia="宋体" w:cs="宋体"/>
                <w:sz w:val="18"/>
                <w:szCs w:val="18"/>
              </w:rPr>
            </w:pPr>
            <w:r>
              <w:rPr>
                <w:rFonts w:ascii="宋体" w:hAnsi="宋体" w:eastAsia="宋体" w:cs="宋体"/>
                <w:color w:val="000000"/>
                <w:sz w:val="18"/>
                <w:szCs w:val="18"/>
              </w:rPr>
              <w:t>137.14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上年结转结余</w:t>
            </w:r>
          </w:p>
        </w:tc>
        <w:tc>
          <w:tcPr>
            <w:tcW w:w="3826" w:type="dxa"/>
            <w:vAlign w:val="center"/>
          </w:tcPr>
          <w:p>
            <w:pPr>
              <w:widowControl/>
              <w:jc w:val="righ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828" w:type="dxa"/>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结转下年支出</w:t>
            </w:r>
          </w:p>
        </w:tc>
        <w:tc>
          <w:tcPr>
            <w:tcW w:w="3827" w:type="dxa"/>
            <w:vAlign w:val="center"/>
          </w:tcPr>
          <w:p>
            <w:pPr>
              <w:jc w:val="right"/>
              <w:rPr>
                <w:rFonts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收入总计</w:t>
            </w:r>
          </w:p>
        </w:tc>
        <w:tc>
          <w:tcPr>
            <w:tcW w:w="3826" w:type="dxa"/>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137.14</w:t>
            </w:r>
          </w:p>
        </w:tc>
        <w:tc>
          <w:tcPr>
            <w:tcW w:w="3828"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827" w:type="dxa"/>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137.14</w:t>
            </w:r>
          </w:p>
        </w:tc>
      </w:tr>
    </w:tbl>
    <w:p>
      <w:pPr>
        <w:rPr>
          <w:rFonts w:ascii="宋体" w:hAnsi="宋体" w:eastAsia="宋体" w:cs="宋体"/>
          <w:color w:val="000000"/>
          <w:sz w:val="18"/>
          <w:szCs w:val="18"/>
        </w:rPr>
      </w:pPr>
      <w:r>
        <w:rPr>
          <w:rFonts w:hint="eastAsia" w:ascii="宋体" w:hAnsi="宋体" w:eastAsia="宋体" w:cs="宋体"/>
          <w:color w:val="000000"/>
          <w:kern w:val="0"/>
          <w:sz w:val="18"/>
          <w:szCs w:val="18"/>
        </w:rPr>
        <w:t>注：</w:t>
      </w:r>
      <w:bookmarkStart w:id="71" w:name="PO_part5Table1Remark1"/>
      <w:r>
        <w:rPr>
          <w:rFonts w:hint="eastAsia" w:ascii="宋体" w:hAnsi="宋体" w:eastAsia="宋体" w:cs="宋体"/>
          <w:color w:val="000000"/>
          <w:kern w:val="0"/>
          <w:sz w:val="18"/>
          <w:szCs w:val="18"/>
        </w:rPr>
        <w:t>报表金额单位转换时可能存在四舍五入尾数误差。</w:t>
      </w:r>
      <w:bookmarkEnd w:id="69"/>
      <w:bookmarkEnd w:id="71"/>
    </w:p>
    <w:p>
      <w:pPr>
        <w:rPr>
          <w:rFonts w:ascii="宋体" w:hAnsi="宋体" w:eastAsia="宋体"/>
        </w:rPr>
        <w:sectPr>
          <w:pgSz w:w="16838" w:h="11906" w:orient="landscape"/>
          <w:pgMar w:top="1800" w:right="1440" w:bottom="1800" w:left="1440" w:header="851" w:footer="992" w:gutter="0"/>
          <w:cols w:space="720" w:num="1"/>
          <w:docGrid w:type="lines" w:linePitch="312" w:charSpace="0"/>
        </w:sectPr>
      </w:pPr>
    </w:p>
    <w:p>
      <w:pPr>
        <w:rPr>
          <w:rFonts w:ascii="宋体" w:hAnsi="宋体" w:eastAsia="宋体"/>
        </w:rPr>
      </w:pPr>
      <w:bookmarkStart w:id="72" w:name="PO_part5Table2"/>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ascii="宋体" w:hAnsi="宋体" w:eastAsia="宋体"/>
                <w:b/>
                <w:bCs/>
                <w:color w:val="000000"/>
                <w:kern w:val="0"/>
                <w:sz w:val="24"/>
              </w:rPr>
            </w:pPr>
            <w:r>
              <w:rPr>
                <w:rFonts w:hint="eastAsia" w:ascii="宋体" w:hAnsi="宋体" w:eastAsia="宋体"/>
                <w:b/>
                <w:bCs/>
                <w:color w:val="000000"/>
                <w:kern w:val="0"/>
                <w:sz w:val="26"/>
                <w:szCs w:val="26"/>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ascii="宋体" w:hAnsi="宋体" w:eastAsia="宋体"/>
                <w:color w:val="000000"/>
                <w:kern w:val="0"/>
                <w:sz w:val="18"/>
                <w:szCs w:val="18"/>
              </w:rPr>
            </w:pPr>
            <w:r>
              <w:rPr>
                <w:rFonts w:hint="eastAsia" w:ascii="宋体" w:hAnsi="宋体" w:eastAsia="宋体"/>
                <w:color w:val="000000"/>
                <w:kern w:val="0"/>
                <w:sz w:val="18"/>
                <w:szCs w:val="18"/>
              </w:rPr>
              <w:t>部门名称：</w:t>
            </w:r>
            <w:bookmarkStart w:id="73" w:name="PO_part5Table2DivName1"/>
            <w:r>
              <w:rPr>
                <w:rFonts w:ascii="宋体" w:hAnsi="宋体" w:eastAsia="宋体"/>
                <w:color w:val="000000"/>
                <w:kern w:val="0"/>
                <w:sz w:val="18"/>
                <w:szCs w:val="18"/>
              </w:rPr>
              <w:t>201006柳州市鱼峰区雒容镇公共文化服务中心</w:t>
            </w:r>
            <w:bookmarkEnd w:id="73"/>
          </w:p>
        </w:tc>
        <w:tc>
          <w:tcPr>
            <w:tcW w:w="6306" w:type="dxa"/>
            <w:gridSpan w:val="7"/>
            <w:tcBorders>
              <w:top w:val="nil"/>
              <w:left w:val="nil"/>
              <w:bottom w:val="single" w:color="auto" w:sz="4" w:space="0"/>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rPr>
              <w:t>代码</w:t>
            </w:r>
          </w:p>
        </w:tc>
        <w:tc>
          <w:tcPr>
            <w:tcW w:w="1171"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rPr>
              <w:t>名称</w:t>
            </w:r>
          </w:p>
        </w:tc>
        <w:tc>
          <w:tcPr>
            <w:tcW w:w="1138" w:type="dxa"/>
            <w:vMerge w:val="restart"/>
            <w:tcBorders>
              <w:top w:val="single" w:color="auto" w:sz="4" w:space="0"/>
            </w:tcBorders>
            <w:vAlign w:val="center"/>
          </w:tcPr>
          <w:p>
            <w:pPr>
              <w:jc w:val="center"/>
              <w:rPr>
                <w:rFonts w:ascii="宋体" w:hAnsi="宋体" w:eastAsia="宋体"/>
                <w:color w:val="000000"/>
                <w:kern w:val="0"/>
                <w:sz w:val="18"/>
                <w:szCs w:val="18"/>
              </w:rPr>
            </w:pPr>
            <w:r>
              <w:rPr>
                <w:rFonts w:hint="eastAsia" w:ascii="宋体" w:hAnsi="宋体" w:eastAsia="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本年收入</w:t>
            </w:r>
          </w:p>
        </w:tc>
        <w:tc>
          <w:tcPr>
            <w:tcW w:w="6009" w:type="dxa"/>
            <w:gridSpan w:val="6"/>
            <w:tcBorders>
              <w:top w:val="single" w:color="auto" w:sz="4" w:space="0"/>
            </w:tcBorders>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ascii="宋体" w:hAnsi="宋体" w:eastAsia="宋体" w:cs="宋体"/>
                <w:color w:val="000000"/>
                <w:kern w:val="0"/>
                <w:sz w:val="18"/>
                <w:szCs w:val="18"/>
              </w:rPr>
            </w:pPr>
          </w:p>
        </w:tc>
        <w:tc>
          <w:tcPr>
            <w:tcW w:w="1171" w:type="dxa"/>
            <w:vMerge w:val="continue"/>
            <w:vAlign w:val="center"/>
          </w:tcPr>
          <w:p>
            <w:pPr>
              <w:widowControl/>
              <w:jc w:val="center"/>
              <w:textAlignment w:val="center"/>
              <w:rPr>
                <w:rFonts w:ascii="宋体" w:hAnsi="宋体" w:eastAsia="宋体" w:cs="宋体"/>
                <w:color w:val="000000"/>
                <w:kern w:val="0"/>
                <w:sz w:val="18"/>
                <w:szCs w:val="18"/>
              </w:rPr>
            </w:pPr>
          </w:p>
        </w:tc>
        <w:tc>
          <w:tcPr>
            <w:tcW w:w="1138" w:type="dxa"/>
            <w:vMerge w:val="continue"/>
            <w:vAlign w:val="center"/>
          </w:tcPr>
          <w:p>
            <w:pPr>
              <w:jc w:val="center"/>
              <w:rPr>
                <w:rFonts w:ascii="宋体" w:hAnsi="宋体" w:eastAsia="宋体"/>
                <w:color w:val="000000"/>
                <w:kern w:val="0"/>
                <w:sz w:val="18"/>
                <w:szCs w:val="18"/>
              </w:rPr>
            </w:pPr>
          </w:p>
        </w:tc>
        <w:tc>
          <w:tcPr>
            <w:tcW w:w="969"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小计</w:t>
            </w:r>
          </w:p>
        </w:tc>
        <w:tc>
          <w:tcPr>
            <w:tcW w:w="965"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一般公共预算</w:t>
            </w:r>
          </w:p>
        </w:tc>
        <w:tc>
          <w:tcPr>
            <w:tcW w:w="1009"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政府性基金预算</w:t>
            </w:r>
          </w:p>
        </w:tc>
        <w:tc>
          <w:tcPr>
            <w:tcW w:w="965"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国有资本经营预算</w:t>
            </w:r>
          </w:p>
        </w:tc>
        <w:tc>
          <w:tcPr>
            <w:tcW w:w="940"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财政专户管理资金收入</w:t>
            </w:r>
          </w:p>
        </w:tc>
        <w:tc>
          <w:tcPr>
            <w:tcW w:w="971" w:type="dxa"/>
            <w:gridSpan w:val="2"/>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单位资金</w:t>
            </w:r>
          </w:p>
        </w:tc>
        <w:tc>
          <w:tcPr>
            <w:tcW w:w="1008"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小计</w:t>
            </w:r>
          </w:p>
        </w:tc>
        <w:tc>
          <w:tcPr>
            <w:tcW w:w="969"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一般公共预算</w:t>
            </w:r>
          </w:p>
        </w:tc>
        <w:tc>
          <w:tcPr>
            <w:tcW w:w="967"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政府性基金预算</w:t>
            </w:r>
          </w:p>
        </w:tc>
        <w:tc>
          <w:tcPr>
            <w:tcW w:w="1057"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国有资本经营预算</w:t>
            </w:r>
          </w:p>
        </w:tc>
        <w:tc>
          <w:tcPr>
            <w:tcW w:w="985"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财政专户管理资金收入</w:t>
            </w:r>
          </w:p>
        </w:tc>
        <w:tc>
          <w:tcPr>
            <w:tcW w:w="1023"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ascii="宋体" w:hAnsi="宋体" w:eastAsia="宋体"/>
                <w:color w:val="000000"/>
                <w:kern w:val="0"/>
                <w:sz w:val="18"/>
                <w:szCs w:val="18"/>
              </w:rPr>
            </w:pPr>
          </w:p>
        </w:tc>
        <w:tc>
          <w:tcPr>
            <w:tcW w:w="1171" w:type="dxa"/>
            <w:vMerge w:val="continue"/>
            <w:vAlign w:val="center"/>
          </w:tcPr>
          <w:p>
            <w:pPr>
              <w:jc w:val="center"/>
              <w:rPr>
                <w:rFonts w:ascii="宋体" w:hAnsi="宋体" w:eastAsia="宋体"/>
                <w:color w:val="000000"/>
                <w:kern w:val="0"/>
                <w:sz w:val="18"/>
                <w:szCs w:val="18"/>
              </w:rPr>
            </w:pPr>
          </w:p>
        </w:tc>
        <w:tc>
          <w:tcPr>
            <w:tcW w:w="1138" w:type="dxa"/>
            <w:vAlign w:val="center"/>
          </w:tcPr>
          <w:p>
            <w:pPr>
              <w:jc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c>
          <w:tcPr>
            <w:tcW w:w="96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65"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0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65"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40"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71" w:type="dxa"/>
            <w:gridSpan w:val="2"/>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0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96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967"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57"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985"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23"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tcPr>
          <w:p>
            <w:pPr>
              <w:rPr>
                <w:rFonts w:ascii="宋体" w:hAnsi="宋体" w:eastAsia="宋体"/>
                <w:sz w:val="18"/>
                <w:szCs w:val="18"/>
              </w:rPr>
            </w:pPr>
          </w:p>
        </w:tc>
        <w:tc>
          <w:tcPr>
            <w:tcW w:w="1171" w:type="dxa"/>
            <w:vAlign w:val="center"/>
          </w:tcPr>
          <w:p>
            <w:pPr>
              <w:jc w:val="center"/>
              <w:rPr>
                <w:rFonts w:ascii="宋体" w:hAnsi="宋体" w:eastAsia="宋体"/>
                <w:sz w:val="18"/>
                <w:szCs w:val="18"/>
              </w:rPr>
            </w:pPr>
            <w:r>
              <w:rPr>
                <w:rFonts w:hint="eastAsia" w:ascii="宋体" w:hAnsi="宋体" w:eastAsia="宋体"/>
                <w:color w:val="000000"/>
                <w:kern w:val="0"/>
                <w:sz w:val="18"/>
                <w:szCs w:val="18"/>
              </w:rPr>
              <w:t>合计</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969" w:type="dxa"/>
            <w:vAlign w:val="center"/>
          </w:tcPr>
          <w:p>
            <w:pPr>
              <w:jc w:val="right"/>
              <w:rPr>
                <w:rFonts w:ascii="宋体" w:hAnsi="宋体" w:eastAsia="宋体"/>
                <w:sz w:val="18"/>
                <w:szCs w:val="18"/>
              </w:rPr>
            </w:pPr>
            <w:r>
              <w:rPr>
                <w:rFonts w:ascii="宋体" w:hAnsi="宋体" w:eastAsia="宋体"/>
                <w:color w:val="000000"/>
                <w:sz w:val="18"/>
                <w:szCs w:val="18"/>
              </w:rPr>
              <w:t>137.14</w:t>
            </w:r>
          </w:p>
        </w:tc>
        <w:tc>
          <w:tcPr>
            <w:tcW w:w="965" w:type="dxa"/>
            <w:vAlign w:val="center"/>
          </w:tcPr>
          <w:p>
            <w:pPr>
              <w:jc w:val="right"/>
              <w:rPr>
                <w:rFonts w:ascii="宋体" w:hAnsi="宋体" w:eastAsia="宋体"/>
                <w:sz w:val="18"/>
                <w:szCs w:val="18"/>
              </w:rPr>
            </w:pPr>
            <w:r>
              <w:rPr>
                <w:rFonts w:ascii="宋体" w:hAnsi="宋体" w:eastAsia="宋体"/>
                <w:color w:val="000000"/>
                <w:sz w:val="18"/>
                <w:szCs w:val="18"/>
              </w:rPr>
              <w:t>137.14</w:t>
            </w:r>
          </w:p>
        </w:tc>
        <w:tc>
          <w:tcPr>
            <w:tcW w:w="100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5"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40"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71" w:type="dxa"/>
            <w:gridSpan w:val="2"/>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008"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ascii="宋体" w:hAnsi="宋体" w:eastAsia="宋体"/>
                <w:sz w:val="18"/>
                <w:szCs w:val="18"/>
              </w:rPr>
            </w:pPr>
            <w:r>
              <w:rPr>
                <w:rFonts w:ascii="宋体" w:hAnsi="宋体" w:eastAsia="宋体"/>
                <w:color w:val="000000"/>
                <w:kern w:val="0"/>
                <w:sz w:val="18"/>
                <w:szCs w:val="18"/>
              </w:rPr>
              <w:t>201</w:t>
            </w:r>
          </w:p>
        </w:tc>
        <w:tc>
          <w:tcPr>
            <w:tcW w:w="117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969"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965"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1009"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65"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40"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71" w:type="dxa"/>
            <w:gridSpan w:val="2"/>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1008"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969"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967"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ascii="宋体" w:hAnsi="宋体" w:eastAsia="宋体"/>
                <w:color w:val="000000"/>
                <w:kern w:val="0"/>
                <w:sz w:val="18"/>
                <w:szCs w:val="18"/>
              </w:rPr>
            </w:pPr>
            <w:r>
              <w:rPr>
                <w:rFonts w:ascii="宋体" w:hAnsi="宋体" w:eastAsia="宋体"/>
                <w:color w:val="000000"/>
                <w:kern w:val="0"/>
                <w:sz w:val="18"/>
                <w:szCs w:val="18"/>
              </w:rPr>
              <w:t>201006</w:t>
            </w:r>
          </w:p>
        </w:tc>
        <w:tc>
          <w:tcPr>
            <w:tcW w:w="117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柳州市鱼峰区雒容镇公共文化服务中心</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969"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965"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1009"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96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940"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971" w:type="dxa"/>
            <w:gridSpan w:val="2"/>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100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969"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96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05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98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023"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rPr>
        <w:t>注：</w:t>
      </w:r>
      <w:bookmarkStart w:id="74" w:name="PO_part5Table2Remark1"/>
      <w:r>
        <w:rPr>
          <w:rFonts w:hint="eastAsia" w:ascii="宋体" w:hAnsi="宋体" w:eastAsia="宋体" w:cs="宋体"/>
          <w:color w:val="000000"/>
          <w:kern w:val="0"/>
          <w:sz w:val="18"/>
          <w:szCs w:val="18"/>
        </w:rPr>
        <w:t>报表金额单位转换时可能存在四舍五入尾数误差。</w:t>
      </w:r>
      <w:bookmarkEnd w:id="72"/>
      <w:bookmarkEnd w:id="74"/>
    </w:p>
    <w:p>
      <w:pPr>
        <w:rPr>
          <w:rFonts w:ascii="宋体" w:hAnsi="宋体" w:eastAsia="宋体"/>
        </w:rPr>
      </w:pPr>
      <w:bookmarkStart w:id="75" w:name="PO_part5Table3"/>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33"/>
        <w:gridCol w:w="2381"/>
        <w:gridCol w:w="1503"/>
        <w:gridCol w:w="778"/>
        <w:gridCol w:w="2292"/>
        <w:gridCol w:w="222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ascii="宋体" w:hAnsi="宋体" w:eastAsia="宋体"/>
                <w:b/>
                <w:bCs/>
                <w:color w:val="000000"/>
                <w:kern w:val="0"/>
                <w:sz w:val="26"/>
                <w:szCs w:val="26"/>
              </w:rPr>
            </w:pPr>
            <w:r>
              <w:rPr>
                <w:rFonts w:hint="eastAsia" w:ascii="宋体" w:hAnsi="宋体" w:eastAsia="宋体"/>
                <w:b/>
                <w:bCs/>
                <w:color w:val="000000"/>
                <w:kern w:val="0"/>
                <w:sz w:val="26"/>
                <w:szCs w:val="26"/>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7653" w:type="dxa"/>
            <w:gridSpan w:val="4"/>
            <w:tcBorders>
              <w:top w:val="nil"/>
              <w:left w:val="nil"/>
              <w:bottom w:val="nil"/>
              <w:right w:val="nil"/>
            </w:tcBorders>
            <w:vAlign w:val="center"/>
          </w:tcPr>
          <w:p>
            <w:pPr>
              <w:jc w:val="left"/>
              <w:rPr>
                <w:rFonts w:ascii="宋体" w:hAnsi="宋体" w:eastAsia="宋体"/>
                <w:b/>
                <w:bCs/>
                <w:color w:val="000000"/>
                <w:kern w:val="0"/>
                <w:sz w:val="26"/>
                <w:szCs w:val="26"/>
              </w:rPr>
            </w:pPr>
            <w:r>
              <w:rPr>
                <w:rFonts w:hint="eastAsia" w:ascii="宋体" w:hAnsi="宋体" w:eastAsia="宋体"/>
                <w:color w:val="000000"/>
                <w:kern w:val="0"/>
                <w:sz w:val="18"/>
                <w:szCs w:val="18"/>
              </w:rPr>
              <w:t>部门名称：</w:t>
            </w:r>
            <w:bookmarkStart w:id="76" w:name="PO_part5Table3DivName1"/>
            <w:r>
              <w:rPr>
                <w:rFonts w:ascii="宋体" w:hAnsi="宋体" w:eastAsia="宋体"/>
                <w:color w:val="000000"/>
                <w:kern w:val="0"/>
                <w:sz w:val="18"/>
                <w:szCs w:val="18"/>
              </w:rPr>
              <w:t>201006柳州市鱼峰区雒容镇公共文化服务中心</w:t>
            </w:r>
            <w:bookmarkEnd w:id="76"/>
          </w:p>
        </w:tc>
        <w:tc>
          <w:tcPr>
            <w:tcW w:w="7654" w:type="dxa"/>
            <w:gridSpan w:val="4"/>
            <w:tcBorders>
              <w:top w:val="nil"/>
              <w:left w:val="nil"/>
              <w:bottom w:val="nil"/>
              <w:right w:val="nil"/>
            </w:tcBorders>
            <w:vAlign w:val="center"/>
          </w:tcPr>
          <w:p>
            <w:pPr>
              <w:jc w:val="right"/>
              <w:rPr>
                <w:rFonts w:ascii="宋体" w:hAnsi="宋体" w:eastAsia="宋体"/>
                <w:b/>
                <w:bCs/>
                <w:color w:val="000000"/>
                <w:kern w:val="0"/>
                <w:sz w:val="26"/>
                <w:szCs w:val="26"/>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83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科目编码</w:t>
            </w:r>
          </w:p>
        </w:tc>
        <w:tc>
          <w:tcPr>
            <w:tcW w:w="1933"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381"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(功能分类科目名称)</w:t>
            </w:r>
          </w:p>
        </w:tc>
        <w:tc>
          <w:tcPr>
            <w:tcW w:w="2281" w:type="dxa"/>
            <w:gridSpan w:val="2"/>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292"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基本支出</w:t>
            </w:r>
          </w:p>
        </w:tc>
        <w:tc>
          <w:tcPr>
            <w:tcW w:w="2228"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项目支出</w:t>
            </w:r>
          </w:p>
        </w:tc>
        <w:tc>
          <w:tcPr>
            <w:tcW w:w="235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tcPr>
          <w:p>
            <w:pPr>
              <w:rPr>
                <w:rFonts w:ascii="宋体" w:hAnsi="宋体" w:eastAsia="宋体"/>
                <w:sz w:val="18"/>
                <w:szCs w:val="18"/>
              </w:rPr>
            </w:pPr>
          </w:p>
        </w:tc>
        <w:tc>
          <w:tcPr>
            <w:tcW w:w="1933" w:type="dxa"/>
            <w:vAlign w:val="center"/>
          </w:tcPr>
          <w:p>
            <w:pPr>
              <w:widowControl/>
              <w:jc w:val="left"/>
              <w:textAlignment w:val="center"/>
              <w:rPr>
                <w:rFonts w:ascii="宋体" w:hAnsi="宋体" w:eastAsia="宋体"/>
                <w:color w:val="000000"/>
                <w:sz w:val="18"/>
                <w:szCs w:val="18"/>
              </w:rPr>
            </w:pPr>
          </w:p>
        </w:tc>
        <w:tc>
          <w:tcPr>
            <w:tcW w:w="2381"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合计</w:t>
            </w:r>
          </w:p>
        </w:tc>
        <w:tc>
          <w:tcPr>
            <w:tcW w:w="2281" w:type="dxa"/>
            <w:gridSpan w:val="2"/>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65.36</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71.77</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w:t>
            </w:r>
          </w:p>
        </w:tc>
        <w:tc>
          <w:tcPr>
            <w:tcW w:w="2381" w:type="dxa"/>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sz w:val="18"/>
                <w:szCs w:val="18"/>
              </w:rPr>
              <w:t>柳州市鱼峰区雒容镇</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137.14</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65.36</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71.77</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201006</w:t>
            </w:r>
          </w:p>
        </w:tc>
        <w:tc>
          <w:tcPr>
            <w:tcW w:w="2381" w:type="dxa"/>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sz w:val="18"/>
                <w:szCs w:val="18"/>
              </w:rPr>
              <w:t>柳州市鱼峰区雒容镇公共文化服务中心</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137.14</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65.36</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71.77</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2070107</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艺术表演团体</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1.40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1.40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2070108</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文化活动</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32.40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32.40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2070199</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其他文化和旅游支出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45.06</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45.06</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2070206</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历史名城与古迹</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6.59</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2080502</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2.62</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2.62</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2080505</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5.67</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5.67</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2080506</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2.84</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2.84</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2101102</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4.92</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4.92</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2210201</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4.26</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4.26</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2249999</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其他灾害防治及应急管理支出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31.38</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31.38</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bl>
    <w:p>
      <w:pPr>
        <w:rPr>
          <w:rFonts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rPr>
        <w:t>注：</w:t>
      </w:r>
      <w:bookmarkStart w:id="77" w:name="PO_part2Table3Remark1"/>
      <w:r>
        <w:rPr>
          <w:rFonts w:hint="eastAsia" w:ascii="宋体" w:hAnsi="宋体" w:eastAsia="宋体" w:cs="宋体"/>
          <w:color w:val="000000"/>
          <w:kern w:val="0"/>
          <w:sz w:val="18"/>
          <w:szCs w:val="18"/>
        </w:rPr>
        <w:t>报表金额单位转换时可能存在四舍五入尾数误差。</w:t>
      </w:r>
      <w:bookmarkEnd w:id="75"/>
      <w:bookmarkEnd w:id="77"/>
    </w:p>
    <w:p>
      <w:pPr>
        <w:rPr>
          <w:rFonts w:ascii="宋体" w:hAnsi="宋体" w:eastAsia="宋体"/>
        </w:rPr>
      </w:pPr>
      <w:bookmarkStart w:id="78" w:name="PO_part5Table4"/>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ascii="宋体" w:hAnsi="宋体" w:eastAsia="宋体"/>
              </w:rPr>
            </w:pPr>
            <w:r>
              <w:rPr>
                <w:rFonts w:hint="eastAsia" w:ascii="宋体" w:hAnsi="宋体" w:eastAsia="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ascii="宋体" w:hAnsi="宋体" w:eastAsia="宋体"/>
              </w:rPr>
            </w:pPr>
            <w:r>
              <w:rPr>
                <w:rFonts w:hint="eastAsia" w:ascii="宋体" w:hAnsi="宋体" w:eastAsia="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79" w:name="PO_part5Table4DivName1"/>
            <w:r>
              <w:rPr>
                <w:rFonts w:ascii="宋体" w:hAnsi="宋体" w:eastAsia="宋体"/>
                <w:color w:val="000000"/>
                <w:kern w:val="0"/>
                <w:sz w:val="18"/>
                <w:szCs w:val="18"/>
              </w:rPr>
              <w:t>201006柳州市鱼峰区雒容镇公共文化服务中心</w:t>
            </w:r>
            <w:bookmarkEnd w:id="79"/>
          </w:p>
        </w:tc>
        <w:tc>
          <w:tcPr>
            <w:tcW w:w="3827" w:type="dxa"/>
            <w:tcBorders>
              <w:top w:val="nil"/>
              <w:left w:val="nil"/>
              <w:bottom w:val="single" w:color="auto" w:sz="4" w:space="0"/>
              <w:right w:val="nil"/>
            </w:tcBorders>
            <w:vAlign w:val="center"/>
          </w:tcPr>
          <w:p>
            <w:pPr>
              <w:jc w:val="right"/>
              <w:rPr>
                <w:rFonts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一、本年收入</w:t>
            </w:r>
          </w:p>
        </w:tc>
        <w:tc>
          <w:tcPr>
            <w:tcW w:w="3826" w:type="dxa"/>
            <w:tcBorders>
              <w:top w:val="single" w:color="auto"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3827" w:type="dxa"/>
            <w:tcBorders>
              <w:top w:val="single" w:color="auto"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一、本年支出</w:t>
            </w:r>
          </w:p>
        </w:tc>
        <w:tc>
          <w:tcPr>
            <w:tcW w:w="3827" w:type="dxa"/>
            <w:tcBorders>
              <w:top w:val="single" w:color="auto" w:sz="4" w:space="0"/>
            </w:tcBorders>
            <w:vAlign w:val="center"/>
          </w:tcPr>
          <w:p>
            <w:pPr>
              <w:jc w:val="right"/>
              <w:rPr>
                <w:rFonts w:ascii="宋体" w:hAnsi="宋体" w:eastAsia="宋体"/>
                <w:sz w:val="18"/>
                <w:szCs w:val="18"/>
              </w:rPr>
            </w:pPr>
            <w:r>
              <w:rPr>
                <w:rFonts w:ascii="宋体" w:hAnsi="宋体" w:eastAsia="宋体"/>
                <w:color w:val="000000"/>
                <w:sz w:val="18"/>
                <w:szCs w:val="18"/>
              </w:rPr>
              <w:t>137.14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sz w:val="18"/>
                <w:szCs w:val="18"/>
              </w:rPr>
            </w:pPr>
            <w:r>
              <w:rPr>
                <w:rFonts w:ascii="宋体" w:hAnsi="宋体" w:eastAsia="宋体"/>
                <w:color w:val="000000"/>
                <w:sz w:val="18"/>
                <w:szCs w:val="18"/>
              </w:rPr>
              <w:t>137.14</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（一）一般公共服务支出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（二）外交支出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（三）国防支出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ascii="宋体" w:hAnsi="宋体" w:eastAsia="宋体"/>
                <w:color w:val="000000"/>
                <w:kern w:val="0"/>
                <w:sz w:val="18"/>
                <w:szCs w:val="18"/>
              </w:rPr>
              <w:t>3</w:t>
            </w:r>
            <w:r>
              <w:rPr>
                <w:rFonts w:hint="eastAsia" w:ascii="宋体" w:hAnsi="宋体" w:eastAsia="宋体"/>
                <w:color w:val="000000"/>
                <w:kern w:val="0"/>
                <w:sz w:val="18"/>
                <w:szCs w:val="18"/>
              </w:rPr>
              <w:t>、一般债券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（四）公共安全支出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（五）教育支出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 xml:space="preserve"> </w:t>
            </w:r>
            <w:bookmarkStart w:id="102" w:name="_GoBack"/>
            <w:r>
              <w:rPr>
                <w:rFonts w:hint="eastAsia" w:ascii="宋体" w:hAnsi="宋体" w:eastAsia="宋体"/>
                <w:color w:val="000000"/>
                <w:kern w:val="0"/>
                <w:sz w:val="18"/>
                <w:szCs w:val="18"/>
              </w:rPr>
              <w:t xml:space="preserve"> </w:t>
            </w:r>
            <w:bookmarkEnd w:id="102"/>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（六）科学技术支出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（七）文化旅游体育与传媒支出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ascii="宋体" w:hAnsi="宋体" w:eastAsia="宋体"/>
                <w:color w:val="000000"/>
                <w:kern w:val="0"/>
                <w:sz w:val="18"/>
                <w:szCs w:val="18"/>
              </w:rPr>
              <w:t>3</w:t>
            </w:r>
            <w:r>
              <w:rPr>
                <w:rFonts w:hint="eastAsia" w:ascii="宋体" w:hAnsi="宋体" w:eastAsia="宋体"/>
                <w:color w:val="000000"/>
                <w:kern w:val="0"/>
                <w:sz w:val="18"/>
                <w:szCs w:val="18"/>
              </w:rPr>
              <w:t>、专项债券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（八）社会保障和就业支出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（九）卫生健康支出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（十）节能环保支出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（十一）城乡社区支出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二、上年结转结余</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（十二）农林水支出</w:t>
            </w:r>
          </w:p>
        </w:tc>
        <w:tc>
          <w:tcPr>
            <w:tcW w:w="382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（十三）交通运输支出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（十四）资源勘探工业信息等支出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（十五）商业服务业等支出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（十六）金融支出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（十七）援助其他地区支出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（十八）自然资源海洋气象等支出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（十九）住房保障支出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（二十）粮油物资储备支出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（二十一）国有资本经营预算支出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（二十二）灾害防治及应急管理支出</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（二十三）其他支出</w:t>
            </w:r>
          </w:p>
        </w:tc>
        <w:tc>
          <w:tcPr>
            <w:tcW w:w="382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（二十四）债务还本支出</w:t>
            </w:r>
          </w:p>
        </w:tc>
        <w:tc>
          <w:tcPr>
            <w:tcW w:w="382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（二十五）债务付息支出</w:t>
            </w:r>
          </w:p>
        </w:tc>
        <w:tc>
          <w:tcPr>
            <w:tcW w:w="382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（二十六）债务发行费用支出</w:t>
            </w:r>
          </w:p>
        </w:tc>
        <w:tc>
          <w:tcPr>
            <w:tcW w:w="382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二、结转下年支出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收入总计</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支出总计</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r>
    </w:tbl>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注：</w:t>
      </w:r>
      <w:bookmarkStart w:id="80" w:name="PO_part5Table4Remark1"/>
      <w:r>
        <w:rPr>
          <w:rFonts w:hint="eastAsia" w:ascii="宋体" w:hAnsi="宋体" w:eastAsia="宋体" w:cs="宋体"/>
          <w:color w:val="000000"/>
          <w:kern w:val="0"/>
          <w:sz w:val="18"/>
          <w:szCs w:val="18"/>
        </w:rPr>
        <w:t>表中功能分类科目，根据各部门实际预算编制情况编列。</w:t>
      </w:r>
    </w:p>
    <w:p>
      <w:pPr>
        <w:rPr>
          <w:rFonts w:ascii="宋体" w:hAnsi="宋体" w:eastAsia="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rPr>
        <w:t>报表金额单位转换时可能存在四舍五入尾数误差。</w:t>
      </w:r>
      <w:bookmarkEnd w:id="78"/>
      <w:bookmarkEnd w:id="80"/>
    </w:p>
    <w:p>
      <w:pPr>
        <w:rPr>
          <w:rFonts w:ascii="宋体" w:hAnsi="宋体" w:eastAsia="宋体" w:cs="宋体"/>
          <w:color w:val="000000"/>
          <w:kern w:val="0"/>
          <w:sz w:val="18"/>
          <w:szCs w:val="18"/>
        </w:rPr>
      </w:pPr>
      <w:bookmarkStart w:id="81" w:name="PO_part5Table5"/>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72"/>
        <w:gridCol w:w="2855"/>
        <w:gridCol w:w="1791"/>
        <w:gridCol w:w="2186"/>
        <w:gridCol w:w="2234"/>
        <w:gridCol w:w="193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center"/>
              <w:rPr>
                <w:rFonts w:ascii="宋体" w:hAnsi="宋体" w:eastAsia="宋体"/>
                <w:b/>
                <w:bCs/>
                <w:color w:val="000000"/>
                <w:kern w:val="0"/>
                <w:sz w:val="26"/>
                <w:szCs w:val="26"/>
              </w:rPr>
            </w:pPr>
            <w:r>
              <w:rPr>
                <w:rFonts w:hint="eastAsia" w:ascii="宋体" w:hAnsi="宋体" w:eastAsia="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313" w:type="dxa"/>
            <w:gridSpan w:val="4"/>
            <w:tcBorders>
              <w:top w:val="nil"/>
              <w:left w:val="nil"/>
              <w:bottom w:val="single" w:color="auto"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82" w:name="PO_part5Table5DivName1"/>
            <w:r>
              <w:rPr>
                <w:rFonts w:ascii="宋体" w:hAnsi="宋体" w:eastAsia="宋体"/>
                <w:color w:val="000000"/>
                <w:kern w:val="0"/>
                <w:sz w:val="18"/>
                <w:szCs w:val="18"/>
              </w:rPr>
              <w:t>201006柳州市鱼峰区雒容镇公共文化服务中心</w:t>
            </w:r>
            <w:bookmarkEnd w:id="82"/>
          </w:p>
        </w:tc>
        <w:tc>
          <w:tcPr>
            <w:tcW w:w="7994" w:type="dxa"/>
            <w:gridSpan w:val="4"/>
            <w:tcBorders>
              <w:top w:val="nil"/>
              <w:left w:val="nil"/>
              <w:bottom w:val="single" w:color="auto" w:sz="4" w:space="0"/>
              <w:right w:val="nil"/>
            </w:tcBorders>
            <w:vAlign w:val="center"/>
          </w:tcPr>
          <w:p>
            <w:pPr>
              <w:jc w:val="right"/>
              <w:rPr>
                <w:rFonts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科目编码</w:t>
            </w:r>
          </w:p>
        </w:tc>
        <w:tc>
          <w:tcPr>
            <w:tcW w:w="1272"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855"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(功能分类科目名称)</w:t>
            </w:r>
          </w:p>
        </w:tc>
        <w:tc>
          <w:tcPr>
            <w:tcW w:w="1791"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合计</w:t>
            </w:r>
          </w:p>
        </w:tc>
        <w:tc>
          <w:tcPr>
            <w:tcW w:w="7994" w:type="dxa"/>
            <w:gridSpan w:val="4"/>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bottom w:val="single" w:color="auto" w:sz="4" w:space="0"/>
            </w:tcBorders>
            <w:vAlign w:val="center"/>
          </w:tcPr>
          <w:p>
            <w:pPr>
              <w:widowControl/>
              <w:jc w:val="center"/>
              <w:textAlignment w:val="center"/>
              <w:rPr>
                <w:rFonts w:ascii="宋体" w:hAnsi="宋体" w:eastAsia="宋体"/>
                <w:color w:val="000000"/>
                <w:sz w:val="18"/>
                <w:szCs w:val="18"/>
              </w:rPr>
            </w:pPr>
          </w:p>
        </w:tc>
        <w:tc>
          <w:tcPr>
            <w:tcW w:w="1272" w:type="dxa"/>
            <w:vMerge w:val="continue"/>
            <w:tcBorders>
              <w:bottom w:val="single" w:color="auto" w:sz="4" w:space="0"/>
            </w:tcBorders>
            <w:vAlign w:val="center"/>
          </w:tcPr>
          <w:p>
            <w:pPr>
              <w:widowControl/>
              <w:jc w:val="center"/>
              <w:textAlignment w:val="center"/>
              <w:rPr>
                <w:rFonts w:ascii="宋体" w:hAnsi="宋体" w:eastAsia="宋体"/>
                <w:color w:val="000000"/>
                <w:sz w:val="18"/>
                <w:szCs w:val="18"/>
              </w:rPr>
            </w:pPr>
          </w:p>
        </w:tc>
        <w:tc>
          <w:tcPr>
            <w:tcW w:w="2855" w:type="dxa"/>
            <w:vMerge w:val="continue"/>
            <w:tcBorders>
              <w:bottom w:val="single" w:color="auto" w:sz="4" w:space="0"/>
            </w:tcBorders>
            <w:vAlign w:val="center"/>
          </w:tcPr>
          <w:p>
            <w:pPr>
              <w:widowControl/>
              <w:jc w:val="center"/>
              <w:textAlignment w:val="center"/>
              <w:rPr>
                <w:rFonts w:ascii="宋体" w:hAnsi="宋体" w:eastAsia="宋体"/>
                <w:color w:val="000000"/>
                <w:sz w:val="18"/>
                <w:szCs w:val="18"/>
              </w:rPr>
            </w:pPr>
          </w:p>
        </w:tc>
        <w:tc>
          <w:tcPr>
            <w:tcW w:w="1791" w:type="dxa"/>
            <w:vMerge w:val="continue"/>
            <w:tcBorders>
              <w:bottom w:val="single" w:color="auto" w:sz="4" w:space="0"/>
            </w:tcBorders>
            <w:vAlign w:val="center"/>
          </w:tcPr>
          <w:p>
            <w:pPr>
              <w:widowControl/>
              <w:jc w:val="center"/>
              <w:textAlignment w:val="center"/>
              <w:rPr>
                <w:rFonts w:ascii="宋体" w:hAnsi="宋体" w:eastAsia="宋体"/>
                <w:color w:val="000000"/>
                <w:sz w:val="18"/>
                <w:szCs w:val="18"/>
              </w:rPr>
            </w:pPr>
          </w:p>
        </w:tc>
        <w:tc>
          <w:tcPr>
            <w:tcW w:w="6356" w:type="dxa"/>
            <w:gridSpan w:val="3"/>
            <w:tcBorders>
              <w:bottom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基本支出</w:t>
            </w:r>
          </w:p>
        </w:tc>
        <w:tc>
          <w:tcPr>
            <w:tcW w:w="1638" w:type="dxa"/>
            <w:vMerge w:val="restart"/>
            <w:tcBorders>
              <w:bottom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top w:val="single" w:color="auto" w:sz="4" w:space="0"/>
            </w:tcBorders>
            <w:vAlign w:val="center"/>
          </w:tcPr>
          <w:p>
            <w:pPr>
              <w:jc w:val="right"/>
              <w:rPr>
                <w:rFonts w:ascii="宋体" w:hAnsi="宋体" w:eastAsia="宋体"/>
                <w:color w:val="000000"/>
                <w:kern w:val="0"/>
                <w:sz w:val="18"/>
                <w:szCs w:val="18"/>
              </w:rPr>
            </w:pPr>
          </w:p>
        </w:tc>
        <w:tc>
          <w:tcPr>
            <w:tcW w:w="1272" w:type="dxa"/>
            <w:vMerge w:val="continue"/>
            <w:tcBorders>
              <w:top w:val="single" w:color="auto" w:sz="4" w:space="0"/>
            </w:tcBorders>
            <w:vAlign w:val="center"/>
          </w:tcPr>
          <w:p>
            <w:pPr>
              <w:jc w:val="right"/>
              <w:rPr>
                <w:rFonts w:ascii="宋体" w:hAnsi="宋体" w:eastAsia="宋体"/>
                <w:color w:val="000000"/>
                <w:kern w:val="0"/>
                <w:sz w:val="18"/>
                <w:szCs w:val="18"/>
              </w:rPr>
            </w:pPr>
          </w:p>
        </w:tc>
        <w:tc>
          <w:tcPr>
            <w:tcW w:w="2855" w:type="dxa"/>
            <w:vMerge w:val="continue"/>
            <w:tcBorders>
              <w:top w:val="single" w:color="auto" w:sz="4" w:space="0"/>
            </w:tcBorders>
            <w:vAlign w:val="center"/>
          </w:tcPr>
          <w:p>
            <w:pPr>
              <w:jc w:val="right"/>
              <w:rPr>
                <w:rFonts w:ascii="宋体" w:hAnsi="宋体" w:eastAsia="宋体"/>
                <w:color w:val="000000"/>
                <w:kern w:val="0"/>
                <w:sz w:val="18"/>
                <w:szCs w:val="18"/>
              </w:rPr>
            </w:pPr>
          </w:p>
        </w:tc>
        <w:tc>
          <w:tcPr>
            <w:tcW w:w="1791" w:type="dxa"/>
            <w:vMerge w:val="continue"/>
            <w:tcBorders>
              <w:top w:val="single" w:color="auto" w:sz="4" w:space="0"/>
            </w:tcBorders>
            <w:vAlign w:val="center"/>
          </w:tcPr>
          <w:p>
            <w:pPr>
              <w:jc w:val="right"/>
              <w:rPr>
                <w:rFonts w:ascii="宋体" w:hAnsi="宋体" w:eastAsia="宋体"/>
                <w:color w:val="000000"/>
                <w:kern w:val="0"/>
                <w:sz w:val="18"/>
                <w:szCs w:val="18"/>
              </w:rPr>
            </w:pPr>
          </w:p>
        </w:tc>
        <w:tc>
          <w:tcPr>
            <w:tcW w:w="218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小计</w:t>
            </w:r>
          </w:p>
        </w:tc>
        <w:tc>
          <w:tcPr>
            <w:tcW w:w="2234"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人员经费</w:t>
            </w:r>
          </w:p>
        </w:tc>
        <w:tc>
          <w:tcPr>
            <w:tcW w:w="193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公用经费</w:t>
            </w:r>
          </w:p>
        </w:tc>
        <w:tc>
          <w:tcPr>
            <w:tcW w:w="1638" w:type="dxa"/>
            <w:vMerge w:val="continue"/>
            <w:tcBorders>
              <w:top w:val="single" w:color="auto" w:sz="4" w:space="0"/>
            </w:tcBorders>
            <w:vAlign w:val="center"/>
          </w:tcPr>
          <w:p>
            <w:pPr>
              <w:jc w:val="righ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vAlign w:val="center"/>
          </w:tcPr>
          <w:p>
            <w:pPr>
              <w:widowControl/>
              <w:textAlignment w:val="center"/>
              <w:rPr>
                <w:rFonts w:ascii="宋体" w:hAnsi="宋体" w:eastAsia="宋体"/>
                <w:color w:val="000000"/>
                <w:kern w:val="0"/>
                <w:sz w:val="18"/>
                <w:szCs w:val="18"/>
              </w:rPr>
            </w:pPr>
          </w:p>
        </w:tc>
        <w:tc>
          <w:tcPr>
            <w:tcW w:w="1272" w:type="dxa"/>
            <w:vMerge w:val="continue"/>
            <w:vAlign w:val="center"/>
          </w:tcPr>
          <w:p>
            <w:pPr>
              <w:widowControl/>
              <w:textAlignment w:val="center"/>
              <w:rPr>
                <w:rFonts w:ascii="宋体" w:hAnsi="宋体" w:eastAsia="宋体"/>
                <w:color w:val="000000"/>
                <w:kern w:val="0"/>
                <w:sz w:val="18"/>
                <w:szCs w:val="18"/>
              </w:rPr>
            </w:pPr>
          </w:p>
        </w:tc>
        <w:tc>
          <w:tcPr>
            <w:tcW w:w="2855" w:type="dxa"/>
            <w:vMerge w:val="continue"/>
            <w:vAlign w:val="center"/>
          </w:tcPr>
          <w:p>
            <w:pPr>
              <w:widowControl/>
              <w:jc w:val="left"/>
              <w:textAlignment w:val="center"/>
              <w:rPr>
                <w:rFonts w:ascii="宋体" w:hAnsi="宋体" w:eastAsia="宋体"/>
                <w:color w:val="000000"/>
                <w:kern w:val="0"/>
                <w:sz w:val="18"/>
                <w:szCs w:val="18"/>
              </w:rPr>
            </w:pPr>
          </w:p>
        </w:tc>
        <w:tc>
          <w:tcPr>
            <w:tcW w:w="1791"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1</w:t>
            </w:r>
          </w:p>
        </w:tc>
        <w:tc>
          <w:tcPr>
            <w:tcW w:w="218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2</w:t>
            </w:r>
          </w:p>
        </w:tc>
        <w:tc>
          <w:tcPr>
            <w:tcW w:w="2234"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3</w:t>
            </w:r>
          </w:p>
        </w:tc>
        <w:tc>
          <w:tcPr>
            <w:tcW w:w="193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4</w:t>
            </w:r>
          </w:p>
        </w:tc>
        <w:tc>
          <w:tcPr>
            <w:tcW w:w="1638"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ascii="宋体" w:hAnsi="宋体" w:eastAsia="宋体"/>
                <w:color w:val="000000"/>
                <w:kern w:val="0"/>
                <w:sz w:val="18"/>
                <w:szCs w:val="18"/>
              </w:rPr>
            </w:pPr>
          </w:p>
        </w:tc>
        <w:tc>
          <w:tcPr>
            <w:tcW w:w="1272" w:type="dxa"/>
            <w:vAlign w:val="center"/>
          </w:tcPr>
          <w:p>
            <w:pPr>
              <w:widowControl/>
              <w:textAlignment w:val="center"/>
              <w:rPr>
                <w:rFonts w:ascii="宋体" w:hAnsi="宋体" w:eastAsia="宋体"/>
                <w:color w:val="000000"/>
                <w:kern w:val="0"/>
                <w:sz w:val="18"/>
                <w:szCs w:val="18"/>
              </w:rPr>
            </w:pPr>
          </w:p>
        </w:tc>
        <w:tc>
          <w:tcPr>
            <w:tcW w:w="2855"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合计</w:t>
            </w:r>
          </w:p>
        </w:tc>
        <w:tc>
          <w:tcPr>
            <w:tcW w:w="1791" w:type="dxa"/>
            <w:vAlign w:val="center"/>
          </w:tcPr>
          <w:p>
            <w:pPr>
              <w:jc w:val="right"/>
              <w:rPr>
                <w:rFonts w:ascii="宋体" w:hAnsi="宋体" w:eastAsia="宋体"/>
                <w:color w:val="000000"/>
                <w:sz w:val="18"/>
                <w:szCs w:val="18"/>
              </w:rPr>
            </w:pPr>
            <w:r>
              <w:rPr>
                <w:rFonts w:ascii="宋体" w:hAnsi="宋体" w:eastAsia="宋体"/>
                <w:color w:val="000000"/>
                <w:sz w:val="18"/>
                <w:szCs w:val="18"/>
              </w:rPr>
              <w:t>137.14</w:t>
            </w:r>
          </w:p>
        </w:tc>
        <w:tc>
          <w:tcPr>
            <w:tcW w:w="2186" w:type="dxa"/>
            <w:vAlign w:val="center"/>
          </w:tcPr>
          <w:p>
            <w:pPr>
              <w:jc w:val="right"/>
              <w:rPr>
                <w:rFonts w:ascii="宋体" w:hAnsi="宋体" w:eastAsia="宋体"/>
                <w:color w:val="000000"/>
                <w:sz w:val="18"/>
                <w:szCs w:val="18"/>
              </w:rPr>
            </w:pPr>
            <w:r>
              <w:rPr>
                <w:rFonts w:ascii="宋体" w:hAnsi="宋体" w:eastAsia="宋体"/>
                <w:color w:val="000000"/>
                <w:sz w:val="18"/>
                <w:szCs w:val="18"/>
              </w:rPr>
              <w:t>65.36</w:t>
            </w:r>
          </w:p>
        </w:tc>
        <w:tc>
          <w:tcPr>
            <w:tcW w:w="2234" w:type="dxa"/>
            <w:vAlign w:val="center"/>
          </w:tcPr>
          <w:p>
            <w:pPr>
              <w:jc w:val="right"/>
              <w:rPr>
                <w:rFonts w:ascii="宋体" w:hAnsi="宋体" w:eastAsia="宋体"/>
                <w:color w:val="000000"/>
                <w:sz w:val="18"/>
                <w:szCs w:val="18"/>
              </w:rPr>
            </w:pPr>
            <w:r>
              <w:rPr>
                <w:rFonts w:ascii="宋体" w:hAnsi="宋体" w:eastAsia="宋体"/>
                <w:color w:val="000000"/>
                <w:sz w:val="18"/>
                <w:szCs w:val="18"/>
              </w:rPr>
              <w:t>58.33</w:t>
            </w:r>
          </w:p>
        </w:tc>
        <w:tc>
          <w:tcPr>
            <w:tcW w:w="1936" w:type="dxa"/>
            <w:vAlign w:val="center"/>
          </w:tcPr>
          <w:p>
            <w:pPr>
              <w:jc w:val="right"/>
              <w:rPr>
                <w:rFonts w:ascii="宋体" w:hAnsi="宋体" w:eastAsia="宋体"/>
                <w:color w:val="000000"/>
                <w:sz w:val="18"/>
                <w:szCs w:val="18"/>
              </w:rPr>
            </w:pPr>
            <w:r>
              <w:rPr>
                <w:rFonts w:ascii="宋体" w:hAnsi="宋体" w:eastAsia="宋体"/>
                <w:color w:val="000000"/>
                <w:sz w:val="18"/>
                <w:szCs w:val="18"/>
              </w:rPr>
              <w:t>7.04</w:t>
            </w:r>
          </w:p>
        </w:tc>
        <w:tc>
          <w:tcPr>
            <w:tcW w:w="1638" w:type="dxa"/>
            <w:vAlign w:val="center"/>
          </w:tcPr>
          <w:p>
            <w:pPr>
              <w:jc w:val="right"/>
              <w:rPr>
                <w:rFonts w:ascii="宋体" w:hAnsi="宋体" w:eastAsia="宋体"/>
                <w:color w:val="000000"/>
                <w:sz w:val="18"/>
                <w:szCs w:val="18"/>
              </w:rPr>
            </w:pPr>
            <w:r>
              <w:rPr>
                <w:rFonts w:ascii="宋体" w:hAnsi="宋体" w:eastAsia="宋体"/>
                <w:color w:val="000000"/>
                <w:sz w:val="18"/>
                <w:szCs w:val="18"/>
              </w:rPr>
              <w:t>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ascii="宋体" w:hAnsi="宋体" w:eastAsia="宋体"/>
                <w:color w:val="000000"/>
                <w:kern w:val="0"/>
                <w:sz w:val="18"/>
                <w:szCs w:val="18"/>
              </w:rPr>
            </w:pPr>
          </w:p>
        </w:tc>
        <w:tc>
          <w:tcPr>
            <w:tcW w:w="1272" w:type="dxa"/>
            <w:vAlign w:val="center"/>
          </w:tcPr>
          <w:p>
            <w:pPr>
              <w:widowControl/>
              <w:textAlignment w:val="center"/>
              <w:rPr>
                <w:rFonts w:ascii="宋体" w:hAnsi="宋体" w:eastAsia="宋体"/>
                <w:color w:val="000000"/>
                <w:sz w:val="18"/>
                <w:szCs w:val="18"/>
              </w:rPr>
            </w:pPr>
            <w:r>
              <w:rPr>
                <w:rFonts w:ascii="宋体" w:hAnsi="宋体" w:eastAsia="宋体"/>
                <w:color w:val="000000"/>
                <w:kern w:val="0"/>
                <w:sz w:val="18"/>
                <w:szCs w:val="18"/>
              </w:rPr>
              <w:t>201</w:t>
            </w: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sz w:val="18"/>
                <w:szCs w:val="18"/>
              </w:rPr>
              <w:t>柳州市鱼峰区雒容镇</w:t>
            </w:r>
          </w:p>
        </w:tc>
        <w:tc>
          <w:tcPr>
            <w:tcW w:w="1791" w:type="dxa"/>
            <w:vAlign w:val="center"/>
          </w:tcPr>
          <w:p>
            <w:pPr>
              <w:jc w:val="right"/>
              <w:rPr>
                <w:rFonts w:ascii="宋体" w:hAnsi="宋体" w:eastAsia="宋体"/>
                <w:color w:val="000000"/>
                <w:kern w:val="0"/>
                <w:sz w:val="18"/>
                <w:szCs w:val="18"/>
              </w:rPr>
            </w:pPr>
            <w:r>
              <w:rPr>
                <w:rFonts w:ascii="宋体" w:hAnsi="宋体" w:eastAsia="宋体"/>
                <w:color w:val="000000"/>
                <w:sz w:val="18"/>
                <w:szCs w:val="18"/>
              </w:rPr>
              <w:t>137.14</w:t>
            </w:r>
          </w:p>
        </w:tc>
        <w:tc>
          <w:tcPr>
            <w:tcW w:w="2186" w:type="dxa"/>
            <w:vAlign w:val="center"/>
          </w:tcPr>
          <w:p>
            <w:pPr>
              <w:jc w:val="right"/>
              <w:rPr>
                <w:rFonts w:ascii="宋体" w:hAnsi="宋体" w:eastAsia="宋体"/>
                <w:color w:val="000000"/>
                <w:sz w:val="18"/>
                <w:szCs w:val="18"/>
              </w:rPr>
            </w:pPr>
            <w:r>
              <w:rPr>
                <w:rFonts w:ascii="宋体" w:hAnsi="宋体" w:eastAsia="宋体"/>
                <w:color w:val="000000"/>
                <w:sz w:val="18"/>
                <w:szCs w:val="18"/>
              </w:rPr>
              <w:t>65.36</w:t>
            </w:r>
          </w:p>
        </w:tc>
        <w:tc>
          <w:tcPr>
            <w:tcW w:w="2234" w:type="dxa"/>
            <w:vAlign w:val="center"/>
          </w:tcPr>
          <w:p>
            <w:pPr>
              <w:jc w:val="right"/>
              <w:rPr>
                <w:rFonts w:ascii="宋体" w:hAnsi="宋体" w:eastAsia="宋体"/>
                <w:color w:val="000000"/>
                <w:sz w:val="18"/>
                <w:szCs w:val="18"/>
              </w:rPr>
            </w:pPr>
            <w:r>
              <w:rPr>
                <w:rFonts w:ascii="宋体" w:hAnsi="宋体" w:eastAsia="宋体"/>
                <w:color w:val="000000"/>
                <w:sz w:val="18"/>
                <w:szCs w:val="18"/>
              </w:rPr>
              <w:t>58.33</w:t>
            </w:r>
          </w:p>
        </w:tc>
        <w:tc>
          <w:tcPr>
            <w:tcW w:w="1936" w:type="dxa"/>
            <w:vAlign w:val="center"/>
          </w:tcPr>
          <w:p>
            <w:pPr>
              <w:jc w:val="right"/>
              <w:rPr>
                <w:rFonts w:ascii="宋体" w:hAnsi="宋体" w:eastAsia="宋体"/>
                <w:color w:val="000000"/>
                <w:sz w:val="18"/>
                <w:szCs w:val="18"/>
              </w:rPr>
            </w:pPr>
            <w:r>
              <w:rPr>
                <w:rFonts w:ascii="宋体" w:hAnsi="宋体" w:eastAsia="宋体"/>
                <w:color w:val="000000"/>
                <w:sz w:val="18"/>
                <w:szCs w:val="18"/>
              </w:rPr>
              <w:t>7.04</w:t>
            </w:r>
          </w:p>
        </w:tc>
        <w:tc>
          <w:tcPr>
            <w:tcW w:w="1638" w:type="dxa"/>
            <w:vAlign w:val="center"/>
          </w:tcPr>
          <w:p>
            <w:pPr>
              <w:jc w:val="right"/>
              <w:rPr>
                <w:rFonts w:ascii="宋体" w:hAnsi="宋体" w:eastAsia="宋体"/>
                <w:color w:val="000000"/>
                <w:sz w:val="18"/>
                <w:szCs w:val="18"/>
              </w:rPr>
            </w:pPr>
            <w:r>
              <w:rPr>
                <w:rFonts w:ascii="宋体" w:hAnsi="宋体" w:eastAsia="宋体"/>
                <w:color w:val="000000"/>
                <w:sz w:val="18"/>
                <w:szCs w:val="18"/>
              </w:rPr>
              <w:t>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ascii="宋体" w:hAnsi="宋体" w:eastAsia="宋体"/>
                <w:color w:val="000000"/>
                <w:kern w:val="0"/>
                <w:sz w:val="18"/>
                <w:szCs w:val="18"/>
              </w:rPr>
            </w:pPr>
          </w:p>
        </w:tc>
        <w:tc>
          <w:tcPr>
            <w:tcW w:w="1272" w:type="dxa"/>
            <w:vAlign w:val="center"/>
          </w:tcPr>
          <w:p>
            <w:pPr>
              <w:widowControl/>
              <w:textAlignment w:val="center"/>
              <w:rPr>
                <w:rFonts w:ascii="宋体" w:hAnsi="宋体" w:eastAsia="宋体"/>
                <w:color w:val="000000"/>
                <w:sz w:val="18"/>
                <w:szCs w:val="18"/>
              </w:rPr>
            </w:pPr>
            <w:r>
              <w:rPr>
                <w:rFonts w:ascii="宋体" w:hAnsi="宋体" w:eastAsia="宋体"/>
                <w:color w:val="000000"/>
                <w:kern w:val="0"/>
                <w:sz w:val="18"/>
                <w:szCs w:val="18"/>
              </w:rPr>
              <w:t>201006</w:t>
            </w: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sz w:val="18"/>
                <w:szCs w:val="18"/>
              </w:rPr>
              <w:t>柳州市鱼峰区雒容镇公共文化服务中心</w:t>
            </w:r>
          </w:p>
        </w:tc>
        <w:tc>
          <w:tcPr>
            <w:tcW w:w="1791" w:type="dxa"/>
            <w:vAlign w:val="center"/>
          </w:tcPr>
          <w:p>
            <w:pPr>
              <w:jc w:val="right"/>
              <w:rPr>
                <w:rFonts w:ascii="宋体" w:hAnsi="宋体" w:eastAsia="宋体"/>
                <w:color w:val="000000"/>
                <w:kern w:val="0"/>
                <w:sz w:val="18"/>
                <w:szCs w:val="18"/>
              </w:rPr>
            </w:pPr>
            <w:r>
              <w:rPr>
                <w:rFonts w:ascii="宋体" w:hAnsi="宋体" w:eastAsia="宋体"/>
                <w:color w:val="000000"/>
                <w:sz w:val="18"/>
                <w:szCs w:val="18"/>
              </w:rPr>
              <w:t>137.14</w:t>
            </w:r>
          </w:p>
        </w:tc>
        <w:tc>
          <w:tcPr>
            <w:tcW w:w="2186" w:type="dxa"/>
            <w:vAlign w:val="center"/>
          </w:tcPr>
          <w:p>
            <w:pPr>
              <w:jc w:val="right"/>
              <w:rPr>
                <w:rFonts w:ascii="宋体" w:hAnsi="宋体" w:eastAsia="宋体"/>
                <w:color w:val="000000"/>
                <w:sz w:val="18"/>
                <w:szCs w:val="18"/>
              </w:rPr>
            </w:pPr>
            <w:r>
              <w:rPr>
                <w:rFonts w:ascii="宋体" w:hAnsi="宋体" w:eastAsia="宋体"/>
                <w:color w:val="000000"/>
                <w:sz w:val="18"/>
                <w:szCs w:val="18"/>
              </w:rPr>
              <w:t>65.36</w:t>
            </w:r>
          </w:p>
        </w:tc>
        <w:tc>
          <w:tcPr>
            <w:tcW w:w="2234" w:type="dxa"/>
            <w:vAlign w:val="center"/>
          </w:tcPr>
          <w:p>
            <w:pPr>
              <w:jc w:val="right"/>
              <w:rPr>
                <w:rFonts w:ascii="宋体" w:hAnsi="宋体" w:eastAsia="宋体"/>
                <w:color w:val="000000"/>
                <w:sz w:val="18"/>
                <w:szCs w:val="18"/>
              </w:rPr>
            </w:pPr>
            <w:r>
              <w:rPr>
                <w:rFonts w:ascii="宋体" w:hAnsi="宋体" w:eastAsia="宋体"/>
                <w:color w:val="000000"/>
                <w:sz w:val="18"/>
                <w:szCs w:val="18"/>
              </w:rPr>
              <w:t>58.33</w:t>
            </w:r>
          </w:p>
        </w:tc>
        <w:tc>
          <w:tcPr>
            <w:tcW w:w="1936" w:type="dxa"/>
            <w:vAlign w:val="center"/>
          </w:tcPr>
          <w:p>
            <w:pPr>
              <w:jc w:val="right"/>
              <w:rPr>
                <w:rFonts w:ascii="宋体" w:hAnsi="宋体" w:eastAsia="宋体"/>
                <w:color w:val="000000"/>
                <w:sz w:val="18"/>
                <w:szCs w:val="18"/>
              </w:rPr>
            </w:pPr>
            <w:r>
              <w:rPr>
                <w:rFonts w:ascii="宋体" w:hAnsi="宋体" w:eastAsia="宋体"/>
                <w:color w:val="000000"/>
                <w:sz w:val="18"/>
                <w:szCs w:val="18"/>
              </w:rPr>
              <w:t>7.04</w:t>
            </w:r>
          </w:p>
        </w:tc>
        <w:tc>
          <w:tcPr>
            <w:tcW w:w="1638" w:type="dxa"/>
            <w:vAlign w:val="center"/>
          </w:tcPr>
          <w:p>
            <w:pPr>
              <w:jc w:val="right"/>
              <w:rPr>
                <w:rFonts w:ascii="宋体" w:hAnsi="宋体" w:eastAsia="宋体"/>
                <w:color w:val="000000"/>
                <w:sz w:val="18"/>
                <w:szCs w:val="18"/>
              </w:rPr>
            </w:pPr>
            <w:r>
              <w:rPr>
                <w:rFonts w:ascii="宋体" w:hAnsi="宋体" w:eastAsia="宋体"/>
                <w:color w:val="000000"/>
                <w:sz w:val="18"/>
                <w:szCs w:val="18"/>
              </w:rPr>
              <w:t>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2070107</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艺术表演团体</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1.40</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2070108</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文化活动</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32.40</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2070199</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其他文化和旅游支出</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45.06</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45.06</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38.02</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7.04</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2070206</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历史名城与古迹</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6.59</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2080502</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2.62</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2.62</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2.62</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2080505</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5.67</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5.67</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5.67</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2080506</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2.84</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2.84</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2.84</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2101102</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4.92</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4.92</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4.92</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2210201</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4.26</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4.26</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4.26</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2249999</w:t>
            </w:r>
          </w:p>
        </w:tc>
        <w:tc>
          <w:tcPr>
            <w:tcW w:w="1272" w:type="dxa"/>
            <w:vAlign w:val="center"/>
          </w:tcPr>
          <w:p>
            <w:pPr>
              <w:rPr>
                <w:rFonts w:ascii="宋体" w:hAnsi="宋体" w:eastAsia="宋体"/>
                <w:color w:val="000000"/>
                <w:kern w:val="0"/>
                <w:sz w:val="18"/>
                <w:szCs w:val="18"/>
              </w:rPr>
            </w:pPr>
          </w:p>
        </w:tc>
        <w:tc>
          <w:tcPr>
            <w:tcW w:w="2855" w:type="dxa"/>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其他灾害防治及应急管理支出</w:t>
            </w:r>
          </w:p>
        </w:tc>
        <w:tc>
          <w:tcPr>
            <w:tcW w:w="1791"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31.38</w:t>
            </w:r>
          </w:p>
        </w:tc>
        <w:tc>
          <w:tcPr>
            <w:tcW w:w="21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ascii="宋体" w:hAnsi="宋体" w:eastAsia="宋体"/>
                <w:color w:val="000000"/>
                <w:kern w:val="0"/>
                <w:sz w:val="18"/>
                <w:szCs w:val="18"/>
              </w:rPr>
            </w:pPr>
            <w:r>
              <w:rPr>
                <w:rFonts w:ascii="宋体" w:hAnsi="宋体" w:eastAsia="宋体"/>
                <w:color w:val="000000"/>
                <w:kern w:val="0"/>
                <w:sz w:val="18"/>
                <w:szCs w:val="18"/>
              </w:rPr>
              <w:t>31.38</w:t>
            </w:r>
          </w:p>
        </w:tc>
      </w:tr>
    </w:tbl>
    <w:p>
      <w:pPr>
        <w:rPr>
          <w:rFonts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rPr>
        <w:t>注：</w:t>
      </w:r>
      <w:bookmarkStart w:id="83" w:name="PO_part5Table5Remark1"/>
      <w:r>
        <w:rPr>
          <w:rFonts w:hint="eastAsia" w:ascii="宋体" w:hAnsi="宋体" w:eastAsia="宋体" w:cs="宋体"/>
          <w:color w:val="000000"/>
          <w:kern w:val="0"/>
          <w:sz w:val="18"/>
          <w:szCs w:val="18"/>
        </w:rPr>
        <w:t>报表金额单位转换时可能存在四舍五入尾数误差。</w:t>
      </w:r>
      <w:bookmarkEnd w:id="81"/>
      <w:bookmarkEnd w:id="83"/>
    </w:p>
    <w:p>
      <w:pPr>
        <w:rPr>
          <w:rFonts w:ascii="宋体" w:hAnsi="宋体" w:eastAsia="宋体"/>
          <w:sz w:val="15"/>
          <w:szCs w:val="15"/>
        </w:rPr>
      </w:pPr>
      <w:bookmarkStart w:id="84" w:name="PO_part5Table6"/>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right"/>
              <w:rPr>
                <w:rFonts w:ascii="宋体" w:hAnsi="宋体" w:eastAsia="宋体"/>
              </w:rPr>
            </w:pPr>
            <w:r>
              <w:rPr>
                <w:rFonts w:hint="eastAsia" w:ascii="宋体" w:hAnsi="宋体" w:eastAsia="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center"/>
              <w:rPr>
                <w:rFonts w:ascii="宋体" w:hAnsi="宋体" w:eastAsia="宋体"/>
              </w:rPr>
            </w:pPr>
            <w:r>
              <w:rPr>
                <w:rFonts w:hint="eastAsia" w:ascii="宋体" w:hAnsi="宋体" w:eastAsia="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4"/>
            <w:tcBorders>
              <w:top w:val="nil"/>
              <w:left w:val="nil"/>
              <w:bottom w:val="single" w:color="000000"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85" w:name="PO_part5Table6DivName1"/>
            <w:r>
              <w:rPr>
                <w:rFonts w:ascii="宋体" w:hAnsi="宋体" w:eastAsia="宋体"/>
                <w:color w:val="000000"/>
                <w:kern w:val="0"/>
                <w:sz w:val="18"/>
                <w:szCs w:val="18"/>
              </w:rPr>
              <w:t>201006柳州市鱼峰区雒容镇公共文化服务中心</w:t>
            </w:r>
            <w:bookmarkEnd w:id="85"/>
          </w:p>
        </w:tc>
        <w:tc>
          <w:tcPr>
            <w:tcW w:w="5104" w:type="dxa"/>
            <w:gridSpan w:val="2"/>
            <w:tcBorders>
              <w:top w:val="nil"/>
              <w:left w:val="nil"/>
              <w:bottom w:val="single" w:color="000000" w:sz="4" w:space="0"/>
              <w:right w:val="nil"/>
            </w:tcBorders>
            <w:vAlign w:val="center"/>
          </w:tcPr>
          <w:p>
            <w:pPr>
              <w:jc w:val="right"/>
              <w:rPr>
                <w:rFonts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部门预算支出经济分类科目</w:t>
            </w:r>
          </w:p>
        </w:tc>
        <w:tc>
          <w:tcPr>
            <w:tcW w:w="91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科目编码</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科目名称</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合计</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人员经费</w:t>
            </w:r>
          </w:p>
        </w:tc>
        <w:tc>
          <w:tcPr>
            <w:tcW w:w="3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合计</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65.36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58.33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301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sz w:val="18"/>
                <w:szCs w:val="18"/>
              </w:rPr>
              <w:t>工资福利支出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53.93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53.93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sz w:val="18"/>
                <w:szCs w:val="18"/>
              </w:rPr>
            </w:pPr>
            <w:r>
              <w:rPr>
                <w:rFonts w:ascii="宋体" w:hAnsi="宋体" w:eastAsia="宋体"/>
                <w:color w:val="000000"/>
                <w:kern w:val="0"/>
                <w:sz w:val="18"/>
                <w:szCs w:val="18"/>
              </w:rPr>
              <w:t>30101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基本工资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11.32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11.32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津贴补贴</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2.20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2.20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奖金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0.94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0.94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绩效工资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21.57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21.57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30108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5.67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5.67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职业年金缴费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2.84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2.84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30110</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职工基本医疗保险缴费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2.77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2.77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公务员医疗补助缴费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2.13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2.13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30112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其他社会保障缴费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30113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4.26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4.26</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7.04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办公费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0.38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印刷费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30205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30206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邮电费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物业管理费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差旅费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0.99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维修（护）费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30215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会议费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30216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培训费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30217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公务接待费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30228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工会经费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0.71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30229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福利费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30231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公务用车运行维护费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2.00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30299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1.57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4.39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4.39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退休费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1.98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1.98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30307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医疗费补助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0.63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0.63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000000"/>
                <w:kern w:val="0"/>
                <w:sz w:val="18"/>
                <w:szCs w:val="18"/>
              </w:rPr>
            </w:pPr>
            <w:r>
              <w:rPr>
                <w:rFonts w:ascii="宋体" w:hAnsi="宋体" w:eastAsia="宋体"/>
                <w:color w:val="000000"/>
                <w:kern w:val="0"/>
                <w:sz w:val="18"/>
                <w:szCs w:val="18"/>
              </w:rPr>
              <w:t>30399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其他对个人和家庭的补助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1.77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1.77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rPr>
        <w:t>注：</w:t>
      </w:r>
      <w:bookmarkStart w:id="86" w:name="PO_part5Table6Remark1"/>
      <w:r>
        <w:rPr>
          <w:rFonts w:hint="eastAsia" w:ascii="宋体" w:hAnsi="宋体" w:eastAsia="宋体" w:cs="宋体"/>
          <w:color w:val="000000"/>
          <w:kern w:val="0"/>
          <w:sz w:val="18"/>
          <w:szCs w:val="18"/>
        </w:rPr>
        <w:t>报表金额单位转换时可能存在四舍五入尾数误差。</w:t>
      </w:r>
      <w:bookmarkEnd w:id="84"/>
      <w:bookmarkEnd w:id="86"/>
    </w:p>
    <w:p>
      <w:pPr>
        <w:rPr>
          <w:rFonts w:ascii="宋体" w:hAnsi="宋体" w:eastAsia="宋体" w:cs="宋体"/>
          <w:color w:val="000000"/>
          <w:kern w:val="0"/>
          <w:sz w:val="18"/>
          <w:szCs w:val="18"/>
        </w:rPr>
      </w:pPr>
      <w:bookmarkStart w:id="87" w:name="PO_part5Table7"/>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113"/>
        <w:gridCol w:w="1155"/>
        <w:gridCol w:w="1134"/>
        <w:gridCol w:w="851"/>
        <w:gridCol w:w="1275"/>
        <w:gridCol w:w="1134"/>
        <w:gridCol w:w="993"/>
        <w:gridCol w:w="1275"/>
        <w:gridCol w:w="1286"/>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ind w:firstLine="522" w:firstLineChars="200"/>
              <w:jc w:val="center"/>
              <w:rPr>
                <w:rFonts w:ascii="宋体" w:hAnsi="宋体" w:eastAsia="宋体"/>
                <w:b/>
                <w:bCs/>
                <w:color w:val="000000"/>
                <w:kern w:val="0"/>
                <w:sz w:val="26"/>
                <w:szCs w:val="26"/>
              </w:rPr>
            </w:pPr>
            <w:r>
              <w:rPr>
                <w:rFonts w:ascii="宋体" w:hAnsi="宋体" w:eastAsia="宋体"/>
                <w:b/>
                <w:bCs/>
                <w:color w:val="000000"/>
                <w:kern w:val="0"/>
                <w:sz w:val="26"/>
                <w:szCs w:val="26"/>
              </w:rPr>
              <w:t>财政拨款三公两费支出情况</w:t>
            </w:r>
            <w:r>
              <w:rPr>
                <w:rFonts w:hint="eastAsia" w:ascii="宋体" w:hAnsi="宋体" w:eastAsia="宋体"/>
                <w:b/>
                <w:bCs/>
                <w:color w:val="000000"/>
                <w:kern w:val="0"/>
                <w:sz w:val="26"/>
                <w:szCs w:val="2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173" w:type="dxa"/>
            <w:gridSpan w:val="9"/>
            <w:tcBorders>
              <w:top w:val="nil"/>
              <w:left w:val="nil"/>
              <w:bottom w:val="single" w:color="auto"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88" w:name="PO_part5Table7DivName1"/>
            <w:r>
              <w:rPr>
                <w:rFonts w:ascii="宋体" w:hAnsi="宋体" w:eastAsia="宋体"/>
                <w:color w:val="000000"/>
                <w:kern w:val="0"/>
                <w:sz w:val="18"/>
                <w:szCs w:val="18"/>
              </w:rPr>
              <w:t>201006柳州市鱼峰区雒容镇公共文化服务中心</w:t>
            </w:r>
            <w:bookmarkEnd w:id="88"/>
          </w:p>
        </w:tc>
        <w:tc>
          <w:tcPr>
            <w:tcW w:w="5134" w:type="dxa"/>
            <w:gridSpan w:val="4"/>
            <w:tcBorders>
              <w:top w:val="nil"/>
              <w:left w:val="nil"/>
              <w:bottom w:val="single" w:color="auto" w:sz="4" w:space="0"/>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1276"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部门（单位）名称</w:t>
            </w:r>
          </w:p>
        </w:tc>
        <w:tc>
          <w:tcPr>
            <w:tcW w:w="1113" w:type="dxa"/>
            <w:vMerge w:val="restart"/>
            <w:tcBorders>
              <w:top w:val="single" w:color="auto" w:sz="4" w:space="0"/>
            </w:tcBorders>
            <w:vAlign w:val="center"/>
          </w:tcPr>
          <w:p>
            <w:pPr>
              <w:jc w:val="left"/>
              <w:textAlignment w:val="center"/>
              <w:rPr>
                <w:rFonts w:ascii="宋体" w:hAnsi="宋体" w:eastAsia="宋体"/>
                <w:color w:val="000000"/>
                <w:sz w:val="18"/>
                <w:szCs w:val="18"/>
              </w:rPr>
            </w:pPr>
            <w:r>
              <w:rPr>
                <w:rFonts w:hint="eastAsia" w:ascii="宋体" w:hAnsi="宋体" w:eastAsia="宋体"/>
                <w:color w:val="000000"/>
                <w:sz w:val="18"/>
                <w:szCs w:val="18"/>
              </w:rPr>
              <w:t>资金性质</w:t>
            </w:r>
          </w:p>
        </w:tc>
        <w:tc>
          <w:tcPr>
            <w:tcW w:w="6542" w:type="dxa"/>
            <w:gridSpan w:val="6"/>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“三公”经费</w:t>
            </w:r>
          </w:p>
        </w:tc>
        <w:tc>
          <w:tcPr>
            <w:tcW w:w="1275"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会议费</w:t>
            </w:r>
          </w:p>
        </w:tc>
        <w:tc>
          <w:tcPr>
            <w:tcW w:w="3859" w:type="dxa"/>
            <w:gridSpan w:val="3"/>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ascii="宋体" w:hAnsi="宋体" w:eastAsia="宋体"/>
                <w:color w:val="000000"/>
                <w:sz w:val="18"/>
                <w:szCs w:val="18"/>
              </w:rPr>
            </w:pPr>
          </w:p>
        </w:tc>
        <w:tc>
          <w:tcPr>
            <w:tcW w:w="1276" w:type="dxa"/>
            <w:vMerge w:val="continue"/>
            <w:vAlign w:val="center"/>
          </w:tcPr>
          <w:p>
            <w:pPr>
              <w:jc w:val="left"/>
              <w:textAlignment w:val="center"/>
              <w:rPr>
                <w:rFonts w:ascii="宋体" w:hAnsi="宋体" w:eastAsia="宋体"/>
                <w:color w:val="000000"/>
                <w:sz w:val="18"/>
                <w:szCs w:val="18"/>
              </w:rPr>
            </w:pPr>
          </w:p>
        </w:tc>
        <w:tc>
          <w:tcPr>
            <w:tcW w:w="1113" w:type="dxa"/>
            <w:vMerge w:val="continue"/>
            <w:vAlign w:val="center"/>
          </w:tcPr>
          <w:p>
            <w:pPr>
              <w:jc w:val="left"/>
              <w:textAlignment w:val="center"/>
              <w:rPr>
                <w:rFonts w:ascii="宋体" w:hAnsi="宋体" w:eastAsia="宋体"/>
                <w:color w:val="000000"/>
                <w:sz w:val="18"/>
                <w:szCs w:val="18"/>
              </w:rPr>
            </w:pPr>
          </w:p>
        </w:tc>
        <w:tc>
          <w:tcPr>
            <w:tcW w:w="1155"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合计</w:t>
            </w:r>
          </w:p>
        </w:tc>
        <w:tc>
          <w:tcPr>
            <w:tcW w:w="1134"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因公出国（境）费</w:t>
            </w:r>
          </w:p>
        </w:tc>
        <w:tc>
          <w:tcPr>
            <w:tcW w:w="3260" w:type="dxa"/>
            <w:gridSpan w:val="3"/>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公务用车购置及运行维护费</w:t>
            </w:r>
          </w:p>
        </w:tc>
        <w:tc>
          <w:tcPr>
            <w:tcW w:w="993"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公务接待费</w:t>
            </w:r>
          </w:p>
        </w:tc>
        <w:tc>
          <w:tcPr>
            <w:tcW w:w="1275" w:type="dxa"/>
            <w:vMerge w:val="continue"/>
            <w:vAlign w:val="center"/>
          </w:tcPr>
          <w:p>
            <w:pPr>
              <w:jc w:val="center"/>
              <w:textAlignment w:val="center"/>
              <w:rPr>
                <w:rFonts w:ascii="宋体" w:hAnsi="宋体" w:eastAsia="宋体"/>
                <w:color w:val="000000"/>
                <w:sz w:val="18"/>
                <w:szCs w:val="18"/>
              </w:rPr>
            </w:pPr>
          </w:p>
        </w:tc>
        <w:tc>
          <w:tcPr>
            <w:tcW w:w="1286" w:type="dxa"/>
            <w:vMerge w:val="restart"/>
            <w:vAlign w:val="center"/>
          </w:tcPr>
          <w:p>
            <w:pPr>
              <w:jc w:val="center"/>
              <w:textAlignment w:val="center"/>
              <w:rPr>
                <w:rFonts w:ascii="宋体" w:hAnsi="宋体" w:eastAsia="宋体"/>
                <w:color w:val="000000"/>
                <w:sz w:val="18"/>
                <w:szCs w:val="18"/>
              </w:rPr>
            </w:pPr>
            <w:r>
              <w:rPr>
                <w:rFonts w:hint="eastAsia" w:ascii="宋体" w:hAnsi="宋体" w:eastAsia="宋体"/>
                <w:color w:val="000000"/>
                <w:sz w:val="18"/>
                <w:szCs w:val="18"/>
              </w:rPr>
              <w:t>小计</w:t>
            </w:r>
          </w:p>
        </w:tc>
        <w:tc>
          <w:tcPr>
            <w:tcW w:w="1286" w:type="dxa"/>
            <w:vMerge w:val="restart"/>
            <w:vAlign w:val="center"/>
          </w:tcPr>
          <w:p>
            <w:pPr>
              <w:jc w:val="center"/>
              <w:textAlignment w:val="center"/>
              <w:rPr>
                <w:rFonts w:ascii="宋体" w:hAnsi="宋体" w:eastAsia="宋体"/>
                <w:color w:val="000000"/>
                <w:sz w:val="18"/>
                <w:szCs w:val="18"/>
              </w:rPr>
            </w:pPr>
            <w:r>
              <w:rPr>
                <w:rFonts w:hint="eastAsia" w:ascii="宋体" w:hAnsi="宋体" w:eastAsia="宋体"/>
                <w:color w:val="000000"/>
                <w:sz w:val="18"/>
                <w:szCs w:val="18"/>
              </w:rPr>
              <w:t>本级资金安排</w:t>
            </w:r>
          </w:p>
        </w:tc>
        <w:tc>
          <w:tcPr>
            <w:tcW w:w="1287" w:type="dxa"/>
            <w:vMerge w:val="restart"/>
            <w:vAlign w:val="center"/>
          </w:tcPr>
          <w:p>
            <w:pPr>
              <w:jc w:val="center"/>
              <w:textAlignment w:val="center"/>
              <w:rPr>
                <w:rFonts w:ascii="宋体" w:hAnsi="宋体" w:eastAsia="宋体"/>
                <w:color w:val="000000"/>
                <w:sz w:val="18"/>
                <w:szCs w:val="18"/>
              </w:rPr>
            </w:pPr>
            <w:r>
              <w:rPr>
                <w:rFonts w:hint="eastAsia" w:ascii="宋体" w:hAnsi="宋体" w:eastAsia="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ascii="宋体" w:hAnsi="宋体" w:eastAsia="宋体"/>
                <w:color w:val="000000"/>
                <w:sz w:val="18"/>
                <w:szCs w:val="18"/>
              </w:rPr>
            </w:pPr>
          </w:p>
        </w:tc>
        <w:tc>
          <w:tcPr>
            <w:tcW w:w="1276" w:type="dxa"/>
            <w:vMerge w:val="continue"/>
            <w:vAlign w:val="center"/>
          </w:tcPr>
          <w:p>
            <w:pPr>
              <w:jc w:val="left"/>
              <w:textAlignment w:val="center"/>
              <w:rPr>
                <w:rFonts w:ascii="宋体" w:hAnsi="宋体" w:eastAsia="宋体"/>
                <w:color w:val="000000"/>
                <w:sz w:val="18"/>
                <w:szCs w:val="18"/>
              </w:rPr>
            </w:pPr>
          </w:p>
        </w:tc>
        <w:tc>
          <w:tcPr>
            <w:tcW w:w="1113" w:type="dxa"/>
            <w:vMerge w:val="continue"/>
            <w:vAlign w:val="center"/>
          </w:tcPr>
          <w:p>
            <w:pPr>
              <w:jc w:val="left"/>
              <w:textAlignment w:val="center"/>
              <w:rPr>
                <w:rFonts w:ascii="宋体" w:hAnsi="宋体" w:eastAsia="宋体"/>
                <w:color w:val="000000"/>
                <w:sz w:val="18"/>
                <w:szCs w:val="18"/>
              </w:rPr>
            </w:pPr>
          </w:p>
        </w:tc>
        <w:tc>
          <w:tcPr>
            <w:tcW w:w="1155" w:type="dxa"/>
            <w:vMerge w:val="continue"/>
            <w:vAlign w:val="center"/>
          </w:tcPr>
          <w:p>
            <w:pPr>
              <w:jc w:val="center"/>
              <w:rPr>
                <w:rFonts w:ascii="宋体" w:hAnsi="宋体" w:eastAsia="宋体"/>
                <w:color w:val="000000"/>
                <w:sz w:val="18"/>
                <w:szCs w:val="18"/>
              </w:rPr>
            </w:pPr>
          </w:p>
        </w:tc>
        <w:tc>
          <w:tcPr>
            <w:tcW w:w="1134" w:type="dxa"/>
            <w:vMerge w:val="continue"/>
            <w:vAlign w:val="center"/>
          </w:tcPr>
          <w:p>
            <w:pPr>
              <w:jc w:val="center"/>
              <w:rPr>
                <w:rFonts w:ascii="宋体" w:hAnsi="宋体" w:eastAsia="宋体"/>
                <w:color w:val="000000"/>
                <w:sz w:val="18"/>
                <w:szCs w:val="18"/>
              </w:rPr>
            </w:pPr>
          </w:p>
        </w:tc>
        <w:tc>
          <w:tcPr>
            <w:tcW w:w="851" w:type="dxa"/>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小计</w:t>
            </w:r>
          </w:p>
        </w:tc>
        <w:tc>
          <w:tcPr>
            <w:tcW w:w="1275" w:type="dxa"/>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公务用车运行维护费</w:t>
            </w:r>
          </w:p>
        </w:tc>
        <w:tc>
          <w:tcPr>
            <w:tcW w:w="1134" w:type="dxa"/>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公务用车购置费</w:t>
            </w:r>
          </w:p>
        </w:tc>
        <w:tc>
          <w:tcPr>
            <w:tcW w:w="993" w:type="dxa"/>
            <w:vMerge w:val="continue"/>
            <w:vAlign w:val="center"/>
          </w:tcPr>
          <w:p>
            <w:pPr>
              <w:jc w:val="center"/>
              <w:rPr>
                <w:rFonts w:ascii="宋体" w:hAnsi="宋体" w:eastAsia="宋体"/>
                <w:color w:val="000000"/>
                <w:sz w:val="18"/>
                <w:szCs w:val="18"/>
              </w:rPr>
            </w:pPr>
          </w:p>
        </w:tc>
        <w:tc>
          <w:tcPr>
            <w:tcW w:w="1275" w:type="dxa"/>
            <w:vMerge w:val="continue"/>
            <w:vAlign w:val="center"/>
          </w:tcPr>
          <w:p>
            <w:pPr>
              <w:jc w:val="center"/>
              <w:textAlignment w:val="center"/>
              <w:rPr>
                <w:rFonts w:ascii="宋体" w:hAnsi="宋体" w:eastAsia="宋体"/>
                <w:color w:val="000000"/>
                <w:sz w:val="18"/>
                <w:szCs w:val="18"/>
              </w:rPr>
            </w:pPr>
          </w:p>
        </w:tc>
        <w:tc>
          <w:tcPr>
            <w:tcW w:w="1286" w:type="dxa"/>
            <w:vMerge w:val="continue"/>
            <w:vAlign w:val="center"/>
          </w:tcPr>
          <w:p>
            <w:pPr>
              <w:jc w:val="center"/>
              <w:textAlignment w:val="center"/>
              <w:rPr>
                <w:rFonts w:ascii="宋体" w:hAnsi="宋体" w:eastAsia="宋体"/>
                <w:color w:val="000000"/>
                <w:sz w:val="18"/>
                <w:szCs w:val="18"/>
              </w:rPr>
            </w:pPr>
          </w:p>
        </w:tc>
        <w:tc>
          <w:tcPr>
            <w:tcW w:w="1286" w:type="dxa"/>
            <w:vMerge w:val="continue"/>
            <w:vAlign w:val="center"/>
          </w:tcPr>
          <w:p>
            <w:pPr>
              <w:jc w:val="center"/>
              <w:textAlignment w:val="center"/>
              <w:rPr>
                <w:rFonts w:ascii="宋体" w:hAnsi="宋体" w:eastAsia="宋体"/>
                <w:color w:val="000000"/>
                <w:sz w:val="18"/>
                <w:szCs w:val="18"/>
              </w:rPr>
            </w:pPr>
          </w:p>
        </w:tc>
        <w:tc>
          <w:tcPr>
            <w:tcW w:w="1287" w:type="dxa"/>
            <w:vMerge w:val="continue"/>
            <w:vAlign w:val="center"/>
          </w:tcPr>
          <w:p>
            <w:pPr>
              <w:jc w:val="center"/>
              <w:textAlignment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ascii="宋体" w:hAnsi="宋体" w:eastAsia="宋体"/>
                <w:color w:val="000000"/>
                <w:sz w:val="18"/>
                <w:szCs w:val="18"/>
              </w:rPr>
            </w:pPr>
          </w:p>
        </w:tc>
        <w:tc>
          <w:tcPr>
            <w:tcW w:w="1276" w:type="dxa"/>
            <w:vMerge w:val="continue"/>
            <w:vAlign w:val="center"/>
          </w:tcPr>
          <w:p>
            <w:pPr>
              <w:jc w:val="left"/>
              <w:textAlignment w:val="center"/>
              <w:rPr>
                <w:rFonts w:ascii="宋体" w:hAnsi="宋体" w:eastAsia="宋体"/>
                <w:color w:val="000000"/>
                <w:sz w:val="18"/>
                <w:szCs w:val="18"/>
              </w:rPr>
            </w:pPr>
          </w:p>
        </w:tc>
        <w:tc>
          <w:tcPr>
            <w:tcW w:w="1113" w:type="dxa"/>
            <w:vMerge w:val="continue"/>
            <w:vAlign w:val="center"/>
          </w:tcPr>
          <w:p>
            <w:pPr>
              <w:jc w:val="left"/>
              <w:textAlignment w:val="center"/>
              <w:rPr>
                <w:rFonts w:ascii="宋体" w:hAnsi="宋体" w:eastAsia="宋体"/>
                <w:color w:val="000000"/>
                <w:sz w:val="18"/>
                <w:szCs w:val="18"/>
              </w:rPr>
            </w:pPr>
          </w:p>
        </w:tc>
        <w:tc>
          <w:tcPr>
            <w:tcW w:w="1155"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1134"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851" w:type="dxa"/>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1275" w:type="dxa"/>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1134" w:type="dxa"/>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5</w:t>
            </w:r>
          </w:p>
        </w:tc>
        <w:tc>
          <w:tcPr>
            <w:tcW w:w="993" w:type="dxa"/>
            <w:vAlign w:val="center"/>
          </w:tcPr>
          <w:p>
            <w:pPr>
              <w:jc w:val="center"/>
              <w:textAlignment w:val="center"/>
              <w:rPr>
                <w:rFonts w:ascii="宋体" w:hAnsi="宋体" w:eastAsia="宋体"/>
                <w:color w:val="000000"/>
                <w:sz w:val="18"/>
                <w:szCs w:val="18"/>
              </w:rPr>
            </w:pPr>
            <w:r>
              <w:rPr>
                <w:rFonts w:ascii="宋体" w:hAnsi="宋体" w:eastAsia="宋体"/>
                <w:color w:val="000000"/>
                <w:sz w:val="18"/>
                <w:szCs w:val="18"/>
              </w:rPr>
              <w:t>6</w:t>
            </w:r>
          </w:p>
        </w:tc>
        <w:tc>
          <w:tcPr>
            <w:tcW w:w="1275" w:type="dxa"/>
            <w:vAlign w:val="center"/>
          </w:tcPr>
          <w:p>
            <w:pPr>
              <w:jc w:val="center"/>
              <w:textAlignment w:val="center"/>
              <w:rPr>
                <w:rFonts w:ascii="宋体" w:hAnsi="宋体" w:eastAsia="宋体"/>
                <w:color w:val="000000"/>
                <w:sz w:val="18"/>
                <w:szCs w:val="18"/>
              </w:rPr>
            </w:pPr>
            <w:r>
              <w:rPr>
                <w:rFonts w:ascii="宋体" w:hAnsi="宋体" w:eastAsia="宋体"/>
                <w:color w:val="000000"/>
                <w:sz w:val="18"/>
                <w:szCs w:val="18"/>
              </w:rPr>
              <w:t>7</w:t>
            </w:r>
          </w:p>
        </w:tc>
        <w:tc>
          <w:tcPr>
            <w:tcW w:w="1286" w:type="dxa"/>
            <w:vAlign w:val="center"/>
          </w:tcPr>
          <w:p>
            <w:pPr>
              <w:jc w:val="center"/>
              <w:textAlignment w:val="center"/>
              <w:rPr>
                <w:rFonts w:ascii="宋体" w:hAnsi="宋体" w:eastAsia="宋体"/>
                <w:color w:val="000000"/>
                <w:sz w:val="18"/>
                <w:szCs w:val="18"/>
              </w:rPr>
            </w:pPr>
            <w:r>
              <w:rPr>
                <w:rFonts w:ascii="宋体" w:hAnsi="宋体" w:eastAsia="宋体"/>
                <w:color w:val="000000"/>
                <w:sz w:val="18"/>
                <w:szCs w:val="18"/>
              </w:rPr>
              <w:t>8</w:t>
            </w:r>
          </w:p>
        </w:tc>
        <w:tc>
          <w:tcPr>
            <w:tcW w:w="1286" w:type="dxa"/>
            <w:vAlign w:val="center"/>
          </w:tcPr>
          <w:p>
            <w:pPr>
              <w:jc w:val="center"/>
              <w:textAlignment w:val="center"/>
              <w:rPr>
                <w:rFonts w:ascii="宋体" w:hAnsi="宋体" w:eastAsia="宋体"/>
                <w:color w:val="000000"/>
                <w:sz w:val="18"/>
                <w:szCs w:val="18"/>
              </w:rPr>
            </w:pPr>
            <w:r>
              <w:rPr>
                <w:rFonts w:ascii="宋体" w:hAnsi="宋体" w:eastAsia="宋体"/>
                <w:color w:val="000000"/>
                <w:sz w:val="18"/>
                <w:szCs w:val="18"/>
              </w:rPr>
              <w:t>9</w:t>
            </w:r>
          </w:p>
        </w:tc>
        <w:tc>
          <w:tcPr>
            <w:tcW w:w="1287" w:type="dxa"/>
            <w:vAlign w:val="center"/>
          </w:tcPr>
          <w:p>
            <w:pPr>
              <w:jc w:val="center"/>
              <w:textAlignment w:val="center"/>
              <w:rPr>
                <w:rFonts w:ascii="宋体" w:hAnsi="宋体" w:eastAsia="宋体"/>
                <w:color w:val="000000"/>
                <w:sz w:val="18"/>
                <w:szCs w:val="18"/>
              </w:rPr>
            </w:pPr>
            <w:r>
              <w:rPr>
                <w:rFonts w:ascii="宋体" w:hAnsi="宋体" w:eastAsia="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jc w:val="center"/>
              <w:rPr>
                <w:rFonts w:ascii="宋体" w:hAnsi="宋体" w:eastAsia="宋体"/>
                <w:color w:val="000000"/>
                <w:sz w:val="18"/>
                <w:szCs w:val="18"/>
              </w:rPr>
            </w:pPr>
          </w:p>
        </w:tc>
        <w:tc>
          <w:tcPr>
            <w:tcW w:w="1276" w:type="dxa"/>
            <w:vAlign w:val="center"/>
          </w:tcPr>
          <w:p>
            <w:pPr>
              <w:jc w:val="center"/>
              <w:textAlignment w:val="center"/>
              <w:rPr>
                <w:rFonts w:ascii="宋体" w:hAnsi="宋体" w:eastAsia="宋体"/>
                <w:color w:val="000000"/>
                <w:sz w:val="18"/>
                <w:szCs w:val="18"/>
              </w:rPr>
            </w:pPr>
            <w:r>
              <w:rPr>
                <w:rFonts w:hint="eastAsia" w:ascii="宋体" w:hAnsi="宋体" w:eastAsia="宋体"/>
                <w:color w:val="000000"/>
                <w:sz w:val="18"/>
                <w:szCs w:val="18"/>
              </w:rPr>
              <w:t>合计</w:t>
            </w:r>
          </w:p>
        </w:tc>
        <w:tc>
          <w:tcPr>
            <w:tcW w:w="1113" w:type="dxa"/>
            <w:vAlign w:val="center"/>
          </w:tcPr>
          <w:p>
            <w:pPr>
              <w:jc w:val="left"/>
              <w:textAlignment w:val="center"/>
              <w:rPr>
                <w:rFonts w:ascii="宋体" w:hAnsi="宋体" w:eastAsia="宋体"/>
                <w:color w:val="000000"/>
                <w:sz w:val="18"/>
                <w:szCs w:val="18"/>
              </w:rPr>
            </w:pPr>
          </w:p>
        </w:tc>
        <w:tc>
          <w:tcPr>
            <w:tcW w:w="115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2.11</w:t>
            </w:r>
          </w:p>
        </w:tc>
        <w:tc>
          <w:tcPr>
            <w:tcW w:w="1134"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851" w:type="dxa"/>
            <w:tcBorders>
              <w:top w:val="single" w:color="auto" w:sz="4" w:space="0"/>
            </w:tcBorders>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275" w:type="dxa"/>
            <w:tcBorders>
              <w:top w:val="single" w:color="auto" w:sz="4" w:space="0"/>
            </w:tcBorders>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134" w:type="dxa"/>
            <w:tcBorders>
              <w:top w:val="single" w:color="auto" w:sz="4" w:space="0"/>
            </w:tcBorders>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0.11</w:t>
            </w:r>
          </w:p>
        </w:tc>
        <w:tc>
          <w:tcPr>
            <w:tcW w:w="1275"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0.12</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7" w:type="dxa"/>
            <w:vAlign w:val="center"/>
          </w:tcPr>
          <w:p>
            <w:pPr>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sz w:val="18"/>
                <w:szCs w:val="18"/>
              </w:rPr>
            </w:pPr>
          </w:p>
        </w:tc>
        <w:tc>
          <w:tcPr>
            <w:tcW w:w="1276" w:type="dxa"/>
          </w:tcPr>
          <w:p>
            <w:pPr>
              <w:jc w:val="left"/>
              <w:textAlignment w:val="center"/>
              <w:rPr>
                <w:rFonts w:ascii="宋体" w:hAnsi="宋体" w:eastAsia="宋体"/>
                <w:color w:val="000000"/>
                <w:sz w:val="18"/>
                <w:szCs w:val="18"/>
              </w:rPr>
            </w:pPr>
          </w:p>
        </w:tc>
        <w:tc>
          <w:tcPr>
            <w:tcW w:w="1113" w:type="dxa"/>
            <w:vAlign w:val="center"/>
          </w:tcPr>
          <w:p>
            <w:pPr>
              <w:jc w:val="left"/>
              <w:textAlignment w:val="center"/>
              <w:rPr>
                <w:rFonts w:ascii="宋体" w:hAnsi="宋体" w:eastAsia="宋体"/>
                <w:color w:val="000000"/>
                <w:sz w:val="18"/>
                <w:szCs w:val="18"/>
              </w:rPr>
            </w:pPr>
            <w:r>
              <w:rPr>
                <w:rFonts w:hint="eastAsia" w:ascii="宋体" w:hAnsi="宋体" w:eastAsia="宋体"/>
                <w:color w:val="000000"/>
                <w:sz w:val="18"/>
                <w:szCs w:val="18"/>
              </w:rPr>
              <w:t>一般公共预算资金</w:t>
            </w:r>
          </w:p>
        </w:tc>
        <w:tc>
          <w:tcPr>
            <w:tcW w:w="115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2.11</w:t>
            </w:r>
          </w:p>
        </w:tc>
        <w:tc>
          <w:tcPr>
            <w:tcW w:w="1134"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0.11</w:t>
            </w:r>
          </w:p>
        </w:tc>
        <w:tc>
          <w:tcPr>
            <w:tcW w:w="1275"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0.12</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7" w:type="dxa"/>
            <w:vAlign w:val="center"/>
          </w:tcPr>
          <w:p>
            <w:pPr>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kern w:val="0"/>
                <w:sz w:val="18"/>
                <w:szCs w:val="18"/>
              </w:rPr>
            </w:pPr>
            <w:r>
              <w:rPr>
                <w:rFonts w:ascii="宋体" w:hAnsi="宋体" w:eastAsia="宋体"/>
                <w:color w:val="000000"/>
                <w:kern w:val="0"/>
                <w:sz w:val="18"/>
                <w:szCs w:val="18"/>
              </w:rPr>
              <w:t>201</w:t>
            </w:r>
          </w:p>
        </w:tc>
        <w:tc>
          <w:tcPr>
            <w:tcW w:w="1276" w:type="dxa"/>
          </w:tcPr>
          <w:p>
            <w:pPr>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13" w:type="dxa"/>
            <w:vAlign w:val="center"/>
          </w:tcPr>
          <w:p>
            <w:pPr>
              <w:jc w:val="left"/>
              <w:textAlignment w:val="center"/>
              <w:rPr>
                <w:rFonts w:ascii="宋体" w:hAnsi="宋体" w:eastAsia="宋体"/>
                <w:color w:val="000000"/>
                <w:kern w:val="0"/>
                <w:sz w:val="18"/>
                <w:szCs w:val="18"/>
              </w:rPr>
            </w:pPr>
          </w:p>
        </w:tc>
        <w:tc>
          <w:tcPr>
            <w:tcW w:w="115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2.11</w:t>
            </w:r>
          </w:p>
        </w:tc>
        <w:tc>
          <w:tcPr>
            <w:tcW w:w="1134"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0.11</w:t>
            </w:r>
          </w:p>
        </w:tc>
        <w:tc>
          <w:tcPr>
            <w:tcW w:w="127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0.12</w:t>
            </w:r>
          </w:p>
        </w:tc>
        <w:tc>
          <w:tcPr>
            <w:tcW w:w="12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7"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kern w:val="0"/>
                <w:sz w:val="18"/>
                <w:szCs w:val="18"/>
              </w:rPr>
            </w:pPr>
            <w:r>
              <w:rPr>
                <w:rFonts w:ascii="宋体" w:hAnsi="宋体" w:eastAsia="宋体"/>
                <w:color w:val="000000"/>
                <w:kern w:val="0"/>
                <w:sz w:val="18"/>
                <w:szCs w:val="18"/>
              </w:rPr>
              <w:t>201006</w:t>
            </w:r>
          </w:p>
        </w:tc>
        <w:tc>
          <w:tcPr>
            <w:tcW w:w="1276" w:type="dxa"/>
          </w:tcPr>
          <w:p>
            <w:pPr>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柳州市鱼峰区雒容镇公共文化服务中心</w:t>
            </w:r>
          </w:p>
        </w:tc>
        <w:tc>
          <w:tcPr>
            <w:tcW w:w="1113" w:type="dxa"/>
            <w:vAlign w:val="center"/>
          </w:tcPr>
          <w:p>
            <w:pPr>
              <w:jc w:val="left"/>
              <w:textAlignment w:val="center"/>
              <w:rPr>
                <w:rFonts w:ascii="宋体" w:hAnsi="宋体" w:eastAsia="宋体"/>
                <w:color w:val="000000"/>
                <w:kern w:val="0"/>
                <w:sz w:val="18"/>
                <w:szCs w:val="18"/>
              </w:rPr>
            </w:pPr>
            <w:r>
              <w:rPr>
                <w:rFonts w:hint="eastAsia" w:ascii="宋体" w:hAnsi="宋体" w:eastAsia="宋体"/>
                <w:color w:val="000000"/>
                <w:kern w:val="0"/>
                <w:sz w:val="18"/>
                <w:szCs w:val="18"/>
              </w:rPr>
              <w:t>一般公共预算资金</w:t>
            </w:r>
          </w:p>
        </w:tc>
        <w:tc>
          <w:tcPr>
            <w:tcW w:w="115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2.11</w:t>
            </w:r>
          </w:p>
        </w:tc>
        <w:tc>
          <w:tcPr>
            <w:tcW w:w="11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851"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993"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0.11</w:t>
            </w:r>
          </w:p>
        </w:tc>
        <w:tc>
          <w:tcPr>
            <w:tcW w:w="127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0.12</w:t>
            </w:r>
          </w:p>
        </w:tc>
        <w:tc>
          <w:tcPr>
            <w:tcW w:w="12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0.18</w:t>
            </w:r>
          </w:p>
        </w:tc>
        <w:tc>
          <w:tcPr>
            <w:tcW w:w="128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rPr>
        <w:t>注：</w:t>
      </w:r>
      <w:bookmarkStart w:id="89" w:name="PO_part5Table7Remark1"/>
      <w:r>
        <w:rPr>
          <w:rFonts w:hint="eastAsia" w:ascii="宋体" w:hAnsi="宋体" w:eastAsia="宋体" w:cs="宋体"/>
          <w:color w:val="000000"/>
          <w:kern w:val="0"/>
          <w:sz w:val="18"/>
          <w:szCs w:val="18"/>
        </w:rPr>
        <w:t>报表金额单位转换时可能存在四舍五入尾数误差。</w:t>
      </w:r>
      <w:bookmarkEnd w:id="87"/>
      <w:bookmarkEnd w:id="89"/>
    </w:p>
    <w:p>
      <w:pPr>
        <w:rPr>
          <w:rFonts w:ascii="宋体" w:hAnsi="宋体" w:eastAsia="宋体" w:cs="宋体"/>
          <w:color w:val="000000"/>
          <w:kern w:val="0"/>
          <w:sz w:val="18"/>
          <w:szCs w:val="18"/>
        </w:rPr>
      </w:pPr>
      <w:bookmarkStart w:id="90" w:name="PO_part5Table8"/>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ascii="宋体" w:hAnsi="宋体" w:eastAsia="宋体"/>
                <w:b/>
                <w:bCs/>
                <w:color w:val="000000"/>
                <w:kern w:val="0"/>
                <w:sz w:val="26"/>
                <w:szCs w:val="26"/>
              </w:rPr>
            </w:pPr>
            <w:r>
              <w:rPr>
                <w:rFonts w:hint="eastAsia" w:ascii="宋体" w:hAnsi="宋体" w:eastAsia="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91" w:name="PO_part5Table8DivName1"/>
            <w:r>
              <w:rPr>
                <w:rFonts w:ascii="宋体" w:hAnsi="宋体" w:eastAsia="宋体"/>
                <w:color w:val="000000"/>
                <w:kern w:val="0"/>
                <w:sz w:val="18"/>
                <w:szCs w:val="18"/>
              </w:rPr>
              <w:t>201006柳州市鱼峰区雒容镇公共文化服务中心</w:t>
            </w:r>
            <w:bookmarkEnd w:id="91"/>
          </w:p>
        </w:tc>
        <w:tc>
          <w:tcPr>
            <w:tcW w:w="3057" w:type="dxa"/>
            <w:gridSpan w:val="2"/>
            <w:tcBorders>
              <w:top w:val="nil"/>
              <w:left w:val="nil"/>
              <w:bottom w:val="single" w:color="000000" w:sz="4" w:space="0"/>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rPr>
        <w:t>注：</w:t>
      </w:r>
      <w:bookmarkStart w:id="92" w:name="PO_part5Table8Remark1"/>
      <w:r>
        <w:rPr>
          <w:rFonts w:hint="eastAsia" w:ascii="宋体" w:hAnsi="宋体" w:eastAsia="宋体"/>
          <w:color w:val="000000"/>
          <w:kern w:val="0"/>
          <w:sz w:val="18"/>
          <w:szCs w:val="18"/>
        </w:rPr>
        <w:t>报表金额单位转换时可能存在四舍五入尾数误差。</w:t>
      </w:r>
    </w:p>
    <w:p>
      <w:pPr>
        <w:rPr>
          <w:rFonts w:ascii="宋体" w:hAnsi="宋体" w:eastAsia="宋体" w:cs="宋体"/>
          <w:color w:val="000000"/>
          <w:kern w:val="0"/>
          <w:sz w:val="18"/>
          <w:szCs w:val="18"/>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2023年度没有政府性基金预算支出，故本表无数据。</w:t>
      </w:r>
      <w:bookmarkEnd w:id="90"/>
      <w:bookmarkEnd w:id="92"/>
    </w:p>
    <w:p>
      <w:pPr>
        <w:rPr>
          <w:rFonts w:ascii="宋体" w:hAnsi="宋体" w:eastAsia="宋体" w:cs="宋体"/>
          <w:color w:val="000000"/>
          <w:kern w:val="0"/>
          <w:sz w:val="18"/>
          <w:szCs w:val="18"/>
        </w:rPr>
      </w:pPr>
      <w:r>
        <w:rPr>
          <w:rFonts w:ascii="宋体" w:hAnsi="宋体" w:eastAsia="宋体" w:cs="宋体"/>
          <w:color w:val="000000"/>
          <w:kern w:val="0"/>
          <w:sz w:val="18"/>
          <w:szCs w:val="18"/>
        </w:rPr>
        <w:br w:type="page"/>
      </w:r>
      <w:bookmarkStart w:id="93" w:name="PO_part5Table9"/>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5307" w:type="dxa"/>
            <w:gridSpan w:val="7"/>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ascii="宋体" w:hAnsi="宋体" w:eastAsia="宋体"/>
                <w:b/>
                <w:bCs/>
                <w:color w:val="000000"/>
                <w:kern w:val="0"/>
                <w:sz w:val="26"/>
                <w:szCs w:val="26"/>
              </w:rPr>
            </w:pPr>
            <w:r>
              <w:rPr>
                <w:rFonts w:hint="eastAsia" w:ascii="宋体" w:hAnsi="宋体" w:eastAsia="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ascii="宋体" w:hAnsi="宋体" w:eastAsia="宋体"/>
              </w:rPr>
            </w:pPr>
            <w:r>
              <w:rPr>
                <w:rFonts w:hint="eastAsia" w:ascii="宋体" w:hAnsi="宋体" w:eastAsia="宋体"/>
                <w:color w:val="000000"/>
                <w:kern w:val="0"/>
                <w:sz w:val="18"/>
                <w:szCs w:val="18"/>
              </w:rPr>
              <w:t>部门名称：</w:t>
            </w:r>
            <w:bookmarkStart w:id="94" w:name="PO_part5Table9DivName1"/>
            <w:r>
              <w:rPr>
                <w:rFonts w:ascii="宋体" w:hAnsi="宋体" w:eastAsia="宋体"/>
                <w:color w:val="000000"/>
                <w:kern w:val="0"/>
                <w:sz w:val="18"/>
                <w:szCs w:val="18"/>
              </w:rPr>
              <w:t>201006柳州市鱼峰区雒容镇公共文化服务中心</w:t>
            </w:r>
            <w:bookmarkEnd w:id="94"/>
          </w:p>
        </w:tc>
        <w:tc>
          <w:tcPr>
            <w:tcW w:w="3057" w:type="dxa"/>
            <w:gridSpan w:val="2"/>
            <w:tcBorders>
              <w:top w:val="nil"/>
              <w:left w:val="nil"/>
              <w:bottom w:val="single" w:color="000000" w:sz="4" w:space="0"/>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rPr>
        <w:t>注：</w:t>
      </w:r>
      <w:bookmarkStart w:id="95" w:name="PO_part5Table9Remark1"/>
      <w:r>
        <w:rPr>
          <w:rFonts w:hint="eastAsia" w:ascii="宋体" w:hAnsi="宋体" w:eastAsia="宋体"/>
          <w:color w:val="000000"/>
          <w:kern w:val="0"/>
          <w:sz w:val="18"/>
          <w:szCs w:val="18"/>
        </w:rPr>
        <w:t>报表金额单位转换时可能存在四舍五入尾数误差。</w:t>
      </w:r>
    </w:p>
    <w:p>
      <w:pPr>
        <w:rPr>
          <w:rFonts w:ascii="宋体" w:hAnsi="宋体" w:eastAsia="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2023年度没有国有资本经营预算支出，故本表无数据。</w:t>
      </w:r>
      <w:bookmarkEnd w:id="93"/>
      <w:bookmarkEnd w:id="95"/>
    </w:p>
    <w:p>
      <w:pPr>
        <w:rPr>
          <w:rFonts w:ascii="宋体" w:hAnsi="宋体" w:eastAsia="宋体"/>
          <w:sz w:val="13"/>
          <w:szCs w:val="13"/>
        </w:rPr>
      </w:pPr>
      <w:bookmarkStart w:id="96" w:name="PO_part5Table10"/>
    </w:p>
    <w:tbl>
      <w:tblPr>
        <w:tblStyle w:val="8"/>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50"/>
        <w:gridCol w:w="948"/>
        <w:gridCol w:w="950"/>
        <w:gridCol w:w="948"/>
        <w:gridCol w:w="950"/>
        <w:gridCol w:w="509"/>
        <w:gridCol w:w="925"/>
        <w:gridCol w:w="759"/>
        <w:gridCol w:w="723"/>
        <w:gridCol w:w="596"/>
        <w:gridCol w:w="578"/>
        <w:gridCol w:w="615"/>
        <w:gridCol w:w="628"/>
        <w:gridCol w:w="589"/>
        <w:gridCol w:w="634"/>
        <w:gridCol w:w="598"/>
        <w:gridCol w:w="584"/>
        <w:gridCol w:w="597"/>
        <w:gridCol w:w="624"/>
        <w:gridCol w:w="597"/>
        <w:gridCol w:w="584"/>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center"/>
              <w:rPr>
                <w:rFonts w:ascii="宋体" w:hAnsi="宋体" w:eastAsia="宋体"/>
                <w:b/>
                <w:bCs/>
                <w:color w:val="000000"/>
                <w:kern w:val="0"/>
                <w:sz w:val="26"/>
                <w:szCs w:val="26"/>
              </w:rPr>
            </w:pPr>
            <w:r>
              <w:rPr>
                <w:rFonts w:hint="eastAsia" w:ascii="宋体" w:hAnsi="宋体" w:eastAsia="宋体"/>
                <w:b/>
                <w:bCs/>
                <w:color w:val="000000"/>
                <w:kern w:val="0"/>
                <w:sz w:val="26"/>
                <w:szCs w:val="26"/>
              </w:rPr>
              <w:t>政府采购预算表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16" w:type="dxa"/>
            <w:gridSpan w:val="15"/>
            <w:tcBorders>
              <w:top w:val="nil"/>
              <w:left w:val="nil"/>
              <w:bottom w:val="single" w:color="auto" w:sz="4" w:space="0"/>
              <w:right w:val="nil"/>
            </w:tcBorders>
            <w:vAlign w:val="center"/>
          </w:tcPr>
          <w:p>
            <w:pPr>
              <w:rPr>
                <w:rFonts w:ascii="宋体" w:hAnsi="宋体" w:eastAsia="宋体"/>
                <w:color w:val="000000"/>
                <w:kern w:val="0"/>
                <w:sz w:val="18"/>
                <w:szCs w:val="18"/>
              </w:rPr>
            </w:pPr>
            <w:r>
              <w:rPr>
                <w:rFonts w:hint="eastAsia" w:ascii="宋体" w:hAnsi="宋体" w:eastAsia="宋体"/>
                <w:color w:val="000000"/>
                <w:kern w:val="0"/>
                <w:sz w:val="18"/>
                <w:szCs w:val="18"/>
              </w:rPr>
              <w:t>部门名称：</w:t>
            </w:r>
            <w:bookmarkStart w:id="97" w:name="PO_part5Table10DivName1"/>
            <w:r>
              <w:rPr>
                <w:rFonts w:ascii="宋体" w:hAnsi="宋体" w:eastAsia="宋体"/>
                <w:color w:val="000000"/>
                <w:kern w:val="0"/>
                <w:sz w:val="18"/>
                <w:szCs w:val="18"/>
              </w:rPr>
              <w:t>201006柳州市鱼峰区雒容镇公共文化服务中心</w:t>
            </w:r>
            <w:bookmarkEnd w:id="97"/>
          </w:p>
        </w:tc>
        <w:tc>
          <w:tcPr>
            <w:tcW w:w="4825" w:type="dxa"/>
            <w:gridSpan w:val="8"/>
            <w:tcBorders>
              <w:top w:val="nil"/>
              <w:left w:val="nil"/>
              <w:bottom w:val="single" w:color="auto" w:sz="4" w:space="0"/>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科目编码</w:t>
            </w:r>
          </w:p>
        </w:tc>
        <w:tc>
          <w:tcPr>
            <w:tcW w:w="950"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rPr>
              <w:t>代码</w:t>
            </w:r>
          </w:p>
          <w:p>
            <w:pPr>
              <w:widowControl/>
              <w:jc w:val="center"/>
              <w:textAlignment w:val="center"/>
              <w:rPr>
                <w:rFonts w:ascii="宋体" w:hAnsi="宋体" w:eastAsia="宋体"/>
                <w:color w:val="000000"/>
                <w:sz w:val="18"/>
                <w:szCs w:val="18"/>
              </w:rPr>
            </w:pPr>
          </w:p>
        </w:tc>
        <w:tc>
          <w:tcPr>
            <w:tcW w:w="948"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(功能分类科目名称)</w:t>
            </w:r>
          </w:p>
        </w:tc>
        <w:tc>
          <w:tcPr>
            <w:tcW w:w="950"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项目名称</w:t>
            </w:r>
          </w:p>
        </w:tc>
        <w:tc>
          <w:tcPr>
            <w:tcW w:w="948" w:type="dxa"/>
            <w:vMerge w:val="restart"/>
            <w:tcBorders>
              <w:top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olor w:val="000000"/>
                <w:sz w:val="18"/>
                <w:szCs w:val="18"/>
              </w:rPr>
              <w:t>品目编码</w:t>
            </w:r>
          </w:p>
        </w:tc>
        <w:tc>
          <w:tcPr>
            <w:tcW w:w="950" w:type="dxa"/>
            <w:vMerge w:val="restart"/>
            <w:tcBorders>
              <w:top w:val="single" w:color="auto" w:sz="4" w:space="0"/>
            </w:tcBorders>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品目名称</w:t>
            </w:r>
          </w:p>
        </w:tc>
        <w:tc>
          <w:tcPr>
            <w:tcW w:w="509"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olor w:val="000000"/>
                <w:sz w:val="18"/>
                <w:szCs w:val="18"/>
              </w:rPr>
              <w:t>采购数量</w:t>
            </w:r>
          </w:p>
        </w:tc>
        <w:tc>
          <w:tcPr>
            <w:tcW w:w="925" w:type="dxa"/>
            <w:vMerge w:val="restart"/>
            <w:tcBorders>
              <w:top w:val="single" w:color="auto" w:sz="4" w:space="0"/>
            </w:tcBorders>
            <w:vAlign w:val="center"/>
          </w:tcPr>
          <w:p>
            <w:pPr>
              <w:jc w:val="center"/>
              <w:rPr>
                <w:rFonts w:ascii="宋体" w:hAnsi="宋体" w:eastAsia="宋体"/>
                <w:color w:val="000000"/>
                <w:kern w:val="0"/>
                <w:sz w:val="18"/>
                <w:szCs w:val="18"/>
              </w:rPr>
            </w:pPr>
            <w:r>
              <w:rPr>
                <w:rFonts w:hint="eastAsia" w:ascii="宋体" w:hAnsi="宋体" w:eastAsia="宋体"/>
                <w:color w:val="000000"/>
                <w:kern w:val="0"/>
                <w:sz w:val="18"/>
                <w:szCs w:val="18"/>
              </w:rPr>
              <w:t>采购单价（元）</w:t>
            </w:r>
          </w:p>
        </w:tc>
        <w:tc>
          <w:tcPr>
            <w:tcW w:w="4488" w:type="dxa"/>
            <w:gridSpan w:val="7"/>
            <w:tcBorders>
              <w:top w:val="single" w:color="auto" w:sz="4" w:space="0"/>
            </w:tcBorders>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政府采购资金类型</w:t>
            </w:r>
          </w:p>
        </w:tc>
        <w:tc>
          <w:tcPr>
            <w:tcW w:w="4825" w:type="dxa"/>
            <w:gridSpan w:val="8"/>
            <w:tcBorders>
              <w:top w:val="single" w:color="auto" w:sz="4" w:space="0"/>
            </w:tcBorders>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政府采购项目类型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ascii="宋体" w:hAnsi="宋体" w:eastAsia="宋体"/>
                <w:color w:val="000000"/>
                <w:sz w:val="18"/>
                <w:szCs w:val="18"/>
              </w:rPr>
            </w:pPr>
          </w:p>
        </w:tc>
        <w:tc>
          <w:tcPr>
            <w:tcW w:w="950" w:type="dxa"/>
            <w:vMerge w:val="continue"/>
          </w:tcPr>
          <w:p>
            <w:pPr>
              <w:textAlignment w:val="center"/>
              <w:rPr>
                <w:rFonts w:ascii="宋体" w:hAnsi="宋体" w:eastAsia="宋体"/>
                <w:color w:val="000000"/>
                <w:sz w:val="18"/>
                <w:szCs w:val="18"/>
              </w:rPr>
            </w:pPr>
          </w:p>
        </w:tc>
        <w:tc>
          <w:tcPr>
            <w:tcW w:w="948" w:type="dxa"/>
            <w:vMerge w:val="continue"/>
          </w:tcPr>
          <w:p>
            <w:pPr>
              <w:textAlignment w:val="center"/>
              <w:rPr>
                <w:rFonts w:ascii="宋体" w:hAnsi="宋体" w:eastAsia="宋体"/>
                <w:color w:val="000000"/>
                <w:sz w:val="18"/>
                <w:szCs w:val="18"/>
              </w:rPr>
            </w:pPr>
          </w:p>
        </w:tc>
        <w:tc>
          <w:tcPr>
            <w:tcW w:w="950" w:type="dxa"/>
            <w:vMerge w:val="continue"/>
          </w:tcPr>
          <w:p>
            <w:pPr>
              <w:textAlignment w:val="center"/>
              <w:rPr>
                <w:rFonts w:ascii="宋体" w:hAnsi="宋体" w:eastAsia="宋体"/>
                <w:color w:val="000000"/>
                <w:sz w:val="18"/>
                <w:szCs w:val="18"/>
              </w:rPr>
            </w:pPr>
          </w:p>
        </w:tc>
        <w:tc>
          <w:tcPr>
            <w:tcW w:w="948" w:type="dxa"/>
            <w:vMerge w:val="continue"/>
            <w:vAlign w:val="center"/>
          </w:tcPr>
          <w:p>
            <w:pPr>
              <w:textAlignment w:val="center"/>
              <w:rPr>
                <w:rFonts w:ascii="宋体" w:hAnsi="宋体" w:eastAsia="宋体"/>
                <w:color w:val="000000"/>
                <w:sz w:val="18"/>
                <w:szCs w:val="18"/>
              </w:rPr>
            </w:pPr>
          </w:p>
        </w:tc>
        <w:tc>
          <w:tcPr>
            <w:tcW w:w="950" w:type="dxa"/>
            <w:vMerge w:val="continue"/>
            <w:vAlign w:val="center"/>
          </w:tcPr>
          <w:p>
            <w:pPr>
              <w:textAlignment w:val="center"/>
              <w:rPr>
                <w:rFonts w:ascii="宋体" w:hAnsi="宋体" w:eastAsia="宋体"/>
                <w:color w:val="000000"/>
                <w:sz w:val="18"/>
                <w:szCs w:val="18"/>
              </w:rPr>
            </w:pPr>
          </w:p>
        </w:tc>
        <w:tc>
          <w:tcPr>
            <w:tcW w:w="509" w:type="dxa"/>
            <w:vMerge w:val="continue"/>
            <w:vAlign w:val="center"/>
          </w:tcPr>
          <w:p>
            <w:pPr>
              <w:widowControl/>
              <w:jc w:val="center"/>
              <w:textAlignment w:val="center"/>
              <w:rPr>
                <w:rFonts w:ascii="宋体" w:hAnsi="宋体" w:eastAsia="宋体"/>
                <w:color w:val="000000"/>
                <w:sz w:val="18"/>
                <w:szCs w:val="18"/>
              </w:rPr>
            </w:pPr>
          </w:p>
        </w:tc>
        <w:tc>
          <w:tcPr>
            <w:tcW w:w="925" w:type="dxa"/>
            <w:vMerge w:val="continue"/>
            <w:vAlign w:val="center"/>
          </w:tcPr>
          <w:p>
            <w:pPr>
              <w:jc w:val="center"/>
              <w:rPr>
                <w:rFonts w:ascii="宋体" w:hAnsi="宋体" w:eastAsia="宋体"/>
                <w:color w:val="000000"/>
                <w:kern w:val="0"/>
                <w:sz w:val="18"/>
                <w:szCs w:val="18"/>
              </w:rPr>
            </w:pPr>
          </w:p>
        </w:tc>
        <w:tc>
          <w:tcPr>
            <w:tcW w:w="759"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723"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一般公共预算拨款</w:t>
            </w:r>
          </w:p>
        </w:tc>
        <w:tc>
          <w:tcPr>
            <w:tcW w:w="596"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政府性基金预算拨款</w:t>
            </w:r>
          </w:p>
        </w:tc>
        <w:tc>
          <w:tcPr>
            <w:tcW w:w="578"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国有资本经营预算拨款</w:t>
            </w:r>
          </w:p>
        </w:tc>
        <w:tc>
          <w:tcPr>
            <w:tcW w:w="615"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财政专户管理的收入</w:t>
            </w:r>
          </w:p>
        </w:tc>
        <w:tc>
          <w:tcPr>
            <w:tcW w:w="628"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c>
          <w:tcPr>
            <w:tcW w:w="589"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olor w:val="000000"/>
                <w:kern w:val="0"/>
                <w:sz w:val="18"/>
                <w:szCs w:val="18"/>
              </w:rPr>
              <w:t>上年结余收入</w:t>
            </w:r>
          </w:p>
        </w:tc>
        <w:tc>
          <w:tcPr>
            <w:tcW w:w="634" w:type="dxa"/>
            <w:vMerge w:val="restart"/>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779" w:type="dxa"/>
            <w:gridSpan w:val="3"/>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集中采购</w:t>
            </w:r>
          </w:p>
        </w:tc>
        <w:tc>
          <w:tcPr>
            <w:tcW w:w="2412" w:type="dxa"/>
            <w:gridSpan w:val="4"/>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ascii="宋体" w:hAnsi="宋体" w:eastAsia="宋体" w:cs="宋体"/>
                <w:color w:val="000000"/>
                <w:kern w:val="0"/>
                <w:sz w:val="18"/>
                <w:szCs w:val="18"/>
              </w:rPr>
            </w:pPr>
          </w:p>
        </w:tc>
        <w:tc>
          <w:tcPr>
            <w:tcW w:w="950" w:type="dxa"/>
            <w:vMerge w:val="continue"/>
          </w:tcPr>
          <w:p>
            <w:pPr>
              <w:textAlignment w:val="center"/>
              <w:rPr>
                <w:rFonts w:ascii="宋体" w:hAnsi="宋体" w:eastAsia="宋体" w:cs="宋体"/>
                <w:color w:val="000000"/>
                <w:kern w:val="0"/>
                <w:sz w:val="18"/>
                <w:szCs w:val="18"/>
              </w:rPr>
            </w:pPr>
          </w:p>
        </w:tc>
        <w:tc>
          <w:tcPr>
            <w:tcW w:w="948" w:type="dxa"/>
            <w:vMerge w:val="continue"/>
          </w:tcPr>
          <w:p>
            <w:pPr>
              <w:textAlignment w:val="center"/>
              <w:rPr>
                <w:rFonts w:ascii="宋体" w:hAnsi="宋体" w:eastAsia="宋体" w:cs="宋体"/>
                <w:color w:val="000000"/>
                <w:kern w:val="0"/>
                <w:sz w:val="18"/>
                <w:szCs w:val="18"/>
              </w:rPr>
            </w:pPr>
          </w:p>
        </w:tc>
        <w:tc>
          <w:tcPr>
            <w:tcW w:w="950" w:type="dxa"/>
            <w:vMerge w:val="continue"/>
          </w:tcPr>
          <w:p>
            <w:pPr>
              <w:textAlignment w:val="center"/>
              <w:rPr>
                <w:rFonts w:ascii="宋体" w:hAnsi="宋体" w:eastAsia="宋体" w:cs="宋体"/>
                <w:color w:val="000000"/>
                <w:kern w:val="0"/>
                <w:sz w:val="18"/>
                <w:szCs w:val="18"/>
              </w:rPr>
            </w:pPr>
          </w:p>
        </w:tc>
        <w:tc>
          <w:tcPr>
            <w:tcW w:w="948" w:type="dxa"/>
            <w:vMerge w:val="continue"/>
            <w:vAlign w:val="center"/>
          </w:tcPr>
          <w:p>
            <w:pPr>
              <w:textAlignment w:val="center"/>
              <w:rPr>
                <w:rFonts w:ascii="宋体" w:hAnsi="宋体" w:eastAsia="宋体" w:cs="宋体"/>
                <w:color w:val="000000"/>
                <w:kern w:val="0"/>
                <w:sz w:val="18"/>
                <w:szCs w:val="18"/>
              </w:rPr>
            </w:pPr>
          </w:p>
        </w:tc>
        <w:tc>
          <w:tcPr>
            <w:tcW w:w="950" w:type="dxa"/>
            <w:vMerge w:val="continue"/>
            <w:vAlign w:val="center"/>
          </w:tcPr>
          <w:p>
            <w:pPr>
              <w:textAlignment w:val="center"/>
              <w:rPr>
                <w:rFonts w:ascii="宋体" w:hAnsi="宋体" w:eastAsia="宋体" w:cs="宋体"/>
                <w:color w:val="000000"/>
                <w:kern w:val="0"/>
                <w:sz w:val="18"/>
                <w:szCs w:val="18"/>
              </w:rPr>
            </w:pPr>
          </w:p>
        </w:tc>
        <w:tc>
          <w:tcPr>
            <w:tcW w:w="509" w:type="dxa"/>
            <w:vMerge w:val="continue"/>
            <w:vAlign w:val="center"/>
          </w:tcPr>
          <w:p>
            <w:pPr>
              <w:widowControl/>
              <w:jc w:val="center"/>
              <w:textAlignment w:val="center"/>
              <w:rPr>
                <w:rFonts w:ascii="宋体" w:hAnsi="宋体" w:eastAsia="宋体" w:cs="宋体"/>
                <w:color w:val="000000"/>
                <w:kern w:val="0"/>
                <w:sz w:val="18"/>
                <w:szCs w:val="18"/>
              </w:rPr>
            </w:pPr>
          </w:p>
        </w:tc>
        <w:tc>
          <w:tcPr>
            <w:tcW w:w="925" w:type="dxa"/>
            <w:vMerge w:val="continue"/>
            <w:vAlign w:val="center"/>
          </w:tcPr>
          <w:p>
            <w:pPr>
              <w:jc w:val="center"/>
              <w:rPr>
                <w:rFonts w:ascii="宋体" w:hAnsi="宋体" w:eastAsia="宋体"/>
                <w:color w:val="000000"/>
                <w:kern w:val="0"/>
                <w:sz w:val="18"/>
                <w:szCs w:val="18"/>
              </w:rPr>
            </w:pPr>
          </w:p>
        </w:tc>
        <w:tc>
          <w:tcPr>
            <w:tcW w:w="759" w:type="dxa"/>
            <w:vMerge w:val="continue"/>
            <w:vAlign w:val="center"/>
          </w:tcPr>
          <w:p>
            <w:pPr>
              <w:widowControl/>
              <w:jc w:val="center"/>
              <w:textAlignment w:val="center"/>
              <w:rPr>
                <w:rFonts w:ascii="宋体" w:hAnsi="宋体" w:eastAsia="宋体"/>
                <w:color w:val="000000"/>
                <w:kern w:val="0"/>
                <w:sz w:val="18"/>
                <w:szCs w:val="18"/>
              </w:rPr>
            </w:pPr>
          </w:p>
        </w:tc>
        <w:tc>
          <w:tcPr>
            <w:tcW w:w="723" w:type="dxa"/>
            <w:vMerge w:val="continue"/>
            <w:vAlign w:val="center"/>
          </w:tcPr>
          <w:p>
            <w:pPr>
              <w:widowControl/>
              <w:jc w:val="center"/>
              <w:textAlignment w:val="center"/>
              <w:rPr>
                <w:rFonts w:ascii="宋体" w:hAnsi="宋体" w:eastAsia="宋体"/>
                <w:color w:val="000000"/>
                <w:kern w:val="0"/>
                <w:sz w:val="18"/>
                <w:szCs w:val="18"/>
              </w:rPr>
            </w:pPr>
          </w:p>
        </w:tc>
        <w:tc>
          <w:tcPr>
            <w:tcW w:w="596" w:type="dxa"/>
            <w:vMerge w:val="continue"/>
            <w:vAlign w:val="center"/>
          </w:tcPr>
          <w:p>
            <w:pPr>
              <w:widowControl/>
              <w:jc w:val="center"/>
              <w:textAlignment w:val="center"/>
              <w:rPr>
                <w:rFonts w:ascii="宋体" w:hAnsi="宋体" w:eastAsia="宋体"/>
                <w:color w:val="000000"/>
                <w:kern w:val="0"/>
                <w:sz w:val="18"/>
                <w:szCs w:val="18"/>
              </w:rPr>
            </w:pPr>
          </w:p>
        </w:tc>
        <w:tc>
          <w:tcPr>
            <w:tcW w:w="578" w:type="dxa"/>
            <w:vMerge w:val="continue"/>
            <w:vAlign w:val="center"/>
          </w:tcPr>
          <w:p>
            <w:pPr>
              <w:widowControl/>
              <w:jc w:val="center"/>
              <w:textAlignment w:val="center"/>
              <w:rPr>
                <w:rFonts w:ascii="宋体" w:hAnsi="宋体" w:eastAsia="宋体"/>
                <w:color w:val="000000"/>
                <w:kern w:val="0"/>
                <w:sz w:val="18"/>
                <w:szCs w:val="18"/>
              </w:rPr>
            </w:pPr>
          </w:p>
        </w:tc>
        <w:tc>
          <w:tcPr>
            <w:tcW w:w="615" w:type="dxa"/>
            <w:vMerge w:val="continue"/>
            <w:vAlign w:val="center"/>
          </w:tcPr>
          <w:p>
            <w:pPr>
              <w:widowControl/>
              <w:jc w:val="center"/>
              <w:textAlignment w:val="center"/>
              <w:rPr>
                <w:rFonts w:ascii="宋体" w:hAnsi="宋体" w:eastAsia="宋体"/>
                <w:color w:val="000000"/>
                <w:kern w:val="0"/>
                <w:sz w:val="18"/>
                <w:szCs w:val="18"/>
              </w:rPr>
            </w:pPr>
          </w:p>
        </w:tc>
        <w:tc>
          <w:tcPr>
            <w:tcW w:w="628" w:type="dxa"/>
            <w:vMerge w:val="continue"/>
            <w:vAlign w:val="center"/>
          </w:tcPr>
          <w:p>
            <w:pPr>
              <w:widowControl/>
              <w:jc w:val="center"/>
              <w:textAlignment w:val="center"/>
              <w:rPr>
                <w:rFonts w:ascii="宋体" w:hAnsi="宋体" w:eastAsia="宋体"/>
                <w:color w:val="000000"/>
                <w:kern w:val="0"/>
                <w:sz w:val="18"/>
                <w:szCs w:val="18"/>
              </w:rPr>
            </w:pPr>
          </w:p>
        </w:tc>
        <w:tc>
          <w:tcPr>
            <w:tcW w:w="589" w:type="dxa"/>
            <w:vMerge w:val="continue"/>
            <w:vAlign w:val="center"/>
          </w:tcPr>
          <w:p>
            <w:pPr>
              <w:widowControl/>
              <w:jc w:val="center"/>
              <w:textAlignment w:val="center"/>
              <w:rPr>
                <w:rFonts w:ascii="宋体" w:hAnsi="宋体" w:eastAsia="宋体"/>
                <w:color w:val="000000"/>
                <w:kern w:val="0"/>
                <w:sz w:val="18"/>
                <w:szCs w:val="18"/>
              </w:rPr>
            </w:pPr>
          </w:p>
        </w:tc>
        <w:tc>
          <w:tcPr>
            <w:tcW w:w="634" w:type="dxa"/>
            <w:vMerge w:val="continue"/>
            <w:vAlign w:val="center"/>
          </w:tcPr>
          <w:p>
            <w:pPr>
              <w:widowControl/>
              <w:jc w:val="center"/>
              <w:textAlignment w:val="center"/>
              <w:rPr>
                <w:rFonts w:ascii="宋体" w:hAnsi="宋体" w:eastAsia="宋体"/>
                <w:color w:val="000000"/>
                <w:kern w:val="0"/>
                <w:sz w:val="18"/>
                <w:szCs w:val="18"/>
              </w:rPr>
            </w:pPr>
          </w:p>
        </w:tc>
        <w:tc>
          <w:tcPr>
            <w:tcW w:w="598"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小计</w:t>
            </w:r>
          </w:p>
        </w:tc>
        <w:tc>
          <w:tcPr>
            <w:tcW w:w="584"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货物类</w:t>
            </w:r>
          </w:p>
        </w:tc>
        <w:tc>
          <w:tcPr>
            <w:tcW w:w="597"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服务类</w:t>
            </w:r>
          </w:p>
        </w:tc>
        <w:tc>
          <w:tcPr>
            <w:tcW w:w="624"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小计</w:t>
            </w:r>
          </w:p>
        </w:tc>
        <w:tc>
          <w:tcPr>
            <w:tcW w:w="597"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货物类</w:t>
            </w:r>
          </w:p>
        </w:tc>
        <w:tc>
          <w:tcPr>
            <w:tcW w:w="584"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工程类</w:t>
            </w:r>
          </w:p>
        </w:tc>
        <w:tc>
          <w:tcPr>
            <w:tcW w:w="607" w:type="dxa"/>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ascii="宋体" w:hAnsi="宋体" w:eastAsia="宋体"/>
                <w:color w:val="000000"/>
                <w:kern w:val="0"/>
                <w:sz w:val="18"/>
                <w:szCs w:val="18"/>
              </w:rPr>
            </w:pPr>
          </w:p>
        </w:tc>
        <w:tc>
          <w:tcPr>
            <w:tcW w:w="950" w:type="dxa"/>
            <w:vMerge w:val="continue"/>
          </w:tcPr>
          <w:p>
            <w:pPr>
              <w:textAlignment w:val="center"/>
              <w:rPr>
                <w:rFonts w:ascii="宋体" w:hAnsi="宋体" w:eastAsia="宋体"/>
                <w:color w:val="000000"/>
                <w:kern w:val="0"/>
                <w:sz w:val="18"/>
                <w:szCs w:val="18"/>
              </w:rPr>
            </w:pPr>
          </w:p>
        </w:tc>
        <w:tc>
          <w:tcPr>
            <w:tcW w:w="948" w:type="dxa"/>
            <w:vMerge w:val="continue"/>
          </w:tcPr>
          <w:p>
            <w:pPr>
              <w:textAlignment w:val="center"/>
              <w:rPr>
                <w:rFonts w:ascii="宋体" w:hAnsi="宋体" w:eastAsia="宋体"/>
                <w:color w:val="000000"/>
                <w:kern w:val="0"/>
                <w:sz w:val="18"/>
                <w:szCs w:val="18"/>
              </w:rPr>
            </w:pPr>
          </w:p>
        </w:tc>
        <w:tc>
          <w:tcPr>
            <w:tcW w:w="950" w:type="dxa"/>
            <w:vMerge w:val="continue"/>
          </w:tcPr>
          <w:p>
            <w:pPr>
              <w:textAlignment w:val="center"/>
              <w:rPr>
                <w:rFonts w:ascii="宋体" w:hAnsi="宋体" w:eastAsia="宋体"/>
                <w:color w:val="000000"/>
                <w:kern w:val="0"/>
                <w:sz w:val="18"/>
                <w:szCs w:val="18"/>
              </w:rPr>
            </w:pPr>
          </w:p>
        </w:tc>
        <w:tc>
          <w:tcPr>
            <w:tcW w:w="948" w:type="dxa"/>
            <w:vMerge w:val="continue"/>
            <w:vAlign w:val="center"/>
          </w:tcPr>
          <w:p>
            <w:pPr>
              <w:textAlignment w:val="center"/>
              <w:rPr>
                <w:rFonts w:ascii="宋体" w:hAnsi="宋体" w:eastAsia="宋体"/>
                <w:color w:val="000000"/>
                <w:kern w:val="0"/>
                <w:sz w:val="18"/>
                <w:szCs w:val="18"/>
              </w:rPr>
            </w:pPr>
          </w:p>
        </w:tc>
        <w:tc>
          <w:tcPr>
            <w:tcW w:w="950" w:type="dxa"/>
            <w:vMerge w:val="continue"/>
            <w:vAlign w:val="center"/>
          </w:tcPr>
          <w:p>
            <w:pPr>
              <w:textAlignment w:val="center"/>
              <w:rPr>
                <w:rFonts w:ascii="宋体" w:hAnsi="宋体" w:eastAsia="宋体"/>
                <w:color w:val="000000"/>
                <w:kern w:val="0"/>
                <w:sz w:val="18"/>
                <w:szCs w:val="18"/>
              </w:rPr>
            </w:pPr>
          </w:p>
        </w:tc>
        <w:tc>
          <w:tcPr>
            <w:tcW w:w="509" w:type="dxa"/>
            <w:vMerge w:val="continue"/>
            <w:vAlign w:val="center"/>
          </w:tcPr>
          <w:p>
            <w:pPr>
              <w:jc w:val="center"/>
              <w:rPr>
                <w:rFonts w:ascii="宋体" w:hAnsi="宋体" w:eastAsia="宋体"/>
                <w:color w:val="000000"/>
                <w:kern w:val="0"/>
                <w:sz w:val="18"/>
                <w:szCs w:val="18"/>
              </w:rPr>
            </w:pPr>
          </w:p>
        </w:tc>
        <w:tc>
          <w:tcPr>
            <w:tcW w:w="925" w:type="dxa"/>
            <w:vMerge w:val="continue"/>
            <w:vAlign w:val="center"/>
          </w:tcPr>
          <w:p>
            <w:pPr>
              <w:jc w:val="center"/>
              <w:rPr>
                <w:rFonts w:ascii="宋体" w:hAnsi="宋体" w:eastAsia="宋体"/>
                <w:color w:val="000000"/>
                <w:kern w:val="0"/>
                <w:sz w:val="18"/>
                <w:szCs w:val="18"/>
              </w:rPr>
            </w:pPr>
          </w:p>
        </w:tc>
        <w:tc>
          <w:tcPr>
            <w:tcW w:w="759"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23"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596"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578"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615"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628"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58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34"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98"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84"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w:t>
            </w:r>
          </w:p>
        </w:tc>
        <w:tc>
          <w:tcPr>
            <w:tcW w:w="597"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11</w:t>
            </w:r>
          </w:p>
        </w:tc>
        <w:tc>
          <w:tcPr>
            <w:tcW w:w="624"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2</w:t>
            </w:r>
          </w:p>
        </w:tc>
        <w:tc>
          <w:tcPr>
            <w:tcW w:w="597"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3</w:t>
            </w:r>
          </w:p>
        </w:tc>
        <w:tc>
          <w:tcPr>
            <w:tcW w:w="584"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4</w:t>
            </w:r>
          </w:p>
        </w:tc>
        <w:tc>
          <w:tcPr>
            <w:tcW w:w="607"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textAlignment w:val="center"/>
              <w:rPr>
                <w:rFonts w:ascii="宋体" w:hAnsi="宋体" w:eastAsia="宋体"/>
                <w:sz w:val="18"/>
                <w:szCs w:val="18"/>
              </w:rPr>
            </w:pPr>
          </w:p>
        </w:tc>
        <w:tc>
          <w:tcPr>
            <w:tcW w:w="950" w:type="dxa"/>
            <w:vAlign w:val="center"/>
          </w:tcPr>
          <w:p>
            <w:pPr>
              <w:jc w:val="center"/>
              <w:textAlignment w:val="center"/>
              <w:rPr>
                <w:rFonts w:ascii="宋体" w:hAnsi="宋体" w:eastAsia="宋体"/>
                <w:sz w:val="18"/>
                <w:szCs w:val="18"/>
              </w:rPr>
            </w:pPr>
            <w:r>
              <w:rPr>
                <w:rFonts w:hint="eastAsia" w:ascii="宋体" w:hAnsi="宋体" w:eastAsia="宋体"/>
                <w:color w:val="000000"/>
                <w:kern w:val="0"/>
                <w:sz w:val="18"/>
                <w:szCs w:val="18"/>
              </w:rPr>
              <w:t>合计</w:t>
            </w:r>
          </w:p>
        </w:tc>
        <w:tc>
          <w:tcPr>
            <w:tcW w:w="948" w:type="dxa"/>
            <w:vAlign w:val="center"/>
          </w:tcPr>
          <w:p>
            <w:pPr>
              <w:textAlignment w:val="center"/>
              <w:rPr>
                <w:rFonts w:ascii="宋体" w:hAnsi="宋体" w:eastAsia="宋体"/>
                <w:sz w:val="18"/>
                <w:szCs w:val="18"/>
              </w:rPr>
            </w:pPr>
          </w:p>
        </w:tc>
        <w:tc>
          <w:tcPr>
            <w:tcW w:w="950" w:type="dxa"/>
            <w:vAlign w:val="center"/>
          </w:tcPr>
          <w:p>
            <w:pPr>
              <w:textAlignment w:val="center"/>
              <w:rPr>
                <w:rFonts w:ascii="宋体" w:hAnsi="宋体" w:eastAsia="宋体"/>
                <w:sz w:val="18"/>
                <w:szCs w:val="18"/>
              </w:rPr>
            </w:pPr>
          </w:p>
        </w:tc>
        <w:tc>
          <w:tcPr>
            <w:tcW w:w="948" w:type="dxa"/>
            <w:vAlign w:val="center"/>
          </w:tcPr>
          <w:p>
            <w:pPr>
              <w:textAlignment w:val="center"/>
              <w:rPr>
                <w:rFonts w:ascii="宋体" w:hAnsi="宋体" w:eastAsia="宋体"/>
                <w:sz w:val="18"/>
                <w:szCs w:val="18"/>
              </w:rPr>
            </w:pPr>
          </w:p>
        </w:tc>
        <w:tc>
          <w:tcPr>
            <w:tcW w:w="950" w:type="dxa"/>
            <w:vAlign w:val="center"/>
          </w:tcPr>
          <w:p>
            <w:pPr>
              <w:textAlignment w:val="center"/>
              <w:rPr>
                <w:rFonts w:ascii="宋体" w:hAnsi="宋体" w:eastAsia="宋体"/>
                <w:sz w:val="18"/>
                <w:szCs w:val="18"/>
              </w:rPr>
            </w:pPr>
          </w:p>
        </w:tc>
        <w:tc>
          <w:tcPr>
            <w:tcW w:w="509" w:type="dxa"/>
            <w:vAlign w:val="center"/>
          </w:tcPr>
          <w:p>
            <w:pPr>
              <w:jc w:val="right"/>
              <w:rPr>
                <w:rFonts w:ascii="宋体" w:hAnsi="宋体" w:eastAsia="宋体"/>
                <w:sz w:val="18"/>
                <w:szCs w:val="18"/>
              </w:rPr>
            </w:pPr>
            <w:r>
              <w:rPr>
                <w:rFonts w:ascii="宋体" w:hAnsi="宋体" w:eastAsia="宋体"/>
                <w:color w:val="000000"/>
                <w:sz w:val="18"/>
                <w:szCs w:val="18"/>
              </w:rPr>
              <w:t>412</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680.00</w:t>
            </w:r>
          </w:p>
        </w:tc>
        <w:tc>
          <w:tcPr>
            <w:tcW w:w="759" w:type="dxa"/>
            <w:vAlign w:val="center"/>
          </w:tcPr>
          <w:p>
            <w:pPr>
              <w:widowControl/>
              <w:jc w:val="right"/>
              <w:rPr>
                <w:rFonts w:ascii="宋体" w:hAnsi="宋体" w:eastAsia="宋体"/>
                <w:sz w:val="18"/>
                <w:szCs w:val="18"/>
              </w:rPr>
            </w:pPr>
            <w:r>
              <w:rPr>
                <w:rFonts w:ascii="宋体" w:hAnsi="宋体" w:eastAsia="宋体"/>
                <w:color w:val="000000"/>
                <w:sz w:val="18"/>
                <w:szCs w:val="18"/>
              </w:rPr>
              <w:t>5.08</w:t>
            </w:r>
          </w:p>
        </w:tc>
        <w:tc>
          <w:tcPr>
            <w:tcW w:w="723" w:type="dxa"/>
            <w:vAlign w:val="center"/>
          </w:tcPr>
          <w:p>
            <w:pPr>
              <w:widowControl/>
              <w:jc w:val="right"/>
              <w:rPr>
                <w:rFonts w:ascii="宋体" w:hAnsi="宋体" w:eastAsia="宋体"/>
                <w:sz w:val="18"/>
                <w:szCs w:val="18"/>
              </w:rPr>
            </w:pPr>
            <w:r>
              <w:rPr>
                <w:rFonts w:ascii="宋体" w:hAnsi="宋体" w:eastAsia="宋体"/>
                <w:color w:val="000000"/>
                <w:sz w:val="18"/>
                <w:szCs w:val="18"/>
              </w:rPr>
              <w:t>5.08</w:t>
            </w:r>
          </w:p>
        </w:tc>
        <w:tc>
          <w:tcPr>
            <w:tcW w:w="596"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2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9"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634" w:type="dxa"/>
            <w:vAlign w:val="center"/>
          </w:tcPr>
          <w:p>
            <w:pPr>
              <w:widowControl/>
              <w:jc w:val="right"/>
              <w:rPr>
                <w:rFonts w:ascii="宋体" w:hAnsi="宋体" w:eastAsia="宋体"/>
                <w:sz w:val="18"/>
                <w:szCs w:val="18"/>
              </w:rPr>
            </w:pPr>
            <w:r>
              <w:rPr>
                <w:rFonts w:ascii="宋体" w:hAnsi="宋体" w:eastAsia="宋体"/>
                <w:color w:val="000000"/>
                <w:sz w:val="18"/>
                <w:szCs w:val="18"/>
              </w:rPr>
              <w:t>5.08</w:t>
            </w:r>
          </w:p>
        </w:tc>
        <w:tc>
          <w:tcPr>
            <w:tcW w:w="59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4"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97"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62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5.08</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2.08</w:t>
            </w:r>
          </w:p>
        </w:tc>
        <w:tc>
          <w:tcPr>
            <w:tcW w:w="584" w:type="dxa"/>
            <w:vAlign w:val="center"/>
          </w:tcPr>
          <w:p>
            <w:pPr>
              <w:widowControl/>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c>
          <w:tcPr>
            <w:tcW w:w="60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201</w:t>
            </w:r>
          </w:p>
        </w:tc>
        <w:tc>
          <w:tcPr>
            <w:tcW w:w="948"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柳州市鱼峰区雒容镇</w:t>
            </w:r>
          </w:p>
        </w:tc>
        <w:tc>
          <w:tcPr>
            <w:tcW w:w="950" w:type="dxa"/>
            <w:vAlign w:val="center"/>
          </w:tcPr>
          <w:p>
            <w:pPr>
              <w:widowControl/>
              <w:textAlignment w:val="center"/>
              <w:rPr>
                <w:rFonts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412</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680.00</w:t>
            </w:r>
          </w:p>
        </w:tc>
        <w:tc>
          <w:tcPr>
            <w:tcW w:w="759" w:type="dxa"/>
            <w:vAlign w:val="center"/>
          </w:tcPr>
          <w:p>
            <w:pPr>
              <w:jc w:val="right"/>
              <w:rPr>
                <w:rFonts w:ascii="宋体" w:hAnsi="宋体" w:eastAsia="宋体"/>
                <w:color w:val="000000"/>
                <w:sz w:val="18"/>
                <w:szCs w:val="18"/>
              </w:rPr>
            </w:pPr>
            <w:r>
              <w:rPr>
                <w:rFonts w:ascii="宋体" w:hAnsi="宋体" w:eastAsia="宋体"/>
                <w:color w:val="000000"/>
                <w:sz w:val="18"/>
                <w:szCs w:val="18"/>
              </w:rPr>
              <w:t>5.08</w:t>
            </w:r>
          </w:p>
        </w:tc>
        <w:tc>
          <w:tcPr>
            <w:tcW w:w="723" w:type="dxa"/>
            <w:vAlign w:val="center"/>
          </w:tcPr>
          <w:p>
            <w:pPr>
              <w:jc w:val="right"/>
              <w:rPr>
                <w:rFonts w:ascii="宋体" w:hAnsi="宋体" w:eastAsia="宋体"/>
                <w:color w:val="000000"/>
                <w:sz w:val="18"/>
                <w:szCs w:val="18"/>
              </w:rPr>
            </w:pPr>
            <w:r>
              <w:rPr>
                <w:rFonts w:ascii="宋体" w:hAnsi="宋体" w:eastAsia="宋体"/>
                <w:color w:val="000000"/>
                <w:sz w:val="18"/>
                <w:szCs w:val="18"/>
              </w:rPr>
              <w:t>5.08</w:t>
            </w:r>
          </w:p>
        </w:tc>
        <w:tc>
          <w:tcPr>
            <w:tcW w:w="59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5.08</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2.08</w:t>
            </w:r>
          </w:p>
        </w:tc>
        <w:tc>
          <w:tcPr>
            <w:tcW w:w="58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201006</w:t>
            </w:r>
          </w:p>
        </w:tc>
        <w:tc>
          <w:tcPr>
            <w:tcW w:w="948"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柳州市鱼峰区雒容镇公共文化服务中心</w:t>
            </w:r>
          </w:p>
        </w:tc>
        <w:tc>
          <w:tcPr>
            <w:tcW w:w="950" w:type="dxa"/>
            <w:vAlign w:val="center"/>
          </w:tcPr>
          <w:p>
            <w:pPr>
              <w:widowControl/>
              <w:textAlignment w:val="center"/>
              <w:rPr>
                <w:rFonts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412</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680.00</w:t>
            </w:r>
          </w:p>
        </w:tc>
        <w:tc>
          <w:tcPr>
            <w:tcW w:w="759" w:type="dxa"/>
            <w:vAlign w:val="center"/>
          </w:tcPr>
          <w:p>
            <w:pPr>
              <w:jc w:val="right"/>
              <w:rPr>
                <w:rFonts w:ascii="宋体" w:hAnsi="宋体" w:eastAsia="宋体"/>
                <w:color w:val="000000"/>
                <w:sz w:val="18"/>
                <w:szCs w:val="18"/>
              </w:rPr>
            </w:pPr>
            <w:r>
              <w:rPr>
                <w:rFonts w:ascii="宋体" w:hAnsi="宋体" w:eastAsia="宋体"/>
                <w:color w:val="000000"/>
                <w:sz w:val="18"/>
                <w:szCs w:val="18"/>
              </w:rPr>
              <w:t>5.08</w:t>
            </w:r>
          </w:p>
        </w:tc>
        <w:tc>
          <w:tcPr>
            <w:tcW w:w="723" w:type="dxa"/>
            <w:vAlign w:val="center"/>
          </w:tcPr>
          <w:p>
            <w:pPr>
              <w:jc w:val="right"/>
              <w:rPr>
                <w:rFonts w:ascii="宋体" w:hAnsi="宋体" w:eastAsia="宋体"/>
                <w:color w:val="000000"/>
                <w:sz w:val="18"/>
                <w:szCs w:val="18"/>
              </w:rPr>
            </w:pPr>
            <w:r>
              <w:rPr>
                <w:rFonts w:ascii="宋体" w:hAnsi="宋体" w:eastAsia="宋体"/>
                <w:color w:val="000000"/>
                <w:sz w:val="18"/>
                <w:szCs w:val="18"/>
              </w:rPr>
              <w:t>5.08</w:t>
            </w:r>
          </w:p>
        </w:tc>
        <w:tc>
          <w:tcPr>
            <w:tcW w:w="59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5.08</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2.08</w:t>
            </w:r>
          </w:p>
        </w:tc>
        <w:tc>
          <w:tcPr>
            <w:tcW w:w="58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2249999</w:t>
            </w:r>
          </w:p>
        </w:tc>
        <w:tc>
          <w:tcPr>
            <w:tcW w:w="950" w:type="dxa"/>
            <w:vAlign w:val="center"/>
          </w:tcPr>
          <w:p>
            <w:pPr>
              <w:widowControl/>
              <w:textAlignment w:val="center"/>
              <w:rPr>
                <w:rFonts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其他灾害防治及应急管理支出</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防溺水经费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120</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50.00</w:t>
            </w:r>
          </w:p>
        </w:tc>
        <w:tc>
          <w:tcPr>
            <w:tcW w:w="759" w:type="dxa"/>
            <w:vAlign w:val="center"/>
          </w:tcPr>
          <w:p>
            <w:pPr>
              <w:jc w:val="right"/>
              <w:rPr>
                <w:rFonts w:ascii="宋体" w:hAnsi="宋体" w:eastAsia="宋体"/>
                <w:color w:val="000000"/>
                <w:sz w:val="18"/>
                <w:szCs w:val="18"/>
              </w:rPr>
            </w:pPr>
            <w:r>
              <w:rPr>
                <w:rFonts w:ascii="宋体" w:hAnsi="宋体" w:eastAsia="宋体"/>
                <w:color w:val="000000"/>
                <w:sz w:val="18"/>
                <w:szCs w:val="18"/>
              </w:rPr>
              <w:t>0.60</w:t>
            </w:r>
          </w:p>
        </w:tc>
        <w:tc>
          <w:tcPr>
            <w:tcW w:w="723" w:type="dxa"/>
            <w:vAlign w:val="center"/>
          </w:tcPr>
          <w:p>
            <w:pPr>
              <w:jc w:val="right"/>
              <w:rPr>
                <w:rFonts w:ascii="宋体" w:hAnsi="宋体" w:eastAsia="宋体"/>
                <w:color w:val="000000"/>
                <w:sz w:val="18"/>
                <w:szCs w:val="18"/>
              </w:rPr>
            </w:pPr>
            <w:r>
              <w:rPr>
                <w:rFonts w:ascii="宋体" w:hAnsi="宋体" w:eastAsia="宋体"/>
                <w:color w:val="000000"/>
                <w:sz w:val="18"/>
                <w:szCs w:val="18"/>
              </w:rPr>
              <w:t>0.60</w:t>
            </w:r>
          </w:p>
        </w:tc>
        <w:tc>
          <w:tcPr>
            <w:tcW w:w="59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ascii="宋体" w:hAnsi="宋体" w:eastAsia="宋体"/>
                <w:color w:val="000000"/>
                <w:sz w:val="18"/>
                <w:szCs w:val="18"/>
              </w:rPr>
            </w:pPr>
            <w:r>
              <w:rPr>
                <w:rFonts w:ascii="宋体" w:hAnsi="宋体" w:eastAsia="宋体"/>
                <w:color w:val="000000"/>
                <w:sz w:val="18"/>
                <w:szCs w:val="18"/>
              </w:rPr>
              <w:t>0.60</w:t>
            </w:r>
          </w:p>
        </w:tc>
        <w:tc>
          <w:tcPr>
            <w:tcW w:w="59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0.60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0.60</w:t>
            </w:r>
          </w:p>
        </w:tc>
        <w:tc>
          <w:tcPr>
            <w:tcW w:w="58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2249999</w:t>
            </w:r>
          </w:p>
        </w:tc>
        <w:tc>
          <w:tcPr>
            <w:tcW w:w="950" w:type="dxa"/>
            <w:vAlign w:val="center"/>
          </w:tcPr>
          <w:p>
            <w:pPr>
              <w:widowControl/>
              <w:textAlignment w:val="center"/>
              <w:rPr>
                <w:rFonts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其他灾害防治及应急管理支出</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防溺水经费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60</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500.00</w:t>
            </w:r>
          </w:p>
        </w:tc>
        <w:tc>
          <w:tcPr>
            <w:tcW w:w="759" w:type="dxa"/>
            <w:vAlign w:val="center"/>
          </w:tcPr>
          <w:p>
            <w:pPr>
              <w:jc w:val="right"/>
              <w:rPr>
                <w:rFonts w:ascii="宋体" w:hAnsi="宋体" w:eastAsia="宋体"/>
                <w:color w:val="000000"/>
                <w:sz w:val="18"/>
                <w:szCs w:val="18"/>
              </w:rPr>
            </w:pPr>
            <w:r>
              <w:rPr>
                <w:rFonts w:ascii="宋体" w:hAnsi="宋体" w:eastAsia="宋体"/>
                <w:color w:val="000000"/>
                <w:sz w:val="18"/>
                <w:szCs w:val="18"/>
              </w:rPr>
              <w:t>3.00</w:t>
            </w:r>
          </w:p>
        </w:tc>
        <w:tc>
          <w:tcPr>
            <w:tcW w:w="723" w:type="dxa"/>
            <w:vAlign w:val="center"/>
          </w:tcPr>
          <w:p>
            <w:pPr>
              <w:jc w:val="right"/>
              <w:rPr>
                <w:rFonts w:ascii="宋体" w:hAnsi="宋体" w:eastAsia="宋体"/>
                <w:color w:val="000000"/>
                <w:sz w:val="18"/>
                <w:szCs w:val="18"/>
              </w:rPr>
            </w:pPr>
            <w:r>
              <w:rPr>
                <w:rFonts w:ascii="宋体" w:hAnsi="宋体" w:eastAsia="宋体"/>
                <w:color w:val="000000"/>
                <w:sz w:val="18"/>
                <w:szCs w:val="18"/>
              </w:rPr>
              <w:t>3.00</w:t>
            </w:r>
          </w:p>
        </w:tc>
        <w:tc>
          <w:tcPr>
            <w:tcW w:w="59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ascii="宋体" w:hAnsi="宋体" w:eastAsia="宋体"/>
                <w:color w:val="000000"/>
                <w:sz w:val="18"/>
                <w:szCs w:val="18"/>
              </w:rPr>
            </w:pPr>
            <w:r>
              <w:rPr>
                <w:rFonts w:ascii="宋体" w:hAnsi="宋体" w:eastAsia="宋体"/>
                <w:color w:val="000000"/>
                <w:sz w:val="18"/>
                <w:szCs w:val="18"/>
              </w:rPr>
              <w:t>3.00</w:t>
            </w:r>
          </w:p>
        </w:tc>
        <w:tc>
          <w:tcPr>
            <w:tcW w:w="59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3.00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2249999</w:t>
            </w:r>
          </w:p>
        </w:tc>
        <w:tc>
          <w:tcPr>
            <w:tcW w:w="950" w:type="dxa"/>
            <w:vAlign w:val="center"/>
          </w:tcPr>
          <w:p>
            <w:pPr>
              <w:widowControl/>
              <w:textAlignment w:val="center"/>
              <w:rPr>
                <w:rFonts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其他灾害防治及应急管理支出</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防溺水经费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A032208</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应急救援设备类</w:t>
            </w:r>
          </w:p>
        </w:tc>
        <w:tc>
          <w:tcPr>
            <w:tcW w:w="509"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232</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130.00</w:t>
            </w:r>
          </w:p>
        </w:tc>
        <w:tc>
          <w:tcPr>
            <w:tcW w:w="759" w:type="dxa"/>
            <w:vAlign w:val="center"/>
          </w:tcPr>
          <w:p>
            <w:pPr>
              <w:jc w:val="right"/>
              <w:rPr>
                <w:rFonts w:ascii="宋体" w:hAnsi="宋体" w:eastAsia="宋体"/>
                <w:color w:val="000000"/>
                <w:sz w:val="18"/>
                <w:szCs w:val="18"/>
              </w:rPr>
            </w:pPr>
            <w:r>
              <w:rPr>
                <w:rFonts w:ascii="宋体" w:hAnsi="宋体" w:eastAsia="宋体"/>
                <w:color w:val="000000"/>
                <w:sz w:val="18"/>
                <w:szCs w:val="18"/>
              </w:rPr>
              <w:t>1.48</w:t>
            </w:r>
          </w:p>
        </w:tc>
        <w:tc>
          <w:tcPr>
            <w:tcW w:w="723" w:type="dxa"/>
            <w:vAlign w:val="center"/>
          </w:tcPr>
          <w:p>
            <w:pPr>
              <w:jc w:val="right"/>
              <w:rPr>
                <w:rFonts w:ascii="宋体" w:hAnsi="宋体" w:eastAsia="宋体"/>
                <w:color w:val="000000"/>
                <w:sz w:val="18"/>
                <w:szCs w:val="18"/>
              </w:rPr>
            </w:pPr>
            <w:r>
              <w:rPr>
                <w:rFonts w:ascii="宋体" w:hAnsi="宋体" w:eastAsia="宋体"/>
                <w:color w:val="000000"/>
                <w:sz w:val="18"/>
                <w:szCs w:val="18"/>
              </w:rPr>
              <w:t>1.48</w:t>
            </w:r>
          </w:p>
        </w:tc>
        <w:tc>
          <w:tcPr>
            <w:tcW w:w="596"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ascii="宋体" w:hAnsi="宋体" w:eastAsia="宋体"/>
                <w:color w:val="000000"/>
                <w:sz w:val="18"/>
                <w:szCs w:val="18"/>
              </w:rPr>
            </w:pPr>
            <w:r>
              <w:rPr>
                <w:rFonts w:ascii="宋体" w:hAnsi="宋体" w:eastAsia="宋体"/>
                <w:color w:val="000000"/>
                <w:sz w:val="18"/>
                <w:szCs w:val="18"/>
              </w:rPr>
              <w:t>1.48</w:t>
            </w:r>
          </w:p>
        </w:tc>
        <w:tc>
          <w:tcPr>
            <w:tcW w:w="598"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1.48</w:t>
            </w:r>
          </w:p>
        </w:tc>
        <w:tc>
          <w:tcPr>
            <w:tcW w:w="59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1.48</w:t>
            </w:r>
          </w:p>
        </w:tc>
        <w:tc>
          <w:tcPr>
            <w:tcW w:w="584"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注：</w:t>
      </w:r>
      <w:bookmarkStart w:id="98" w:name="PO_part5Table10Remark1"/>
      <w:r>
        <w:rPr>
          <w:rFonts w:hint="eastAsia" w:ascii="宋体" w:hAnsi="宋体" w:eastAsia="宋体"/>
          <w:color w:val="000000"/>
          <w:kern w:val="0"/>
          <w:sz w:val="18"/>
          <w:szCs w:val="18"/>
        </w:rPr>
        <w:t>报表金额单位转换时可能存在四舍五入尾数误差。</w:t>
      </w:r>
      <w:bookmarkEnd w:id="96"/>
      <w:bookmarkEnd w:id="98"/>
    </w:p>
    <w:p>
      <w:pPr>
        <w:rPr>
          <w:sz w:val="18"/>
          <w:szCs w:val="18"/>
        </w:rPr>
      </w:pPr>
      <w:r>
        <w:rPr>
          <w:rFonts w:ascii="宋体" w:hAnsi="宋体" w:eastAsia="宋体" w:cs="宋体"/>
          <w:color w:val="000000"/>
          <w:kern w:val="0"/>
          <w:sz w:val="18"/>
          <w:szCs w:val="18"/>
        </w:rPr>
        <w:br w:type="page"/>
      </w:r>
      <w:bookmarkStart w:id="99" w:name="PO_part5Table11"/>
    </w:p>
    <w:tbl>
      <w:tblPr>
        <w:tblStyle w:val="8"/>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2"/>
        <w:gridCol w:w="2002"/>
        <w:gridCol w:w="2002"/>
        <w:gridCol w:w="1204"/>
        <w:gridCol w:w="1204"/>
        <w:gridCol w:w="1210"/>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trPr>
        <w:tc>
          <w:tcPr>
            <w:tcW w:w="16442" w:type="dxa"/>
            <w:gridSpan w:val="11"/>
            <w:tcBorders>
              <w:top w:val="nil"/>
              <w:left w:val="nil"/>
              <w:bottom w:val="nil"/>
              <w:right w:val="nil"/>
            </w:tcBorders>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trPr>
        <w:tc>
          <w:tcPr>
            <w:tcW w:w="16442" w:type="dxa"/>
            <w:gridSpan w:val="11"/>
            <w:tcBorders>
              <w:top w:val="nil"/>
              <w:left w:val="nil"/>
              <w:bottom w:val="nil"/>
              <w:right w:val="nil"/>
            </w:tcBorders>
            <w:vAlign w:val="center"/>
          </w:tcPr>
          <w:p>
            <w:pPr>
              <w:jc w:val="center"/>
              <w:rPr>
                <w:rFonts w:ascii="宋体" w:hAnsi="宋体" w:eastAsia="宋体"/>
                <w:color w:val="000000"/>
                <w:kern w:val="0"/>
                <w:sz w:val="18"/>
                <w:szCs w:val="18"/>
              </w:rPr>
            </w:pPr>
            <w:r>
              <w:rPr>
                <w:rFonts w:hint="eastAsia" w:ascii="宋体" w:hAnsi="宋体" w:eastAsia="宋体"/>
                <w:b/>
                <w:bCs/>
                <w:color w:val="000000"/>
                <w:kern w:val="0"/>
                <w:sz w:val="26"/>
                <w:szCs w:val="26"/>
              </w:rPr>
              <w:t>政府购买服务预算表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26" w:type="dxa"/>
            <w:gridSpan w:val="7"/>
            <w:tcBorders>
              <w:top w:val="nil"/>
              <w:left w:val="nil"/>
              <w:bottom w:val="single" w:color="auto" w:sz="4" w:space="0"/>
              <w:right w:val="nil"/>
            </w:tcBorders>
            <w:vAlign w:val="center"/>
          </w:tcPr>
          <w:p>
            <w:pPr>
              <w:rPr>
                <w:rFonts w:ascii="宋体" w:hAnsi="宋体" w:eastAsia="宋体"/>
                <w:color w:val="000000"/>
                <w:kern w:val="0"/>
                <w:sz w:val="18"/>
                <w:szCs w:val="18"/>
              </w:rPr>
            </w:pPr>
            <w:r>
              <w:rPr>
                <w:rFonts w:hint="eastAsia" w:ascii="宋体" w:hAnsi="宋体" w:eastAsia="宋体"/>
                <w:color w:val="000000"/>
                <w:kern w:val="0"/>
                <w:sz w:val="18"/>
                <w:szCs w:val="18"/>
              </w:rPr>
              <w:t>部门名称：</w:t>
            </w:r>
            <w:bookmarkStart w:id="100" w:name="PO_part5Table11DivName1"/>
            <w:r>
              <w:rPr>
                <w:rFonts w:ascii="宋体" w:hAnsi="宋体" w:eastAsia="宋体"/>
                <w:color w:val="000000"/>
                <w:kern w:val="0"/>
                <w:sz w:val="18"/>
                <w:szCs w:val="18"/>
              </w:rPr>
              <w:t>201006柳州市鱼峰区雒容镇公共文化服务中心</w:t>
            </w:r>
            <w:bookmarkEnd w:id="100"/>
          </w:p>
        </w:tc>
        <w:tc>
          <w:tcPr>
            <w:tcW w:w="4816" w:type="dxa"/>
            <w:gridSpan w:val="4"/>
            <w:tcBorders>
              <w:top w:val="nil"/>
              <w:left w:val="nil"/>
              <w:bottom w:val="single" w:color="auto" w:sz="4" w:space="0"/>
              <w:right w:val="nil"/>
            </w:tcBorders>
            <w:vAlign w:val="center"/>
          </w:tcPr>
          <w:p>
            <w:pPr>
              <w:jc w:val="right"/>
              <w:rPr>
                <w:rFonts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restart"/>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科目编码</w:t>
            </w:r>
          </w:p>
        </w:tc>
        <w:tc>
          <w:tcPr>
            <w:tcW w:w="2002" w:type="dxa"/>
            <w:vMerge w:val="restart"/>
            <w:tcBorders>
              <w:top w:val="single" w:color="auto" w:sz="4" w:space="0"/>
            </w:tcBorders>
            <w:vAlign w:val="center"/>
          </w:tcPr>
          <w:p>
            <w:pPr>
              <w:widowControl/>
              <w:textAlignment w:val="center"/>
              <w:rPr>
                <w:rFonts w:ascii="宋体" w:hAnsi="宋体" w:eastAsia="宋体"/>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rPr>
              <w:t>代码</w:t>
            </w:r>
          </w:p>
        </w:tc>
        <w:tc>
          <w:tcPr>
            <w:tcW w:w="2002"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ascii="宋体" w:hAnsi="宋体" w:eastAsia="宋体" w:cs="宋体"/>
                <w:color w:val="000000"/>
                <w:kern w:val="0"/>
                <w:sz w:val="18"/>
                <w:szCs w:val="18"/>
              </w:rPr>
            </w:pPr>
            <w:r>
              <w:rPr>
                <w:rFonts w:hint="eastAsia" w:ascii="宋体" w:hAnsi="宋体" w:eastAsia="宋体"/>
                <w:color w:val="000000"/>
                <w:sz w:val="18"/>
                <w:szCs w:val="18"/>
              </w:rPr>
              <w:t>(功能分类科目名称)</w:t>
            </w:r>
          </w:p>
        </w:tc>
        <w:tc>
          <w:tcPr>
            <w:tcW w:w="2002" w:type="dxa"/>
            <w:vMerge w:val="restart"/>
            <w:tcBorders>
              <w:top w:val="single" w:color="auto" w:sz="4" w:space="0"/>
            </w:tcBorders>
            <w:vAlign w:val="center"/>
          </w:tcPr>
          <w:p>
            <w:pPr>
              <w:jc w:val="center"/>
              <w:rPr>
                <w:rFonts w:ascii="宋体" w:hAnsi="宋体" w:eastAsia="宋体"/>
                <w:color w:val="000000"/>
                <w:kern w:val="0"/>
                <w:sz w:val="18"/>
                <w:szCs w:val="18"/>
              </w:rPr>
            </w:pPr>
            <w:r>
              <w:rPr>
                <w:rFonts w:hint="eastAsia" w:ascii="宋体" w:hAnsi="宋体" w:eastAsia="宋体"/>
                <w:color w:val="000000"/>
                <w:kern w:val="0"/>
                <w:sz w:val="18"/>
                <w:szCs w:val="18"/>
              </w:rPr>
              <w:t>政府购买服务内容</w:t>
            </w:r>
          </w:p>
        </w:tc>
        <w:tc>
          <w:tcPr>
            <w:tcW w:w="8434" w:type="dxa"/>
            <w:gridSpan w:val="7"/>
            <w:tcBorders>
              <w:top w:val="single" w:color="auto" w:sz="4" w:space="0"/>
            </w:tcBorders>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s="宋体"/>
                <w:color w:val="000000"/>
                <w:kern w:val="0"/>
                <w:sz w:val="18"/>
                <w:szCs w:val="18"/>
              </w:rPr>
              <w:t>政府购买服务资金类型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blHeader/>
        </w:trPr>
        <w:tc>
          <w:tcPr>
            <w:tcW w:w="2002" w:type="dxa"/>
            <w:vMerge w:val="continue"/>
          </w:tcPr>
          <w:p>
            <w:pPr>
              <w:textAlignment w:val="center"/>
              <w:rPr>
                <w:rFonts w:ascii="宋体" w:hAnsi="宋体" w:eastAsia="宋体"/>
                <w:color w:val="000000"/>
                <w:sz w:val="18"/>
                <w:szCs w:val="18"/>
              </w:rPr>
            </w:pPr>
          </w:p>
        </w:tc>
        <w:tc>
          <w:tcPr>
            <w:tcW w:w="2002" w:type="dxa"/>
            <w:vMerge w:val="continue"/>
            <w:vAlign w:val="center"/>
          </w:tcPr>
          <w:p>
            <w:pPr>
              <w:textAlignment w:val="center"/>
              <w:rPr>
                <w:rFonts w:ascii="宋体" w:hAnsi="宋体" w:eastAsia="宋体"/>
                <w:color w:val="000000"/>
                <w:sz w:val="18"/>
                <w:szCs w:val="18"/>
              </w:rPr>
            </w:pPr>
          </w:p>
        </w:tc>
        <w:tc>
          <w:tcPr>
            <w:tcW w:w="2002" w:type="dxa"/>
            <w:vMerge w:val="continue"/>
            <w:vAlign w:val="center"/>
          </w:tcPr>
          <w:p>
            <w:pPr>
              <w:textAlignment w:val="center"/>
              <w:rPr>
                <w:rFonts w:ascii="宋体" w:hAnsi="宋体" w:eastAsia="宋体"/>
                <w:color w:val="000000"/>
                <w:sz w:val="18"/>
                <w:szCs w:val="18"/>
              </w:rPr>
            </w:pPr>
          </w:p>
        </w:tc>
        <w:tc>
          <w:tcPr>
            <w:tcW w:w="2002" w:type="dxa"/>
            <w:vMerge w:val="continue"/>
            <w:vAlign w:val="center"/>
          </w:tcPr>
          <w:p>
            <w:pPr>
              <w:jc w:val="center"/>
              <w:rPr>
                <w:rFonts w:ascii="宋体" w:hAnsi="宋体" w:eastAsia="宋体"/>
                <w:color w:val="000000"/>
                <w:kern w:val="0"/>
                <w:sz w:val="18"/>
                <w:szCs w:val="18"/>
              </w:rPr>
            </w:pPr>
          </w:p>
        </w:tc>
        <w:tc>
          <w:tcPr>
            <w:tcW w:w="1204"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204"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一般公共预算拨款</w:t>
            </w:r>
          </w:p>
        </w:tc>
        <w:tc>
          <w:tcPr>
            <w:tcW w:w="1210"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政府性基金预算拨款</w:t>
            </w:r>
          </w:p>
        </w:tc>
        <w:tc>
          <w:tcPr>
            <w:tcW w:w="1204"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国有资本经营预算拨款</w:t>
            </w:r>
          </w:p>
        </w:tc>
        <w:tc>
          <w:tcPr>
            <w:tcW w:w="1204"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财政专户管理的收入</w:t>
            </w:r>
          </w:p>
        </w:tc>
        <w:tc>
          <w:tcPr>
            <w:tcW w:w="1204"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c>
          <w:tcPr>
            <w:tcW w:w="1204" w:type="dxa"/>
            <w:vAlign w:val="center"/>
          </w:tcPr>
          <w:p>
            <w:pPr>
              <w:jc w:val="center"/>
              <w:textAlignment w:val="center"/>
              <w:rPr>
                <w:rFonts w:ascii="宋体" w:hAnsi="宋体" w:eastAsia="宋体" w:cs="宋体"/>
                <w:color w:val="000000"/>
                <w:kern w:val="0"/>
                <w:sz w:val="18"/>
                <w:szCs w:val="18"/>
              </w:rPr>
            </w:pPr>
            <w:r>
              <w:rPr>
                <w:rFonts w:hint="eastAsia" w:ascii="宋体" w:hAnsi="宋体" w:eastAsia="宋体"/>
                <w:color w:val="000000"/>
                <w:kern w:val="0"/>
                <w:sz w:val="18"/>
                <w:szCs w:val="18"/>
              </w:rPr>
              <w:t>上年结余收入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continue"/>
          </w:tcPr>
          <w:p>
            <w:pPr>
              <w:textAlignment w:val="center"/>
              <w:rPr>
                <w:rFonts w:ascii="宋体" w:hAnsi="宋体" w:eastAsia="宋体"/>
                <w:color w:val="000000"/>
                <w:kern w:val="0"/>
                <w:sz w:val="18"/>
                <w:szCs w:val="18"/>
              </w:rPr>
            </w:pPr>
          </w:p>
        </w:tc>
        <w:tc>
          <w:tcPr>
            <w:tcW w:w="2002" w:type="dxa"/>
            <w:vMerge w:val="continue"/>
            <w:vAlign w:val="center"/>
          </w:tcPr>
          <w:p>
            <w:pPr>
              <w:textAlignment w:val="center"/>
              <w:rPr>
                <w:rFonts w:ascii="宋体" w:hAnsi="宋体" w:eastAsia="宋体"/>
                <w:color w:val="000000"/>
                <w:kern w:val="0"/>
                <w:sz w:val="18"/>
                <w:szCs w:val="18"/>
              </w:rPr>
            </w:pPr>
          </w:p>
        </w:tc>
        <w:tc>
          <w:tcPr>
            <w:tcW w:w="2002" w:type="dxa"/>
            <w:vMerge w:val="continue"/>
            <w:vAlign w:val="center"/>
          </w:tcPr>
          <w:p>
            <w:pPr>
              <w:textAlignment w:val="center"/>
              <w:rPr>
                <w:rFonts w:ascii="宋体" w:hAnsi="宋体" w:eastAsia="宋体"/>
                <w:color w:val="000000"/>
                <w:kern w:val="0"/>
                <w:sz w:val="18"/>
                <w:szCs w:val="18"/>
              </w:rPr>
            </w:pPr>
          </w:p>
        </w:tc>
        <w:tc>
          <w:tcPr>
            <w:tcW w:w="2002" w:type="dxa"/>
            <w:vMerge w:val="continue"/>
            <w:vAlign w:val="center"/>
          </w:tcPr>
          <w:p>
            <w:pPr>
              <w:jc w:val="center"/>
              <w:rPr>
                <w:rFonts w:ascii="宋体" w:hAnsi="宋体" w:eastAsia="宋体"/>
                <w:color w:val="000000"/>
                <w:kern w:val="0"/>
                <w:sz w:val="18"/>
                <w:szCs w:val="18"/>
              </w:rPr>
            </w:pPr>
          </w:p>
        </w:tc>
        <w:tc>
          <w:tcPr>
            <w:tcW w:w="1204"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1204"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1210"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1204"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1204"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1204" w:type="dxa"/>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1204"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tcPr>
          <w:p>
            <w:pPr>
              <w:textAlignment w:val="center"/>
              <w:rPr>
                <w:rFonts w:ascii="宋体" w:hAnsi="宋体" w:eastAsia="宋体"/>
                <w:sz w:val="18"/>
                <w:szCs w:val="18"/>
              </w:rPr>
            </w:pPr>
          </w:p>
        </w:tc>
        <w:tc>
          <w:tcPr>
            <w:tcW w:w="2002" w:type="dxa"/>
          </w:tcPr>
          <w:p>
            <w:pPr>
              <w:textAlignment w:val="center"/>
              <w:rPr>
                <w:rFonts w:ascii="宋体" w:hAnsi="宋体" w:eastAsia="宋体"/>
                <w:sz w:val="18"/>
                <w:szCs w:val="18"/>
              </w:rPr>
            </w:pPr>
          </w:p>
        </w:tc>
        <w:tc>
          <w:tcPr>
            <w:tcW w:w="2002" w:type="dxa"/>
            <w:vAlign w:val="center"/>
          </w:tcPr>
          <w:p>
            <w:pPr>
              <w:jc w:val="center"/>
              <w:textAlignment w:val="center"/>
              <w:rPr>
                <w:rFonts w:ascii="宋体" w:hAnsi="宋体" w:eastAsia="宋体"/>
                <w:sz w:val="18"/>
                <w:szCs w:val="18"/>
              </w:rPr>
            </w:pPr>
            <w:r>
              <w:rPr>
                <w:rFonts w:hint="eastAsia" w:ascii="宋体" w:hAnsi="宋体" w:eastAsia="宋体"/>
                <w:color w:val="000000"/>
                <w:kern w:val="0"/>
                <w:sz w:val="18"/>
                <w:szCs w:val="18"/>
              </w:rPr>
              <w:t>合计</w:t>
            </w:r>
          </w:p>
        </w:tc>
        <w:tc>
          <w:tcPr>
            <w:tcW w:w="2002" w:type="dxa"/>
            <w:vAlign w:val="center"/>
          </w:tcPr>
          <w:p>
            <w:pPr>
              <w:jc w:val="center"/>
              <w:rPr>
                <w:rFonts w:ascii="宋体" w:hAnsi="宋体" w:eastAsia="宋体"/>
                <w:color w:val="000000"/>
                <w:sz w:val="18"/>
                <w:szCs w:val="18"/>
              </w:rPr>
            </w:pP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rPr>
        <w:t>注：</w:t>
      </w:r>
      <w:bookmarkStart w:id="101" w:name="PO_part5Table11Remark1"/>
      <w:r>
        <w:rPr>
          <w:rFonts w:hint="eastAsia" w:ascii="宋体" w:hAnsi="宋体" w:eastAsia="宋体"/>
          <w:color w:val="000000"/>
          <w:kern w:val="0"/>
          <w:sz w:val="18"/>
          <w:szCs w:val="18"/>
        </w:rPr>
        <w:t>报表金额单位转换时可能存在四舍五入尾数误差。</w:t>
      </w:r>
    </w:p>
    <w:p>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2023年度没有政府购买服务预算支出，故本表无数据。</w:t>
      </w:r>
      <w:bookmarkEnd w:id="99"/>
      <w:bookmarkEnd w:id="101"/>
    </w:p>
    <w:p/>
    <w:p>
      <w:pPr>
        <w:widowControl/>
        <w:jc w:val="left"/>
      </w:pPr>
      <w:r>
        <w:br w:type="page"/>
      </w:r>
    </w:p>
    <w:tbl>
      <w:tblPr>
        <w:tblStyle w:val="8"/>
        <w:tblW w:w="5000" w:type="pct"/>
        <w:tblInd w:w="0" w:type="dxa"/>
        <w:tblLayout w:type="autofit"/>
        <w:tblCellMar>
          <w:top w:w="0" w:type="dxa"/>
          <w:left w:w="108" w:type="dxa"/>
          <w:bottom w:w="0" w:type="dxa"/>
          <w:right w:w="108" w:type="dxa"/>
        </w:tblCellMar>
      </w:tblPr>
      <w:tblGrid>
        <w:gridCol w:w="2954"/>
        <w:gridCol w:w="1599"/>
        <w:gridCol w:w="2222"/>
        <w:gridCol w:w="2602"/>
        <w:gridCol w:w="4797"/>
      </w:tblGrid>
      <w:tr>
        <w:tblPrEx>
          <w:tblCellMar>
            <w:top w:w="0" w:type="dxa"/>
            <w:left w:w="108" w:type="dxa"/>
            <w:bottom w:w="0" w:type="dxa"/>
            <w:right w:w="108" w:type="dxa"/>
          </w:tblCellMar>
        </w:tblPrEx>
        <w:trPr>
          <w:trHeight w:val="624" w:hRule="atLeast"/>
        </w:trPr>
        <w:tc>
          <w:tcPr>
            <w:tcW w:w="5000" w:type="pct"/>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2023年度部门预算柳东新区本级项目支出绩效目标申报表</w:t>
            </w:r>
          </w:p>
        </w:tc>
      </w:tr>
      <w:tr>
        <w:trPr>
          <w:trHeight w:val="624" w:hRule="atLeast"/>
        </w:trPr>
        <w:tc>
          <w:tcPr>
            <w:tcW w:w="5000" w:type="pct"/>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32"/>
                <w:szCs w:val="32"/>
              </w:rPr>
            </w:pPr>
          </w:p>
        </w:tc>
      </w:tr>
      <w:tr>
        <w:trPr>
          <w:trHeight w:val="379" w:hRule="atLeast"/>
        </w:trPr>
        <w:tc>
          <w:tcPr>
            <w:tcW w:w="104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项目名称</w:t>
            </w:r>
          </w:p>
        </w:tc>
        <w:tc>
          <w:tcPr>
            <w:tcW w:w="134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春节群众活动经费</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项目编码</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450218220420100004219</w:t>
            </w:r>
          </w:p>
        </w:tc>
      </w:tr>
      <w:tr>
        <w:tblPrEx>
          <w:tblCellMar>
            <w:top w:w="0" w:type="dxa"/>
            <w:left w:w="108" w:type="dxa"/>
            <w:bottom w:w="0" w:type="dxa"/>
            <w:right w:w="108" w:type="dxa"/>
          </w:tblCellMar>
        </w:tblPrEx>
        <w:trPr>
          <w:trHeight w:val="600" w:hRule="atLeast"/>
        </w:trPr>
        <w:tc>
          <w:tcPr>
            <w:tcW w:w="104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w:t>
            </w:r>
          </w:p>
        </w:tc>
        <w:tc>
          <w:tcPr>
            <w:tcW w:w="134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柳州市鱼峰区雒容镇公共文化服务中心</w:t>
            </w:r>
          </w:p>
        </w:tc>
        <w:tc>
          <w:tcPr>
            <w:tcW w:w="918"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项目主管单位</w:t>
            </w:r>
          </w:p>
        </w:tc>
        <w:tc>
          <w:tcPr>
            <w:tcW w:w="1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201-柳州市鱼峰区雒容镇</w:t>
            </w:r>
          </w:p>
        </w:tc>
      </w:tr>
      <w:tr>
        <w:tblPrEx>
          <w:tblCellMar>
            <w:top w:w="0" w:type="dxa"/>
            <w:left w:w="108" w:type="dxa"/>
            <w:bottom w:w="0" w:type="dxa"/>
            <w:right w:w="108" w:type="dxa"/>
          </w:tblCellMar>
        </w:tblPrEx>
        <w:trPr>
          <w:trHeight w:val="379" w:hRule="atLeast"/>
        </w:trPr>
        <w:tc>
          <w:tcPr>
            <w:tcW w:w="104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项目属性</w:t>
            </w:r>
          </w:p>
        </w:tc>
        <w:tc>
          <w:tcPr>
            <w:tcW w:w="3958" w:type="pct"/>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2-经常性项目</w:t>
            </w:r>
          </w:p>
        </w:tc>
      </w:tr>
      <w:tr>
        <w:tblPrEx>
          <w:tblCellMar>
            <w:top w:w="0" w:type="dxa"/>
            <w:left w:w="108" w:type="dxa"/>
            <w:bottom w:w="0" w:type="dxa"/>
            <w:right w:w="108" w:type="dxa"/>
          </w:tblCellMar>
        </w:tblPrEx>
        <w:trPr>
          <w:trHeight w:val="379" w:hRule="atLeast"/>
        </w:trPr>
        <w:tc>
          <w:tcPr>
            <w:tcW w:w="1042"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资金总额</w:t>
            </w:r>
          </w:p>
        </w:tc>
        <w:tc>
          <w:tcPr>
            <w:tcW w:w="134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资金来源</w:t>
            </w:r>
          </w:p>
        </w:tc>
        <w:tc>
          <w:tcPr>
            <w:tcW w:w="261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金额(元)</w:t>
            </w:r>
          </w:p>
        </w:tc>
      </w:tr>
      <w:tr>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4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2"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200000</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48" w:type="pct"/>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其中：一般公共预算拨款</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其中：上级</w:t>
            </w:r>
          </w:p>
        </w:tc>
        <w:tc>
          <w:tcPr>
            <w:tcW w:w="1692"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48"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本级</w:t>
            </w:r>
          </w:p>
        </w:tc>
        <w:tc>
          <w:tcPr>
            <w:tcW w:w="1692"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200000</w:t>
            </w:r>
          </w:p>
        </w:tc>
      </w:tr>
      <w:tr>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4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2"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4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其他资金</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2"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2040" w:hRule="atLeast"/>
        </w:trPr>
        <w:tc>
          <w:tcPr>
            <w:tcW w:w="104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项目概况(包括项目立项依据、可行性和必要性、支持范围、实施内容等)</w:t>
            </w:r>
          </w:p>
        </w:tc>
        <w:tc>
          <w:tcPr>
            <w:tcW w:w="395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春节期间组织镇上活动5万元(包括初一至初六舞龙舞狮、秧歌、山歌、彩调、腰鼓等演出经费及演员补贴、游园活动、三人制篮球赛、气排球比赛、乒乓球比赛等活动经费），镇级春晚文化活动经费6万。村社区春节活动经费1万*19个村社区=19万元。2023年春节期间组织镇上活动5万元(包括初一至初六舞龙舞狮、秧歌、山歌、彩调、腰鼓等演出经费及演员补贴、游园活动、三人制篮球赛、气排球比赛、乒乓球比赛等活动经费），送春联活动0.588万元，镇级春晚文化活动经费6万元。村社区春节活动经费1万*19个村社区=19万元。</w:t>
            </w:r>
          </w:p>
        </w:tc>
      </w:tr>
      <w:tr>
        <w:tblPrEx>
          <w:tblCellMar>
            <w:top w:w="0" w:type="dxa"/>
            <w:left w:w="108" w:type="dxa"/>
            <w:bottom w:w="0" w:type="dxa"/>
            <w:right w:w="108" w:type="dxa"/>
          </w:tblCellMar>
        </w:tblPrEx>
        <w:trPr>
          <w:trHeight w:val="379" w:hRule="atLeast"/>
        </w:trPr>
        <w:tc>
          <w:tcPr>
            <w:tcW w:w="104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项目起始时间</w:t>
            </w:r>
          </w:p>
        </w:tc>
        <w:tc>
          <w:tcPr>
            <w:tcW w:w="134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2022</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项目终止时间</w:t>
            </w:r>
          </w:p>
        </w:tc>
        <w:tc>
          <w:tcPr>
            <w:tcW w:w="1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2023</w:t>
            </w:r>
          </w:p>
        </w:tc>
      </w:tr>
      <w:tr>
        <w:tblPrEx>
          <w:tblCellMar>
            <w:top w:w="0" w:type="dxa"/>
            <w:left w:w="108" w:type="dxa"/>
            <w:bottom w:w="0" w:type="dxa"/>
            <w:right w:w="108" w:type="dxa"/>
          </w:tblCellMar>
        </w:tblPrEx>
        <w:trPr>
          <w:trHeight w:val="900" w:hRule="atLeast"/>
        </w:trPr>
        <w:tc>
          <w:tcPr>
            <w:tcW w:w="104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项目实施进度安排</w:t>
            </w:r>
          </w:p>
        </w:tc>
        <w:tc>
          <w:tcPr>
            <w:tcW w:w="395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按活动进度支付</w:t>
            </w:r>
          </w:p>
        </w:tc>
      </w:tr>
      <w:tr>
        <w:tblPrEx>
          <w:tblCellMar>
            <w:top w:w="0" w:type="dxa"/>
            <w:left w:w="108" w:type="dxa"/>
            <w:bottom w:w="0" w:type="dxa"/>
            <w:right w:w="108" w:type="dxa"/>
          </w:tblCellMar>
        </w:tblPrEx>
        <w:trPr>
          <w:trHeight w:val="1485" w:hRule="atLeast"/>
        </w:trPr>
        <w:tc>
          <w:tcPr>
            <w:tcW w:w="104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年度绩效目标</w:t>
            </w:r>
          </w:p>
        </w:tc>
        <w:tc>
          <w:tcPr>
            <w:tcW w:w="395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春节期间组织镇上活动5万元(包括初一至初六舞龙舞狮、秧歌、山歌、彩调、腰鼓等演出经费及演员补贴、游园活动、三人制篮球赛、气排球比赛、乒乓球比赛等活动经费），送春联活动0.588万元，镇级春晚文化活动经费6万元。村社区春节活动经费1万*19个村社区=19万元。丰富市民群众文艺生活，让群众充分感受春节传统氛围。</w:t>
            </w:r>
          </w:p>
        </w:tc>
      </w:tr>
      <w:tr>
        <w:tblPrEx>
          <w:tblCellMar>
            <w:top w:w="0" w:type="dxa"/>
            <w:left w:w="108" w:type="dxa"/>
            <w:bottom w:w="0" w:type="dxa"/>
            <w:right w:w="108" w:type="dxa"/>
          </w:tblCellMar>
        </w:tblPrEx>
        <w:trPr>
          <w:trHeight w:val="1425" w:hRule="atLeast"/>
        </w:trPr>
        <w:tc>
          <w:tcPr>
            <w:tcW w:w="104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中期绩效目标</w:t>
            </w:r>
          </w:p>
        </w:tc>
        <w:tc>
          <w:tcPr>
            <w:tcW w:w="395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春节期间组织镇上活动5万元(包括初一至初六舞龙舞狮、秧歌、山歌、彩调、腰鼓等演出经费及演员补贴、游园活动、三人制篮球赛、气排球比赛、乒乓球比赛等活动经费），镇级春晚文化活动经费6万。村社区春节活动经费1万*19个村社区=19万元。营造和谐积极向上乡镇社会氛围，弘扬社会主义核心价值观。</w:t>
            </w:r>
          </w:p>
        </w:tc>
      </w:tr>
      <w:tr>
        <w:trPr>
          <w:trHeight w:val="379" w:hRule="atLeast"/>
        </w:trPr>
        <w:tc>
          <w:tcPr>
            <w:tcW w:w="1042"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r>
              <w:rPr>
                <w:rFonts w:hint="eastAsia" w:ascii="宋体" w:hAnsi="宋体" w:eastAsia="宋体" w:cs="宋体"/>
                <w:b/>
                <w:bCs/>
                <w:color w:val="000000"/>
                <w:kern w:val="0"/>
                <w:sz w:val="22"/>
                <w:szCs w:val="22"/>
              </w:rPr>
              <w:t>年度</w:t>
            </w:r>
            <w:r>
              <w:rPr>
                <w:rFonts w:hint="eastAsia" w:ascii="宋体" w:hAnsi="宋体" w:eastAsia="宋体" w:cs="宋体"/>
                <w:color w:val="000000"/>
                <w:kern w:val="0"/>
                <w:sz w:val="22"/>
                <w:szCs w:val="22"/>
              </w:rPr>
              <w:t>绩效目标衡量指标</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指标内容</w:t>
            </w:r>
          </w:p>
        </w:tc>
        <w:tc>
          <w:tcPr>
            <w:tcW w:w="16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指标值</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6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产出指标</w:t>
            </w: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数量指标</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组织活动场次</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≥19场</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6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质量指标</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活动完成率</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6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时效指标</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活动时间</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1月2月</w:t>
            </w:r>
          </w:p>
        </w:tc>
      </w:tr>
      <w:tr>
        <w:tblPrEx>
          <w:tblCellMar>
            <w:top w:w="0" w:type="dxa"/>
            <w:left w:w="108" w:type="dxa"/>
            <w:bottom w:w="0" w:type="dxa"/>
            <w:right w:w="108" w:type="dxa"/>
          </w:tblCellMar>
        </w:tblPrEx>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6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活动经费</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≥305880元</w:t>
            </w:r>
          </w:p>
        </w:tc>
      </w:tr>
      <w:tr>
        <w:tblPrEx>
          <w:tblCellMar>
            <w:top w:w="0" w:type="dxa"/>
            <w:left w:w="108" w:type="dxa"/>
            <w:bottom w:w="0" w:type="dxa"/>
            <w:right w:w="108" w:type="dxa"/>
          </w:tblCellMar>
        </w:tblPrEx>
        <w:trPr>
          <w:trHeight w:val="600"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效益指标</w:t>
            </w: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社会效益指标</w:t>
            </w:r>
          </w:p>
        </w:tc>
        <w:tc>
          <w:tcPr>
            <w:tcW w:w="918"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弘扬春节传统文化，营造浓郁过节氛围</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积极意义</w:t>
            </w:r>
          </w:p>
        </w:tc>
      </w:tr>
      <w:tr>
        <w:trPr>
          <w:trHeight w:val="379" w:hRule="atLeast"/>
        </w:trPr>
        <w:tc>
          <w:tcPr>
            <w:tcW w:w="1042"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7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服务对象满意度</w:t>
            </w:r>
          </w:p>
        </w:tc>
        <w:tc>
          <w:tcPr>
            <w:tcW w:w="918"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观众满意度</w:t>
            </w:r>
          </w:p>
        </w:tc>
        <w:tc>
          <w:tcPr>
            <w:tcW w:w="16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043"/>
    <w:multiLevelType w:val="singleLevel"/>
    <w:tmpl w:val="242D0043"/>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DZiOGVlODQ5MmQxYWMzZThmMjU3ZmYzMzI2M2UifQ=="/>
  </w:docVars>
  <w:rsids>
    <w:rsidRoot w:val="00962767"/>
    <w:rsid w:val="000A1F19"/>
    <w:rsid w:val="00214743"/>
    <w:rsid w:val="00394A14"/>
    <w:rsid w:val="00962767"/>
    <w:rsid w:val="00CC463D"/>
    <w:rsid w:val="00DD23E1"/>
    <w:rsid w:val="00DF3796"/>
    <w:rsid w:val="1EB33FFA"/>
    <w:rsid w:val="32CC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批注文字 Char"/>
    <w:basedOn w:val="10"/>
    <w:link w:val="2"/>
    <w:qFormat/>
    <w:uiPriority w:val="0"/>
    <w:rPr>
      <w:rFonts w:ascii="Calibri" w:hAnsi="Calibri" w:eastAsia="仿宋_GB2312" w:cs="Times New Roman"/>
      <w:sz w:val="30"/>
      <w:szCs w:val="24"/>
    </w:rPr>
  </w:style>
  <w:style w:type="character" w:customStyle="1" w:styleId="13">
    <w:name w:val="批注框文本 Char"/>
    <w:basedOn w:val="10"/>
    <w:link w:val="3"/>
    <w:qFormat/>
    <w:uiPriority w:val="0"/>
    <w:rPr>
      <w:rFonts w:ascii="Calibri" w:hAnsi="Calibri" w:eastAsia="仿宋_GB2312" w:cs="Times New Roman"/>
      <w:sz w:val="18"/>
      <w:szCs w:val="18"/>
    </w:rPr>
  </w:style>
  <w:style w:type="character" w:customStyle="1" w:styleId="14">
    <w:name w:val="页脚 Char"/>
    <w:basedOn w:val="10"/>
    <w:link w:val="4"/>
    <w:qFormat/>
    <w:uiPriority w:val="0"/>
    <w:rPr>
      <w:rFonts w:ascii="Calibri" w:hAnsi="Calibri" w:eastAsia="仿宋_GB2312" w:cs="Times New Roman"/>
      <w:sz w:val="18"/>
      <w:szCs w:val="18"/>
    </w:rPr>
  </w:style>
  <w:style w:type="character" w:customStyle="1" w:styleId="15">
    <w:name w:val="页眉 Char"/>
    <w:basedOn w:val="10"/>
    <w:link w:val="5"/>
    <w:qFormat/>
    <w:uiPriority w:val="0"/>
    <w:rPr>
      <w:rFonts w:ascii="Calibri" w:hAnsi="Calibri" w:eastAsia="仿宋_GB2312" w:cs="Times New Roman"/>
      <w:sz w:val="18"/>
      <w:szCs w:val="18"/>
    </w:rPr>
  </w:style>
  <w:style w:type="character" w:customStyle="1" w:styleId="16">
    <w:name w:val="批注主题 Char"/>
    <w:basedOn w:val="12"/>
    <w:link w:val="7"/>
    <w:qFormat/>
    <w:uiPriority w:val="0"/>
    <w:rPr>
      <w:b/>
      <w:bCs/>
    </w:rPr>
  </w:style>
  <w:style w:type="character" w:customStyle="1" w:styleId="17">
    <w:name w:val="不明显参考1"/>
    <w:qFormat/>
    <w:uiPriority w:val="31"/>
    <w:rPr>
      <w:smallCaps/>
      <w:color w:val="5A5A5A"/>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8224</Words>
  <Characters>10807</Characters>
  <Lines>88</Lines>
  <Paragraphs>24</Paragraphs>
  <TotalTime>2</TotalTime>
  <ScaleCrop>false</ScaleCrop>
  <LinksUpToDate>false</LinksUpToDate>
  <CharactersWithSpaces>10846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2023-05-30T08:52:00Z</dcterms:created>
  <dc:creator>微软用户</dc:creator>
  <cp:lastModifiedBy>LENOVO</cp:lastModifiedBy>
  <dcterms:modified xsi:type="dcterms:W3CDTF">2023-05-31T10:39:53Z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5EE4C4929ED74465A0F032729A48E8D7_12</vt:lpwstr>
  </property>
</Properties>
</file>