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szCs w:val="28"/>
        </w:rPr>
      </w:pPr>
      <w:bookmarkStart w:id="0" w:name="_Toc426298352"/>
      <w:bookmarkStart w:id="267" w:name="_GoBack"/>
      <w:bookmarkEnd w:id="267"/>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 w:val="44"/>
          <w:szCs w:val="44"/>
        </w:rPr>
      </w:pPr>
    </w:p>
    <w:p>
      <w:pPr>
        <w:jc w:val="center"/>
        <w:rPr>
          <w:b/>
          <w:sz w:val="44"/>
          <w:szCs w:val="44"/>
        </w:rPr>
      </w:pPr>
      <w:r>
        <w:rPr>
          <w:rFonts w:hint="eastAsia"/>
          <w:b/>
          <w:sz w:val="44"/>
          <w:szCs w:val="44"/>
        </w:rPr>
        <w:t>柳东新区国民经济与社会发展</w:t>
      </w:r>
    </w:p>
    <w:p>
      <w:pPr>
        <w:jc w:val="center"/>
        <w:rPr>
          <w:b/>
          <w:sz w:val="44"/>
          <w:szCs w:val="44"/>
        </w:rPr>
      </w:pPr>
      <w:r>
        <w:rPr>
          <w:rFonts w:hint="eastAsia"/>
          <w:b/>
          <w:sz w:val="44"/>
          <w:szCs w:val="44"/>
        </w:rPr>
        <w:t>“十三五”规划</w:t>
      </w:r>
      <w:bookmarkEnd w:id="0"/>
      <w:r>
        <w:rPr>
          <w:rFonts w:hint="eastAsia"/>
          <w:b/>
          <w:sz w:val="44"/>
          <w:szCs w:val="44"/>
        </w:rPr>
        <w:t>纲要</w:t>
      </w:r>
    </w:p>
    <w:p>
      <w:pPr>
        <w:jc w:val="center"/>
        <w:rPr>
          <w:szCs w:val="28"/>
        </w:rPr>
      </w:pPr>
      <w:r>
        <w:rPr>
          <w:rFonts w:hint="eastAsia"/>
          <w:szCs w:val="28"/>
        </w:rPr>
        <w:t>(初稿)</w:t>
      </w: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p>
      <w:pPr>
        <w:rPr>
          <w:rFonts w:asciiTheme="minorEastAsia" w:hAnsiTheme="minorEastAsia"/>
          <w:szCs w:val="28"/>
        </w:rPr>
      </w:pPr>
    </w:p>
    <w:sdt>
      <w:sdtPr>
        <w:rPr>
          <w:rFonts w:asciiTheme="minorEastAsia" w:hAnsiTheme="minorEastAsia" w:eastAsiaTheme="minorEastAsia" w:cstheme="minorBidi"/>
          <w:b w:val="0"/>
          <w:bCs w:val="0"/>
          <w:color w:val="auto"/>
          <w:kern w:val="2"/>
          <w:szCs w:val="22"/>
          <w:lang w:val="zh-CN"/>
        </w:rPr>
        <w:id w:val="1530534265"/>
        <w:docPartObj>
          <w:docPartGallery w:val="Table of Contents"/>
          <w:docPartUnique/>
        </w:docPartObj>
      </w:sdtPr>
      <w:sdtEndPr>
        <w:rPr>
          <w:rFonts w:asciiTheme="minorEastAsia" w:hAnsiTheme="minorEastAsia" w:eastAsiaTheme="minorEastAsia" w:cstheme="minorBidi"/>
          <w:b w:val="0"/>
          <w:bCs w:val="0"/>
          <w:color w:val="auto"/>
          <w:kern w:val="2"/>
          <w:szCs w:val="22"/>
          <w:lang w:val="zh-CN"/>
        </w:rPr>
      </w:sdtEndPr>
      <w:sdtContent>
        <w:p>
          <w:pPr>
            <w:pStyle w:val="51"/>
            <w:jc w:val="center"/>
            <w:rPr>
              <w:rFonts w:asciiTheme="minorEastAsia" w:hAnsiTheme="minorEastAsia" w:eastAsiaTheme="minorEastAsia"/>
            </w:rPr>
          </w:pPr>
          <w:r>
            <w:rPr>
              <w:rFonts w:asciiTheme="minorEastAsia" w:hAnsiTheme="minorEastAsia" w:eastAsiaTheme="minorEastAsia"/>
              <w:lang w:val="zh-CN"/>
            </w:rPr>
            <w:t>目录</w:t>
          </w:r>
        </w:p>
        <w:p>
          <w:pPr>
            <w:pStyle w:val="18"/>
            <w:tabs>
              <w:tab w:val="right" w:leader="dot" w:pos="8296"/>
            </w:tabs>
            <w:rPr>
              <w:sz w:val="21"/>
            </w:rPr>
          </w:pPr>
          <w:r>
            <w:rPr>
              <w:rFonts w:asciiTheme="minorEastAsia" w:hAnsiTheme="minorEastAsia"/>
              <w:szCs w:val="28"/>
            </w:rPr>
            <w:fldChar w:fldCharType="begin"/>
          </w:r>
          <w:r>
            <w:rPr>
              <w:rFonts w:asciiTheme="minorEastAsia" w:hAnsiTheme="minorEastAsia"/>
              <w:szCs w:val="28"/>
            </w:rPr>
            <w:instrText xml:space="preserve"> TOC \o "1-4" \h \z \u </w:instrText>
          </w:r>
          <w:r>
            <w:rPr>
              <w:rFonts w:asciiTheme="minorEastAsia" w:hAnsiTheme="minorEastAsia"/>
              <w:szCs w:val="28"/>
            </w:rPr>
            <w:fldChar w:fldCharType="separate"/>
          </w:r>
          <w:r>
            <w:fldChar w:fldCharType="begin"/>
          </w:r>
          <w:r>
            <w:instrText xml:space="preserve"> HYPERLINK \l "_Toc458171770" </w:instrText>
          </w:r>
          <w:r>
            <w:fldChar w:fldCharType="separate"/>
          </w:r>
          <w:r>
            <w:rPr>
              <w:rStyle w:val="31"/>
              <w:rFonts w:hint="eastAsia" w:ascii="Times New Roman" w:hAnsi="Times New Roman" w:eastAsia="华文中宋" w:cs="Times New Roman"/>
              <w:lang w:val="zh-CN"/>
            </w:rPr>
            <w:t>前言</w:t>
          </w:r>
          <w:r>
            <w:tab/>
          </w:r>
          <w:r>
            <w:fldChar w:fldCharType="begin"/>
          </w:r>
          <w:r>
            <w:instrText xml:space="preserve"> PAGEREF _Toc458171770 \h </w:instrText>
          </w:r>
          <w:r>
            <w:fldChar w:fldCharType="separate"/>
          </w:r>
          <w:r>
            <w:t>8</w:t>
          </w:r>
          <w:r>
            <w:fldChar w:fldCharType="end"/>
          </w:r>
          <w:r>
            <w:fldChar w:fldCharType="end"/>
          </w:r>
        </w:p>
        <w:p>
          <w:pPr>
            <w:pStyle w:val="18"/>
            <w:tabs>
              <w:tab w:val="right" w:leader="dot" w:pos="8296"/>
            </w:tabs>
            <w:rPr>
              <w:sz w:val="21"/>
            </w:rPr>
          </w:pPr>
          <w:r>
            <w:fldChar w:fldCharType="begin"/>
          </w:r>
          <w:r>
            <w:instrText xml:space="preserve"> HYPERLINK \l "_Toc458171771" </w:instrText>
          </w:r>
          <w:r>
            <w:fldChar w:fldCharType="separate"/>
          </w:r>
          <w:r>
            <w:rPr>
              <w:rStyle w:val="31"/>
              <w:rFonts w:hint="eastAsia" w:ascii="Times New Roman" w:hAnsi="Times New Roman" w:eastAsia="华文中宋" w:cs="Times New Roman"/>
              <w:lang w:val="zh-CN" w:eastAsia="zh-CN"/>
            </w:rPr>
            <w:t>第一篇</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率先全面建成小康社会</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打造创新型国家级新区</w:t>
          </w:r>
          <w:r>
            <w:tab/>
          </w:r>
          <w:r>
            <w:fldChar w:fldCharType="begin"/>
          </w:r>
          <w:r>
            <w:instrText xml:space="preserve"> PAGEREF _Toc458171771 \h </w:instrText>
          </w:r>
          <w:r>
            <w:fldChar w:fldCharType="separate"/>
          </w:r>
          <w:r>
            <w:t>8</w:t>
          </w:r>
          <w:r>
            <w:fldChar w:fldCharType="end"/>
          </w:r>
          <w:r>
            <w:fldChar w:fldCharType="end"/>
          </w:r>
        </w:p>
        <w:p>
          <w:pPr>
            <w:pStyle w:val="18"/>
            <w:tabs>
              <w:tab w:val="right" w:leader="dot" w:pos="8296"/>
            </w:tabs>
            <w:rPr>
              <w:sz w:val="21"/>
            </w:rPr>
          </w:pPr>
          <w:r>
            <w:fldChar w:fldCharType="begin"/>
          </w:r>
          <w:r>
            <w:instrText xml:space="preserve"> HYPERLINK \l "_Toc458171772" </w:instrText>
          </w:r>
          <w:r>
            <w:fldChar w:fldCharType="separate"/>
          </w:r>
          <w:r>
            <w:rPr>
              <w:rStyle w:val="31"/>
              <w:rFonts w:hint="eastAsia" w:ascii="Times New Roman" w:hAnsi="Times New Roman" w:eastAsia="黑体" w:cs="Times New Roman"/>
              <w:lang w:val="zh-CN" w:eastAsia="zh-CN"/>
            </w:rPr>
            <w:t>第一章</w:t>
          </w:r>
          <w:r>
            <w:rPr>
              <w:rStyle w:val="31"/>
              <w:rFonts w:ascii="Times New Roman" w:hAnsi="Times New Roman" w:eastAsia="黑体" w:cs="Times New Roman"/>
              <w:lang w:val="zh-CN"/>
            </w:rPr>
            <w:t xml:space="preserve"> “</w:t>
          </w:r>
          <w:r>
            <w:rPr>
              <w:rStyle w:val="31"/>
              <w:rFonts w:hint="eastAsia" w:ascii="Times New Roman" w:hAnsi="Times New Roman" w:eastAsia="黑体" w:cs="Times New Roman"/>
              <w:lang w:val="zh-CN" w:eastAsia="zh-CN"/>
            </w:rPr>
            <w:t>十二五”时期</w:t>
          </w:r>
          <w:r>
            <w:rPr>
              <w:rStyle w:val="31"/>
              <w:rFonts w:hint="eastAsia" w:ascii="Times New Roman" w:hAnsi="Times New Roman" w:eastAsia="黑体" w:cs="Times New Roman"/>
              <w:lang w:val="zh-CN"/>
            </w:rPr>
            <w:t>的</w:t>
          </w:r>
          <w:r>
            <w:rPr>
              <w:rStyle w:val="31"/>
              <w:rFonts w:hint="eastAsia" w:ascii="Times New Roman" w:hAnsi="Times New Roman" w:eastAsia="黑体" w:cs="Times New Roman"/>
              <w:lang w:val="zh-CN" w:eastAsia="zh-CN"/>
            </w:rPr>
            <w:t>发展成就</w:t>
          </w:r>
          <w:r>
            <w:tab/>
          </w:r>
          <w:r>
            <w:fldChar w:fldCharType="begin"/>
          </w:r>
          <w:r>
            <w:instrText xml:space="preserve"> PAGEREF _Toc458171772 \h </w:instrText>
          </w:r>
          <w:r>
            <w:fldChar w:fldCharType="separate"/>
          </w:r>
          <w:r>
            <w:t>8</w:t>
          </w:r>
          <w:r>
            <w:fldChar w:fldCharType="end"/>
          </w:r>
          <w:r>
            <w:fldChar w:fldCharType="end"/>
          </w:r>
        </w:p>
        <w:p>
          <w:pPr>
            <w:pStyle w:val="18"/>
            <w:tabs>
              <w:tab w:val="right" w:leader="dot" w:pos="8296"/>
            </w:tabs>
            <w:rPr>
              <w:sz w:val="21"/>
            </w:rPr>
          </w:pPr>
          <w:r>
            <w:fldChar w:fldCharType="begin"/>
          </w:r>
          <w:r>
            <w:instrText xml:space="preserve"> HYPERLINK \l "_Toc458171773" </w:instrText>
          </w:r>
          <w:r>
            <w:fldChar w:fldCharType="separate"/>
          </w:r>
          <w:r>
            <w:rPr>
              <w:rStyle w:val="31"/>
              <w:rFonts w:hint="eastAsia" w:ascii="Times New Roman" w:hAnsi="Times New Roman" w:eastAsia="黑体" w:cs="Times New Roman"/>
              <w:lang w:val="zh-CN"/>
            </w:rPr>
            <w:t>第二章</w:t>
          </w:r>
          <w:r>
            <w:rPr>
              <w:rStyle w:val="31"/>
              <w:rFonts w:ascii="Times New Roman" w:hAnsi="Times New Roman" w:eastAsia="黑体" w:cs="Times New Roman"/>
              <w:lang w:val="zh-CN"/>
            </w:rPr>
            <w:t xml:space="preserve"> “</w:t>
          </w:r>
          <w:r>
            <w:rPr>
              <w:rStyle w:val="31"/>
              <w:rFonts w:hint="eastAsia" w:ascii="Times New Roman" w:hAnsi="Times New Roman" w:eastAsia="黑体" w:cs="Times New Roman"/>
              <w:lang w:val="zh-CN"/>
            </w:rPr>
            <w:t>十三五</w:t>
          </w:r>
          <w:r>
            <w:rPr>
              <w:rStyle w:val="31"/>
              <w:rFonts w:ascii="Times New Roman" w:hAnsi="Times New Roman" w:eastAsia="黑体" w:cs="Times New Roman"/>
              <w:lang w:val="zh-CN"/>
            </w:rPr>
            <w:t>”</w:t>
          </w:r>
          <w:r>
            <w:rPr>
              <w:rStyle w:val="31"/>
              <w:rFonts w:hint="eastAsia" w:ascii="Times New Roman" w:hAnsi="Times New Roman" w:eastAsia="黑体" w:cs="Times New Roman"/>
              <w:lang w:val="zh-CN"/>
            </w:rPr>
            <w:t>发展特征</w:t>
          </w:r>
          <w:r>
            <w:tab/>
          </w:r>
          <w:r>
            <w:fldChar w:fldCharType="begin"/>
          </w:r>
          <w:r>
            <w:instrText xml:space="preserve"> PAGEREF _Toc458171773 \h </w:instrText>
          </w:r>
          <w:r>
            <w:fldChar w:fldCharType="separate"/>
          </w:r>
          <w:r>
            <w:t>12</w:t>
          </w:r>
          <w:r>
            <w:fldChar w:fldCharType="end"/>
          </w:r>
          <w:r>
            <w:fldChar w:fldCharType="end"/>
          </w:r>
        </w:p>
        <w:p>
          <w:pPr>
            <w:pStyle w:val="18"/>
            <w:tabs>
              <w:tab w:val="right" w:leader="dot" w:pos="8296"/>
            </w:tabs>
            <w:rPr>
              <w:sz w:val="21"/>
            </w:rPr>
          </w:pPr>
          <w:r>
            <w:fldChar w:fldCharType="begin"/>
          </w:r>
          <w:r>
            <w:instrText xml:space="preserve"> HYPERLINK \l "_Toc458171774" </w:instrText>
          </w:r>
          <w:r>
            <w:fldChar w:fldCharType="separate"/>
          </w:r>
          <w:r>
            <w:rPr>
              <w:rStyle w:val="31"/>
              <w:rFonts w:hint="eastAsia" w:ascii="Times New Roman" w:hAnsi="Times New Roman" w:eastAsia="黑体" w:cs="Times New Roman"/>
              <w:lang w:val="zh-CN"/>
            </w:rPr>
            <w:t>第三章</w:t>
          </w:r>
          <w:r>
            <w:rPr>
              <w:rStyle w:val="31"/>
              <w:rFonts w:ascii="Times New Roman" w:hAnsi="Times New Roman" w:eastAsia="黑体" w:cs="Times New Roman"/>
              <w:lang w:val="zh-CN"/>
            </w:rPr>
            <w:t xml:space="preserve"> </w:t>
          </w:r>
          <w:r>
            <w:rPr>
              <w:rStyle w:val="31"/>
              <w:rFonts w:hint="eastAsia" w:ascii="Times New Roman" w:hAnsi="Times New Roman" w:eastAsia="黑体" w:cs="Times New Roman"/>
              <w:lang w:val="zh-CN" w:eastAsia="zh-CN"/>
            </w:rPr>
            <w:t>“十三五”发展环境</w:t>
          </w:r>
          <w:r>
            <w:tab/>
          </w:r>
          <w:r>
            <w:fldChar w:fldCharType="begin"/>
          </w:r>
          <w:r>
            <w:instrText xml:space="preserve"> PAGEREF _Toc458171774 \h </w:instrText>
          </w:r>
          <w:r>
            <w:fldChar w:fldCharType="separate"/>
          </w:r>
          <w:r>
            <w:t>14</w:t>
          </w:r>
          <w:r>
            <w:fldChar w:fldCharType="end"/>
          </w:r>
          <w:r>
            <w:fldChar w:fldCharType="end"/>
          </w:r>
        </w:p>
        <w:p>
          <w:pPr>
            <w:pStyle w:val="18"/>
            <w:tabs>
              <w:tab w:val="right" w:leader="dot" w:pos="8296"/>
            </w:tabs>
            <w:rPr>
              <w:sz w:val="21"/>
            </w:rPr>
          </w:pPr>
          <w:r>
            <w:fldChar w:fldCharType="begin"/>
          </w:r>
          <w:r>
            <w:instrText xml:space="preserve"> HYPERLINK \l "_Toc458171775" </w:instrText>
          </w:r>
          <w:r>
            <w:fldChar w:fldCharType="separate"/>
          </w:r>
          <w:r>
            <w:rPr>
              <w:rStyle w:val="31"/>
              <w:rFonts w:hint="eastAsia" w:ascii="Times New Roman" w:hAnsi="Times New Roman" w:eastAsia="黑体" w:cs="Times New Roman"/>
              <w:lang w:val="zh-CN"/>
            </w:rPr>
            <w:t>第四章</w:t>
          </w:r>
          <w:r>
            <w:rPr>
              <w:rStyle w:val="31"/>
              <w:rFonts w:ascii="Times New Roman" w:hAnsi="Times New Roman" w:eastAsia="黑体" w:cs="Times New Roman"/>
              <w:lang w:val="zh-CN"/>
            </w:rPr>
            <w:t xml:space="preserve"> </w:t>
          </w:r>
          <w:r>
            <w:rPr>
              <w:rStyle w:val="31"/>
              <w:rFonts w:hint="eastAsia" w:ascii="Times New Roman" w:hAnsi="Times New Roman" w:eastAsia="黑体" w:cs="Times New Roman"/>
              <w:lang w:val="zh-CN" w:eastAsia="zh-CN"/>
            </w:rPr>
            <w:t>“十三五”</w:t>
          </w:r>
          <w:r>
            <w:rPr>
              <w:rStyle w:val="31"/>
              <w:rFonts w:hint="eastAsia" w:ascii="Times New Roman" w:hAnsi="Times New Roman" w:eastAsia="黑体" w:cs="Times New Roman"/>
              <w:lang w:val="zh-CN"/>
            </w:rPr>
            <w:t>的发展蓝图</w:t>
          </w:r>
          <w:r>
            <w:tab/>
          </w:r>
          <w:r>
            <w:fldChar w:fldCharType="begin"/>
          </w:r>
          <w:r>
            <w:instrText xml:space="preserve"> PAGEREF _Toc458171775 \h </w:instrText>
          </w:r>
          <w:r>
            <w:fldChar w:fldCharType="separate"/>
          </w:r>
          <w:r>
            <w:t>19</w:t>
          </w:r>
          <w:r>
            <w:fldChar w:fldCharType="end"/>
          </w:r>
          <w:r>
            <w:fldChar w:fldCharType="end"/>
          </w:r>
        </w:p>
        <w:p>
          <w:pPr>
            <w:pStyle w:val="11"/>
            <w:tabs>
              <w:tab w:val="right" w:leader="dot" w:pos="8296"/>
            </w:tabs>
            <w:ind w:left="1120"/>
            <w:rPr>
              <w:sz w:val="21"/>
            </w:rPr>
          </w:pPr>
          <w:r>
            <w:fldChar w:fldCharType="begin"/>
          </w:r>
          <w:r>
            <w:instrText xml:space="preserve"> HYPERLINK \l "_Toc458171776" </w:instrText>
          </w:r>
          <w:r>
            <w:fldChar w:fldCharType="separate"/>
          </w:r>
          <w:r>
            <w:rPr>
              <w:rStyle w:val="31"/>
              <w:rFonts w:hint="eastAsia" w:ascii="Times New Roman" w:hAnsi="Times New Roman" w:eastAsia="楷体" w:cs="Times New Roman"/>
              <w:kern w:val="0"/>
              <w:lang w:val="zh-CN" w:eastAsia="zh-CN"/>
            </w:rPr>
            <w:t>第一节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指导思想</w:t>
          </w:r>
          <w:r>
            <w:tab/>
          </w:r>
          <w:r>
            <w:fldChar w:fldCharType="begin"/>
          </w:r>
          <w:r>
            <w:instrText xml:space="preserve"> PAGEREF _Toc458171776 \h </w:instrText>
          </w:r>
          <w:r>
            <w:fldChar w:fldCharType="separate"/>
          </w:r>
          <w:r>
            <w:t>19</w:t>
          </w:r>
          <w:r>
            <w:fldChar w:fldCharType="end"/>
          </w:r>
          <w:r>
            <w:fldChar w:fldCharType="end"/>
          </w:r>
        </w:p>
        <w:p>
          <w:pPr>
            <w:pStyle w:val="11"/>
            <w:tabs>
              <w:tab w:val="right" w:leader="dot" w:pos="8296"/>
            </w:tabs>
            <w:ind w:left="1120"/>
            <w:rPr>
              <w:sz w:val="21"/>
            </w:rPr>
          </w:pPr>
          <w:r>
            <w:fldChar w:fldCharType="begin"/>
          </w:r>
          <w:r>
            <w:instrText xml:space="preserve"> HYPERLINK \l "_Toc458171777" </w:instrText>
          </w:r>
          <w:r>
            <w:fldChar w:fldCharType="separate"/>
          </w:r>
          <w:r>
            <w:rPr>
              <w:rStyle w:val="31"/>
              <w:rFonts w:hint="eastAsia" w:ascii="Times New Roman" w:hAnsi="Times New Roman" w:eastAsia="楷体" w:cs="Times New Roman"/>
              <w:kern w:val="0"/>
              <w:lang w:val="zh-CN" w:eastAsia="zh-CN"/>
            </w:rPr>
            <w:t>第二节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发展原则</w:t>
          </w:r>
          <w:r>
            <w:tab/>
          </w:r>
          <w:r>
            <w:fldChar w:fldCharType="begin"/>
          </w:r>
          <w:r>
            <w:instrText xml:space="preserve"> PAGEREF _Toc458171777 \h </w:instrText>
          </w:r>
          <w:r>
            <w:fldChar w:fldCharType="separate"/>
          </w:r>
          <w:r>
            <w:t>20</w:t>
          </w:r>
          <w:r>
            <w:fldChar w:fldCharType="end"/>
          </w:r>
          <w:r>
            <w:fldChar w:fldCharType="end"/>
          </w:r>
        </w:p>
        <w:p>
          <w:pPr>
            <w:pStyle w:val="11"/>
            <w:tabs>
              <w:tab w:val="right" w:leader="dot" w:pos="8296"/>
            </w:tabs>
            <w:ind w:left="1120"/>
            <w:rPr>
              <w:sz w:val="21"/>
            </w:rPr>
          </w:pPr>
          <w:r>
            <w:fldChar w:fldCharType="begin"/>
          </w:r>
          <w:r>
            <w:instrText xml:space="preserve"> HYPERLINK \l "_Toc458171778" </w:instrText>
          </w:r>
          <w:r>
            <w:fldChar w:fldCharType="separate"/>
          </w:r>
          <w:r>
            <w:rPr>
              <w:rStyle w:val="31"/>
              <w:rFonts w:hint="eastAsia" w:ascii="Times New Roman" w:hAnsi="Times New Roman" w:eastAsia="楷体" w:cs="Times New Roman"/>
              <w:kern w:val="0"/>
              <w:lang w:val="zh-CN" w:eastAsia="zh-CN"/>
            </w:rPr>
            <w:t>第三节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发展目标</w:t>
          </w:r>
          <w:r>
            <w:tab/>
          </w:r>
          <w:r>
            <w:fldChar w:fldCharType="begin"/>
          </w:r>
          <w:r>
            <w:instrText xml:space="preserve"> PAGEREF _Toc458171778 \h </w:instrText>
          </w:r>
          <w:r>
            <w:fldChar w:fldCharType="separate"/>
          </w:r>
          <w:r>
            <w:t>22</w:t>
          </w:r>
          <w:r>
            <w:fldChar w:fldCharType="end"/>
          </w:r>
          <w:r>
            <w:fldChar w:fldCharType="end"/>
          </w:r>
        </w:p>
        <w:p>
          <w:pPr>
            <w:pStyle w:val="18"/>
            <w:tabs>
              <w:tab w:val="right" w:leader="dot" w:pos="8296"/>
            </w:tabs>
            <w:rPr>
              <w:sz w:val="21"/>
            </w:rPr>
          </w:pPr>
          <w:r>
            <w:fldChar w:fldCharType="begin"/>
          </w:r>
          <w:r>
            <w:instrText xml:space="preserve"> HYPERLINK \l "_Toc458171779" </w:instrText>
          </w:r>
          <w:r>
            <w:fldChar w:fldCharType="separate"/>
          </w:r>
          <w:r>
            <w:rPr>
              <w:rStyle w:val="31"/>
              <w:rFonts w:hint="eastAsia" w:ascii="Times New Roman" w:hAnsi="Times New Roman" w:eastAsia="华文中宋" w:cs="Times New Roman"/>
              <w:lang w:val="zh-CN" w:eastAsia="zh-CN"/>
            </w:rPr>
            <w:t>第二篇</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实施创新驱动战略</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全面推进实业兴区</w:t>
          </w:r>
          <w:r>
            <w:tab/>
          </w:r>
          <w:r>
            <w:fldChar w:fldCharType="begin"/>
          </w:r>
          <w:r>
            <w:instrText xml:space="preserve"> PAGEREF _Toc458171779 \h </w:instrText>
          </w:r>
          <w:r>
            <w:fldChar w:fldCharType="separate"/>
          </w:r>
          <w:r>
            <w:t>28</w:t>
          </w:r>
          <w:r>
            <w:fldChar w:fldCharType="end"/>
          </w:r>
          <w:r>
            <w:fldChar w:fldCharType="end"/>
          </w:r>
        </w:p>
        <w:p>
          <w:pPr>
            <w:pStyle w:val="18"/>
            <w:tabs>
              <w:tab w:val="right" w:leader="dot" w:pos="8296"/>
            </w:tabs>
            <w:rPr>
              <w:sz w:val="21"/>
            </w:rPr>
          </w:pPr>
          <w:r>
            <w:fldChar w:fldCharType="begin"/>
          </w:r>
          <w:r>
            <w:instrText xml:space="preserve"> HYPERLINK \l "_Toc458171780" </w:instrText>
          </w:r>
          <w:r>
            <w:fldChar w:fldCharType="separate"/>
          </w:r>
          <w:r>
            <w:rPr>
              <w:rStyle w:val="31"/>
              <w:rFonts w:hint="eastAsia" w:ascii="Times New Roman" w:hAnsi="Times New Roman" w:eastAsia="黑体" w:cs="Times New Roman"/>
              <w:lang w:val="zh-CN" w:eastAsia="zh-CN"/>
            </w:rPr>
            <w:t>第</w:t>
          </w:r>
          <w:r>
            <w:rPr>
              <w:rStyle w:val="31"/>
              <w:rFonts w:hint="eastAsia" w:ascii="Times New Roman" w:hAnsi="Times New Roman" w:eastAsia="黑体" w:cs="Times New Roman"/>
              <w:lang w:val="zh-CN"/>
            </w:rPr>
            <w:t>五</w:t>
          </w:r>
          <w:r>
            <w:rPr>
              <w:rStyle w:val="31"/>
              <w:rFonts w:hint="eastAsia" w:ascii="Times New Roman" w:hAnsi="Times New Roman" w:eastAsia="黑体" w:cs="Times New Roman"/>
              <w:lang w:val="zh-CN" w:eastAsia="zh-CN"/>
            </w:rPr>
            <w:t>章</w:t>
          </w:r>
          <w:r>
            <w:rPr>
              <w:rStyle w:val="31"/>
              <w:rFonts w:ascii="Times New Roman" w:hAnsi="Times New Roman" w:eastAsia="黑体" w:cs="Times New Roman"/>
              <w:lang w:val="zh-CN"/>
            </w:rPr>
            <w:t xml:space="preserve"> </w:t>
          </w:r>
          <w:r>
            <w:rPr>
              <w:rStyle w:val="31"/>
              <w:rFonts w:hint="eastAsia" w:ascii="Times New Roman" w:hAnsi="Times New Roman" w:eastAsia="黑体" w:cs="Times New Roman"/>
              <w:lang w:val="zh-CN" w:eastAsia="zh-CN"/>
            </w:rPr>
            <w:t>创建国家创业创新型新区</w:t>
          </w:r>
          <w:r>
            <w:tab/>
          </w:r>
          <w:r>
            <w:fldChar w:fldCharType="begin"/>
          </w:r>
          <w:r>
            <w:instrText xml:space="preserve"> PAGEREF _Toc458171780 \h </w:instrText>
          </w:r>
          <w:r>
            <w:fldChar w:fldCharType="separate"/>
          </w:r>
          <w:r>
            <w:t>28</w:t>
          </w:r>
          <w:r>
            <w:fldChar w:fldCharType="end"/>
          </w:r>
          <w:r>
            <w:fldChar w:fldCharType="end"/>
          </w:r>
        </w:p>
        <w:p>
          <w:pPr>
            <w:pStyle w:val="11"/>
            <w:tabs>
              <w:tab w:val="right" w:leader="dot" w:pos="8296"/>
            </w:tabs>
            <w:ind w:left="1120"/>
            <w:rPr>
              <w:sz w:val="21"/>
            </w:rPr>
          </w:pPr>
          <w:r>
            <w:fldChar w:fldCharType="begin"/>
          </w:r>
          <w:r>
            <w:instrText xml:space="preserve"> HYPERLINK \l "_Toc458171781" </w:instrText>
          </w:r>
          <w:r>
            <w:fldChar w:fldCharType="separate"/>
          </w:r>
          <w:r>
            <w:rPr>
              <w:rStyle w:val="31"/>
              <w:rFonts w:hint="eastAsia" w:ascii="Times New Roman" w:hAnsi="Times New Roman" w:eastAsia="楷体" w:cs="Times New Roman"/>
              <w:kern w:val="0"/>
              <w:lang w:val="zh-CN" w:eastAsia="zh-CN"/>
            </w:rPr>
            <w:t>第一节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增强企业自主创新能力</w:t>
          </w:r>
          <w:r>
            <w:tab/>
          </w:r>
          <w:r>
            <w:fldChar w:fldCharType="begin"/>
          </w:r>
          <w:r>
            <w:instrText xml:space="preserve"> PAGEREF _Toc458171781 \h </w:instrText>
          </w:r>
          <w:r>
            <w:fldChar w:fldCharType="separate"/>
          </w:r>
          <w:r>
            <w:t>28</w:t>
          </w:r>
          <w:r>
            <w:fldChar w:fldCharType="end"/>
          </w:r>
          <w:r>
            <w:fldChar w:fldCharType="end"/>
          </w:r>
        </w:p>
        <w:p>
          <w:pPr>
            <w:pStyle w:val="11"/>
            <w:tabs>
              <w:tab w:val="right" w:leader="dot" w:pos="8296"/>
            </w:tabs>
            <w:ind w:left="1120"/>
            <w:rPr>
              <w:sz w:val="21"/>
            </w:rPr>
          </w:pPr>
          <w:r>
            <w:fldChar w:fldCharType="begin"/>
          </w:r>
          <w:r>
            <w:instrText xml:space="preserve"> HYPERLINK \l "_Toc458171782" </w:instrText>
          </w:r>
          <w:r>
            <w:fldChar w:fldCharType="separate"/>
          </w:r>
          <w:r>
            <w:rPr>
              <w:rStyle w:val="31"/>
              <w:rFonts w:hint="eastAsia" w:ascii="Times New Roman" w:hAnsi="Times New Roman" w:eastAsia="楷体" w:cs="Times New Roman"/>
              <w:kern w:val="0"/>
              <w:lang w:val="zh-CN" w:eastAsia="zh-CN"/>
            </w:rPr>
            <w:t>第二节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加强公共创新平台建设</w:t>
          </w:r>
          <w:r>
            <w:tab/>
          </w:r>
          <w:r>
            <w:fldChar w:fldCharType="begin"/>
          </w:r>
          <w:r>
            <w:instrText xml:space="preserve"> PAGEREF _Toc458171782 \h </w:instrText>
          </w:r>
          <w:r>
            <w:fldChar w:fldCharType="separate"/>
          </w:r>
          <w:r>
            <w:t>29</w:t>
          </w:r>
          <w:r>
            <w:fldChar w:fldCharType="end"/>
          </w:r>
          <w:r>
            <w:fldChar w:fldCharType="end"/>
          </w:r>
        </w:p>
        <w:p>
          <w:pPr>
            <w:pStyle w:val="11"/>
            <w:tabs>
              <w:tab w:val="right" w:leader="dot" w:pos="8296"/>
            </w:tabs>
            <w:ind w:left="1120"/>
            <w:rPr>
              <w:sz w:val="21"/>
            </w:rPr>
          </w:pPr>
          <w:r>
            <w:fldChar w:fldCharType="begin"/>
          </w:r>
          <w:r>
            <w:instrText xml:space="preserve"> HYPERLINK \l "_Toc458171783" </w:instrText>
          </w:r>
          <w:r>
            <w:fldChar w:fldCharType="separate"/>
          </w:r>
          <w:r>
            <w:rPr>
              <w:rStyle w:val="31"/>
              <w:rFonts w:hint="eastAsia" w:ascii="Times New Roman" w:hAnsi="Times New Roman" w:eastAsia="楷体" w:cs="Times New Roman"/>
              <w:kern w:val="0"/>
              <w:lang w:val="zh-CN" w:eastAsia="zh-CN"/>
            </w:rPr>
            <w:t>第三节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完善产学研合作机制</w:t>
          </w:r>
          <w:r>
            <w:tab/>
          </w:r>
          <w:r>
            <w:fldChar w:fldCharType="begin"/>
          </w:r>
          <w:r>
            <w:instrText xml:space="preserve"> PAGEREF _Toc458171783 \h </w:instrText>
          </w:r>
          <w:r>
            <w:fldChar w:fldCharType="separate"/>
          </w:r>
          <w:r>
            <w:t>29</w:t>
          </w:r>
          <w:r>
            <w:fldChar w:fldCharType="end"/>
          </w:r>
          <w:r>
            <w:fldChar w:fldCharType="end"/>
          </w:r>
        </w:p>
        <w:p>
          <w:pPr>
            <w:pStyle w:val="11"/>
            <w:tabs>
              <w:tab w:val="right" w:leader="dot" w:pos="8296"/>
            </w:tabs>
            <w:ind w:left="1120"/>
            <w:rPr>
              <w:sz w:val="21"/>
            </w:rPr>
          </w:pPr>
          <w:r>
            <w:fldChar w:fldCharType="begin"/>
          </w:r>
          <w:r>
            <w:instrText xml:space="preserve"> HYPERLINK \l "_Toc458171784" </w:instrText>
          </w:r>
          <w:r>
            <w:fldChar w:fldCharType="separate"/>
          </w:r>
          <w:r>
            <w:rPr>
              <w:rStyle w:val="31"/>
              <w:rFonts w:hint="eastAsia" w:ascii="Times New Roman" w:hAnsi="Times New Roman" w:eastAsia="楷体" w:cs="Times New Roman"/>
              <w:kern w:val="0"/>
              <w:lang w:val="zh-CN" w:eastAsia="zh-CN"/>
            </w:rPr>
            <w:t>第四节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建设创新创业人才高地</w:t>
          </w:r>
          <w:r>
            <w:tab/>
          </w:r>
          <w:r>
            <w:fldChar w:fldCharType="begin"/>
          </w:r>
          <w:r>
            <w:instrText xml:space="preserve"> PAGEREF _Toc458171784 \h </w:instrText>
          </w:r>
          <w:r>
            <w:fldChar w:fldCharType="separate"/>
          </w:r>
          <w:r>
            <w:t>30</w:t>
          </w:r>
          <w:r>
            <w:fldChar w:fldCharType="end"/>
          </w:r>
          <w:r>
            <w:fldChar w:fldCharType="end"/>
          </w:r>
        </w:p>
        <w:p>
          <w:pPr>
            <w:pStyle w:val="11"/>
            <w:tabs>
              <w:tab w:val="right" w:leader="dot" w:pos="8296"/>
            </w:tabs>
            <w:ind w:left="1120"/>
            <w:rPr>
              <w:sz w:val="21"/>
            </w:rPr>
          </w:pPr>
          <w:r>
            <w:fldChar w:fldCharType="begin"/>
          </w:r>
          <w:r>
            <w:instrText xml:space="preserve"> HYPERLINK \l "_Toc458171785" </w:instrText>
          </w:r>
          <w:r>
            <w:fldChar w:fldCharType="separate"/>
          </w:r>
          <w:r>
            <w:rPr>
              <w:rStyle w:val="31"/>
              <w:rFonts w:hint="eastAsia" w:ascii="Times New Roman" w:hAnsi="Times New Roman" w:eastAsia="楷体" w:cs="Times New Roman"/>
              <w:kern w:val="0"/>
              <w:lang w:val="zh-CN" w:eastAsia="zh-CN"/>
            </w:rPr>
            <w:t>第五节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优化创新创业环境</w:t>
          </w:r>
          <w:r>
            <w:tab/>
          </w:r>
          <w:r>
            <w:fldChar w:fldCharType="begin"/>
          </w:r>
          <w:r>
            <w:instrText xml:space="preserve"> PAGEREF _Toc458171785 \h </w:instrText>
          </w:r>
          <w:r>
            <w:fldChar w:fldCharType="separate"/>
          </w:r>
          <w:r>
            <w:t>31</w:t>
          </w:r>
          <w:r>
            <w:fldChar w:fldCharType="end"/>
          </w:r>
          <w:r>
            <w:fldChar w:fldCharType="end"/>
          </w:r>
        </w:p>
        <w:p>
          <w:pPr>
            <w:pStyle w:val="11"/>
            <w:tabs>
              <w:tab w:val="right" w:leader="dot" w:pos="8296"/>
            </w:tabs>
            <w:ind w:left="1120"/>
            <w:rPr>
              <w:sz w:val="21"/>
            </w:rPr>
          </w:pPr>
          <w:r>
            <w:fldChar w:fldCharType="begin"/>
          </w:r>
          <w:r>
            <w:instrText xml:space="preserve"> HYPERLINK \l "_Toc458171786" </w:instrText>
          </w:r>
          <w:r>
            <w:fldChar w:fldCharType="separate"/>
          </w:r>
          <w:r>
            <w:rPr>
              <w:rStyle w:val="31"/>
              <w:rFonts w:hint="eastAsia" w:ascii="Times New Roman" w:hAnsi="Times New Roman" w:eastAsia="楷体" w:cs="Times New Roman"/>
              <w:kern w:val="0"/>
              <w:lang w:val="zh-CN" w:eastAsia="zh-CN"/>
            </w:rPr>
            <w:t>第六节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建设全国知名品牌创建示范区</w:t>
          </w:r>
          <w:r>
            <w:tab/>
          </w:r>
          <w:r>
            <w:fldChar w:fldCharType="begin"/>
          </w:r>
          <w:r>
            <w:instrText xml:space="preserve"> PAGEREF _Toc458171786 \h </w:instrText>
          </w:r>
          <w:r>
            <w:fldChar w:fldCharType="separate"/>
          </w:r>
          <w:r>
            <w:t>32</w:t>
          </w:r>
          <w:r>
            <w:fldChar w:fldCharType="end"/>
          </w:r>
          <w:r>
            <w:fldChar w:fldCharType="end"/>
          </w:r>
        </w:p>
        <w:p>
          <w:pPr>
            <w:pStyle w:val="18"/>
            <w:tabs>
              <w:tab w:val="right" w:leader="dot" w:pos="8296"/>
            </w:tabs>
            <w:rPr>
              <w:sz w:val="21"/>
            </w:rPr>
          </w:pPr>
          <w:r>
            <w:fldChar w:fldCharType="begin"/>
          </w:r>
          <w:r>
            <w:instrText xml:space="preserve"> HYPERLINK \l "_Toc458171787" </w:instrText>
          </w:r>
          <w:r>
            <w:fldChar w:fldCharType="separate"/>
          </w:r>
          <w:r>
            <w:rPr>
              <w:rStyle w:val="31"/>
              <w:rFonts w:hint="eastAsia" w:ascii="Times New Roman" w:hAnsi="Times New Roman" w:eastAsia="黑体" w:cs="Times New Roman"/>
              <w:lang w:val="zh-CN" w:eastAsia="zh-CN"/>
            </w:rPr>
            <w:t>第</w:t>
          </w:r>
          <w:r>
            <w:rPr>
              <w:rStyle w:val="31"/>
              <w:rFonts w:hint="eastAsia" w:ascii="Times New Roman" w:hAnsi="Times New Roman" w:eastAsia="黑体" w:cs="Times New Roman"/>
              <w:lang w:val="zh-CN"/>
            </w:rPr>
            <w:t>六</w:t>
          </w:r>
          <w:r>
            <w:rPr>
              <w:rStyle w:val="31"/>
              <w:rFonts w:hint="eastAsia" w:ascii="Times New Roman" w:hAnsi="Times New Roman" w:eastAsia="黑体" w:cs="Times New Roman"/>
              <w:lang w:val="zh-CN" w:eastAsia="zh-CN"/>
            </w:rPr>
            <w:t>章</w:t>
          </w:r>
          <w:r>
            <w:rPr>
              <w:rStyle w:val="31"/>
              <w:rFonts w:ascii="Times New Roman" w:hAnsi="Times New Roman" w:eastAsia="黑体" w:cs="Times New Roman"/>
              <w:lang w:val="zh-CN" w:eastAsia="zh-CN"/>
            </w:rPr>
            <w:t xml:space="preserve"> </w:t>
          </w:r>
          <w:r>
            <w:rPr>
              <w:rStyle w:val="31"/>
              <w:rFonts w:hint="eastAsia" w:ascii="Times New Roman" w:hAnsi="Times New Roman" w:eastAsia="黑体" w:cs="Times New Roman"/>
              <w:lang w:val="zh-CN"/>
            </w:rPr>
            <w:t>建设全国一流汽车制造基地</w:t>
          </w:r>
          <w:r>
            <w:tab/>
          </w:r>
          <w:r>
            <w:fldChar w:fldCharType="begin"/>
          </w:r>
          <w:r>
            <w:instrText xml:space="preserve"> PAGEREF _Toc458171787 \h </w:instrText>
          </w:r>
          <w:r>
            <w:fldChar w:fldCharType="separate"/>
          </w:r>
          <w:r>
            <w:t>33</w:t>
          </w:r>
          <w:r>
            <w:fldChar w:fldCharType="end"/>
          </w:r>
          <w:r>
            <w:fldChar w:fldCharType="end"/>
          </w:r>
        </w:p>
        <w:p>
          <w:pPr>
            <w:pStyle w:val="11"/>
            <w:tabs>
              <w:tab w:val="right" w:leader="dot" w:pos="8296"/>
            </w:tabs>
            <w:ind w:left="1120"/>
            <w:rPr>
              <w:sz w:val="21"/>
            </w:rPr>
          </w:pPr>
          <w:r>
            <w:fldChar w:fldCharType="begin"/>
          </w:r>
          <w:r>
            <w:instrText xml:space="preserve"> HYPERLINK \l "_Toc458171788" </w:instrText>
          </w:r>
          <w:r>
            <w:fldChar w:fldCharType="separate"/>
          </w:r>
          <w:r>
            <w:rPr>
              <w:rStyle w:val="31"/>
              <w:rFonts w:hint="eastAsia" w:ascii="Times New Roman" w:hAnsi="Times New Roman" w:eastAsia="楷体" w:cs="Times New Roman"/>
              <w:kern w:val="0"/>
              <w:lang w:val="zh-CN" w:eastAsia="zh-CN"/>
            </w:rPr>
            <w:t>第一节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发展壮大汽车制造产业</w:t>
          </w:r>
          <w:r>
            <w:tab/>
          </w:r>
          <w:r>
            <w:fldChar w:fldCharType="begin"/>
          </w:r>
          <w:r>
            <w:instrText xml:space="preserve"> PAGEREF _Toc458171788 \h </w:instrText>
          </w:r>
          <w:r>
            <w:fldChar w:fldCharType="separate"/>
          </w:r>
          <w:r>
            <w:t>33</w:t>
          </w:r>
          <w:r>
            <w:fldChar w:fldCharType="end"/>
          </w:r>
          <w:r>
            <w:fldChar w:fldCharType="end"/>
          </w:r>
        </w:p>
        <w:p>
          <w:pPr>
            <w:pStyle w:val="11"/>
            <w:tabs>
              <w:tab w:val="right" w:leader="dot" w:pos="8296"/>
            </w:tabs>
            <w:ind w:left="1120"/>
            <w:rPr>
              <w:sz w:val="21"/>
            </w:rPr>
          </w:pPr>
          <w:r>
            <w:fldChar w:fldCharType="begin"/>
          </w:r>
          <w:r>
            <w:instrText xml:space="preserve"> HYPERLINK \l "_Toc458171789" </w:instrText>
          </w:r>
          <w:r>
            <w:fldChar w:fldCharType="separate"/>
          </w:r>
          <w:r>
            <w:rPr>
              <w:rStyle w:val="31"/>
              <w:rFonts w:hint="eastAsia" w:ascii="Times New Roman" w:hAnsi="Times New Roman" w:eastAsia="楷体" w:cs="Times New Roman"/>
              <w:kern w:val="0"/>
              <w:lang w:val="zh-CN" w:eastAsia="zh-CN"/>
            </w:rPr>
            <w:t>第二节</w:t>
          </w:r>
          <w:r>
            <w:rPr>
              <w:rStyle w:val="31"/>
              <w:rFonts w:ascii="Times New Roman" w:hAnsi="Times New Roman" w:eastAsia="楷体" w:cs="Times New Roman"/>
              <w:kern w:val="0"/>
              <w:lang w:val="zh-CN" w:eastAsia="zh-CN"/>
            </w:rPr>
            <w:t xml:space="preserve"> </w:t>
          </w:r>
          <w:r>
            <w:rPr>
              <w:rStyle w:val="31"/>
              <w:rFonts w:hint="eastAsia" w:ascii="Times New Roman" w:hAnsi="Times New Roman" w:eastAsia="楷体" w:cs="Times New Roman"/>
              <w:kern w:val="0"/>
              <w:lang w:val="zh-CN" w:eastAsia="zh-CN"/>
            </w:rPr>
            <w:t>积极培育特色及新兴产业</w:t>
          </w:r>
          <w:r>
            <w:tab/>
          </w:r>
          <w:r>
            <w:fldChar w:fldCharType="begin"/>
          </w:r>
          <w:r>
            <w:instrText xml:space="preserve"> PAGEREF _Toc458171789 \h </w:instrText>
          </w:r>
          <w:r>
            <w:fldChar w:fldCharType="separate"/>
          </w:r>
          <w:r>
            <w:t>35</w:t>
          </w:r>
          <w:r>
            <w:fldChar w:fldCharType="end"/>
          </w:r>
          <w:r>
            <w:fldChar w:fldCharType="end"/>
          </w:r>
        </w:p>
        <w:p>
          <w:pPr>
            <w:pStyle w:val="11"/>
            <w:tabs>
              <w:tab w:val="right" w:leader="dot" w:pos="8296"/>
            </w:tabs>
            <w:ind w:left="1120"/>
            <w:rPr>
              <w:sz w:val="21"/>
            </w:rPr>
          </w:pPr>
          <w:r>
            <w:fldChar w:fldCharType="begin"/>
          </w:r>
          <w:r>
            <w:instrText xml:space="preserve"> HYPERLINK \l "_Toc458171790"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加快提升传统产业</w:t>
          </w:r>
          <w:r>
            <w:tab/>
          </w:r>
          <w:r>
            <w:fldChar w:fldCharType="begin"/>
          </w:r>
          <w:r>
            <w:instrText xml:space="preserve"> PAGEREF _Toc458171790 \h </w:instrText>
          </w:r>
          <w:r>
            <w:fldChar w:fldCharType="separate"/>
          </w:r>
          <w:r>
            <w:t>38</w:t>
          </w:r>
          <w:r>
            <w:fldChar w:fldCharType="end"/>
          </w:r>
          <w:r>
            <w:fldChar w:fldCharType="end"/>
          </w:r>
        </w:p>
        <w:p>
          <w:pPr>
            <w:pStyle w:val="11"/>
            <w:tabs>
              <w:tab w:val="right" w:leader="dot" w:pos="8296"/>
            </w:tabs>
            <w:ind w:left="1120"/>
            <w:rPr>
              <w:sz w:val="21"/>
            </w:rPr>
          </w:pPr>
          <w:r>
            <w:fldChar w:fldCharType="begin"/>
          </w:r>
          <w:r>
            <w:instrText xml:space="preserve"> HYPERLINK \l "_Toc458171791" </w:instrText>
          </w:r>
          <w:r>
            <w:fldChar w:fldCharType="separate"/>
          </w:r>
          <w:r>
            <w:rPr>
              <w:rStyle w:val="31"/>
              <w:rFonts w:hint="eastAsia" w:eastAsia="楷体"/>
            </w:rPr>
            <w:t>第四节</w:t>
          </w:r>
          <w:r>
            <w:rPr>
              <w:rStyle w:val="31"/>
              <w:rFonts w:eastAsia="楷体"/>
            </w:rPr>
            <w:t xml:space="preserve"> </w:t>
          </w:r>
          <w:r>
            <w:rPr>
              <w:rStyle w:val="31"/>
              <w:rFonts w:hint="eastAsia" w:eastAsia="楷体"/>
            </w:rPr>
            <w:t>加快发展智能制造</w:t>
          </w:r>
          <w:r>
            <w:tab/>
          </w:r>
          <w:r>
            <w:fldChar w:fldCharType="begin"/>
          </w:r>
          <w:r>
            <w:instrText xml:space="preserve"> PAGEREF _Toc458171791 \h </w:instrText>
          </w:r>
          <w:r>
            <w:fldChar w:fldCharType="separate"/>
          </w:r>
          <w:r>
            <w:t>38</w:t>
          </w:r>
          <w:r>
            <w:fldChar w:fldCharType="end"/>
          </w:r>
          <w:r>
            <w:fldChar w:fldCharType="end"/>
          </w:r>
        </w:p>
        <w:p>
          <w:pPr>
            <w:pStyle w:val="18"/>
            <w:tabs>
              <w:tab w:val="right" w:leader="dot" w:pos="8296"/>
            </w:tabs>
            <w:rPr>
              <w:sz w:val="21"/>
            </w:rPr>
          </w:pPr>
          <w:r>
            <w:fldChar w:fldCharType="begin"/>
          </w:r>
          <w:r>
            <w:instrText xml:space="preserve"> HYPERLINK \l "_Toc458171792" </w:instrText>
          </w:r>
          <w:r>
            <w:fldChar w:fldCharType="separate"/>
          </w:r>
          <w:r>
            <w:rPr>
              <w:rStyle w:val="31"/>
              <w:rFonts w:hint="eastAsia" w:ascii="Times New Roman" w:hAnsi="Times New Roman" w:eastAsia="黑体" w:cs="Times New Roman"/>
              <w:lang w:val="zh-CN" w:eastAsia="zh-CN"/>
            </w:rPr>
            <w:t>第七章</w:t>
          </w:r>
          <w:r>
            <w:rPr>
              <w:rStyle w:val="31"/>
              <w:rFonts w:ascii="Times New Roman" w:hAnsi="Times New Roman" w:eastAsia="黑体" w:cs="Times New Roman"/>
              <w:lang w:val="zh-CN" w:eastAsia="zh-CN"/>
            </w:rPr>
            <w:t xml:space="preserve"> </w:t>
          </w:r>
          <w:r>
            <w:rPr>
              <w:rStyle w:val="31"/>
              <w:rFonts w:hint="eastAsia" w:ascii="Times New Roman" w:hAnsi="Times New Roman" w:eastAsia="黑体" w:cs="Times New Roman"/>
              <w:lang w:val="zh-CN" w:eastAsia="zh-CN"/>
            </w:rPr>
            <w:t>提升现代服务业</w:t>
          </w:r>
          <w:r>
            <w:tab/>
          </w:r>
          <w:r>
            <w:fldChar w:fldCharType="begin"/>
          </w:r>
          <w:r>
            <w:instrText xml:space="preserve"> PAGEREF _Toc458171792 \h </w:instrText>
          </w:r>
          <w:r>
            <w:fldChar w:fldCharType="separate"/>
          </w:r>
          <w:r>
            <w:t>40</w:t>
          </w:r>
          <w:r>
            <w:fldChar w:fldCharType="end"/>
          </w:r>
          <w:r>
            <w:fldChar w:fldCharType="end"/>
          </w:r>
        </w:p>
        <w:p>
          <w:pPr>
            <w:pStyle w:val="11"/>
            <w:tabs>
              <w:tab w:val="right" w:leader="dot" w:pos="8296"/>
            </w:tabs>
            <w:ind w:left="1120"/>
            <w:rPr>
              <w:sz w:val="21"/>
            </w:rPr>
          </w:pPr>
          <w:r>
            <w:fldChar w:fldCharType="begin"/>
          </w:r>
          <w:r>
            <w:instrText xml:space="preserve"> HYPERLINK \l "_Toc458171793" </w:instrText>
          </w:r>
          <w:r>
            <w:fldChar w:fldCharType="separate"/>
          </w:r>
          <w:r>
            <w:rPr>
              <w:rStyle w:val="31"/>
              <w:rFonts w:hint="eastAsia" w:eastAsia="楷体"/>
            </w:rPr>
            <w:t>第一节</w:t>
          </w:r>
          <w:r>
            <w:rPr>
              <w:rStyle w:val="31"/>
              <w:rFonts w:eastAsia="楷体"/>
            </w:rPr>
            <w:t xml:space="preserve"> </w:t>
          </w:r>
          <w:r>
            <w:rPr>
              <w:rStyle w:val="31"/>
              <w:rFonts w:hint="eastAsia" w:eastAsia="楷体"/>
            </w:rPr>
            <w:t>优化服务业产业布局</w:t>
          </w:r>
          <w:r>
            <w:tab/>
          </w:r>
          <w:r>
            <w:fldChar w:fldCharType="begin"/>
          </w:r>
          <w:r>
            <w:instrText xml:space="preserve"> PAGEREF _Toc458171793 \h </w:instrText>
          </w:r>
          <w:r>
            <w:fldChar w:fldCharType="separate"/>
          </w:r>
          <w:r>
            <w:t>40</w:t>
          </w:r>
          <w:r>
            <w:fldChar w:fldCharType="end"/>
          </w:r>
          <w:r>
            <w:fldChar w:fldCharType="end"/>
          </w:r>
        </w:p>
        <w:p>
          <w:pPr>
            <w:pStyle w:val="11"/>
            <w:tabs>
              <w:tab w:val="right" w:leader="dot" w:pos="8296"/>
            </w:tabs>
            <w:ind w:left="1120"/>
            <w:rPr>
              <w:sz w:val="21"/>
            </w:rPr>
          </w:pPr>
          <w:r>
            <w:fldChar w:fldCharType="begin"/>
          </w:r>
          <w:r>
            <w:instrText xml:space="preserve"> HYPERLINK \l "_Toc458171794"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大力推进生产性服务业</w:t>
          </w:r>
          <w:r>
            <w:tab/>
          </w:r>
          <w:r>
            <w:fldChar w:fldCharType="begin"/>
          </w:r>
          <w:r>
            <w:instrText xml:space="preserve"> PAGEREF _Toc458171794 \h </w:instrText>
          </w:r>
          <w:r>
            <w:fldChar w:fldCharType="separate"/>
          </w:r>
          <w:r>
            <w:t>41</w:t>
          </w:r>
          <w:r>
            <w:fldChar w:fldCharType="end"/>
          </w:r>
          <w:r>
            <w:fldChar w:fldCharType="end"/>
          </w:r>
        </w:p>
        <w:p>
          <w:pPr>
            <w:pStyle w:val="11"/>
            <w:tabs>
              <w:tab w:val="right" w:leader="dot" w:pos="8296"/>
            </w:tabs>
            <w:ind w:left="1120"/>
            <w:rPr>
              <w:sz w:val="21"/>
            </w:rPr>
          </w:pPr>
          <w:r>
            <w:fldChar w:fldCharType="begin"/>
          </w:r>
          <w:r>
            <w:instrText xml:space="preserve"> HYPERLINK \l "_Toc458171795"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提升发展生活性服务业</w:t>
          </w:r>
          <w:r>
            <w:tab/>
          </w:r>
          <w:r>
            <w:fldChar w:fldCharType="begin"/>
          </w:r>
          <w:r>
            <w:instrText xml:space="preserve"> PAGEREF _Toc458171795 \h </w:instrText>
          </w:r>
          <w:r>
            <w:fldChar w:fldCharType="separate"/>
          </w:r>
          <w:r>
            <w:t>44</w:t>
          </w:r>
          <w:r>
            <w:fldChar w:fldCharType="end"/>
          </w:r>
          <w:r>
            <w:fldChar w:fldCharType="end"/>
          </w:r>
        </w:p>
        <w:p>
          <w:pPr>
            <w:pStyle w:val="11"/>
            <w:tabs>
              <w:tab w:val="right" w:leader="dot" w:pos="8296"/>
            </w:tabs>
            <w:ind w:left="1120"/>
            <w:rPr>
              <w:sz w:val="21"/>
            </w:rPr>
          </w:pPr>
          <w:r>
            <w:fldChar w:fldCharType="begin"/>
          </w:r>
          <w:r>
            <w:instrText xml:space="preserve"> HYPERLINK \l "_Toc458171796" </w:instrText>
          </w:r>
          <w:r>
            <w:fldChar w:fldCharType="separate"/>
          </w:r>
          <w:r>
            <w:rPr>
              <w:rStyle w:val="31"/>
              <w:rFonts w:hint="eastAsia" w:ascii="楷体" w:hAnsi="楷体" w:eastAsia="楷体"/>
              <w:b/>
              <w:bCs/>
              <w:kern w:val="0"/>
            </w:rPr>
            <w:t>第四节</w:t>
          </w:r>
          <w:r>
            <w:rPr>
              <w:rStyle w:val="31"/>
              <w:rFonts w:ascii="楷体" w:hAnsi="楷体" w:eastAsia="楷体"/>
              <w:b/>
              <w:bCs/>
              <w:kern w:val="0"/>
            </w:rPr>
            <w:t xml:space="preserve">  </w:t>
          </w:r>
          <w:r>
            <w:rPr>
              <w:rStyle w:val="31"/>
              <w:rFonts w:hint="eastAsia" w:ascii="楷体" w:hAnsi="楷体" w:eastAsia="楷体"/>
              <w:b/>
              <w:bCs/>
              <w:kern w:val="0"/>
            </w:rPr>
            <w:t>拓展服务业发展空间</w:t>
          </w:r>
          <w:r>
            <w:tab/>
          </w:r>
          <w:r>
            <w:fldChar w:fldCharType="begin"/>
          </w:r>
          <w:r>
            <w:instrText xml:space="preserve"> PAGEREF _Toc458171796 \h </w:instrText>
          </w:r>
          <w:r>
            <w:fldChar w:fldCharType="separate"/>
          </w:r>
          <w:r>
            <w:t>47</w:t>
          </w:r>
          <w:r>
            <w:fldChar w:fldCharType="end"/>
          </w:r>
          <w:r>
            <w:fldChar w:fldCharType="end"/>
          </w:r>
        </w:p>
        <w:p>
          <w:pPr>
            <w:pStyle w:val="11"/>
            <w:tabs>
              <w:tab w:val="right" w:leader="dot" w:pos="8296"/>
            </w:tabs>
            <w:ind w:left="1120"/>
            <w:rPr>
              <w:sz w:val="21"/>
            </w:rPr>
          </w:pPr>
          <w:r>
            <w:fldChar w:fldCharType="begin"/>
          </w:r>
          <w:r>
            <w:instrText xml:space="preserve"> HYPERLINK \l "_Toc458171797" </w:instrText>
          </w:r>
          <w:r>
            <w:fldChar w:fldCharType="separate"/>
          </w:r>
          <w:r>
            <w:rPr>
              <w:rStyle w:val="31"/>
              <w:rFonts w:hint="eastAsia" w:ascii="楷体" w:hAnsi="楷体" w:eastAsia="楷体"/>
              <w:b/>
              <w:bCs/>
              <w:kern w:val="0"/>
            </w:rPr>
            <w:t>第五节</w:t>
          </w:r>
          <w:r>
            <w:rPr>
              <w:rStyle w:val="31"/>
              <w:rFonts w:ascii="楷体" w:hAnsi="楷体" w:eastAsia="楷体"/>
              <w:b/>
              <w:bCs/>
              <w:kern w:val="0"/>
            </w:rPr>
            <w:t xml:space="preserve">  </w:t>
          </w:r>
          <w:r>
            <w:rPr>
              <w:rStyle w:val="31"/>
              <w:rFonts w:hint="eastAsia" w:ascii="楷体" w:hAnsi="楷体" w:eastAsia="楷体"/>
              <w:b/>
              <w:bCs/>
              <w:kern w:val="0"/>
            </w:rPr>
            <w:t>打造区域性产业金融服务中心</w:t>
          </w:r>
          <w:r>
            <w:tab/>
          </w:r>
          <w:r>
            <w:fldChar w:fldCharType="begin"/>
          </w:r>
          <w:r>
            <w:instrText xml:space="preserve"> PAGEREF _Toc458171797 \h </w:instrText>
          </w:r>
          <w:r>
            <w:fldChar w:fldCharType="separate"/>
          </w:r>
          <w:r>
            <w:t>49</w:t>
          </w:r>
          <w:r>
            <w:fldChar w:fldCharType="end"/>
          </w:r>
          <w:r>
            <w:fldChar w:fldCharType="end"/>
          </w:r>
        </w:p>
        <w:p>
          <w:pPr>
            <w:pStyle w:val="11"/>
            <w:tabs>
              <w:tab w:val="right" w:leader="dot" w:pos="8296"/>
            </w:tabs>
            <w:ind w:left="1120"/>
            <w:rPr>
              <w:sz w:val="21"/>
            </w:rPr>
          </w:pPr>
          <w:r>
            <w:fldChar w:fldCharType="begin"/>
          </w:r>
          <w:r>
            <w:instrText xml:space="preserve"> HYPERLINK \l "_Toc458171798" </w:instrText>
          </w:r>
          <w:r>
            <w:fldChar w:fldCharType="separate"/>
          </w:r>
          <w:r>
            <w:rPr>
              <w:rStyle w:val="31"/>
              <w:rFonts w:hint="eastAsia" w:ascii="楷体" w:hAnsi="楷体" w:eastAsia="楷体"/>
              <w:b/>
              <w:bCs/>
              <w:kern w:val="0"/>
            </w:rPr>
            <w:t>第六节</w:t>
          </w:r>
          <w:r>
            <w:rPr>
              <w:rStyle w:val="31"/>
              <w:rFonts w:ascii="楷体" w:hAnsi="楷体" w:eastAsia="楷体"/>
              <w:b/>
              <w:bCs/>
              <w:kern w:val="0"/>
            </w:rPr>
            <w:t xml:space="preserve">  </w:t>
          </w:r>
          <w:r>
            <w:rPr>
              <w:rStyle w:val="31"/>
              <w:rFonts w:hint="eastAsia" w:ascii="楷体" w:hAnsi="楷体" w:eastAsia="楷体"/>
              <w:b/>
              <w:bCs/>
              <w:kern w:val="0"/>
            </w:rPr>
            <w:t>创建现代物流创新发展试点区</w:t>
          </w:r>
          <w:r>
            <w:tab/>
          </w:r>
          <w:r>
            <w:fldChar w:fldCharType="begin"/>
          </w:r>
          <w:r>
            <w:instrText xml:space="preserve"> PAGEREF _Toc458171798 \h </w:instrText>
          </w:r>
          <w:r>
            <w:fldChar w:fldCharType="separate"/>
          </w:r>
          <w:r>
            <w:t>50</w:t>
          </w:r>
          <w:r>
            <w:fldChar w:fldCharType="end"/>
          </w:r>
          <w:r>
            <w:fldChar w:fldCharType="end"/>
          </w:r>
        </w:p>
        <w:p>
          <w:pPr>
            <w:pStyle w:val="11"/>
            <w:tabs>
              <w:tab w:val="right" w:leader="dot" w:pos="8296"/>
            </w:tabs>
            <w:ind w:left="1120"/>
            <w:rPr>
              <w:sz w:val="21"/>
            </w:rPr>
          </w:pPr>
          <w:r>
            <w:fldChar w:fldCharType="begin"/>
          </w:r>
          <w:r>
            <w:instrText xml:space="preserve"> HYPERLINK \l "_Toc458171799" </w:instrText>
          </w:r>
          <w:r>
            <w:fldChar w:fldCharType="separate"/>
          </w:r>
          <w:r>
            <w:rPr>
              <w:rStyle w:val="31"/>
              <w:rFonts w:hint="eastAsia" w:ascii="楷体" w:hAnsi="楷体" w:eastAsia="楷体"/>
              <w:b/>
              <w:bCs/>
              <w:kern w:val="0"/>
            </w:rPr>
            <w:t>第七节</w:t>
          </w:r>
          <w:r>
            <w:rPr>
              <w:rStyle w:val="31"/>
              <w:rFonts w:ascii="楷体" w:hAnsi="楷体" w:eastAsia="楷体"/>
              <w:b/>
              <w:bCs/>
              <w:kern w:val="0"/>
            </w:rPr>
            <w:t xml:space="preserve">  </w:t>
          </w:r>
          <w:r>
            <w:rPr>
              <w:rStyle w:val="31"/>
              <w:rFonts w:hint="eastAsia" w:ascii="楷体" w:hAnsi="楷体" w:eastAsia="楷体"/>
              <w:b/>
              <w:bCs/>
              <w:kern w:val="0"/>
            </w:rPr>
            <w:t>深入推进旅游新区建设</w:t>
          </w:r>
          <w:r>
            <w:tab/>
          </w:r>
          <w:r>
            <w:fldChar w:fldCharType="begin"/>
          </w:r>
          <w:r>
            <w:instrText xml:space="preserve"> PAGEREF _Toc458171799 \h </w:instrText>
          </w:r>
          <w:r>
            <w:fldChar w:fldCharType="separate"/>
          </w:r>
          <w:r>
            <w:t>52</w:t>
          </w:r>
          <w:r>
            <w:fldChar w:fldCharType="end"/>
          </w:r>
          <w:r>
            <w:fldChar w:fldCharType="end"/>
          </w:r>
        </w:p>
        <w:p>
          <w:pPr>
            <w:pStyle w:val="18"/>
            <w:tabs>
              <w:tab w:val="right" w:leader="dot" w:pos="8296"/>
            </w:tabs>
            <w:rPr>
              <w:sz w:val="21"/>
            </w:rPr>
          </w:pPr>
          <w:r>
            <w:fldChar w:fldCharType="begin"/>
          </w:r>
          <w:r>
            <w:instrText xml:space="preserve"> HYPERLINK \l "_Toc458171800" </w:instrText>
          </w:r>
          <w:r>
            <w:fldChar w:fldCharType="separate"/>
          </w:r>
          <w:r>
            <w:rPr>
              <w:rStyle w:val="31"/>
              <w:rFonts w:hint="eastAsia" w:ascii="Times New Roman" w:hAnsi="Times New Roman" w:eastAsia="黑体" w:cs="Times New Roman"/>
              <w:lang w:val="zh-CN" w:eastAsia="zh-CN"/>
            </w:rPr>
            <w:t>第八章</w:t>
          </w:r>
          <w:r>
            <w:rPr>
              <w:rStyle w:val="31"/>
              <w:rFonts w:ascii="Times New Roman" w:hAnsi="Times New Roman" w:eastAsia="黑体" w:cs="Times New Roman"/>
              <w:lang w:val="zh-CN" w:eastAsia="zh-CN"/>
            </w:rPr>
            <w:t xml:space="preserve"> </w:t>
          </w:r>
          <w:r>
            <w:rPr>
              <w:rStyle w:val="31"/>
              <w:rFonts w:hint="eastAsia" w:ascii="Times New Roman" w:hAnsi="Times New Roman" w:eastAsia="黑体" w:cs="Times New Roman"/>
              <w:lang w:val="zh-CN" w:eastAsia="zh-CN"/>
            </w:rPr>
            <w:t>大力发展现代农业</w:t>
          </w:r>
          <w:r>
            <w:tab/>
          </w:r>
          <w:r>
            <w:fldChar w:fldCharType="begin"/>
          </w:r>
          <w:r>
            <w:instrText xml:space="preserve"> PAGEREF _Toc458171800 \h </w:instrText>
          </w:r>
          <w:r>
            <w:fldChar w:fldCharType="separate"/>
          </w:r>
          <w:r>
            <w:t>53</w:t>
          </w:r>
          <w:r>
            <w:fldChar w:fldCharType="end"/>
          </w:r>
          <w:r>
            <w:fldChar w:fldCharType="end"/>
          </w:r>
        </w:p>
        <w:p>
          <w:pPr>
            <w:pStyle w:val="11"/>
            <w:tabs>
              <w:tab w:val="right" w:leader="dot" w:pos="8296"/>
            </w:tabs>
            <w:ind w:left="1120"/>
            <w:rPr>
              <w:sz w:val="21"/>
            </w:rPr>
          </w:pPr>
          <w:r>
            <w:fldChar w:fldCharType="begin"/>
          </w:r>
          <w:r>
            <w:instrText xml:space="preserve"> HYPERLINK \l "_Toc458171801" </w:instrText>
          </w:r>
          <w:r>
            <w:fldChar w:fldCharType="separate"/>
          </w:r>
          <w:r>
            <w:rPr>
              <w:rStyle w:val="31"/>
              <w:rFonts w:hint="eastAsia" w:eastAsia="楷体"/>
            </w:rPr>
            <w:t>第一节</w:t>
          </w:r>
          <w:r>
            <w:rPr>
              <w:rStyle w:val="31"/>
              <w:rFonts w:eastAsia="楷体"/>
            </w:rPr>
            <w:t xml:space="preserve"> </w:t>
          </w:r>
          <w:r>
            <w:rPr>
              <w:rStyle w:val="31"/>
              <w:rFonts w:hint="eastAsia" w:eastAsia="楷体"/>
            </w:rPr>
            <w:t>构建现代特色农业发展格局</w:t>
          </w:r>
          <w:r>
            <w:tab/>
          </w:r>
          <w:r>
            <w:fldChar w:fldCharType="begin"/>
          </w:r>
          <w:r>
            <w:instrText xml:space="preserve"> PAGEREF _Toc458171801 \h </w:instrText>
          </w:r>
          <w:r>
            <w:fldChar w:fldCharType="separate"/>
          </w:r>
          <w:r>
            <w:t>53</w:t>
          </w:r>
          <w:r>
            <w:fldChar w:fldCharType="end"/>
          </w:r>
          <w:r>
            <w:fldChar w:fldCharType="end"/>
          </w:r>
        </w:p>
        <w:p>
          <w:pPr>
            <w:pStyle w:val="11"/>
            <w:tabs>
              <w:tab w:val="right" w:leader="dot" w:pos="8296"/>
            </w:tabs>
            <w:ind w:left="1120"/>
            <w:rPr>
              <w:sz w:val="21"/>
            </w:rPr>
          </w:pPr>
          <w:r>
            <w:fldChar w:fldCharType="begin"/>
          </w:r>
          <w:r>
            <w:instrText xml:space="preserve"> HYPERLINK \l "_Toc458171802"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加快农业优势产业基地建设</w:t>
          </w:r>
          <w:r>
            <w:tab/>
          </w:r>
          <w:r>
            <w:fldChar w:fldCharType="begin"/>
          </w:r>
          <w:r>
            <w:instrText xml:space="preserve"> PAGEREF _Toc458171802 \h </w:instrText>
          </w:r>
          <w:r>
            <w:fldChar w:fldCharType="separate"/>
          </w:r>
          <w:r>
            <w:t>53</w:t>
          </w:r>
          <w:r>
            <w:fldChar w:fldCharType="end"/>
          </w:r>
          <w:r>
            <w:fldChar w:fldCharType="end"/>
          </w:r>
        </w:p>
        <w:p>
          <w:pPr>
            <w:pStyle w:val="11"/>
            <w:tabs>
              <w:tab w:val="right" w:leader="dot" w:pos="8296"/>
            </w:tabs>
            <w:ind w:left="1120"/>
            <w:rPr>
              <w:sz w:val="21"/>
            </w:rPr>
          </w:pPr>
          <w:r>
            <w:fldChar w:fldCharType="begin"/>
          </w:r>
          <w:r>
            <w:instrText xml:space="preserve"> HYPERLINK \l "_Toc458171803"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加快建设完善农村基础设施</w:t>
          </w:r>
          <w:r>
            <w:tab/>
          </w:r>
          <w:r>
            <w:fldChar w:fldCharType="begin"/>
          </w:r>
          <w:r>
            <w:instrText xml:space="preserve"> PAGEREF _Toc458171803 \h </w:instrText>
          </w:r>
          <w:r>
            <w:fldChar w:fldCharType="separate"/>
          </w:r>
          <w:r>
            <w:t>54</w:t>
          </w:r>
          <w:r>
            <w:fldChar w:fldCharType="end"/>
          </w:r>
          <w:r>
            <w:fldChar w:fldCharType="end"/>
          </w:r>
        </w:p>
        <w:p>
          <w:pPr>
            <w:pStyle w:val="11"/>
            <w:tabs>
              <w:tab w:val="right" w:leader="dot" w:pos="8296"/>
            </w:tabs>
            <w:ind w:left="1120"/>
            <w:rPr>
              <w:sz w:val="21"/>
            </w:rPr>
          </w:pPr>
          <w:r>
            <w:fldChar w:fldCharType="begin"/>
          </w:r>
          <w:r>
            <w:instrText xml:space="preserve"> HYPERLINK \l "_Toc458171804" </w:instrText>
          </w:r>
          <w:r>
            <w:fldChar w:fldCharType="separate"/>
          </w:r>
          <w:r>
            <w:rPr>
              <w:rStyle w:val="31"/>
              <w:rFonts w:hint="eastAsia" w:eastAsia="楷体"/>
            </w:rPr>
            <w:t>第四节</w:t>
          </w:r>
          <w:r>
            <w:rPr>
              <w:rStyle w:val="31"/>
              <w:rFonts w:eastAsia="楷体"/>
            </w:rPr>
            <w:t xml:space="preserve">  </w:t>
          </w:r>
          <w:r>
            <w:rPr>
              <w:rStyle w:val="31"/>
              <w:rFonts w:hint="eastAsia" w:eastAsia="楷体"/>
            </w:rPr>
            <w:t>着力健全农业综合服务体系</w:t>
          </w:r>
          <w:r>
            <w:tab/>
          </w:r>
          <w:r>
            <w:fldChar w:fldCharType="begin"/>
          </w:r>
          <w:r>
            <w:instrText xml:space="preserve"> PAGEREF _Toc458171804 \h </w:instrText>
          </w:r>
          <w:r>
            <w:fldChar w:fldCharType="separate"/>
          </w:r>
          <w:r>
            <w:t>54</w:t>
          </w:r>
          <w:r>
            <w:fldChar w:fldCharType="end"/>
          </w:r>
          <w:r>
            <w:fldChar w:fldCharType="end"/>
          </w:r>
        </w:p>
        <w:p>
          <w:pPr>
            <w:pStyle w:val="18"/>
            <w:tabs>
              <w:tab w:val="right" w:leader="dot" w:pos="8296"/>
            </w:tabs>
            <w:rPr>
              <w:sz w:val="21"/>
            </w:rPr>
          </w:pPr>
          <w:r>
            <w:fldChar w:fldCharType="begin"/>
          </w:r>
          <w:r>
            <w:instrText xml:space="preserve"> HYPERLINK \l "_Toc458171805" </w:instrText>
          </w:r>
          <w:r>
            <w:fldChar w:fldCharType="separate"/>
          </w:r>
          <w:r>
            <w:rPr>
              <w:rStyle w:val="31"/>
              <w:rFonts w:hint="eastAsia" w:ascii="Times New Roman" w:hAnsi="Times New Roman" w:eastAsia="华文中宋" w:cs="Times New Roman"/>
              <w:lang w:val="zh-CN" w:eastAsia="zh-CN"/>
            </w:rPr>
            <w:t>第三篇</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实施开放发展策略</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推进柳东全面开放</w:t>
          </w:r>
          <w:r>
            <w:tab/>
          </w:r>
          <w:r>
            <w:fldChar w:fldCharType="begin"/>
          </w:r>
          <w:r>
            <w:instrText xml:space="preserve"> PAGEREF _Toc458171805 \h </w:instrText>
          </w:r>
          <w:r>
            <w:fldChar w:fldCharType="separate"/>
          </w:r>
          <w:r>
            <w:t>55</w:t>
          </w:r>
          <w:r>
            <w:fldChar w:fldCharType="end"/>
          </w:r>
          <w:r>
            <w:fldChar w:fldCharType="end"/>
          </w:r>
        </w:p>
        <w:p>
          <w:pPr>
            <w:pStyle w:val="18"/>
            <w:tabs>
              <w:tab w:val="right" w:leader="dot" w:pos="8296"/>
            </w:tabs>
            <w:rPr>
              <w:sz w:val="21"/>
            </w:rPr>
          </w:pPr>
          <w:r>
            <w:fldChar w:fldCharType="begin"/>
          </w:r>
          <w:r>
            <w:instrText xml:space="preserve"> HYPERLINK \l "_Toc458171806" </w:instrText>
          </w:r>
          <w:r>
            <w:fldChar w:fldCharType="separate"/>
          </w:r>
          <w:r>
            <w:rPr>
              <w:rStyle w:val="31"/>
              <w:rFonts w:hint="eastAsia" w:ascii="Times New Roman" w:hAnsi="Times New Roman" w:cs="Times New Roman"/>
              <w:lang w:val="zh-CN" w:eastAsia="zh-CN"/>
            </w:rPr>
            <w:t>第九章</w:t>
          </w:r>
          <w:r>
            <w:rPr>
              <w:rStyle w:val="31"/>
              <w:rFonts w:ascii="Times New Roman" w:hAnsi="Times New Roman" w:cs="Times New Roman"/>
              <w:lang w:val="zh-CN" w:eastAsia="zh-CN"/>
            </w:rPr>
            <w:t xml:space="preserve"> </w:t>
          </w:r>
          <w:r>
            <w:rPr>
              <w:rStyle w:val="31"/>
              <w:rFonts w:hint="eastAsia" w:ascii="Times New Roman" w:hAnsi="Times New Roman" w:cs="Times New Roman"/>
              <w:lang w:val="zh-CN" w:eastAsia="zh-CN"/>
            </w:rPr>
            <w:t>建设柳州东部重要的对外交通运输枢纽</w:t>
          </w:r>
          <w:r>
            <w:tab/>
          </w:r>
          <w:r>
            <w:fldChar w:fldCharType="begin"/>
          </w:r>
          <w:r>
            <w:instrText xml:space="preserve"> PAGEREF _Toc458171806 \h </w:instrText>
          </w:r>
          <w:r>
            <w:fldChar w:fldCharType="separate"/>
          </w:r>
          <w:r>
            <w:t>55</w:t>
          </w:r>
          <w:r>
            <w:fldChar w:fldCharType="end"/>
          </w:r>
          <w:r>
            <w:fldChar w:fldCharType="end"/>
          </w:r>
        </w:p>
        <w:p>
          <w:pPr>
            <w:pStyle w:val="11"/>
            <w:tabs>
              <w:tab w:val="right" w:leader="dot" w:pos="8296"/>
            </w:tabs>
            <w:ind w:left="1120"/>
            <w:rPr>
              <w:sz w:val="21"/>
            </w:rPr>
          </w:pPr>
          <w:r>
            <w:fldChar w:fldCharType="begin"/>
          </w:r>
          <w:r>
            <w:instrText xml:space="preserve"> HYPERLINK \l "_Toc458171807"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构筑高效便捷的对外综合交通体系</w:t>
          </w:r>
          <w:r>
            <w:tab/>
          </w:r>
          <w:r>
            <w:fldChar w:fldCharType="begin"/>
          </w:r>
          <w:r>
            <w:instrText xml:space="preserve"> PAGEREF _Toc458171807 \h </w:instrText>
          </w:r>
          <w:r>
            <w:fldChar w:fldCharType="separate"/>
          </w:r>
          <w:r>
            <w:t>55</w:t>
          </w:r>
          <w:r>
            <w:fldChar w:fldCharType="end"/>
          </w:r>
          <w:r>
            <w:fldChar w:fldCharType="end"/>
          </w:r>
        </w:p>
        <w:p>
          <w:pPr>
            <w:pStyle w:val="11"/>
            <w:tabs>
              <w:tab w:val="right" w:leader="dot" w:pos="8296"/>
            </w:tabs>
            <w:ind w:left="1120"/>
            <w:rPr>
              <w:sz w:val="21"/>
            </w:rPr>
          </w:pPr>
          <w:r>
            <w:fldChar w:fldCharType="begin"/>
          </w:r>
          <w:r>
            <w:instrText xml:space="preserve"> HYPERLINK \l "_Toc458171808"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构筑智能化城市公共交通体系</w:t>
          </w:r>
          <w:r>
            <w:tab/>
          </w:r>
          <w:r>
            <w:fldChar w:fldCharType="begin"/>
          </w:r>
          <w:r>
            <w:instrText xml:space="preserve"> PAGEREF _Toc458171808 \h </w:instrText>
          </w:r>
          <w:r>
            <w:fldChar w:fldCharType="separate"/>
          </w:r>
          <w:r>
            <w:t>57</w:t>
          </w:r>
          <w:r>
            <w:fldChar w:fldCharType="end"/>
          </w:r>
          <w:r>
            <w:fldChar w:fldCharType="end"/>
          </w:r>
        </w:p>
        <w:p>
          <w:pPr>
            <w:pStyle w:val="18"/>
            <w:tabs>
              <w:tab w:val="right" w:leader="dot" w:pos="8296"/>
            </w:tabs>
            <w:rPr>
              <w:sz w:val="21"/>
            </w:rPr>
          </w:pPr>
          <w:r>
            <w:fldChar w:fldCharType="begin"/>
          </w:r>
          <w:r>
            <w:instrText xml:space="preserve"> HYPERLINK \l "_Toc458171809" </w:instrText>
          </w:r>
          <w:r>
            <w:fldChar w:fldCharType="separate"/>
          </w:r>
          <w:r>
            <w:rPr>
              <w:rStyle w:val="31"/>
              <w:rFonts w:hint="eastAsia" w:ascii="Times New Roman" w:hAnsi="Times New Roman" w:cs="Times New Roman"/>
              <w:lang w:val="zh-CN" w:eastAsia="zh-CN"/>
            </w:rPr>
            <w:t>第十章</w:t>
          </w:r>
          <w:r>
            <w:rPr>
              <w:rStyle w:val="31"/>
              <w:rFonts w:ascii="Times New Roman" w:hAnsi="Times New Roman" w:cs="Times New Roman"/>
              <w:lang w:val="zh-CN" w:eastAsia="zh-CN"/>
            </w:rPr>
            <w:t xml:space="preserve"> </w:t>
          </w:r>
          <w:r>
            <w:rPr>
              <w:rStyle w:val="31"/>
              <w:rFonts w:hint="eastAsia" w:ascii="Times New Roman" w:hAnsi="Times New Roman" w:cs="Times New Roman"/>
              <w:lang w:val="zh-CN" w:eastAsia="zh-CN"/>
            </w:rPr>
            <w:t>构建多层次的区域合作体系</w:t>
          </w:r>
          <w:r>
            <w:tab/>
          </w:r>
          <w:r>
            <w:fldChar w:fldCharType="begin"/>
          </w:r>
          <w:r>
            <w:instrText xml:space="preserve"> PAGEREF _Toc458171809 \h </w:instrText>
          </w:r>
          <w:r>
            <w:fldChar w:fldCharType="separate"/>
          </w:r>
          <w:r>
            <w:t>58</w:t>
          </w:r>
          <w:r>
            <w:fldChar w:fldCharType="end"/>
          </w:r>
          <w:r>
            <w:fldChar w:fldCharType="end"/>
          </w:r>
        </w:p>
        <w:p>
          <w:pPr>
            <w:pStyle w:val="11"/>
            <w:tabs>
              <w:tab w:val="right" w:leader="dot" w:pos="8296"/>
            </w:tabs>
            <w:ind w:left="1120"/>
            <w:rPr>
              <w:sz w:val="21"/>
            </w:rPr>
          </w:pPr>
          <w:r>
            <w:fldChar w:fldCharType="begin"/>
          </w:r>
          <w:r>
            <w:instrText xml:space="preserve"> HYPERLINK \l "_Toc458171810"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积极投入珠江</w:t>
          </w:r>
          <w:r>
            <w:rPr>
              <w:rStyle w:val="31"/>
              <w:rFonts w:ascii="Times New Roman" w:hAnsi="Times New Roman" w:eastAsia="楷体_GB2312"/>
            </w:rPr>
            <w:t>—</w:t>
          </w:r>
          <w:r>
            <w:rPr>
              <w:rStyle w:val="31"/>
              <w:rFonts w:hint="eastAsia" w:ascii="Times New Roman" w:hAnsi="Times New Roman" w:eastAsia="楷体_GB2312"/>
            </w:rPr>
            <w:t>西江经济带开放开发</w:t>
          </w:r>
          <w:r>
            <w:tab/>
          </w:r>
          <w:r>
            <w:fldChar w:fldCharType="begin"/>
          </w:r>
          <w:r>
            <w:instrText xml:space="preserve"> PAGEREF _Toc458171810 \h </w:instrText>
          </w:r>
          <w:r>
            <w:fldChar w:fldCharType="separate"/>
          </w:r>
          <w:r>
            <w:t>58</w:t>
          </w:r>
          <w:r>
            <w:fldChar w:fldCharType="end"/>
          </w:r>
          <w:r>
            <w:fldChar w:fldCharType="end"/>
          </w:r>
        </w:p>
        <w:p>
          <w:pPr>
            <w:pStyle w:val="11"/>
            <w:tabs>
              <w:tab w:val="right" w:leader="dot" w:pos="8296"/>
            </w:tabs>
            <w:ind w:left="1120"/>
            <w:rPr>
              <w:sz w:val="21"/>
            </w:rPr>
          </w:pPr>
          <w:r>
            <w:fldChar w:fldCharType="begin"/>
          </w:r>
          <w:r>
            <w:instrText xml:space="preserve"> HYPERLINK \l "_Toc458171811"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大力推进粤桂黔高铁经济带合作</w:t>
          </w:r>
          <w:r>
            <w:tab/>
          </w:r>
          <w:r>
            <w:fldChar w:fldCharType="begin"/>
          </w:r>
          <w:r>
            <w:instrText xml:space="preserve"> PAGEREF _Toc458171811 \h </w:instrText>
          </w:r>
          <w:r>
            <w:fldChar w:fldCharType="separate"/>
          </w:r>
          <w:r>
            <w:t>59</w:t>
          </w:r>
          <w:r>
            <w:fldChar w:fldCharType="end"/>
          </w:r>
          <w:r>
            <w:fldChar w:fldCharType="end"/>
          </w:r>
        </w:p>
        <w:p>
          <w:pPr>
            <w:pStyle w:val="11"/>
            <w:tabs>
              <w:tab w:val="right" w:leader="dot" w:pos="8296"/>
            </w:tabs>
            <w:ind w:left="1120"/>
            <w:rPr>
              <w:sz w:val="21"/>
            </w:rPr>
          </w:pPr>
          <w:r>
            <w:fldChar w:fldCharType="begin"/>
          </w:r>
          <w:r>
            <w:instrText xml:space="preserve"> HYPERLINK \l "_Toc458171812"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积极主导柳来河区域一体化联动发展</w:t>
          </w:r>
          <w:r>
            <w:tab/>
          </w:r>
          <w:r>
            <w:fldChar w:fldCharType="begin"/>
          </w:r>
          <w:r>
            <w:instrText xml:space="preserve"> PAGEREF _Toc458171812 \h </w:instrText>
          </w:r>
          <w:r>
            <w:fldChar w:fldCharType="separate"/>
          </w:r>
          <w:r>
            <w:t>60</w:t>
          </w:r>
          <w:r>
            <w:fldChar w:fldCharType="end"/>
          </w:r>
          <w:r>
            <w:fldChar w:fldCharType="end"/>
          </w:r>
        </w:p>
        <w:p>
          <w:pPr>
            <w:pStyle w:val="18"/>
            <w:tabs>
              <w:tab w:val="right" w:leader="dot" w:pos="8296"/>
            </w:tabs>
            <w:rPr>
              <w:sz w:val="21"/>
            </w:rPr>
          </w:pPr>
          <w:r>
            <w:fldChar w:fldCharType="begin"/>
          </w:r>
          <w:r>
            <w:instrText xml:space="preserve"> HYPERLINK \l "_Toc458171813" </w:instrText>
          </w:r>
          <w:r>
            <w:fldChar w:fldCharType="separate"/>
          </w:r>
          <w:r>
            <w:rPr>
              <w:rStyle w:val="31"/>
              <w:rFonts w:hint="eastAsia" w:ascii="Times New Roman" w:hAnsi="Times New Roman" w:cs="Times New Roman"/>
              <w:lang w:val="zh-CN" w:eastAsia="zh-CN"/>
            </w:rPr>
            <w:t>第十一章</w:t>
          </w:r>
          <w:r>
            <w:rPr>
              <w:rStyle w:val="31"/>
              <w:rFonts w:ascii="Times New Roman" w:hAnsi="Times New Roman" w:cs="Times New Roman"/>
              <w:lang w:val="zh-CN" w:eastAsia="zh-CN"/>
            </w:rPr>
            <w:t xml:space="preserve"> </w:t>
          </w:r>
          <w:r>
            <w:rPr>
              <w:rStyle w:val="31"/>
              <w:rFonts w:hint="eastAsia" w:ascii="Times New Roman" w:hAnsi="Times New Roman" w:cs="Times New Roman"/>
              <w:lang w:val="zh-CN" w:eastAsia="zh-CN"/>
            </w:rPr>
            <w:t>深度融入“一带一路”倡议</w:t>
          </w:r>
          <w:r>
            <w:tab/>
          </w:r>
          <w:r>
            <w:fldChar w:fldCharType="begin"/>
          </w:r>
          <w:r>
            <w:instrText xml:space="preserve"> PAGEREF _Toc458171813 \h </w:instrText>
          </w:r>
          <w:r>
            <w:fldChar w:fldCharType="separate"/>
          </w:r>
          <w:r>
            <w:t>60</w:t>
          </w:r>
          <w:r>
            <w:fldChar w:fldCharType="end"/>
          </w:r>
          <w:r>
            <w:fldChar w:fldCharType="end"/>
          </w:r>
        </w:p>
        <w:p>
          <w:pPr>
            <w:pStyle w:val="11"/>
            <w:tabs>
              <w:tab w:val="right" w:leader="dot" w:pos="8296"/>
            </w:tabs>
            <w:ind w:left="1120"/>
            <w:rPr>
              <w:sz w:val="21"/>
            </w:rPr>
          </w:pPr>
          <w:r>
            <w:fldChar w:fldCharType="begin"/>
          </w:r>
          <w:r>
            <w:instrText xml:space="preserve"> HYPERLINK \l "_Toc458171814"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加快</w:t>
          </w:r>
          <w:r>
            <w:rPr>
              <w:rStyle w:val="31"/>
              <w:rFonts w:ascii="Times New Roman" w:hAnsi="Times New Roman" w:eastAsia="楷体_GB2312"/>
            </w:rPr>
            <w:t>“</w:t>
          </w:r>
          <w:r>
            <w:rPr>
              <w:rStyle w:val="31"/>
              <w:rFonts w:hint="eastAsia" w:ascii="Times New Roman" w:hAnsi="Times New Roman" w:eastAsia="楷体_GB2312"/>
            </w:rPr>
            <w:t>走出去</w:t>
          </w:r>
          <w:r>
            <w:rPr>
              <w:rStyle w:val="31"/>
              <w:rFonts w:ascii="Times New Roman" w:hAnsi="Times New Roman" w:eastAsia="楷体_GB2312"/>
            </w:rPr>
            <w:t>”</w:t>
          </w:r>
          <w:r>
            <w:rPr>
              <w:rStyle w:val="31"/>
              <w:rFonts w:hint="eastAsia" w:ascii="Times New Roman" w:hAnsi="Times New Roman" w:eastAsia="楷体_GB2312"/>
            </w:rPr>
            <w:t>步伐</w:t>
          </w:r>
          <w:r>
            <w:tab/>
          </w:r>
          <w:r>
            <w:fldChar w:fldCharType="begin"/>
          </w:r>
          <w:r>
            <w:instrText xml:space="preserve"> PAGEREF _Toc458171814 \h </w:instrText>
          </w:r>
          <w:r>
            <w:fldChar w:fldCharType="separate"/>
          </w:r>
          <w:r>
            <w:t>61</w:t>
          </w:r>
          <w:r>
            <w:fldChar w:fldCharType="end"/>
          </w:r>
          <w:r>
            <w:fldChar w:fldCharType="end"/>
          </w:r>
        </w:p>
        <w:p>
          <w:pPr>
            <w:pStyle w:val="11"/>
            <w:tabs>
              <w:tab w:val="right" w:leader="dot" w:pos="8296"/>
            </w:tabs>
            <w:ind w:left="1120"/>
            <w:rPr>
              <w:sz w:val="21"/>
            </w:rPr>
          </w:pPr>
          <w:r>
            <w:fldChar w:fldCharType="begin"/>
          </w:r>
          <w:r>
            <w:instrText xml:space="preserve"> HYPERLINK \l "_Toc458171815"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提升</w:t>
          </w:r>
          <w:r>
            <w:rPr>
              <w:rStyle w:val="31"/>
              <w:rFonts w:ascii="Times New Roman" w:hAnsi="Times New Roman" w:eastAsia="楷体_GB2312"/>
            </w:rPr>
            <w:t>“</w:t>
          </w:r>
          <w:r>
            <w:rPr>
              <w:rStyle w:val="31"/>
              <w:rFonts w:hint="eastAsia" w:ascii="Times New Roman" w:hAnsi="Times New Roman" w:eastAsia="楷体_GB2312"/>
            </w:rPr>
            <w:t>引进来</w:t>
          </w:r>
          <w:r>
            <w:rPr>
              <w:rStyle w:val="31"/>
              <w:rFonts w:ascii="Times New Roman" w:hAnsi="Times New Roman" w:eastAsia="楷体_GB2312"/>
            </w:rPr>
            <w:t>”</w:t>
          </w:r>
          <w:r>
            <w:rPr>
              <w:rStyle w:val="31"/>
              <w:rFonts w:hint="eastAsia" w:ascii="Times New Roman" w:hAnsi="Times New Roman" w:eastAsia="楷体_GB2312"/>
            </w:rPr>
            <w:t>能力</w:t>
          </w:r>
          <w:r>
            <w:tab/>
          </w:r>
          <w:r>
            <w:fldChar w:fldCharType="begin"/>
          </w:r>
          <w:r>
            <w:instrText xml:space="preserve"> PAGEREF _Toc458171815 \h </w:instrText>
          </w:r>
          <w:r>
            <w:fldChar w:fldCharType="separate"/>
          </w:r>
          <w:r>
            <w:t>62</w:t>
          </w:r>
          <w:r>
            <w:fldChar w:fldCharType="end"/>
          </w:r>
          <w:r>
            <w:fldChar w:fldCharType="end"/>
          </w:r>
        </w:p>
        <w:p>
          <w:pPr>
            <w:pStyle w:val="11"/>
            <w:tabs>
              <w:tab w:val="right" w:leader="dot" w:pos="8296"/>
            </w:tabs>
            <w:ind w:left="1120"/>
            <w:rPr>
              <w:sz w:val="21"/>
            </w:rPr>
          </w:pPr>
          <w:r>
            <w:fldChar w:fldCharType="begin"/>
          </w:r>
          <w:r>
            <w:instrText xml:space="preserve"> HYPERLINK \l "_Toc458171816"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增强对外贸易实力</w:t>
          </w:r>
          <w:r>
            <w:tab/>
          </w:r>
          <w:r>
            <w:fldChar w:fldCharType="begin"/>
          </w:r>
          <w:r>
            <w:instrText xml:space="preserve"> PAGEREF _Toc458171816 \h </w:instrText>
          </w:r>
          <w:r>
            <w:fldChar w:fldCharType="separate"/>
          </w:r>
          <w:r>
            <w:t>64</w:t>
          </w:r>
          <w:r>
            <w:fldChar w:fldCharType="end"/>
          </w:r>
          <w:r>
            <w:fldChar w:fldCharType="end"/>
          </w:r>
        </w:p>
        <w:p>
          <w:pPr>
            <w:pStyle w:val="18"/>
            <w:tabs>
              <w:tab w:val="right" w:leader="dot" w:pos="8296"/>
            </w:tabs>
            <w:rPr>
              <w:sz w:val="21"/>
            </w:rPr>
          </w:pPr>
          <w:r>
            <w:fldChar w:fldCharType="begin"/>
          </w:r>
          <w:r>
            <w:instrText xml:space="preserve"> HYPERLINK \l "_Toc458171817" </w:instrText>
          </w:r>
          <w:r>
            <w:fldChar w:fldCharType="separate"/>
          </w:r>
          <w:r>
            <w:rPr>
              <w:rStyle w:val="31"/>
              <w:rFonts w:hint="eastAsia" w:ascii="Times New Roman" w:hAnsi="Times New Roman" w:eastAsia="华文中宋" w:cs="Times New Roman"/>
              <w:lang w:val="zh-CN" w:eastAsia="zh-CN"/>
            </w:rPr>
            <w:t>第四篇</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实施协调发展战略</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全面推进新型城镇化</w:t>
          </w:r>
          <w:r>
            <w:tab/>
          </w:r>
          <w:r>
            <w:fldChar w:fldCharType="begin"/>
          </w:r>
          <w:r>
            <w:instrText xml:space="preserve"> PAGEREF _Toc458171817 \h </w:instrText>
          </w:r>
          <w:r>
            <w:fldChar w:fldCharType="separate"/>
          </w:r>
          <w:r>
            <w:t>65</w:t>
          </w:r>
          <w:r>
            <w:fldChar w:fldCharType="end"/>
          </w:r>
          <w:r>
            <w:fldChar w:fldCharType="end"/>
          </w:r>
        </w:p>
        <w:p>
          <w:pPr>
            <w:pStyle w:val="18"/>
            <w:tabs>
              <w:tab w:val="right" w:leader="dot" w:pos="8296"/>
            </w:tabs>
            <w:rPr>
              <w:sz w:val="21"/>
            </w:rPr>
          </w:pPr>
          <w:r>
            <w:fldChar w:fldCharType="begin"/>
          </w:r>
          <w:r>
            <w:instrText xml:space="preserve"> HYPERLINK \l "_Toc458171818" </w:instrText>
          </w:r>
          <w:r>
            <w:fldChar w:fldCharType="separate"/>
          </w:r>
          <w:r>
            <w:rPr>
              <w:rStyle w:val="31"/>
              <w:rFonts w:hint="eastAsia" w:eastAsia="黑体"/>
            </w:rPr>
            <w:t>第十二章</w:t>
          </w:r>
          <w:r>
            <w:rPr>
              <w:rStyle w:val="31"/>
              <w:rFonts w:eastAsia="黑体"/>
            </w:rPr>
            <w:t xml:space="preserve"> </w:t>
          </w:r>
          <w:r>
            <w:rPr>
              <w:rStyle w:val="31"/>
              <w:rFonts w:hint="eastAsia" w:eastAsia="黑体"/>
            </w:rPr>
            <w:t>加快新型城镇化进程</w:t>
          </w:r>
          <w:r>
            <w:tab/>
          </w:r>
          <w:r>
            <w:fldChar w:fldCharType="begin"/>
          </w:r>
          <w:r>
            <w:instrText xml:space="preserve"> PAGEREF _Toc458171818 \h </w:instrText>
          </w:r>
          <w:r>
            <w:fldChar w:fldCharType="separate"/>
          </w:r>
          <w:r>
            <w:t>65</w:t>
          </w:r>
          <w:r>
            <w:fldChar w:fldCharType="end"/>
          </w:r>
          <w:r>
            <w:fldChar w:fldCharType="end"/>
          </w:r>
        </w:p>
        <w:p>
          <w:pPr>
            <w:pStyle w:val="11"/>
            <w:tabs>
              <w:tab w:val="right" w:leader="dot" w:pos="8296"/>
            </w:tabs>
            <w:ind w:left="1120"/>
            <w:rPr>
              <w:sz w:val="21"/>
            </w:rPr>
          </w:pPr>
          <w:r>
            <w:fldChar w:fldCharType="begin"/>
          </w:r>
          <w:r>
            <w:instrText xml:space="preserve"> HYPERLINK \l "_Toc458171819" </w:instrText>
          </w:r>
          <w:r>
            <w:fldChar w:fldCharType="separate"/>
          </w:r>
          <w:r>
            <w:rPr>
              <w:rStyle w:val="31"/>
              <w:rFonts w:hint="eastAsia" w:eastAsia="楷体"/>
            </w:rPr>
            <w:t>第一节</w:t>
          </w:r>
          <w:r>
            <w:rPr>
              <w:rStyle w:val="31"/>
              <w:rFonts w:eastAsia="楷体"/>
            </w:rPr>
            <w:t xml:space="preserve"> </w:t>
          </w:r>
          <w:r>
            <w:rPr>
              <w:rStyle w:val="31"/>
              <w:rFonts w:hint="eastAsia" w:eastAsia="楷体"/>
            </w:rPr>
            <w:t>优化城镇化空间发展格局</w:t>
          </w:r>
          <w:r>
            <w:tab/>
          </w:r>
          <w:r>
            <w:fldChar w:fldCharType="begin"/>
          </w:r>
          <w:r>
            <w:instrText xml:space="preserve"> PAGEREF _Toc458171819 \h </w:instrText>
          </w:r>
          <w:r>
            <w:fldChar w:fldCharType="separate"/>
          </w:r>
          <w:r>
            <w:t>65</w:t>
          </w:r>
          <w:r>
            <w:fldChar w:fldCharType="end"/>
          </w:r>
          <w:r>
            <w:fldChar w:fldCharType="end"/>
          </w:r>
        </w:p>
        <w:p>
          <w:pPr>
            <w:pStyle w:val="11"/>
            <w:tabs>
              <w:tab w:val="right" w:leader="dot" w:pos="8296"/>
            </w:tabs>
            <w:ind w:left="1120"/>
            <w:rPr>
              <w:sz w:val="21"/>
            </w:rPr>
          </w:pPr>
          <w:r>
            <w:fldChar w:fldCharType="begin"/>
          </w:r>
          <w:r>
            <w:instrText xml:space="preserve"> HYPERLINK \l "_Toc458171820"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促进新区与新市镇的协调发展</w:t>
          </w:r>
          <w:r>
            <w:tab/>
          </w:r>
          <w:r>
            <w:fldChar w:fldCharType="begin"/>
          </w:r>
          <w:r>
            <w:instrText xml:space="preserve"> PAGEREF _Toc458171820 \h </w:instrText>
          </w:r>
          <w:r>
            <w:fldChar w:fldCharType="separate"/>
          </w:r>
          <w:r>
            <w:t>67</w:t>
          </w:r>
          <w:r>
            <w:fldChar w:fldCharType="end"/>
          </w:r>
          <w:r>
            <w:fldChar w:fldCharType="end"/>
          </w:r>
        </w:p>
        <w:p>
          <w:pPr>
            <w:pStyle w:val="11"/>
            <w:tabs>
              <w:tab w:val="right" w:leader="dot" w:pos="8296"/>
            </w:tabs>
            <w:ind w:left="1120"/>
            <w:rPr>
              <w:sz w:val="21"/>
            </w:rPr>
          </w:pPr>
          <w:r>
            <w:fldChar w:fldCharType="begin"/>
          </w:r>
          <w:r>
            <w:instrText xml:space="preserve"> HYPERLINK \l "_Toc458171821"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着力提升城镇化品质</w:t>
          </w:r>
          <w:r>
            <w:tab/>
          </w:r>
          <w:r>
            <w:fldChar w:fldCharType="begin"/>
          </w:r>
          <w:r>
            <w:instrText xml:space="preserve"> PAGEREF _Toc458171821 \h </w:instrText>
          </w:r>
          <w:r>
            <w:fldChar w:fldCharType="separate"/>
          </w:r>
          <w:r>
            <w:t>68</w:t>
          </w:r>
          <w:r>
            <w:fldChar w:fldCharType="end"/>
          </w:r>
          <w:r>
            <w:fldChar w:fldCharType="end"/>
          </w:r>
        </w:p>
        <w:p>
          <w:pPr>
            <w:pStyle w:val="11"/>
            <w:tabs>
              <w:tab w:val="right" w:leader="dot" w:pos="8296"/>
            </w:tabs>
            <w:ind w:left="1120"/>
            <w:rPr>
              <w:sz w:val="21"/>
            </w:rPr>
          </w:pPr>
          <w:r>
            <w:fldChar w:fldCharType="begin"/>
          </w:r>
          <w:r>
            <w:instrText xml:space="preserve"> HYPERLINK \l "_Toc458171822" </w:instrText>
          </w:r>
          <w:r>
            <w:fldChar w:fldCharType="separate"/>
          </w:r>
          <w:r>
            <w:rPr>
              <w:rStyle w:val="31"/>
              <w:rFonts w:hint="eastAsia" w:eastAsia="楷体"/>
            </w:rPr>
            <w:t>第四节</w:t>
          </w:r>
          <w:r>
            <w:rPr>
              <w:rStyle w:val="31"/>
              <w:rFonts w:eastAsia="楷体"/>
            </w:rPr>
            <w:t xml:space="preserve"> </w:t>
          </w:r>
          <w:r>
            <w:rPr>
              <w:rStyle w:val="31"/>
              <w:rFonts w:hint="eastAsia" w:eastAsia="楷体"/>
            </w:rPr>
            <w:t>有序推进农业转移人口市民化</w:t>
          </w:r>
          <w:r>
            <w:tab/>
          </w:r>
          <w:r>
            <w:fldChar w:fldCharType="begin"/>
          </w:r>
          <w:r>
            <w:instrText xml:space="preserve"> PAGEREF _Toc458171822 \h </w:instrText>
          </w:r>
          <w:r>
            <w:fldChar w:fldCharType="separate"/>
          </w:r>
          <w:r>
            <w:t>69</w:t>
          </w:r>
          <w:r>
            <w:fldChar w:fldCharType="end"/>
          </w:r>
          <w:r>
            <w:fldChar w:fldCharType="end"/>
          </w:r>
        </w:p>
        <w:p>
          <w:pPr>
            <w:pStyle w:val="18"/>
            <w:tabs>
              <w:tab w:val="right" w:leader="dot" w:pos="8296"/>
            </w:tabs>
            <w:rPr>
              <w:sz w:val="21"/>
            </w:rPr>
          </w:pPr>
          <w:r>
            <w:fldChar w:fldCharType="begin"/>
          </w:r>
          <w:r>
            <w:instrText xml:space="preserve"> HYPERLINK \l "_Toc458171823" </w:instrText>
          </w:r>
          <w:r>
            <w:fldChar w:fldCharType="separate"/>
          </w:r>
          <w:r>
            <w:rPr>
              <w:rStyle w:val="31"/>
              <w:rFonts w:hint="eastAsia" w:eastAsia="黑体"/>
            </w:rPr>
            <w:t>第十三章</w:t>
          </w:r>
          <w:r>
            <w:rPr>
              <w:rStyle w:val="31"/>
              <w:rFonts w:eastAsia="黑体"/>
            </w:rPr>
            <w:t xml:space="preserve"> </w:t>
          </w:r>
          <w:r>
            <w:rPr>
              <w:rStyle w:val="31"/>
              <w:rFonts w:hint="eastAsia" w:eastAsia="黑体"/>
            </w:rPr>
            <w:t>构建新区发展空间新格局</w:t>
          </w:r>
          <w:r>
            <w:tab/>
          </w:r>
          <w:r>
            <w:fldChar w:fldCharType="begin"/>
          </w:r>
          <w:r>
            <w:instrText xml:space="preserve"> PAGEREF _Toc458171823 \h </w:instrText>
          </w:r>
          <w:r>
            <w:fldChar w:fldCharType="separate"/>
          </w:r>
          <w:r>
            <w:t>71</w:t>
          </w:r>
          <w:r>
            <w:fldChar w:fldCharType="end"/>
          </w:r>
          <w:r>
            <w:fldChar w:fldCharType="end"/>
          </w:r>
        </w:p>
        <w:p>
          <w:pPr>
            <w:pStyle w:val="11"/>
            <w:tabs>
              <w:tab w:val="right" w:leader="dot" w:pos="8296"/>
            </w:tabs>
            <w:ind w:left="1120"/>
            <w:rPr>
              <w:sz w:val="21"/>
            </w:rPr>
          </w:pPr>
          <w:r>
            <w:fldChar w:fldCharType="begin"/>
          </w:r>
          <w:r>
            <w:instrText xml:space="preserve"> HYPERLINK \l "_Toc458171824" </w:instrText>
          </w:r>
          <w:r>
            <w:fldChar w:fldCharType="separate"/>
          </w:r>
          <w:r>
            <w:rPr>
              <w:rStyle w:val="31"/>
              <w:rFonts w:hint="eastAsia" w:eastAsia="楷体"/>
            </w:rPr>
            <w:t>第一节</w:t>
          </w:r>
          <w:r>
            <w:rPr>
              <w:rStyle w:val="31"/>
              <w:rFonts w:eastAsia="楷体"/>
            </w:rPr>
            <w:t xml:space="preserve"> </w:t>
          </w:r>
          <w:r>
            <w:rPr>
              <w:rStyle w:val="31"/>
              <w:rFonts w:hint="eastAsia" w:eastAsia="楷体"/>
            </w:rPr>
            <w:t>优化新区空间结构</w:t>
          </w:r>
          <w:r>
            <w:tab/>
          </w:r>
          <w:r>
            <w:fldChar w:fldCharType="begin"/>
          </w:r>
          <w:r>
            <w:instrText xml:space="preserve"> PAGEREF _Toc458171824 \h </w:instrText>
          </w:r>
          <w:r>
            <w:fldChar w:fldCharType="separate"/>
          </w:r>
          <w:r>
            <w:t>72</w:t>
          </w:r>
          <w:r>
            <w:fldChar w:fldCharType="end"/>
          </w:r>
          <w:r>
            <w:fldChar w:fldCharType="end"/>
          </w:r>
        </w:p>
        <w:p>
          <w:pPr>
            <w:pStyle w:val="11"/>
            <w:tabs>
              <w:tab w:val="right" w:leader="dot" w:pos="8296"/>
            </w:tabs>
            <w:ind w:left="1120"/>
            <w:rPr>
              <w:sz w:val="21"/>
            </w:rPr>
          </w:pPr>
          <w:r>
            <w:fldChar w:fldCharType="begin"/>
          </w:r>
          <w:r>
            <w:instrText xml:space="preserve"> HYPERLINK \l "_Toc458171825"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强化空间管控体系</w:t>
          </w:r>
          <w:r>
            <w:tab/>
          </w:r>
          <w:r>
            <w:fldChar w:fldCharType="begin"/>
          </w:r>
          <w:r>
            <w:instrText xml:space="preserve"> PAGEREF _Toc458171825 \h </w:instrText>
          </w:r>
          <w:r>
            <w:fldChar w:fldCharType="separate"/>
          </w:r>
          <w:r>
            <w:t>74</w:t>
          </w:r>
          <w:r>
            <w:fldChar w:fldCharType="end"/>
          </w:r>
          <w:r>
            <w:fldChar w:fldCharType="end"/>
          </w:r>
        </w:p>
        <w:p>
          <w:pPr>
            <w:pStyle w:val="18"/>
            <w:tabs>
              <w:tab w:val="right" w:leader="dot" w:pos="8296"/>
            </w:tabs>
            <w:rPr>
              <w:sz w:val="21"/>
            </w:rPr>
          </w:pPr>
          <w:r>
            <w:fldChar w:fldCharType="begin"/>
          </w:r>
          <w:r>
            <w:instrText xml:space="preserve"> HYPERLINK \l "_Toc458171826" </w:instrText>
          </w:r>
          <w:r>
            <w:fldChar w:fldCharType="separate"/>
          </w:r>
          <w:r>
            <w:rPr>
              <w:rStyle w:val="31"/>
              <w:rFonts w:hint="eastAsia" w:eastAsia="黑体"/>
            </w:rPr>
            <w:t>第十四章</w:t>
          </w:r>
          <w:r>
            <w:rPr>
              <w:rStyle w:val="31"/>
              <w:rFonts w:eastAsia="黑体"/>
            </w:rPr>
            <w:t xml:space="preserve"> </w:t>
          </w:r>
          <w:r>
            <w:rPr>
              <w:rStyle w:val="31"/>
              <w:rFonts w:hint="eastAsia" w:eastAsia="黑体"/>
            </w:rPr>
            <w:t>提升新区综合服务功能</w:t>
          </w:r>
          <w:r>
            <w:tab/>
          </w:r>
          <w:r>
            <w:fldChar w:fldCharType="begin"/>
          </w:r>
          <w:r>
            <w:instrText xml:space="preserve"> PAGEREF _Toc458171826 \h </w:instrText>
          </w:r>
          <w:r>
            <w:fldChar w:fldCharType="separate"/>
          </w:r>
          <w:r>
            <w:t>76</w:t>
          </w:r>
          <w:r>
            <w:fldChar w:fldCharType="end"/>
          </w:r>
          <w:r>
            <w:fldChar w:fldCharType="end"/>
          </w:r>
        </w:p>
        <w:p>
          <w:pPr>
            <w:pStyle w:val="11"/>
            <w:tabs>
              <w:tab w:val="right" w:leader="dot" w:pos="8296"/>
            </w:tabs>
            <w:ind w:left="1120"/>
            <w:rPr>
              <w:sz w:val="21"/>
            </w:rPr>
          </w:pPr>
          <w:r>
            <w:fldChar w:fldCharType="begin"/>
          </w:r>
          <w:r>
            <w:instrText xml:space="preserve"> HYPERLINK \l "_Toc458171827" </w:instrText>
          </w:r>
          <w:r>
            <w:fldChar w:fldCharType="separate"/>
          </w:r>
          <w:r>
            <w:rPr>
              <w:rStyle w:val="31"/>
              <w:rFonts w:hint="eastAsia" w:eastAsia="楷体"/>
            </w:rPr>
            <w:t>第一节</w:t>
          </w:r>
          <w:r>
            <w:rPr>
              <w:rStyle w:val="31"/>
              <w:rFonts w:eastAsia="楷体"/>
            </w:rPr>
            <w:t xml:space="preserve"> </w:t>
          </w:r>
          <w:r>
            <w:rPr>
              <w:rStyle w:val="31"/>
              <w:rFonts w:hint="eastAsia" w:eastAsia="楷体"/>
            </w:rPr>
            <w:t>加快城市交通建设</w:t>
          </w:r>
          <w:r>
            <w:tab/>
          </w:r>
          <w:r>
            <w:fldChar w:fldCharType="begin"/>
          </w:r>
          <w:r>
            <w:instrText xml:space="preserve"> PAGEREF _Toc458171827 \h </w:instrText>
          </w:r>
          <w:r>
            <w:fldChar w:fldCharType="separate"/>
          </w:r>
          <w:r>
            <w:t>76</w:t>
          </w:r>
          <w:r>
            <w:fldChar w:fldCharType="end"/>
          </w:r>
          <w:r>
            <w:fldChar w:fldCharType="end"/>
          </w:r>
        </w:p>
        <w:p>
          <w:pPr>
            <w:pStyle w:val="11"/>
            <w:tabs>
              <w:tab w:val="right" w:leader="dot" w:pos="8296"/>
            </w:tabs>
            <w:ind w:left="1120"/>
            <w:rPr>
              <w:sz w:val="21"/>
            </w:rPr>
          </w:pPr>
          <w:r>
            <w:fldChar w:fldCharType="begin"/>
          </w:r>
          <w:r>
            <w:instrText xml:space="preserve"> HYPERLINK \l "_Toc458171828"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建设功能完善的市政服务设施体系</w:t>
          </w:r>
          <w:r>
            <w:tab/>
          </w:r>
          <w:r>
            <w:fldChar w:fldCharType="begin"/>
          </w:r>
          <w:r>
            <w:instrText xml:space="preserve"> PAGEREF _Toc458171828 \h </w:instrText>
          </w:r>
          <w:r>
            <w:fldChar w:fldCharType="separate"/>
          </w:r>
          <w:r>
            <w:t>81</w:t>
          </w:r>
          <w:r>
            <w:fldChar w:fldCharType="end"/>
          </w:r>
          <w:r>
            <w:fldChar w:fldCharType="end"/>
          </w:r>
        </w:p>
        <w:p>
          <w:pPr>
            <w:pStyle w:val="11"/>
            <w:tabs>
              <w:tab w:val="right" w:leader="dot" w:pos="8296"/>
            </w:tabs>
            <w:ind w:left="1120"/>
            <w:rPr>
              <w:sz w:val="21"/>
            </w:rPr>
          </w:pPr>
          <w:r>
            <w:fldChar w:fldCharType="begin"/>
          </w:r>
          <w:r>
            <w:instrText xml:space="preserve"> HYPERLINK \l "_Toc458171829"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构建安全可靠的能源供应体系</w:t>
          </w:r>
          <w:r>
            <w:tab/>
          </w:r>
          <w:r>
            <w:fldChar w:fldCharType="begin"/>
          </w:r>
          <w:r>
            <w:instrText xml:space="preserve"> PAGEREF _Toc458171829 \h </w:instrText>
          </w:r>
          <w:r>
            <w:fldChar w:fldCharType="separate"/>
          </w:r>
          <w:r>
            <w:t>83</w:t>
          </w:r>
          <w:r>
            <w:fldChar w:fldCharType="end"/>
          </w:r>
          <w:r>
            <w:fldChar w:fldCharType="end"/>
          </w:r>
        </w:p>
        <w:p>
          <w:pPr>
            <w:pStyle w:val="11"/>
            <w:tabs>
              <w:tab w:val="right" w:leader="dot" w:pos="8296"/>
            </w:tabs>
            <w:ind w:left="1120"/>
            <w:rPr>
              <w:sz w:val="21"/>
            </w:rPr>
          </w:pPr>
          <w:r>
            <w:fldChar w:fldCharType="begin"/>
          </w:r>
          <w:r>
            <w:instrText xml:space="preserve"> HYPERLINK \l "_Toc458171830" </w:instrText>
          </w:r>
          <w:r>
            <w:fldChar w:fldCharType="separate"/>
          </w:r>
          <w:r>
            <w:rPr>
              <w:rStyle w:val="31"/>
              <w:rFonts w:hint="eastAsia" w:eastAsia="楷体"/>
            </w:rPr>
            <w:t>第四节</w:t>
          </w:r>
          <w:r>
            <w:rPr>
              <w:rStyle w:val="31"/>
              <w:rFonts w:eastAsia="楷体"/>
            </w:rPr>
            <w:t xml:space="preserve"> </w:t>
          </w:r>
          <w:r>
            <w:rPr>
              <w:rStyle w:val="31"/>
              <w:rFonts w:hint="eastAsia" w:eastAsia="楷体"/>
            </w:rPr>
            <w:t>提高城市管理科学化水平</w:t>
          </w:r>
          <w:r>
            <w:tab/>
          </w:r>
          <w:r>
            <w:fldChar w:fldCharType="begin"/>
          </w:r>
          <w:r>
            <w:instrText xml:space="preserve"> PAGEREF _Toc458171830 \h </w:instrText>
          </w:r>
          <w:r>
            <w:fldChar w:fldCharType="separate"/>
          </w:r>
          <w:r>
            <w:t>84</w:t>
          </w:r>
          <w:r>
            <w:fldChar w:fldCharType="end"/>
          </w:r>
          <w:r>
            <w:fldChar w:fldCharType="end"/>
          </w:r>
        </w:p>
        <w:p>
          <w:pPr>
            <w:pStyle w:val="18"/>
            <w:tabs>
              <w:tab w:val="right" w:leader="dot" w:pos="8296"/>
            </w:tabs>
            <w:rPr>
              <w:sz w:val="21"/>
            </w:rPr>
          </w:pPr>
          <w:r>
            <w:fldChar w:fldCharType="begin"/>
          </w:r>
          <w:r>
            <w:instrText xml:space="preserve"> HYPERLINK \l "_Toc458171831" </w:instrText>
          </w:r>
          <w:r>
            <w:fldChar w:fldCharType="separate"/>
          </w:r>
          <w:r>
            <w:rPr>
              <w:rStyle w:val="31"/>
              <w:rFonts w:hint="eastAsia" w:eastAsia="黑体"/>
            </w:rPr>
            <w:t>第十五章</w:t>
          </w:r>
          <w:r>
            <w:rPr>
              <w:rStyle w:val="31"/>
              <w:rFonts w:eastAsia="黑体"/>
            </w:rPr>
            <w:t xml:space="preserve"> </w:t>
          </w:r>
          <w:r>
            <w:rPr>
              <w:rStyle w:val="31"/>
              <w:rFonts w:hint="eastAsia" w:eastAsia="黑体"/>
            </w:rPr>
            <w:t>加快智慧城区建设</w:t>
          </w:r>
          <w:r>
            <w:tab/>
          </w:r>
          <w:r>
            <w:fldChar w:fldCharType="begin"/>
          </w:r>
          <w:r>
            <w:instrText xml:space="preserve"> PAGEREF _Toc458171831 \h </w:instrText>
          </w:r>
          <w:r>
            <w:fldChar w:fldCharType="separate"/>
          </w:r>
          <w:r>
            <w:t>84</w:t>
          </w:r>
          <w:r>
            <w:fldChar w:fldCharType="end"/>
          </w:r>
          <w:r>
            <w:fldChar w:fldCharType="end"/>
          </w:r>
        </w:p>
        <w:p>
          <w:pPr>
            <w:pStyle w:val="11"/>
            <w:tabs>
              <w:tab w:val="right" w:leader="dot" w:pos="8296"/>
            </w:tabs>
            <w:ind w:left="1120"/>
            <w:rPr>
              <w:sz w:val="21"/>
            </w:rPr>
          </w:pPr>
          <w:r>
            <w:fldChar w:fldCharType="begin"/>
          </w:r>
          <w:r>
            <w:instrText xml:space="preserve"> HYPERLINK \l "_Toc458171832"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打造智慧城市框架</w:t>
          </w:r>
          <w:r>
            <w:tab/>
          </w:r>
          <w:r>
            <w:fldChar w:fldCharType="begin"/>
          </w:r>
          <w:r>
            <w:instrText xml:space="preserve"> PAGEREF _Toc458171832 \h </w:instrText>
          </w:r>
          <w:r>
            <w:fldChar w:fldCharType="separate"/>
          </w:r>
          <w:r>
            <w:t>85</w:t>
          </w:r>
          <w:r>
            <w:fldChar w:fldCharType="end"/>
          </w:r>
          <w:r>
            <w:fldChar w:fldCharType="end"/>
          </w:r>
        </w:p>
        <w:p>
          <w:pPr>
            <w:pStyle w:val="11"/>
            <w:tabs>
              <w:tab w:val="right" w:leader="dot" w:pos="8296"/>
            </w:tabs>
            <w:ind w:left="1120"/>
            <w:rPr>
              <w:sz w:val="21"/>
            </w:rPr>
          </w:pPr>
          <w:r>
            <w:fldChar w:fldCharType="begin"/>
          </w:r>
          <w:r>
            <w:instrText xml:space="preserve"> HYPERLINK \l "_Toc458171833"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构建智慧城市体系</w:t>
          </w:r>
          <w:r>
            <w:tab/>
          </w:r>
          <w:r>
            <w:fldChar w:fldCharType="begin"/>
          </w:r>
          <w:r>
            <w:instrText xml:space="preserve"> PAGEREF _Toc458171833 \h </w:instrText>
          </w:r>
          <w:r>
            <w:fldChar w:fldCharType="separate"/>
          </w:r>
          <w:r>
            <w:t>85</w:t>
          </w:r>
          <w:r>
            <w:fldChar w:fldCharType="end"/>
          </w:r>
          <w:r>
            <w:fldChar w:fldCharType="end"/>
          </w:r>
        </w:p>
        <w:p>
          <w:pPr>
            <w:pStyle w:val="11"/>
            <w:tabs>
              <w:tab w:val="right" w:leader="dot" w:pos="8296"/>
            </w:tabs>
            <w:ind w:left="1120"/>
            <w:rPr>
              <w:sz w:val="21"/>
            </w:rPr>
          </w:pPr>
          <w:r>
            <w:fldChar w:fldCharType="begin"/>
          </w:r>
          <w:r>
            <w:instrText xml:space="preserve"> HYPERLINK \l "_Toc458171834"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完善智慧城市基础设施</w:t>
          </w:r>
          <w:r>
            <w:tab/>
          </w:r>
          <w:r>
            <w:fldChar w:fldCharType="begin"/>
          </w:r>
          <w:r>
            <w:instrText xml:space="preserve"> PAGEREF _Toc458171834 \h </w:instrText>
          </w:r>
          <w:r>
            <w:fldChar w:fldCharType="separate"/>
          </w:r>
          <w:r>
            <w:t>85</w:t>
          </w:r>
          <w:r>
            <w:fldChar w:fldCharType="end"/>
          </w:r>
          <w:r>
            <w:fldChar w:fldCharType="end"/>
          </w:r>
        </w:p>
        <w:p>
          <w:pPr>
            <w:pStyle w:val="11"/>
            <w:tabs>
              <w:tab w:val="right" w:leader="dot" w:pos="8296"/>
            </w:tabs>
            <w:ind w:left="1120"/>
            <w:rPr>
              <w:sz w:val="21"/>
            </w:rPr>
          </w:pPr>
          <w:r>
            <w:fldChar w:fldCharType="begin"/>
          </w:r>
          <w:r>
            <w:instrText xml:space="preserve"> HYPERLINK \l "_Toc458171835" </w:instrText>
          </w:r>
          <w:r>
            <w:fldChar w:fldCharType="separate"/>
          </w:r>
          <w:r>
            <w:rPr>
              <w:rStyle w:val="31"/>
              <w:rFonts w:hint="eastAsia" w:eastAsia="楷体"/>
            </w:rPr>
            <w:t>第四节</w:t>
          </w:r>
          <w:r>
            <w:rPr>
              <w:rStyle w:val="31"/>
              <w:rFonts w:eastAsia="楷体"/>
            </w:rPr>
            <w:t xml:space="preserve"> </w:t>
          </w:r>
          <w:r>
            <w:rPr>
              <w:rStyle w:val="31"/>
              <w:rFonts w:hint="eastAsia" w:eastAsia="楷体"/>
            </w:rPr>
            <w:t>建设智慧城市应用体系</w:t>
          </w:r>
          <w:r>
            <w:tab/>
          </w:r>
          <w:r>
            <w:fldChar w:fldCharType="begin"/>
          </w:r>
          <w:r>
            <w:instrText xml:space="preserve"> PAGEREF _Toc458171835 \h </w:instrText>
          </w:r>
          <w:r>
            <w:fldChar w:fldCharType="separate"/>
          </w:r>
          <w:r>
            <w:t>86</w:t>
          </w:r>
          <w:r>
            <w:fldChar w:fldCharType="end"/>
          </w:r>
          <w:r>
            <w:fldChar w:fldCharType="end"/>
          </w:r>
        </w:p>
        <w:p>
          <w:pPr>
            <w:pStyle w:val="18"/>
            <w:tabs>
              <w:tab w:val="right" w:leader="dot" w:pos="8296"/>
            </w:tabs>
            <w:rPr>
              <w:sz w:val="21"/>
            </w:rPr>
          </w:pPr>
          <w:r>
            <w:fldChar w:fldCharType="begin"/>
          </w:r>
          <w:r>
            <w:instrText xml:space="preserve"> HYPERLINK \l "_Toc458171836" </w:instrText>
          </w:r>
          <w:r>
            <w:fldChar w:fldCharType="separate"/>
          </w:r>
          <w:r>
            <w:rPr>
              <w:rStyle w:val="31"/>
              <w:rFonts w:hint="eastAsia" w:ascii="Times New Roman" w:hAnsi="Times New Roman" w:eastAsia="华文中宋" w:cs="Times New Roman"/>
              <w:lang w:val="zh-CN" w:eastAsia="zh-CN"/>
            </w:rPr>
            <w:t>第</w:t>
          </w:r>
          <w:r>
            <w:rPr>
              <w:rStyle w:val="31"/>
              <w:rFonts w:hint="eastAsia" w:ascii="Times New Roman" w:hAnsi="Times New Roman" w:eastAsia="华文中宋" w:cs="Times New Roman"/>
              <w:lang w:val="zh-CN"/>
            </w:rPr>
            <w:t>五</w:t>
          </w:r>
          <w:r>
            <w:rPr>
              <w:rStyle w:val="31"/>
              <w:rFonts w:hint="eastAsia" w:ascii="Times New Roman" w:hAnsi="Times New Roman" w:eastAsia="华文中宋" w:cs="Times New Roman"/>
              <w:lang w:val="zh-CN" w:eastAsia="zh-CN"/>
            </w:rPr>
            <w:t>篇</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实施</w:t>
          </w:r>
          <w:r>
            <w:rPr>
              <w:rStyle w:val="31"/>
              <w:rFonts w:hint="eastAsia" w:ascii="Times New Roman" w:hAnsi="Times New Roman" w:eastAsia="华文中宋" w:cs="Times New Roman"/>
              <w:lang w:val="zh-CN"/>
            </w:rPr>
            <w:t>绿化</w:t>
          </w:r>
          <w:r>
            <w:rPr>
              <w:rStyle w:val="31"/>
              <w:rFonts w:hint="eastAsia" w:ascii="Times New Roman" w:hAnsi="Times New Roman" w:eastAsia="华文中宋" w:cs="Times New Roman"/>
              <w:lang w:val="zh-CN" w:eastAsia="zh-CN"/>
            </w:rPr>
            <w:t>发展战略</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rPr>
            <w:t>打造美丽柳东新形象</w:t>
          </w:r>
          <w:r>
            <w:tab/>
          </w:r>
          <w:r>
            <w:fldChar w:fldCharType="begin"/>
          </w:r>
          <w:r>
            <w:instrText xml:space="preserve"> PAGEREF _Toc458171836 \h </w:instrText>
          </w:r>
          <w:r>
            <w:fldChar w:fldCharType="separate"/>
          </w:r>
          <w:r>
            <w:t>87</w:t>
          </w:r>
          <w:r>
            <w:fldChar w:fldCharType="end"/>
          </w:r>
          <w:r>
            <w:fldChar w:fldCharType="end"/>
          </w:r>
        </w:p>
        <w:p>
          <w:pPr>
            <w:pStyle w:val="18"/>
            <w:tabs>
              <w:tab w:val="right" w:leader="dot" w:pos="8296"/>
            </w:tabs>
            <w:rPr>
              <w:sz w:val="21"/>
            </w:rPr>
          </w:pPr>
          <w:r>
            <w:fldChar w:fldCharType="begin"/>
          </w:r>
          <w:r>
            <w:instrText xml:space="preserve"> HYPERLINK \l "_Toc458171837" </w:instrText>
          </w:r>
          <w:r>
            <w:fldChar w:fldCharType="separate"/>
          </w:r>
          <w:r>
            <w:rPr>
              <w:rStyle w:val="31"/>
              <w:rFonts w:hint="eastAsia" w:eastAsia="黑体"/>
            </w:rPr>
            <w:t>第十六章</w:t>
          </w:r>
          <w:r>
            <w:rPr>
              <w:rStyle w:val="31"/>
              <w:rFonts w:eastAsia="黑体"/>
            </w:rPr>
            <w:t xml:space="preserve"> </w:t>
          </w:r>
          <w:r>
            <w:rPr>
              <w:rStyle w:val="31"/>
              <w:rFonts w:hint="eastAsia" w:eastAsia="黑体"/>
            </w:rPr>
            <w:t>打造生态城区和宜居城区</w:t>
          </w:r>
          <w:r>
            <w:tab/>
          </w:r>
          <w:r>
            <w:fldChar w:fldCharType="begin"/>
          </w:r>
          <w:r>
            <w:instrText xml:space="preserve"> PAGEREF _Toc458171837 \h </w:instrText>
          </w:r>
          <w:r>
            <w:fldChar w:fldCharType="separate"/>
          </w:r>
          <w:r>
            <w:t>87</w:t>
          </w:r>
          <w:r>
            <w:fldChar w:fldCharType="end"/>
          </w:r>
          <w:r>
            <w:fldChar w:fldCharType="end"/>
          </w:r>
        </w:p>
        <w:p>
          <w:pPr>
            <w:pStyle w:val="11"/>
            <w:tabs>
              <w:tab w:val="right" w:leader="dot" w:pos="8296"/>
            </w:tabs>
            <w:ind w:left="1120"/>
            <w:rPr>
              <w:sz w:val="21"/>
            </w:rPr>
          </w:pPr>
          <w:r>
            <w:fldChar w:fldCharType="begin"/>
          </w:r>
          <w:r>
            <w:instrText xml:space="preserve"> HYPERLINK \l "_Toc458171838"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全面提升环境质量</w:t>
          </w:r>
          <w:r>
            <w:tab/>
          </w:r>
          <w:r>
            <w:fldChar w:fldCharType="begin"/>
          </w:r>
          <w:r>
            <w:instrText xml:space="preserve"> PAGEREF _Toc458171838 \h </w:instrText>
          </w:r>
          <w:r>
            <w:fldChar w:fldCharType="separate"/>
          </w:r>
          <w:r>
            <w:t>87</w:t>
          </w:r>
          <w:r>
            <w:fldChar w:fldCharType="end"/>
          </w:r>
          <w:r>
            <w:fldChar w:fldCharType="end"/>
          </w:r>
        </w:p>
        <w:p>
          <w:pPr>
            <w:pStyle w:val="11"/>
            <w:tabs>
              <w:tab w:val="right" w:leader="dot" w:pos="8296"/>
            </w:tabs>
            <w:ind w:left="1120"/>
            <w:rPr>
              <w:sz w:val="21"/>
            </w:rPr>
          </w:pPr>
          <w:r>
            <w:fldChar w:fldCharType="begin"/>
          </w:r>
          <w:r>
            <w:instrText xml:space="preserve"> HYPERLINK \l "_Toc458171839"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加强生态建设和自然保护</w:t>
          </w:r>
          <w:r>
            <w:tab/>
          </w:r>
          <w:r>
            <w:fldChar w:fldCharType="begin"/>
          </w:r>
          <w:r>
            <w:instrText xml:space="preserve"> PAGEREF _Toc458171839 \h </w:instrText>
          </w:r>
          <w:r>
            <w:fldChar w:fldCharType="separate"/>
          </w:r>
          <w:r>
            <w:t>88</w:t>
          </w:r>
          <w:r>
            <w:fldChar w:fldCharType="end"/>
          </w:r>
          <w:r>
            <w:fldChar w:fldCharType="end"/>
          </w:r>
        </w:p>
        <w:p>
          <w:pPr>
            <w:pStyle w:val="11"/>
            <w:tabs>
              <w:tab w:val="right" w:leader="dot" w:pos="8296"/>
            </w:tabs>
            <w:ind w:left="1120"/>
            <w:rPr>
              <w:sz w:val="21"/>
            </w:rPr>
          </w:pPr>
          <w:r>
            <w:fldChar w:fldCharType="begin"/>
          </w:r>
          <w:r>
            <w:instrText xml:space="preserve"> HYPERLINK \l "_Toc458171840"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全面建设低碳社会</w:t>
          </w:r>
          <w:r>
            <w:tab/>
          </w:r>
          <w:r>
            <w:fldChar w:fldCharType="begin"/>
          </w:r>
          <w:r>
            <w:instrText xml:space="preserve"> PAGEREF _Toc458171840 \h </w:instrText>
          </w:r>
          <w:r>
            <w:fldChar w:fldCharType="separate"/>
          </w:r>
          <w:r>
            <w:t>89</w:t>
          </w:r>
          <w:r>
            <w:fldChar w:fldCharType="end"/>
          </w:r>
          <w:r>
            <w:fldChar w:fldCharType="end"/>
          </w:r>
        </w:p>
        <w:p>
          <w:pPr>
            <w:pStyle w:val="11"/>
            <w:tabs>
              <w:tab w:val="right" w:leader="dot" w:pos="8296"/>
            </w:tabs>
            <w:ind w:left="1120"/>
            <w:rPr>
              <w:sz w:val="21"/>
            </w:rPr>
          </w:pPr>
          <w:r>
            <w:fldChar w:fldCharType="begin"/>
          </w:r>
          <w:r>
            <w:instrText xml:space="preserve"> HYPERLINK \l "_Toc458171841" </w:instrText>
          </w:r>
          <w:r>
            <w:fldChar w:fldCharType="separate"/>
          </w:r>
          <w:r>
            <w:rPr>
              <w:rStyle w:val="31"/>
              <w:rFonts w:hint="eastAsia" w:eastAsia="楷体"/>
            </w:rPr>
            <w:t>第四节</w:t>
          </w:r>
          <w:r>
            <w:rPr>
              <w:rStyle w:val="31"/>
              <w:rFonts w:eastAsia="楷体"/>
            </w:rPr>
            <w:t xml:space="preserve"> </w:t>
          </w:r>
          <w:r>
            <w:rPr>
              <w:rStyle w:val="31"/>
              <w:rFonts w:hint="eastAsia" w:eastAsia="楷体"/>
            </w:rPr>
            <w:t>强化资源节约和管理</w:t>
          </w:r>
          <w:r>
            <w:tab/>
          </w:r>
          <w:r>
            <w:fldChar w:fldCharType="begin"/>
          </w:r>
          <w:r>
            <w:instrText xml:space="preserve"> PAGEREF _Toc458171841 \h </w:instrText>
          </w:r>
          <w:r>
            <w:fldChar w:fldCharType="separate"/>
          </w:r>
          <w:r>
            <w:t>89</w:t>
          </w:r>
          <w:r>
            <w:fldChar w:fldCharType="end"/>
          </w:r>
          <w:r>
            <w:fldChar w:fldCharType="end"/>
          </w:r>
        </w:p>
        <w:p>
          <w:pPr>
            <w:pStyle w:val="18"/>
            <w:tabs>
              <w:tab w:val="right" w:leader="dot" w:pos="8296"/>
            </w:tabs>
            <w:rPr>
              <w:sz w:val="21"/>
            </w:rPr>
          </w:pPr>
          <w:r>
            <w:fldChar w:fldCharType="begin"/>
          </w:r>
          <w:r>
            <w:instrText xml:space="preserve"> HYPERLINK \l "_Toc458171842" </w:instrText>
          </w:r>
          <w:r>
            <w:fldChar w:fldCharType="separate"/>
          </w:r>
          <w:r>
            <w:rPr>
              <w:rStyle w:val="31"/>
              <w:rFonts w:hint="eastAsia" w:eastAsia="黑体"/>
            </w:rPr>
            <w:t>第十七章</w:t>
          </w:r>
          <w:r>
            <w:rPr>
              <w:rStyle w:val="31"/>
              <w:rFonts w:eastAsia="黑体"/>
            </w:rPr>
            <w:t xml:space="preserve"> </w:t>
          </w:r>
          <w:r>
            <w:rPr>
              <w:rStyle w:val="31"/>
              <w:rFonts w:hint="eastAsia" w:eastAsia="黑体"/>
            </w:rPr>
            <w:t>大力发展循环经济</w:t>
          </w:r>
          <w:r>
            <w:tab/>
          </w:r>
          <w:r>
            <w:fldChar w:fldCharType="begin"/>
          </w:r>
          <w:r>
            <w:instrText xml:space="preserve"> PAGEREF _Toc458171842 \h </w:instrText>
          </w:r>
          <w:r>
            <w:fldChar w:fldCharType="separate"/>
          </w:r>
          <w:r>
            <w:t>90</w:t>
          </w:r>
          <w:r>
            <w:fldChar w:fldCharType="end"/>
          </w:r>
          <w:r>
            <w:fldChar w:fldCharType="end"/>
          </w:r>
        </w:p>
        <w:p>
          <w:pPr>
            <w:pStyle w:val="11"/>
            <w:tabs>
              <w:tab w:val="right" w:leader="dot" w:pos="8296"/>
            </w:tabs>
            <w:ind w:left="1120"/>
            <w:rPr>
              <w:sz w:val="21"/>
            </w:rPr>
          </w:pPr>
          <w:r>
            <w:fldChar w:fldCharType="begin"/>
          </w:r>
          <w:r>
            <w:instrText xml:space="preserve"> HYPERLINK \l "_Toc458171843"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构建产业循环发展体系</w:t>
          </w:r>
          <w:r>
            <w:tab/>
          </w:r>
          <w:r>
            <w:fldChar w:fldCharType="begin"/>
          </w:r>
          <w:r>
            <w:instrText xml:space="preserve"> PAGEREF _Toc458171843 \h </w:instrText>
          </w:r>
          <w:r>
            <w:fldChar w:fldCharType="separate"/>
          </w:r>
          <w:r>
            <w:t>90</w:t>
          </w:r>
          <w:r>
            <w:fldChar w:fldCharType="end"/>
          </w:r>
          <w:r>
            <w:fldChar w:fldCharType="end"/>
          </w:r>
        </w:p>
        <w:p>
          <w:pPr>
            <w:pStyle w:val="11"/>
            <w:tabs>
              <w:tab w:val="right" w:leader="dot" w:pos="8296"/>
            </w:tabs>
            <w:ind w:left="1120"/>
            <w:rPr>
              <w:sz w:val="21"/>
            </w:rPr>
          </w:pPr>
          <w:r>
            <w:fldChar w:fldCharType="begin"/>
          </w:r>
          <w:r>
            <w:instrText xml:space="preserve"> HYPERLINK \l "_Toc458171844"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加快构建循环化产业链</w:t>
          </w:r>
          <w:r>
            <w:tab/>
          </w:r>
          <w:r>
            <w:fldChar w:fldCharType="begin"/>
          </w:r>
          <w:r>
            <w:instrText xml:space="preserve"> PAGEREF _Toc458171844 \h </w:instrText>
          </w:r>
          <w:r>
            <w:fldChar w:fldCharType="separate"/>
          </w:r>
          <w:r>
            <w:t>91</w:t>
          </w:r>
          <w:r>
            <w:fldChar w:fldCharType="end"/>
          </w:r>
          <w:r>
            <w:fldChar w:fldCharType="end"/>
          </w:r>
        </w:p>
        <w:p>
          <w:pPr>
            <w:pStyle w:val="11"/>
            <w:tabs>
              <w:tab w:val="right" w:leader="dot" w:pos="8296"/>
            </w:tabs>
            <w:ind w:left="1120"/>
            <w:rPr>
              <w:sz w:val="21"/>
            </w:rPr>
          </w:pPr>
          <w:r>
            <w:fldChar w:fldCharType="begin"/>
          </w:r>
          <w:r>
            <w:instrText xml:space="preserve"> HYPERLINK \l "_Toc458171845"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推进“柳东制造</w:t>
          </w:r>
          <w:r>
            <w:rPr>
              <w:rStyle w:val="31"/>
              <w:rFonts w:ascii="Times New Roman" w:hAnsi="Times New Roman" w:eastAsia="楷体_GB2312"/>
            </w:rPr>
            <w:t>”</w:t>
          </w:r>
          <w:r>
            <w:rPr>
              <w:rStyle w:val="31"/>
              <w:rFonts w:hint="eastAsia" w:ascii="Times New Roman" w:hAnsi="Times New Roman" w:eastAsia="楷体_GB2312"/>
            </w:rPr>
            <w:t>绿色转型</w:t>
          </w:r>
          <w:r>
            <w:tab/>
          </w:r>
          <w:r>
            <w:fldChar w:fldCharType="begin"/>
          </w:r>
          <w:r>
            <w:instrText xml:space="preserve"> PAGEREF _Toc458171845 \h </w:instrText>
          </w:r>
          <w:r>
            <w:fldChar w:fldCharType="separate"/>
          </w:r>
          <w:r>
            <w:t>92</w:t>
          </w:r>
          <w:r>
            <w:fldChar w:fldCharType="end"/>
          </w:r>
          <w:r>
            <w:fldChar w:fldCharType="end"/>
          </w:r>
        </w:p>
        <w:p>
          <w:pPr>
            <w:pStyle w:val="11"/>
            <w:tabs>
              <w:tab w:val="right" w:leader="dot" w:pos="8296"/>
            </w:tabs>
            <w:ind w:left="1120"/>
            <w:rPr>
              <w:sz w:val="21"/>
            </w:rPr>
          </w:pPr>
          <w:r>
            <w:fldChar w:fldCharType="begin"/>
          </w:r>
          <w:r>
            <w:instrText xml:space="preserve"> HYPERLINK \l "_Toc458171846" </w:instrText>
          </w:r>
          <w:r>
            <w:fldChar w:fldCharType="separate"/>
          </w:r>
          <w:r>
            <w:rPr>
              <w:rStyle w:val="31"/>
              <w:rFonts w:hint="eastAsia" w:ascii="Times New Roman" w:hAnsi="Times New Roman" w:eastAsia="楷体_GB2312"/>
            </w:rPr>
            <w:t>第四节</w:t>
          </w:r>
          <w:r>
            <w:rPr>
              <w:rStyle w:val="31"/>
              <w:rFonts w:ascii="Times New Roman" w:hAnsi="Times New Roman" w:eastAsia="楷体_GB2312"/>
            </w:rPr>
            <w:t xml:space="preserve"> </w:t>
          </w:r>
          <w:r>
            <w:rPr>
              <w:rStyle w:val="31"/>
              <w:rFonts w:hint="eastAsia" w:ascii="Times New Roman" w:hAnsi="Times New Roman" w:eastAsia="楷体_GB2312"/>
            </w:rPr>
            <w:t>完善再生资源回收体系</w:t>
          </w:r>
          <w:r>
            <w:tab/>
          </w:r>
          <w:r>
            <w:fldChar w:fldCharType="begin"/>
          </w:r>
          <w:r>
            <w:instrText xml:space="preserve"> PAGEREF _Toc458171846 \h </w:instrText>
          </w:r>
          <w:r>
            <w:fldChar w:fldCharType="separate"/>
          </w:r>
          <w:r>
            <w:t>92</w:t>
          </w:r>
          <w:r>
            <w:fldChar w:fldCharType="end"/>
          </w:r>
          <w:r>
            <w:fldChar w:fldCharType="end"/>
          </w:r>
        </w:p>
        <w:p>
          <w:pPr>
            <w:pStyle w:val="11"/>
            <w:tabs>
              <w:tab w:val="right" w:leader="dot" w:pos="8296"/>
            </w:tabs>
            <w:ind w:left="1120"/>
            <w:rPr>
              <w:sz w:val="21"/>
            </w:rPr>
          </w:pPr>
          <w:r>
            <w:fldChar w:fldCharType="begin"/>
          </w:r>
          <w:r>
            <w:instrText xml:space="preserve"> HYPERLINK \l "_Toc458171847" </w:instrText>
          </w:r>
          <w:r>
            <w:fldChar w:fldCharType="separate"/>
          </w:r>
          <w:r>
            <w:rPr>
              <w:rStyle w:val="31"/>
              <w:rFonts w:hint="eastAsia" w:ascii="Times New Roman" w:hAnsi="Times New Roman" w:eastAsia="楷体_GB2312"/>
            </w:rPr>
            <w:t>第五节</w:t>
          </w:r>
          <w:r>
            <w:rPr>
              <w:rStyle w:val="31"/>
              <w:rFonts w:ascii="Times New Roman" w:hAnsi="Times New Roman" w:eastAsia="楷体_GB2312"/>
            </w:rPr>
            <w:t xml:space="preserve"> </w:t>
          </w:r>
          <w:r>
            <w:rPr>
              <w:rStyle w:val="31"/>
              <w:rFonts w:hint="eastAsia" w:ascii="Times New Roman" w:hAnsi="Times New Roman" w:eastAsia="楷体_GB2312"/>
            </w:rPr>
            <w:t>推进绿色循环低碳化的城市建设</w:t>
          </w:r>
          <w:r>
            <w:tab/>
          </w:r>
          <w:r>
            <w:fldChar w:fldCharType="begin"/>
          </w:r>
          <w:r>
            <w:instrText xml:space="preserve"> PAGEREF _Toc458171847 \h </w:instrText>
          </w:r>
          <w:r>
            <w:fldChar w:fldCharType="separate"/>
          </w:r>
          <w:r>
            <w:t>92</w:t>
          </w:r>
          <w:r>
            <w:fldChar w:fldCharType="end"/>
          </w:r>
          <w:r>
            <w:fldChar w:fldCharType="end"/>
          </w:r>
        </w:p>
        <w:p>
          <w:pPr>
            <w:pStyle w:val="18"/>
            <w:tabs>
              <w:tab w:val="right" w:leader="dot" w:pos="8296"/>
            </w:tabs>
            <w:rPr>
              <w:sz w:val="21"/>
            </w:rPr>
          </w:pPr>
          <w:r>
            <w:fldChar w:fldCharType="begin"/>
          </w:r>
          <w:r>
            <w:instrText xml:space="preserve"> HYPERLINK \l "_Toc458171848" </w:instrText>
          </w:r>
          <w:r>
            <w:fldChar w:fldCharType="separate"/>
          </w:r>
          <w:r>
            <w:rPr>
              <w:rStyle w:val="31"/>
              <w:rFonts w:hint="eastAsia" w:eastAsia="黑体"/>
            </w:rPr>
            <w:t>第十八章</w:t>
          </w:r>
          <w:r>
            <w:rPr>
              <w:rStyle w:val="31"/>
              <w:rFonts w:eastAsia="黑体"/>
            </w:rPr>
            <w:t xml:space="preserve"> </w:t>
          </w:r>
          <w:r>
            <w:rPr>
              <w:rStyle w:val="31"/>
              <w:rFonts w:hint="eastAsia" w:eastAsia="黑体"/>
            </w:rPr>
            <w:t>突出柳东新区山水特色</w:t>
          </w:r>
          <w:r>
            <w:tab/>
          </w:r>
          <w:r>
            <w:fldChar w:fldCharType="begin"/>
          </w:r>
          <w:r>
            <w:instrText xml:space="preserve"> PAGEREF _Toc458171848 \h </w:instrText>
          </w:r>
          <w:r>
            <w:fldChar w:fldCharType="separate"/>
          </w:r>
          <w:r>
            <w:t>93</w:t>
          </w:r>
          <w:r>
            <w:fldChar w:fldCharType="end"/>
          </w:r>
          <w:r>
            <w:fldChar w:fldCharType="end"/>
          </w:r>
        </w:p>
        <w:p>
          <w:pPr>
            <w:pStyle w:val="11"/>
            <w:tabs>
              <w:tab w:val="right" w:leader="dot" w:pos="8296"/>
            </w:tabs>
            <w:ind w:left="1120"/>
            <w:rPr>
              <w:sz w:val="21"/>
            </w:rPr>
          </w:pPr>
          <w:r>
            <w:fldChar w:fldCharType="begin"/>
          </w:r>
          <w:r>
            <w:instrText xml:space="preserve"> HYPERLINK \l "_Toc458171849"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加快建设主体功能区</w:t>
          </w:r>
          <w:r>
            <w:tab/>
          </w:r>
          <w:r>
            <w:fldChar w:fldCharType="begin"/>
          </w:r>
          <w:r>
            <w:instrText xml:space="preserve"> PAGEREF _Toc458171849 \h </w:instrText>
          </w:r>
          <w:r>
            <w:fldChar w:fldCharType="separate"/>
          </w:r>
          <w:r>
            <w:t>94</w:t>
          </w:r>
          <w:r>
            <w:fldChar w:fldCharType="end"/>
          </w:r>
          <w:r>
            <w:fldChar w:fldCharType="end"/>
          </w:r>
        </w:p>
        <w:p>
          <w:pPr>
            <w:pStyle w:val="11"/>
            <w:tabs>
              <w:tab w:val="right" w:leader="dot" w:pos="8296"/>
            </w:tabs>
            <w:ind w:left="1120"/>
            <w:rPr>
              <w:sz w:val="21"/>
            </w:rPr>
          </w:pPr>
          <w:r>
            <w:fldChar w:fldCharType="begin"/>
          </w:r>
          <w:r>
            <w:instrText xml:space="preserve"> HYPERLINK \l "_Toc458171850"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打造绿色生态屏障</w:t>
          </w:r>
          <w:r>
            <w:tab/>
          </w:r>
          <w:r>
            <w:fldChar w:fldCharType="begin"/>
          </w:r>
          <w:r>
            <w:instrText xml:space="preserve"> PAGEREF _Toc458171850 \h </w:instrText>
          </w:r>
          <w:r>
            <w:fldChar w:fldCharType="separate"/>
          </w:r>
          <w:r>
            <w:t>94</w:t>
          </w:r>
          <w:r>
            <w:fldChar w:fldCharType="end"/>
          </w:r>
          <w:r>
            <w:fldChar w:fldCharType="end"/>
          </w:r>
        </w:p>
        <w:p>
          <w:pPr>
            <w:pStyle w:val="11"/>
            <w:tabs>
              <w:tab w:val="right" w:leader="dot" w:pos="8296"/>
            </w:tabs>
            <w:ind w:left="1120"/>
            <w:rPr>
              <w:sz w:val="21"/>
            </w:rPr>
          </w:pPr>
          <w:r>
            <w:fldChar w:fldCharType="begin"/>
          </w:r>
          <w:r>
            <w:instrText xml:space="preserve"> HYPERLINK \l "_Toc458171851"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深入实施生态保护和修复工程</w:t>
          </w:r>
          <w:r>
            <w:tab/>
          </w:r>
          <w:r>
            <w:fldChar w:fldCharType="begin"/>
          </w:r>
          <w:r>
            <w:instrText xml:space="preserve"> PAGEREF _Toc458171851 \h </w:instrText>
          </w:r>
          <w:r>
            <w:fldChar w:fldCharType="separate"/>
          </w:r>
          <w:r>
            <w:t>95</w:t>
          </w:r>
          <w:r>
            <w:fldChar w:fldCharType="end"/>
          </w:r>
          <w:r>
            <w:fldChar w:fldCharType="end"/>
          </w:r>
        </w:p>
        <w:p>
          <w:pPr>
            <w:pStyle w:val="11"/>
            <w:tabs>
              <w:tab w:val="right" w:leader="dot" w:pos="8296"/>
            </w:tabs>
            <w:ind w:left="1120"/>
            <w:rPr>
              <w:sz w:val="21"/>
            </w:rPr>
          </w:pPr>
          <w:r>
            <w:fldChar w:fldCharType="begin"/>
          </w:r>
          <w:r>
            <w:instrText xml:space="preserve"> HYPERLINK \l "_Toc458171852" </w:instrText>
          </w:r>
          <w:r>
            <w:fldChar w:fldCharType="separate"/>
          </w:r>
          <w:r>
            <w:rPr>
              <w:rStyle w:val="31"/>
              <w:rFonts w:hint="eastAsia" w:ascii="Times New Roman" w:hAnsi="Times New Roman" w:eastAsia="楷体_GB2312"/>
            </w:rPr>
            <w:t>第四节</w:t>
          </w:r>
          <w:r>
            <w:rPr>
              <w:rStyle w:val="31"/>
              <w:rFonts w:ascii="Times New Roman" w:hAnsi="Times New Roman" w:eastAsia="楷体_GB2312"/>
            </w:rPr>
            <w:t xml:space="preserve"> </w:t>
          </w:r>
          <w:r>
            <w:rPr>
              <w:rStyle w:val="31"/>
              <w:rFonts w:hint="eastAsia" w:ascii="Times New Roman" w:hAnsi="Times New Roman" w:eastAsia="楷体_GB2312"/>
            </w:rPr>
            <w:t>大力发展生态产业</w:t>
          </w:r>
          <w:r>
            <w:tab/>
          </w:r>
          <w:r>
            <w:fldChar w:fldCharType="begin"/>
          </w:r>
          <w:r>
            <w:instrText xml:space="preserve"> PAGEREF _Toc458171852 \h </w:instrText>
          </w:r>
          <w:r>
            <w:fldChar w:fldCharType="separate"/>
          </w:r>
          <w:r>
            <w:t>95</w:t>
          </w:r>
          <w:r>
            <w:fldChar w:fldCharType="end"/>
          </w:r>
          <w:r>
            <w:fldChar w:fldCharType="end"/>
          </w:r>
        </w:p>
        <w:p>
          <w:pPr>
            <w:pStyle w:val="11"/>
            <w:tabs>
              <w:tab w:val="right" w:leader="dot" w:pos="8296"/>
            </w:tabs>
            <w:ind w:left="1120"/>
            <w:rPr>
              <w:sz w:val="21"/>
            </w:rPr>
          </w:pPr>
          <w:r>
            <w:fldChar w:fldCharType="begin"/>
          </w:r>
          <w:r>
            <w:instrText xml:space="preserve"> HYPERLINK \l "_Toc458171853" </w:instrText>
          </w:r>
          <w:r>
            <w:fldChar w:fldCharType="separate"/>
          </w:r>
          <w:r>
            <w:rPr>
              <w:rStyle w:val="31"/>
              <w:rFonts w:hint="eastAsia" w:ascii="Times New Roman" w:hAnsi="Times New Roman" w:eastAsia="楷体_GB2312"/>
            </w:rPr>
            <w:t>第五节</w:t>
          </w:r>
          <w:r>
            <w:rPr>
              <w:rStyle w:val="31"/>
              <w:rFonts w:ascii="Times New Roman" w:hAnsi="Times New Roman" w:eastAsia="楷体_GB2312"/>
            </w:rPr>
            <w:t xml:space="preserve"> </w:t>
          </w:r>
          <w:r>
            <w:rPr>
              <w:rStyle w:val="31"/>
              <w:rFonts w:hint="eastAsia" w:ascii="Times New Roman" w:hAnsi="Times New Roman" w:eastAsia="楷体_GB2312"/>
            </w:rPr>
            <w:t>打造</w:t>
          </w:r>
          <w:r>
            <w:rPr>
              <w:rStyle w:val="31"/>
              <w:rFonts w:ascii="Times New Roman" w:hAnsi="Times New Roman" w:eastAsia="楷体_GB2312"/>
            </w:rPr>
            <w:t>“</w:t>
          </w:r>
          <w:r>
            <w:rPr>
              <w:rStyle w:val="31"/>
              <w:rFonts w:hint="eastAsia" w:ascii="Times New Roman" w:hAnsi="Times New Roman" w:eastAsia="楷体_GB2312"/>
            </w:rPr>
            <w:t>生态花园、五彩画廊</w:t>
          </w:r>
          <w:r>
            <w:rPr>
              <w:rStyle w:val="31"/>
              <w:rFonts w:ascii="Times New Roman" w:hAnsi="Times New Roman" w:eastAsia="楷体_GB2312"/>
            </w:rPr>
            <w:t>”</w:t>
          </w:r>
          <w:r>
            <w:rPr>
              <w:rStyle w:val="31"/>
              <w:rFonts w:hint="eastAsia" w:ascii="Times New Roman" w:hAnsi="Times New Roman" w:eastAsia="楷体_GB2312"/>
            </w:rPr>
            <w:t>花园城市</w:t>
          </w:r>
          <w:r>
            <w:tab/>
          </w:r>
          <w:r>
            <w:fldChar w:fldCharType="begin"/>
          </w:r>
          <w:r>
            <w:instrText xml:space="preserve"> PAGEREF _Toc458171853 \h </w:instrText>
          </w:r>
          <w:r>
            <w:fldChar w:fldCharType="separate"/>
          </w:r>
          <w:r>
            <w:t>96</w:t>
          </w:r>
          <w:r>
            <w:fldChar w:fldCharType="end"/>
          </w:r>
          <w:r>
            <w:fldChar w:fldCharType="end"/>
          </w:r>
        </w:p>
        <w:p>
          <w:pPr>
            <w:pStyle w:val="18"/>
            <w:tabs>
              <w:tab w:val="right" w:leader="dot" w:pos="8296"/>
            </w:tabs>
            <w:rPr>
              <w:sz w:val="21"/>
            </w:rPr>
          </w:pPr>
          <w:r>
            <w:fldChar w:fldCharType="begin"/>
          </w:r>
          <w:r>
            <w:instrText xml:space="preserve"> HYPERLINK \l "_Toc458171854" </w:instrText>
          </w:r>
          <w:r>
            <w:fldChar w:fldCharType="separate"/>
          </w:r>
          <w:r>
            <w:rPr>
              <w:rStyle w:val="31"/>
              <w:rFonts w:hint="eastAsia" w:ascii="Times New Roman" w:hAnsi="Times New Roman" w:eastAsia="华文中宋" w:cs="Times New Roman"/>
              <w:lang w:val="zh-CN" w:eastAsia="zh-CN"/>
            </w:rPr>
            <w:t>第六篇</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实施共享发展战略</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提升幸福柳东新高度</w:t>
          </w:r>
          <w:r>
            <w:tab/>
          </w:r>
          <w:r>
            <w:fldChar w:fldCharType="begin"/>
          </w:r>
          <w:r>
            <w:instrText xml:space="preserve"> PAGEREF _Toc458171854 \h </w:instrText>
          </w:r>
          <w:r>
            <w:fldChar w:fldCharType="separate"/>
          </w:r>
          <w:r>
            <w:t>96</w:t>
          </w:r>
          <w:r>
            <w:fldChar w:fldCharType="end"/>
          </w:r>
          <w:r>
            <w:fldChar w:fldCharType="end"/>
          </w:r>
        </w:p>
        <w:p>
          <w:pPr>
            <w:pStyle w:val="18"/>
            <w:tabs>
              <w:tab w:val="right" w:leader="dot" w:pos="8296"/>
            </w:tabs>
            <w:rPr>
              <w:sz w:val="21"/>
            </w:rPr>
          </w:pPr>
          <w:r>
            <w:fldChar w:fldCharType="begin"/>
          </w:r>
          <w:r>
            <w:instrText xml:space="preserve"> HYPERLINK \l "_Toc458171855" </w:instrText>
          </w:r>
          <w:r>
            <w:fldChar w:fldCharType="separate"/>
          </w:r>
          <w:r>
            <w:rPr>
              <w:rStyle w:val="31"/>
              <w:rFonts w:hint="eastAsia" w:eastAsia="黑体"/>
            </w:rPr>
            <w:t>第十九章</w:t>
          </w:r>
          <w:r>
            <w:rPr>
              <w:rStyle w:val="31"/>
              <w:rFonts w:eastAsia="黑体"/>
            </w:rPr>
            <w:t xml:space="preserve"> </w:t>
          </w:r>
          <w:r>
            <w:rPr>
              <w:rStyle w:val="31"/>
              <w:rFonts w:hint="eastAsia" w:eastAsia="黑体"/>
            </w:rPr>
            <w:t>推进民生大改善</w:t>
          </w:r>
          <w:r>
            <w:tab/>
          </w:r>
          <w:r>
            <w:fldChar w:fldCharType="begin"/>
          </w:r>
          <w:r>
            <w:instrText xml:space="preserve"> PAGEREF _Toc458171855 \h </w:instrText>
          </w:r>
          <w:r>
            <w:fldChar w:fldCharType="separate"/>
          </w:r>
          <w:r>
            <w:t>97</w:t>
          </w:r>
          <w:r>
            <w:fldChar w:fldCharType="end"/>
          </w:r>
          <w:r>
            <w:fldChar w:fldCharType="end"/>
          </w:r>
        </w:p>
        <w:p>
          <w:pPr>
            <w:pStyle w:val="11"/>
            <w:tabs>
              <w:tab w:val="right" w:leader="dot" w:pos="8296"/>
            </w:tabs>
            <w:ind w:left="1120"/>
            <w:rPr>
              <w:sz w:val="21"/>
            </w:rPr>
          </w:pPr>
          <w:r>
            <w:fldChar w:fldCharType="begin"/>
          </w:r>
          <w:r>
            <w:instrText xml:space="preserve"> HYPERLINK \l "_Toc458171856"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打赢精准</w:t>
          </w:r>
          <w:r>
            <w:rPr>
              <w:rStyle w:val="31"/>
              <w:rFonts w:hint="eastAsia" w:ascii="Times New Roman" w:hAnsi="Times New Roman" w:eastAsia="楷体_GB2312"/>
              <w:lang w:eastAsia="zh-CN"/>
            </w:rPr>
            <w:t>脱贫攻坚</w:t>
          </w:r>
          <w:r>
            <w:rPr>
              <w:rStyle w:val="31"/>
              <w:rFonts w:hint="eastAsia" w:ascii="Times New Roman" w:hAnsi="Times New Roman" w:eastAsia="楷体_GB2312"/>
            </w:rPr>
            <w:t>战</w:t>
          </w:r>
          <w:r>
            <w:tab/>
          </w:r>
          <w:r>
            <w:fldChar w:fldCharType="begin"/>
          </w:r>
          <w:r>
            <w:instrText xml:space="preserve"> PAGEREF _Toc458171856 \h </w:instrText>
          </w:r>
          <w:r>
            <w:fldChar w:fldCharType="separate"/>
          </w:r>
          <w:r>
            <w:t>97</w:t>
          </w:r>
          <w:r>
            <w:fldChar w:fldCharType="end"/>
          </w:r>
          <w:r>
            <w:fldChar w:fldCharType="end"/>
          </w:r>
        </w:p>
        <w:p>
          <w:pPr>
            <w:pStyle w:val="11"/>
            <w:tabs>
              <w:tab w:val="right" w:leader="dot" w:pos="8296"/>
            </w:tabs>
            <w:ind w:left="1120"/>
            <w:rPr>
              <w:sz w:val="21"/>
            </w:rPr>
          </w:pPr>
          <w:r>
            <w:fldChar w:fldCharType="begin"/>
          </w:r>
          <w:r>
            <w:instrText xml:space="preserve"> HYPERLINK \l "_Toc458171857"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提高人民生活水平</w:t>
          </w:r>
          <w:r>
            <w:tab/>
          </w:r>
          <w:r>
            <w:fldChar w:fldCharType="begin"/>
          </w:r>
          <w:r>
            <w:instrText xml:space="preserve"> PAGEREF _Toc458171857 \h </w:instrText>
          </w:r>
          <w:r>
            <w:fldChar w:fldCharType="separate"/>
          </w:r>
          <w:r>
            <w:t>102</w:t>
          </w:r>
          <w:r>
            <w:fldChar w:fldCharType="end"/>
          </w:r>
          <w:r>
            <w:fldChar w:fldCharType="end"/>
          </w:r>
        </w:p>
        <w:p>
          <w:pPr>
            <w:pStyle w:val="11"/>
            <w:tabs>
              <w:tab w:val="right" w:leader="dot" w:pos="8296"/>
            </w:tabs>
            <w:ind w:left="1120"/>
            <w:rPr>
              <w:sz w:val="21"/>
            </w:rPr>
          </w:pPr>
          <w:r>
            <w:fldChar w:fldCharType="begin"/>
          </w:r>
          <w:r>
            <w:instrText xml:space="preserve"> HYPERLINK \l "_Toc458171858"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推动实现更高质量就业</w:t>
          </w:r>
          <w:r>
            <w:tab/>
          </w:r>
          <w:r>
            <w:fldChar w:fldCharType="begin"/>
          </w:r>
          <w:r>
            <w:instrText xml:space="preserve"> PAGEREF _Toc458171858 \h </w:instrText>
          </w:r>
          <w:r>
            <w:fldChar w:fldCharType="separate"/>
          </w:r>
          <w:r>
            <w:t>104</w:t>
          </w:r>
          <w:r>
            <w:fldChar w:fldCharType="end"/>
          </w:r>
          <w:r>
            <w:fldChar w:fldCharType="end"/>
          </w:r>
        </w:p>
        <w:p>
          <w:pPr>
            <w:pStyle w:val="11"/>
            <w:tabs>
              <w:tab w:val="right" w:leader="dot" w:pos="8296"/>
            </w:tabs>
            <w:ind w:left="1120"/>
            <w:rPr>
              <w:sz w:val="21"/>
            </w:rPr>
          </w:pPr>
          <w:r>
            <w:fldChar w:fldCharType="begin"/>
          </w:r>
          <w:r>
            <w:instrText xml:space="preserve"> HYPERLINK \l "_Toc458171859" </w:instrText>
          </w:r>
          <w:r>
            <w:fldChar w:fldCharType="separate"/>
          </w:r>
          <w:r>
            <w:rPr>
              <w:rStyle w:val="31"/>
              <w:rFonts w:hint="eastAsia" w:ascii="Times New Roman" w:hAnsi="Times New Roman" w:eastAsia="楷体_GB2312"/>
            </w:rPr>
            <w:t>第四节</w:t>
          </w:r>
          <w:r>
            <w:rPr>
              <w:rStyle w:val="31"/>
              <w:rFonts w:ascii="Times New Roman" w:hAnsi="Times New Roman" w:eastAsia="楷体_GB2312"/>
            </w:rPr>
            <w:t xml:space="preserve"> </w:t>
          </w:r>
          <w:r>
            <w:rPr>
              <w:rStyle w:val="31"/>
              <w:rFonts w:hint="eastAsia" w:ascii="Times New Roman" w:hAnsi="Times New Roman" w:eastAsia="楷体_GB2312"/>
            </w:rPr>
            <w:t>提高社会保障水平</w:t>
          </w:r>
          <w:r>
            <w:tab/>
          </w:r>
          <w:r>
            <w:fldChar w:fldCharType="begin"/>
          </w:r>
          <w:r>
            <w:instrText xml:space="preserve"> PAGEREF _Toc458171859 \h </w:instrText>
          </w:r>
          <w:r>
            <w:fldChar w:fldCharType="separate"/>
          </w:r>
          <w:r>
            <w:t>106</w:t>
          </w:r>
          <w:r>
            <w:fldChar w:fldCharType="end"/>
          </w:r>
          <w:r>
            <w:fldChar w:fldCharType="end"/>
          </w:r>
        </w:p>
        <w:p>
          <w:pPr>
            <w:pStyle w:val="18"/>
            <w:tabs>
              <w:tab w:val="right" w:leader="dot" w:pos="8296"/>
            </w:tabs>
            <w:rPr>
              <w:sz w:val="21"/>
            </w:rPr>
          </w:pPr>
          <w:r>
            <w:fldChar w:fldCharType="begin"/>
          </w:r>
          <w:r>
            <w:instrText xml:space="preserve"> HYPERLINK \l "_Toc458171860" </w:instrText>
          </w:r>
          <w:r>
            <w:fldChar w:fldCharType="separate"/>
          </w:r>
          <w:r>
            <w:rPr>
              <w:rStyle w:val="31"/>
              <w:rFonts w:hint="eastAsia" w:eastAsia="黑体"/>
            </w:rPr>
            <w:t>第二十章</w:t>
          </w:r>
          <w:r>
            <w:rPr>
              <w:rStyle w:val="31"/>
              <w:rFonts w:eastAsia="黑体"/>
            </w:rPr>
            <w:t xml:space="preserve"> </w:t>
          </w:r>
          <w:r>
            <w:rPr>
              <w:rStyle w:val="31"/>
              <w:rFonts w:hint="eastAsia" w:eastAsia="黑体"/>
            </w:rPr>
            <w:t>增强公共服务能力</w:t>
          </w:r>
          <w:r>
            <w:tab/>
          </w:r>
          <w:r>
            <w:fldChar w:fldCharType="begin"/>
          </w:r>
          <w:r>
            <w:instrText xml:space="preserve"> PAGEREF _Toc458171860 \h </w:instrText>
          </w:r>
          <w:r>
            <w:fldChar w:fldCharType="separate"/>
          </w:r>
          <w:r>
            <w:t>109</w:t>
          </w:r>
          <w:r>
            <w:fldChar w:fldCharType="end"/>
          </w:r>
          <w:r>
            <w:fldChar w:fldCharType="end"/>
          </w:r>
        </w:p>
        <w:p>
          <w:pPr>
            <w:pStyle w:val="11"/>
            <w:tabs>
              <w:tab w:val="right" w:leader="dot" w:pos="8296"/>
            </w:tabs>
            <w:ind w:left="1120"/>
            <w:rPr>
              <w:sz w:val="21"/>
            </w:rPr>
          </w:pPr>
          <w:r>
            <w:fldChar w:fldCharType="begin"/>
          </w:r>
          <w:r>
            <w:instrText xml:space="preserve"> HYPERLINK \l "_Toc458171861"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提高教育发展水平</w:t>
          </w:r>
          <w:r>
            <w:tab/>
          </w:r>
          <w:r>
            <w:fldChar w:fldCharType="begin"/>
          </w:r>
          <w:r>
            <w:instrText xml:space="preserve"> PAGEREF _Toc458171861 \h </w:instrText>
          </w:r>
          <w:r>
            <w:fldChar w:fldCharType="separate"/>
          </w:r>
          <w:r>
            <w:t>109</w:t>
          </w:r>
          <w:r>
            <w:fldChar w:fldCharType="end"/>
          </w:r>
          <w:r>
            <w:fldChar w:fldCharType="end"/>
          </w:r>
        </w:p>
        <w:p>
          <w:pPr>
            <w:pStyle w:val="11"/>
            <w:tabs>
              <w:tab w:val="right" w:leader="dot" w:pos="8296"/>
            </w:tabs>
            <w:ind w:left="1120"/>
            <w:rPr>
              <w:sz w:val="21"/>
            </w:rPr>
          </w:pPr>
          <w:r>
            <w:fldChar w:fldCharType="begin"/>
          </w:r>
          <w:r>
            <w:instrText xml:space="preserve"> HYPERLINK \l "_Toc458171862"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推进健康城市建设</w:t>
          </w:r>
          <w:r>
            <w:tab/>
          </w:r>
          <w:r>
            <w:fldChar w:fldCharType="begin"/>
          </w:r>
          <w:r>
            <w:instrText xml:space="preserve"> PAGEREF _Toc458171862 \h </w:instrText>
          </w:r>
          <w:r>
            <w:fldChar w:fldCharType="separate"/>
          </w:r>
          <w:r>
            <w:t>111</w:t>
          </w:r>
          <w:r>
            <w:fldChar w:fldCharType="end"/>
          </w:r>
          <w:r>
            <w:fldChar w:fldCharType="end"/>
          </w:r>
        </w:p>
        <w:p>
          <w:pPr>
            <w:pStyle w:val="11"/>
            <w:tabs>
              <w:tab w:val="right" w:leader="dot" w:pos="8296"/>
            </w:tabs>
            <w:ind w:left="1120"/>
            <w:rPr>
              <w:sz w:val="21"/>
            </w:rPr>
          </w:pPr>
          <w:r>
            <w:fldChar w:fldCharType="begin"/>
          </w:r>
          <w:r>
            <w:instrText xml:space="preserve"> HYPERLINK \l "_Toc458171863"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完善现代公共文化体育服务体系</w:t>
          </w:r>
          <w:r>
            <w:tab/>
          </w:r>
          <w:r>
            <w:fldChar w:fldCharType="begin"/>
          </w:r>
          <w:r>
            <w:instrText xml:space="preserve"> PAGEREF _Toc458171863 \h </w:instrText>
          </w:r>
          <w:r>
            <w:fldChar w:fldCharType="separate"/>
          </w:r>
          <w:r>
            <w:t>112</w:t>
          </w:r>
          <w:r>
            <w:fldChar w:fldCharType="end"/>
          </w:r>
          <w:r>
            <w:fldChar w:fldCharType="end"/>
          </w:r>
        </w:p>
        <w:p>
          <w:pPr>
            <w:pStyle w:val="18"/>
            <w:tabs>
              <w:tab w:val="right" w:leader="dot" w:pos="8296"/>
            </w:tabs>
            <w:rPr>
              <w:sz w:val="21"/>
            </w:rPr>
          </w:pPr>
          <w:r>
            <w:fldChar w:fldCharType="begin"/>
          </w:r>
          <w:r>
            <w:instrText xml:space="preserve"> HYPERLINK \l "_Toc458171864" </w:instrText>
          </w:r>
          <w:r>
            <w:fldChar w:fldCharType="separate"/>
          </w:r>
          <w:r>
            <w:rPr>
              <w:rStyle w:val="31"/>
              <w:rFonts w:hint="eastAsia" w:ascii="Times New Roman" w:hAnsi="Times New Roman" w:eastAsia="黑体"/>
              <w:b/>
              <w:bCs/>
              <w:kern w:val="44"/>
            </w:rPr>
            <w:t>第</w:t>
          </w:r>
          <w:r>
            <w:rPr>
              <w:rStyle w:val="31"/>
              <w:rFonts w:hint="eastAsia" w:ascii="Times New Roman" w:hAnsi="Times New Roman" w:eastAsia="黑体"/>
              <w:b/>
              <w:bCs/>
              <w:kern w:val="44"/>
              <w:lang w:val="zh-CN"/>
            </w:rPr>
            <w:t>二</w:t>
          </w:r>
          <w:r>
            <w:rPr>
              <w:rStyle w:val="31"/>
              <w:rFonts w:hint="eastAsia" w:ascii="Times New Roman" w:hAnsi="Times New Roman" w:eastAsia="黑体"/>
              <w:b/>
              <w:bCs/>
              <w:kern w:val="44"/>
            </w:rPr>
            <w:t>十</w:t>
          </w:r>
          <w:r>
            <w:rPr>
              <w:rStyle w:val="31"/>
              <w:rFonts w:hint="eastAsia" w:ascii="Times New Roman" w:hAnsi="Times New Roman" w:eastAsia="黑体"/>
              <w:b/>
              <w:bCs/>
              <w:kern w:val="44"/>
              <w:lang w:val="zh-CN"/>
            </w:rPr>
            <w:t>一章</w:t>
          </w:r>
          <w:r>
            <w:rPr>
              <w:rStyle w:val="31"/>
              <w:rFonts w:ascii="Times New Roman" w:hAnsi="Times New Roman" w:eastAsia="黑体"/>
              <w:b/>
              <w:bCs/>
              <w:kern w:val="44"/>
            </w:rPr>
            <w:t xml:space="preserve"> </w:t>
          </w:r>
          <w:r>
            <w:rPr>
              <w:rStyle w:val="31"/>
              <w:rFonts w:hint="eastAsia" w:ascii="Times New Roman" w:hAnsi="Times New Roman" w:eastAsia="黑体"/>
              <w:b/>
              <w:bCs/>
              <w:kern w:val="44"/>
            </w:rPr>
            <w:t>加强和创新社会治理</w:t>
          </w:r>
          <w:r>
            <w:tab/>
          </w:r>
          <w:r>
            <w:fldChar w:fldCharType="begin"/>
          </w:r>
          <w:r>
            <w:instrText xml:space="preserve"> PAGEREF _Toc458171864 \h </w:instrText>
          </w:r>
          <w:r>
            <w:fldChar w:fldCharType="separate"/>
          </w:r>
          <w:r>
            <w:t>114</w:t>
          </w:r>
          <w:r>
            <w:fldChar w:fldCharType="end"/>
          </w:r>
          <w:r>
            <w:fldChar w:fldCharType="end"/>
          </w:r>
        </w:p>
        <w:p>
          <w:pPr>
            <w:pStyle w:val="11"/>
            <w:tabs>
              <w:tab w:val="right" w:leader="dot" w:pos="8296"/>
            </w:tabs>
            <w:ind w:left="1120"/>
            <w:rPr>
              <w:sz w:val="21"/>
            </w:rPr>
          </w:pPr>
          <w:r>
            <w:fldChar w:fldCharType="begin"/>
          </w:r>
          <w:r>
            <w:instrText xml:space="preserve"> HYPERLINK \l "_Toc458171865"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提升社会治理水平</w:t>
          </w:r>
          <w:r>
            <w:tab/>
          </w:r>
          <w:r>
            <w:fldChar w:fldCharType="begin"/>
          </w:r>
          <w:r>
            <w:instrText xml:space="preserve"> PAGEREF _Toc458171865 \h </w:instrText>
          </w:r>
          <w:r>
            <w:fldChar w:fldCharType="separate"/>
          </w:r>
          <w:r>
            <w:t>114</w:t>
          </w:r>
          <w:r>
            <w:fldChar w:fldCharType="end"/>
          </w:r>
          <w:r>
            <w:fldChar w:fldCharType="end"/>
          </w:r>
        </w:p>
        <w:p>
          <w:pPr>
            <w:pStyle w:val="11"/>
            <w:tabs>
              <w:tab w:val="right" w:leader="dot" w:pos="8296"/>
            </w:tabs>
            <w:ind w:left="1120"/>
            <w:rPr>
              <w:sz w:val="21"/>
            </w:rPr>
          </w:pPr>
          <w:r>
            <w:fldChar w:fldCharType="begin"/>
          </w:r>
          <w:r>
            <w:instrText xml:space="preserve"> HYPERLINK \l "_Toc458171866"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建设平安柳东</w:t>
          </w:r>
          <w:r>
            <w:tab/>
          </w:r>
          <w:r>
            <w:fldChar w:fldCharType="begin"/>
          </w:r>
          <w:r>
            <w:instrText xml:space="preserve"> PAGEREF _Toc458171866 \h </w:instrText>
          </w:r>
          <w:r>
            <w:fldChar w:fldCharType="separate"/>
          </w:r>
          <w:r>
            <w:t>116</w:t>
          </w:r>
          <w:r>
            <w:fldChar w:fldCharType="end"/>
          </w:r>
          <w:r>
            <w:fldChar w:fldCharType="end"/>
          </w:r>
        </w:p>
        <w:p>
          <w:pPr>
            <w:pStyle w:val="11"/>
            <w:tabs>
              <w:tab w:val="right" w:leader="dot" w:pos="8296"/>
            </w:tabs>
            <w:ind w:left="1120"/>
            <w:rPr>
              <w:sz w:val="21"/>
            </w:rPr>
          </w:pPr>
          <w:r>
            <w:fldChar w:fldCharType="begin"/>
          </w:r>
          <w:r>
            <w:instrText xml:space="preserve"> HYPERLINK \l "_Toc458171867"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提高防灾减灾能力</w:t>
          </w:r>
          <w:r>
            <w:tab/>
          </w:r>
          <w:r>
            <w:fldChar w:fldCharType="begin"/>
          </w:r>
          <w:r>
            <w:instrText xml:space="preserve"> PAGEREF _Toc458171867 \h </w:instrText>
          </w:r>
          <w:r>
            <w:fldChar w:fldCharType="separate"/>
          </w:r>
          <w:r>
            <w:t>118</w:t>
          </w:r>
          <w:r>
            <w:fldChar w:fldCharType="end"/>
          </w:r>
          <w:r>
            <w:fldChar w:fldCharType="end"/>
          </w:r>
        </w:p>
        <w:p>
          <w:pPr>
            <w:pStyle w:val="18"/>
            <w:tabs>
              <w:tab w:val="right" w:leader="dot" w:pos="8296"/>
            </w:tabs>
            <w:rPr>
              <w:sz w:val="21"/>
            </w:rPr>
          </w:pPr>
          <w:r>
            <w:fldChar w:fldCharType="begin"/>
          </w:r>
          <w:r>
            <w:instrText xml:space="preserve"> HYPERLINK \l "_Toc458171868" </w:instrText>
          </w:r>
          <w:r>
            <w:fldChar w:fldCharType="separate"/>
          </w:r>
          <w:r>
            <w:rPr>
              <w:rStyle w:val="31"/>
              <w:rFonts w:hint="eastAsia" w:ascii="Times New Roman" w:hAnsi="Times New Roman" w:eastAsia="华文中宋" w:cs="Times New Roman"/>
              <w:lang w:val="zh-CN" w:eastAsia="zh-CN"/>
            </w:rPr>
            <w:t>第七</w:t>
          </w:r>
          <w:r>
            <w:rPr>
              <w:rStyle w:val="31"/>
              <w:rFonts w:hint="eastAsia" w:ascii="Times New Roman" w:hAnsi="Times New Roman" w:eastAsia="华文中宋" w:cs="Times New Roman"/>
              <w:lang w:val="zh-CN"/>
            </w:rPr>
            <w:t>篇</w:t>
          </w:r>
          <w:r>
            <w:rPr>
              <w:rStyle w:val="31"/>
              <w:rFonts w:ascii="Times New Roman" w:hAnsi="Times New Roman" w:eastAsia="华文中宋" w:cs="Times New Roman"/>
              <w:lang w:val="zh-CN"/>
            </w:rPr>
            <w:t xml:space="preserve"> </w:t>
          </w:r>
          <w:r>
            <w:rPr>
              <w:rStyle w:val="31"/>
              <w:rFonts w:hint="eastAsia" w:ascii="Times New Roman" w:hAnsi="Times New Roman" w:eastAsia="华文中宋" w:cs="Times New Roman"/>
              <w:lang w:val="zh-CN" w:eastAsia="zh-CN"/>
            </w:rPr>
            <w:t>全面强化规划</w:t>
          </w:r>
          <w:r>
            <w:rPr>
              <w:rStyle w:val="31"/>
              <w:rFonts w:hint="eastAsia" w:ascii="Times New Roman" w:hAnsi="Times New Roman" w:eastAsia="华文中宋" w:cs="Times New Roman"/>
              <w:lang w:val="zh-CN"/>
            </w:rPr>
            <w:t>保障</w:t>
          </w:r>
          <w:r>
            <w:rPr>
              <w:rStyle w:val="31"/>
              <w:rFonts w:ascii="Times New Roman" w:hAnsi="Times New Roman" w:eastAsia="华文中宋" w:cs="Times New Roman"/>
              <w:lang w:val="zh-CN" w:eastAsia="zh-CN"/>
            </w:rPr>
            <w:t xml:space="preserve"> </w:t>
          </w:r>
          <w:r>
            <w:rPr>
              <w:rStyle w:val="31"/>
              <w:rFonts w:hint="eastAsia" w:ascii="Times New Roman" w:hAnsi="Times New Roman" w:eastAsia="华文中宋" w:cs="Times New Roman"/>
              <w:lang w:val="zh-CN" w:eastAsia="zh-CN"/>
            </w:rPr>
            <w:t>奋力实现</w:t>
          </w:r>
          <w:r>
            <w:rPr>
              <w:rStyle w:val="31"/>
              <w:rFonts w:ascii="Times New Roman" w:hAnsi="Times New Roman" w:eastAsia="华文中宋" w:cs="Times New Roman"/>
              <w:lang w:val="zh-CN" w:eastAsia="zh-CN"/>
            </w:rPr>
            <w:t>“</w:t>
          </w:r>
          <w:r>
            <w:rPr>
              <w:rStyle w:val="31"/>
              <w:rFonts w:hint="eastAsia" w:ascii="Times New Roman" w:hAnsi="Times New Roman" w:eastAsia="华文中宋" w:cs="Times New Roman"/>
              <w:lang w:val="zh-CN" w:eastAsia="zh-CN"/>
            </w:rPr>
            <w:t>十三五</w:t>
          </w:r>
          <w:r>
            <w:rPr>
              <w:rStyle w:val="31"/>
              <w:rFonts w:ascii="Times New Roman" w:hAnsi="Times New Roman" w:eastAsia="华文中宋" w:cs="Times New Roman"/>
              <w:lang w:val="zh-CN" w:eastAsia="zh-CN"/>
            </w:rPr>
            <w:t>”</w:t>
          </w:r>
          <w:r>
            <w:rPr>
              <w:rStyle w:val="31"/>
              <w:rFonts w:hint="eastAsia" w:ascii="Times New Roman" w:hAnsi="Times New Roman" w:eastAsia="华文中宋" w:cs="Times New Roman"/>
              <w:lang w:val="zh-CN" w:eastAsia="zh-CN"/>
            </w:rPr>
            <w:t>蓝图</w:t>
          </w:r>
          <w:r>
            <w:tab/>
          </w:r>
          <w:r>
            <w:fldChar w:fldCharType="begin"/>
          </w:r>
          <w:r>
            <w:instrText xml:space="preserve"> PAGEREF _Toc458171868 \h </w:instrText>
          </w:r>
          <w:r>
            <w:fldChar w:fldCharType="separate"/>
          </w:r>
          <w:r>
            <w:t>119</w:t>
          </w:r>
          <w:r>
            <w:fldChar w:fldCharType="end"/>
          </w:r>
          <w:r>
            <w:fldChar w:fldCharType="end"/>
          </w:r>
        </w:p>
        <w:p>
          <w:pPr>
            <w:pStyle w:val="18"/>
            <w:tabs>
              <w:tab w:val="right" w:leader="dot" w:pos="8296"/>
            </w:tabs>
            <w:rPr>
              <w:sz w:val="21"/>
            </w:rPr>
          </w:pPr>
          <w:r>
            <w:fldChar w:fldCharType="begin"/>
          </w:r>
          <w:r>
            <w:instrText xml:space="preserve"> HYPERLINK \l "_Toc458171869" </w:instrText>
          </w:r>
          <w:r>
            <w:fldChar w:fldCharType="separate"/>
          </w:r>
          <w:r>
            <w:rPr>
              <w:rStyle w:val="31"/>
              <w:rFonts w:hint="eastAsia" w:eastAsia="黑体"/>
            </w:rPr>
            <w:t>第二十二章</w:t>
          </w:r>
          <w:r>
            <w:rPr>
              <w:rStyle w:val="31"/>
              <w:rFonts w:eastAsia="黑体"/>
            </w:rPr>
            <w:t xml:space="preserve"> </w:t>
          </w:r>
          <w:r>
            <w:rPr>
              <w:rStyle w:val="31"/>
              <w:rFonts w:hint="eastAsia" w:eastAsia="黑体"/>
            </w:rPr>
            <w:t>全面推进深化改革</w:t>
          </w:r>
          <w:r>
            <w:tab/>
          </w:r>
          <w:r>
            <w:fldChar w:fldCharType="begin"/>
          </w:r>
          <w:r>
            <w:instrText xml:space="preserve"> PAGEREF _Toc458171869 \h </w:instrText>
          </w:r>
          <w:r>
            <w:fldChar w:fldCharType="separate"/>
          </w:r>
          <w:r>
            <w:t>119</w:t>
          </w:r>
          <w:r>
            <w:fldChar w:fldCharType="end"/>
          </w:r>
          <w:r>
            <w:fldChar w:fldCharType="end"/>
          </w:r>
        </w:p>
        <w:p>
          <w:pPr>
            <w:pStyle w:val="11"/>
            <w:tabs>
              <w:tab w:val="right" w:leader="dot" w:pos="8296"/>
            </w:tabs>
            <w:ind w:left="1120"/>
            <w:rPr>
              <w:sz w:val="21"/>
            </w:rPr>
          </w:pPr>
          <w:r>
            <w:fldChar w:fldCharType="begin"/>
          </w:r>
          <w:r>
            <w:instrText xml:space="preserve"> HYPERLINK \l "_Toc458171870" </w:instrText>
          </w:r>
          <w:r>
            <w:fldChar w:fldCharType="separate"/>
          </w:r>
          <w:r>
            <w:rPr>
              <w:rStyle w:val="31"/>
              <w:rFonts w:hint="eastAsia" w:ascii="Times New Roman" w:hAnsi="Times New Roman" w:eastAsia="楷体_GB2312"/>
            </w:rPr>
            <w:t>第一节</w:t>
          </w:r>
          <w:r>
            <w:rPr>
              <w:rStyle w:val="31"/>
              <w:rFonts w:ascii="Times New Roman" w:hAnsi="Times New Roman" w:eastAsia="楷体_GB2312"/>
            </w:rPr>
            <w:t xml:space="preserve"> </w:t>
          </w:r>
          <w:r>
            <w:rPr>
              <w:rStyle w:val="31"/>
              <w:rFonts w:hint="eastAsia" w:ascii="Times New Roman" w:hAnsi="Times New Roman" w:eastAsia="楷体_GB2312"/>
            </w:rPr>
            <w:t>深化行政体制改革</w:t>
          </w:r>
          <w:r>
            <w:tab/>
          </w:r>
          <w:r>
            <w:fldChar w:fldCharType="begin"/>
          </w:r>
          <w:r>
            <w:instrText xml:space="preserve"> PAGEREF _Toc458171870 \h </w:instrText>
          </w:r>
          <w:r>
            <w:fldChar w:fldCharType="separate"/>
          </w:r>
          <w:r>
            <w:t>119</w:t>
          </w:r>
          <w:r>
            <w:fldChar w:fldCharType="end"/>
          </w:r>
          <w:r>
            <w:fldChar w:fldCharType="end"/>
          </w:r>
        </w:p>
        <w:p>
          <w:pPr>
            <w:pStyle w:val="11"/>
            <w:tabs>
              <w:tab w:val="right" w:leader="dot" w:pos="8296"/>
            </w:tabs>
            <w:ind w:left="1120"/>
            <w:rPr>
              <w:sz w:val="21"/>
            </w:rPr>
          </w:pPr>
          <w:r>
            <w:fldChar w:fldCharType="begin"/>
          </w:r>
          <w:r>
            <w:instrText xml:space="preserve"> HYPERLINK \l "_Toc458171871" </w:instrText>
          </w:r>
          <w:r>
            <w:fldChar w:fldCharType="separate"/>
          </w:r>
          <w:r>
            <w:rPr>
              <w:rStyle w:val="31"/>
              <w:rFonts w:hint="eastAsia" w:ascii="Times New Roman" w:hAnsi="Times New Roman" w:eastAsia="楷体_GB2312"/>
            </w:rPr>
            <w:t>第二节</w:t>
          </w:r>
          <w:r>
            <w:rPr>
              <w:rStyle w:val="31"/>
              <w:rFonts w:ascii="Times New Roman" w:hAnsi="Times New Roman" w:eastAsia="楷体_GB2312"/>
            </w:rPr>
            <w:t xml:space="preserve"> </w:t>
          </w:r>
          <w:r>
            <w:rPr>
              <w:rStyle w:val="31"/>
              <w:rFonts w:hint="eastAsia" w:ascii="Times New Roman" w:hAnsi="Times New Roman" w:eastAsia="楷体_GB2312"/>
            </w:rPr>
            <w:t>深化国资国企改革</w:t>
          </w:r>
          <w:r>
            <w:tab/>
          </w:r>
          <w:r>
            <w:fldChar w:fldCharType="begin"/>
          </w:r>
          <w:r>
            <w:instrText xml:space="preserve"> PAGEREF _Toc458171871 \h </w:instrText>
          </w:r>
          <w:r>
            <w:fldChar w:fldCharType="separate"/>
          </w:r>
          <w:r>
            <w:t>120</w:t>
          </w:r>
          <w:r>
            <w:fldChar w:fldCharType="end"/>
          </w:r>
          <w:r>
            <w:fldChar w:fldCharType="end"/>
          </w:r>
        </w:p>
        <w:p>
          <w:pPr>
            <w:pStyle w:val="11"/>
            <w:tabs>
              <w:tab w:val="right" w:leader="dot" w:pos="8296"/>
            </w:tabs>
            <w:ind w:left="1120"/>
            <w:rPr>
              <w:sz w:val="21"/>
            </w:rPr>
          </w:pPr>
          <w:r>
            <w:fldChar w:fldCharType="begin"/>
          </w:r>
          <w:r>
            <w:instrText xml:space="preserve"> HYPERLINK \l "_Toc458171872" </w:instrText>
          </w:r>
          <w:r>
            <w:fldChar w:fldCharType="separate"/>
          </w:r>
          <w:r>
            <w:rPr>
              <w:rStyle w:val="31"/>
              <w:rFonts w:hint="eastAsia" w:ascii="Times New Roman" w:hAnsi="Times New Roman" w:eastAsia="楷体_GB2312"/>
            </w:rPr>
            <w:t>第三节</w:t>
          </w:r>
          <w:r>
            <w:rPr>
              <w:rStyle w:val="31"/>
              <w:rFonts w:ascii="Times New Roman" w:hAnsi="Times New Roman" w:eastAsia="楷体_GB2312"/>
            </w:rPr>
            <w:t xml:space="preserve"> </w:t>
          </w:r>
          <w:r>
            <w:rPr>
              <w:rStyle w:val="31"/>
              <w:rFonts w:hint="eastAsia" w:ascii="Times New Roman" w:hAnsi="Times New Roman" w:eastAsia="楷体_GB2312"/>
            </w:rPr>
            <w:t>深化农村综合改革</w:t>
          </w:r>
          <w:r>
            <w:tab/>
          </w:r>
          <w:r>
            <w:fldChar w:fldCharType="begin"/>
          </w:r>
          <w:r>
            <w:instrText xml:space="preserve"> PAGEREF _Toc458171872 \h </w:instrText>
          </w:r>
          <w:r>
            <w:fldChar w:fldCharType="separate"/>
          </w:r>
          <w:r>
            <w:t>121</w:t>
          </w:r>
          <w:r>
            <w:fldChar w:fldCharType="end"/>
          </w:r>
          <w:r>
            <w:fldChar w:fldCharType="end"/>
          </w:r>
        </w:p>
        <w:p>
          <w:pPr>
            <w:pStyle w:val="11"/>
            <w:tabs>
              <w:tab w:val="right" w:leader="dot" w:pos="8296"/>
            </w:tabs>
            <w:ind w:left="1120"/>
            <w:rPr>
              <w:sz w:val="21"/>
            </w:rPr>
          </w:pPr>
          <w:r>
            <w:fldChar w:fldCharType="begin"/>
          </w:r>
          <w:r>
            <w:instrText xml:space="preserve"> HYPERLINK \l "_Toc458171873" </w:instrText>
          </w:r>
          <w:r>
            <w:fldChar w:fldCharType="separate"/>
          </w:r>
          <w:r>
            <w:rPr>
              <w:rStyle w:val="31"/>
              <w:rFonts w:hint="eastAsia" w:ascii="Times New Roman" w:hAnsi="Times New Roman" w:eastAsia="楷体_GB2312"/>
            </w:rPr>
            <w:t>第四节</w:t>
          </w:r>
          <w:r>
            <w:rPr>
              <w:rStyle w:val="31"/>
              <w:rFonts w:ascii="Times New Roman" w:hAnsi="Times New Roman" w:eastAsia="楷体_GB2312"/>
            </w:rPr>
            <w:t xml:space="preserve"> </w:t>
          </w:r>
          <w:r>
            <w:rPr>
              <w:rStyle w:val="31"/>
              <w:rFonts w:hint="eastAsia" w:ascii="Times New Roman" w:hAnsi="Times New Roman" w:eastAsia="楷体_GB2312"/>
            </w:rPr>
            <w:t>健全现代市场体系</w:t>
          </w:r>
          <w:r>
            <w:tab/>
          </w:r>
          <w:r>
            <w:fldChar w:fldCharType="begin"/>
          </w:r>
          <w:r>
            <w:instrText xml:space="preserve"> PAGEREF _Toc458171873 \h </w:instrText>
          </w:r>
          <w:r>
            <w:fldChar w:fldCharType="separate"/>
          </w:r>
          <w:r>
            <w:t>122</w:t>
          </w:r>
          <w:r>
            <w:fldChar w:fldCharType="end"/>
          </w:r>
          <w:r>
            <w:fldChar w:fldCharType="end"/>
          </w:r>
        </w:p>
        <w:p>
          <w:pPr>
            <w:pStyle w:val="11"/>
            <w:tabs>
              <w:tab w:val="right" w:leader="dot" w:pos="8296"/>
            </w:tabs>
            <w:ind w:left="1120"/>
            <w:rPr>
              <w:sz w:val="21"/>
            </w:rPr>
          </w:pPr>
          <w:r>
            <w:fldChar w:fldCharType="begin"/>
          </w:r>
          <w:r>
            <w:instrText xml:space="preserve"> HYPERLINK \l "_Toc458171874" </w:instrText>
          </w:r>
          <w:r>
            <w:fldChar w:fldCharType="separate"/>
          </w:r>
          <w:r>
            <w:rPr>
              <w:rStyle w:val="31"/>
              <w:rFonts w:hint="eastAsia" w:ascii="Times New Roman" w:hAnsi="Times New Roman" w:eastAsia="楷体_GB2312"/>
            </w:rPr>
            <w:t>第五节</w:t>
          </w:r>
          <w:r>
            <w:rPr>
              <w:rStyle w:val="31"/>
              <w:rFonts w:ascii="Times New Roman" w:hAnsi="Times New Roman" w:eastAsia="楷体_GB2312"/>
            </w:rPr>
            <w:t xml:space="preserve"> </w:t>
          </w:r>
          <w:r>
            <w:rPr>
              <w:rStyle w:val="31"/>
              <w:rFonts w:hint="eastAsia" w:ascii="Times New Roman" w:hAnsi="Times New Roman" w:eastAsia="楷体_GB2312"/>
            </w:rPr>
            <w:t>构建新型城镇化投融资机制</w:t>
          </w:r>
          <w:r>
            <w:tab/>
          </w:r>
          <w:r>
            <w:fldChar w:fldCharType="begin"/>
          </w:r>
          <w:r>
            <w:instrText xml:space="preserve"> PAGEREF _Toc458171874 \h </w:instrText>
          </w:r>
          <w:r>
            <w:fldChar w:fldCharType="separate"/>
          </w:r>
          <w:r>
            <w:t>123</w:t>
          </w:r>
          <w:r>
            <w:fldChar w:fldCharType="end"/>
          </w:r>
          <w:r>
            <w:fldChar w:fldCharType="end"/>
          </w:r>
        </w:p>
        <w:p>
          <w:pPr>
            <w:pStyle w:val="11"/>
            <w:tabs>
              <w:tab w:val="right" w:leader="dot" w:pos="8296"/>
            </w:tabs>
            <w:ind w:left="1120"/>
            <w:rPr>
              <w:sz w:val="21"/>
            </w:rPr>
          </w:pPr>
          <w:r>
            <w:fldChar w:fldCharType="begin"/>
          </w:r>
          <w:r>
            <w:instrText xml:space="preserve"> HYPERLINK \l "_Toc458171875" </w:instrText>
          </w:r>
          <w:r>
            <w:fldChar w:fldCharType="separate"/>
          </w:r>
          <w:r>
            <w:rPr>
              <w:rStyle w:val="31"/>
              <w:rFonts w:hint="eastAsia" w:ascii="Times New Roman" w:hAnsi="Times New Roman" w:eastAsia="楷体_GB2312"/>
            </w:rPr>
            <w:t>第六节</w:t>
          </w:r>
          <w:r>
            <w:rPr>
              <w:rStyle w:val="31"/>
              <w:rFonts w:ascii="Times New Roman" w:hAnsi="Times New Roman" w:eastAsia="楷体_GB2312"/>
            </w:rPr>
            <w:t xml:space="preserve"> </w:t>
          </w:r>
          <w:r>
            <w:rPr>
              <w:rStyle w:val="31"/>
              <w:rFonts w:hint="eastAsia" w:ascii="Times New Roman" w:hAnsi="Times New Roman" w:eastAsia="楷体_GB2312"/>
            </w:rPr>
            <w:t>引导非公有制经济加快发展</w:t>
          </w:r>
          <w:r>
            <w:tab/>
          </w:r>
          <w:r>
            <w:fldChar w:fldCharType="begin"/>
          </w:r>
          <w:r>
            <w:instrText xml:space="preserve"> PAGEREF _Toc458171875 \h </w:instrText>
          </w:r>
          <w:r>
            <w:fldChar w:fldCharType="separate"/>
          </w:r>
          <w:r>
            <w:t>124</w:t>
          </w:r>
          <w:r>
            <w:fldChar w:fldCharType="end"/>
          </w:r>
          <w:r>
            <w:fldChar w:fldCharType="end"/>
          </w:r>
        </w:p>
        <w:p>
          <w:pPr>
            <w:pStyle w:val="11"/>
            <w:tabs>
              <w:tab w:val="right" w:leader="dot" w:pos="8296"/>
            </w:tabs>
            <w:ind w:left="1120"/>
            <w:rPr>
              <w:sz w:val="21"/>
            </w:rPr>
          </w:pPr>
          <w:r>
            <w:fldChar w:fldCharType="begin"/>
          </w:r>
          <w:r>
            <w:instrText xml:space="preserve"> HYPERLINK \l "_Toc458171876" </w:instrText>
          </w:r>
          <w:r>
            <w:fldChar w:fldCharType="separate"/>
          </w:r>
          <w:r>
            <w:rPr>
              <w:rStyle w:val="31"/>
              <w:rFonts w:hint="eastAsia" w:ascii="Times New Roman" w:hAnsi="Times New Roman" w:eastAsia="楷体_GB2312"/>
            </w:rPr>
            <w:t>第七节</w:t>
          </w:r>
          <w:r>
            <w:rPr>
              <w:rStyle w:val="31"/>
              <w:rFonts w:ascii="Times New Roman" w:hAnsi="Times New Roman" w:eastAsia="楷体_GB2312"/>
            </w:rPr>
            <w:t xml:space="preserve"> </w:t>
          </w:r>
          <w:r>
            <w:rPr>
              <w:rStyle w:val="31"/>
              <w:rFonts w:hint="eastAsia" w:ascii="Times New Roman" w:hAnsi="Times New Roman" w:eastAsia="楷体_GB2312"/>
            </w:rPr>
            <w:t>统筹推进其他各领域改革</w:t>
          </w:r>
          <w:r>
            <w:tab/>
          </w:r>
          <w:r>
            <w:fldChar w:fldCharType="begin"/>
          </w:r>
          <w:r>
            <w:instrText xml:space="preserve"> PAGEREF _Toc458171876 \h </w:instrText>
          </w:r>
          <w:r>
            <w:fldChar w:fldCharType="separate"/>
          </w:r>
          <w:r>
            <w:t>126</w:t>
          </w:r>
          <w:r>
            <w:fldChar w:fldCharType="end"/>
          </w:r>
          <w:r>
            <w:fldChar w:fldCharType="end"/>
          </w:r>
        </w:p>
        <w:p>
          <w:pPr>
            <w:pStyle w:val="18"/>
            <w:tabs>
              <w:tab w:val="right" w:leader="dot" w:pos="8296"/>
            </w:tabs>
            <w:rPr>
              <w:sz w:val="21"/>
            </w:rPr>
          </w:pPr>
          <w:r>
            <w:fldChar w:fldCharType="begin"/>
          </w:r>
          <w:r>
            <w:instrText xml:space="preserve"> HYPERLINK \l "_Toc458171877" </w:instrText>
          </w:r>
          <w:r>
            <w:fldChar w:fldCharType="separate"/>
          </w:r>
          <w:r>
            <w:rPr>
              <w:rStyle w:val="31"/>
              <w:rFonts w:hint="eastAsia" w:eastAsia="黑体"/>
            </w:rPr>
            <w:t>第二十三章</w:t>
          </w:r>
          <w:r>
            <w:rPr>
              <w:rStyle w:val="31"/>
              <w:rFonts w:eastAsia="黑体"/>
            </w:rPr>
            <w:t xml:space="preserve"> </w:t>
          </w:r>
          <w:r>
            <w:rPr>
              <w:rStyle w:val="31"/>
              <w:rFonts w:hint="eastAsia" w:eastAsia="黑体"/>
            </w:rPr>
            <w:t>全面推进</w:t>
          </w:r>
          <w:r>
            <w:rPr>
              <w:rStyle w:val="31"/>
              <w:rFonts w:eastAsia="黑体"/>
            </w:rPr>
            <w:t>“</w:t>
          </w:r>
          <w:r>
            <w:rPr>
              <w:rStyle w:val="31"/>
              <w:rFonts w:hint="eastAsia" w:eastAsia="黑体"/>
            </w:rPr>
            <w:t>法治柳东</w:t>
          </w:r>
          <w:r>
            <w:rPr>
              <w:rStyle w:val="31"/>
              <w:rFonts w:eastAsia="黑体"/>
            </w:rPr>
            <w:t>”</w:t>
          </w:r>
          <w:r>
            <w:rPr>
              <w:rStyle w:val="31"/>
              <w:rFonts w:hint="eastAsia" w:eastAsia="黑体"/>
            </w:rPr>
            <w:t>建设</w:t>
          </w:r>
          <w:r>
            <w:tab/>
          </w:r>
          <w:r>
            <w:fldChar w:fldCharType="begin"/>
          </w:r>
          <w:r>
            <w:instrText xml:space="preserve"> PAGEREF _Toc458171877 \h </w:instrText>
          </w:r>
          <w:r>
            <w:fldChar w:fldCharType="separate"/>
          </w:r>
          <w:r>
            <w:t>127</w:t>
          </w:r>
          <w:r>
            <w:fldChar w:fldCharType="end"/>
          </w:r>
          <w:r>
            <w:fldChar w:fldCharType="end"/>
          </w:r>
        </w:p>
        <w:p>
          <w:pPr>
            <w:pStyle w:val="11"/>
            <w:tabs>
              <w:tab w:val="right" w:leader="dot" w:pos="8296"/>
            </w:tabs>
            <w:ind w:left="1120"/>
            <w:rPr>
              <w:sz w:val="21"/>
            </w:rPr>
          </w:pPr>
          <w:r>
            <w:fldChar w:fldCharType="begin"/>
          </w:r>
          <w:r>
            <w:instrText xml:space="preserve"> HYPERLINK \l "_Toc458171878" </w:instrText>
          </w:r>
          <w:r>
            <w:fldChar w:fldCharType="separate"/>
          </w:r>
          <w:r>
            <w:rPr>
              <w:rStyle w:val="31"/>
              <w:rFonts w:hint="eastAsia" w:eastAsia="楷体"/>
            </w:rPr>
            <w:t>第一节</w:t>
          </w:r>
          <w:r>
            <w:rPr>
              <w:rStyle w:val="31"/>
              <w:rFonts w:eastAsia="楷体"/>
            </w:rPr>
            <w:t xml:space="preserve"> </w:t>
          </w:r>
          <w:r>
            <w:rPr>
              <w:rStyle w:val="31"/>
              <w:rFonts w:hint="eastAsia" w:eastAsia="楷体"/>
            </w:rPr>
            <w:t>建立完善立法体制机制</w:t>
          </w:r>
          <w:r>
            <w:tab/>
          </w:r>
          <w:r>
            <w:fldChar w:fldCharType="begin"/>
          </w:r>
          <w:r>
            <w:instrText xml:space="preserve"> PAGEREF _Toc458171878 \h </w:instrText>
          </w:r>
          <w:r>
            <w:fldChar w:fldCharType="separate"/>
          </w:r>
          <w:r>
            <w:t>127</w:t>
          </w:r>
          <w:r>
            <w:fldChar w:fldCharType="end"/>
          </w:r>
          <w:r>
            <w:fldChar w:fldCharType="end"/>
          </w:r>
        </w:p>
        <w:p>
          <w:pPr>
            <w:pStyle w:val="11"/>
            <w:tabs>
              <w:tab w:val="right" w:leader="dot" w:pos="8296"/>
            </w:tabs>
            <w:ind w:left="1120"/>
            <w:rPr>
              <w:sz w:val="21"/>
            </w:rPr>
          </w:pPr>
          <w:r>
            <w:fldChar w:fldCharType="begin"/>
          </w:r>
          <w:r>
            <w:instrText xml:space="preserve"> HYPERLINK \l "_Toc458171879"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加快法治政府建设</w:t>
          </w:r>
          <w:r>
            <w:tab/>
          </w:r>
          <w:r>
            <w:fldChar w:fldCharType="begin"/>
          </w:r>
          <w:r>
            <w:instrText xml:space="preserve"> PAGEREF _Toc458171879 \h </w:instrText>
          </w:r>
          <w:r>
            <w:fldChar w:fldCharType="separate"/>
          </w:r>
          <w:r>
            <w:t>127</w:t>
          </w:r>
          <w:r>
            <w:fldChar w:fldCharType="end"/>
          </w:r>
          <w:r>
            <w:fldChar w:fldCharType="end"/>
          </w:r>
        </w:p>
        <w:p>
          <w:pPr>
            <w:pStyle w:val="11"/>
            <w:tabs>
              <w:tab w:val="right" w:leader="dot" w:pos="8296"/>
            </w:tabs>
            <w:ind w:left="1120"/>
            <w:rPr>
              <w:sz w:val="21"/>
            </w:rPr>
          </w:pPr>
          <w:r>
            <w:fldChar w:fldCharType="begin"/>
          </w:r>
          <w:r>
            <w:instrText xml:space="preserve"> HYPERLINK \l "_Toc458171880"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确保司法公正</w:t>
          </w:r>
          <w:r>
            <w:tab/>
          </w:r>
          <w:r>
            <w:fldChar w:fldCharType="begin"/>
          </w:r>
          <w:r>
            <w:instrText xml:space="preserve"> PAGEREF _Toc458171880 \h </w:instrText>
          </w:r>
          <w:r>
            <w:fldChar w:fldCharType="separate"/>
          </w:r>
          <w:r>
            <w:t>128</w:t>
          </w:r>
          <w:r>
            <w:fldChar w:fldCharType="end"/>
          </w:r>
          <w:r>
            <w:fldChar w:fldCharType="end"/>
          </w:r>
        </w:p>
        <w:p>
          <w:pPr>
            <w:pStyle w:val="11"/>
            <w:tabs>
              <w:tab w:val="right" w:leader="dot" w:pos="8296"/>
            </w:tabs>
            <w:ind w:left="1120"/>
            <w:rPr>
              <w:sz w:val="21"/>
            </w:rPr>
          </w:pPr>
          <w:r>
            <w:fldChar w:fldCharType="begin"/>
          </w:r>
          <w:r>
            <w:instrText xml:space="preserve"> HYPERLINK \l "_Toc458171881" </w:instrText>
          </w:r>
          <w:r>
            <w:fldChar w:fldCharType="separate"/>
          </w:r>
          <w:r>
            <w:rPr>
              <w:rStyle w:val="31"/>
              <w:rFonts w:hint="eastAsia" w:eastAsia="楷体"/>
            </w:rPr>
            <w:t>第四节</w:t>
          </w:r>
          <w:r>
            <w:rPr>
              <w:rStyle w:val="31"/>
              <w:rFonts w:eastAsia="楷体"/>
            </w:rPr>
            <w:t xml:space="preserve"> </w:t>
          </w:r>
          <w:r>
            <w:rPr>
              <w:rStyle w:val="31"/>
              <w:rFonts w:hint="eastAsia" w:eastAsia="楷体"/>
            </w:rPr>
            <w:t>推进法治社会建设</w:t>
          </w:r>
          <w:r>
            <w:tab/>
          </w:r>
          <w:r>
            <w:fldChar w:fldCharType="begin"/>
          </w:r>
          <w:r>
            <w:instrText xml:space="preserve"> PAGEREF _Toc458171881 \h </w:instrText>
          </w:r>
          <w:r>
            <w:fldChar w:fldCharType="separate"/>
          </w:r>
          <w:r>
            <w:t>129</w:t>
          </w:r>
          <w:r>
            <w:fldChar w:fldCharType="end"/>
          </w:r>
          <w:r>
            <w:fldChar w:fldCharType="end"/>
          </w:r>
        </w:p>
        <w:p>
          <w:pPr>
            <w:pStyle w:val="18"/>
            <w:tabs>
              <w:tab w:val="right" w:leader="dot" w:pos="8296"/>
            </w:tabs>
            <w:rPr>
              <w:sz w:val="21"/>
            </w:rPr>
          </w:pPr>
          <w:r>
            <w:fldChar w:fldCharType="begin"/>
          </w:r>
          <w:r>
            <w:instrText xml:space="preserve"> HYPERLINK \l "_Toc458171882" </w:instrText>
          </w:r>
          <w:r>
            <w:fldChar w:fldCharType="separate"/>
          </w:r>
          <w:r>
            <w:rPr>
              <w:rStyle w:val="31"/>
              <w:rFonts w:hint="eastAsia" w:eastAsia="黑体"/>
            </w:rPr>
            <w:t>第二十四章</w:t>
          </w:r>
          <w:r>
            <w:rPr>
              <w:rStyle w:val="31"/>
              <w:rFonts w:eastAsia="黑体"/>
            </w:rPr>
            <w:t xml:space="preserve"> </w:t>
          </w:r>
          <w:r>
            <w:rPr>
              <w:rStyle w:val="31"/>
              <w:rFonts w:hint="eastAsia" w:eastAsia="黑体"/>
            </w:rPr>
            <w:t>全面实现</w:t>
          </w:r>
          <w:r>
            <w:rPr>
              <w:rStyle w:val="31"/>
              <w:rFonts w:eastAsia="黑体"/>
            </w:rPr>
            <w:t>“</w:t>
          </w:r>
          <w:r>
            <w:rPr>
              <w:rStyle w:val="31"/>
              <w:rFonts w:hint="eastAsia" w:eastAsia="黑体"/>
            </w:rPr>
            <w:t>十三五</w:t>
          </w:r>
          <w:r>
            <w:rPr>
              <w:rStyle w:val="31"/>
              <w:rFonts w:eastAsia="黑体"/>
            </w:rPr>
            <w:t>”</w:t>
          </w:r>
          <w:r>
            <w:rPr>
              <w:rStyle w:val="31"/>
              <w:rFonts w:hint="eastAsia" w:eastAsia="黑体"/>
            </w:rPr>
            <w:t>发展蓝图</w:t>
          </w:r>
          <w:r>
            <w:tab/>
          </w:r>
          <w:r>
            <w:fldChar w:fldCharType="begin"/>
          </w:r>
          <w:r>
            <w:instrText xml:space="preserve"> PAGEREF _Toc458171882 \h </w:instrText>
          </w:r>
          <w:r>
            <w:fldChar w:fldCharType="separate"/>
          </w:r>
          <w:r>
            <w:t>129</w:t>
          </w:r>
          <w:r>
            <w:fldChar w:fldCharType="end"/>
          </w:r>
          <w:r>
            <w:fldChar w:fldCharType="end"/>
          </w:r>
        </w:p>
        <w:p>
          <w:pPr>
            <w:pStyle w:val="11"/>
            <w:tabs>
              <w:tab w:val="right" w:leader="dot" w:pos="8296"/>
            </w:tabs>
            <w:ind w:left="1120"/>
            <w:rPr>
              <w:sz w:val="21"/>
            </w:rPr>
          </w:pPr>
          <w:r>
            <w:fldChar w:fldCharType="begin"/>
          </w:r>
          <w:r>
            <w:instrText xml:space="preserve"> HYPERLINK \l "_Toc458171883" </w:instrText>
          </w:r>
          <w:r>
            <w:fldChar w:fldCharType="separate"/>
          </w:r>
          <w:r>
            <w:rPr>
              <w:rStyle w:val="31"/>
              <w:rFonts w:hint="eastAsia" w:eastAsia="楷体"/>
            </w:rPr>
            <w:t>第一节</w:t>
          </w:r>
          <w:r>
            <w:rPr>
              <w:rStyle w:val="31"/>
              <w:rFonts w:eastAsia="楷体"/>
            </w:rPr>
            <w:t xml:space="preserve"> </w:t>
          </w:r>
          <w:r>
            <w:rPr>
              <w:rStyle w:val="31"/>
              <w:rFonts w:hint="eastAsia" w:eastAsia="楷体"/>
            </w:rPr>
            <w:t>强化规划实施机制</w:t>
          </w:r>
          <w:r>
            <w:tab/>
          </w:r>
          <w:r>
            <w:fldChar w:fldCharType="begin"/>
          </w:r>
          <w:r>
            <w:instrText xml:space="preserve"> PAGEREF _Toc458171883 \h </w:instrText>
          </w:r>
          <w:r>
            <w:fldChar w:fldCharType="separate"/>
          </w:r>
          <w:r>
            <w:t>130</w:t>
          </w:r>
          <w:r>
            <w:fldChar w:fldCharType="end"/>
          </w:r>
          <w:r>
            <w:fldChar w:fldCharType="end"/>
          </w:r>
        </w:p>
        <w:p>
          <w:pPr>
            <w:pStyle w:val="11"/>
            <w:tabs>
              <w:tab w:val="right" w:leader="dot" w:pos="8296"/>
            </w:tabs>
            <w:ind w:left="1120"/>
            <w:rPr>
              <w:sz w:val="21"/>
            </w:rPr>
          </w:pPr>
          <w:r>
            <w:fldChar w:fldCharType="begin"/>
          </w:r>
          <w:r>
            <w:instrText xml:space="preserve"> HYPERLINK \l "_Toc458171884" </w:instrText>
          </w:r>
          <w:r>
            <w:fldChar w:fldCharType="separate"/>
          </w:r>
          <w:r>
            <w:rPr>
              <w:rStyle w:val="31"/>
              <w:rFonts w:hint="eastAsia" w:eastAsia="楷体"/>
            </w:rPr>
            <w:t>第二节</w:t>
          </w:r>
          <w:r>
            <w:rPr>
              <w:rStyle w:val="31"/>
              <w:rFonts w:eastAsia="楷体"/>
            </w:rPr>
            <w:t xml:space="preserve"> </w:t>
          </w:r>
          <w:r>
            <w:rPr>
              <w:rStyle w:val="31"/>
              <w:rFonts w:hint="eastAsia" w:eastAsia="楷体"/>
            </w:rPr>
            <w:t>完善规划实施管理体系</w:t>
          </w:r>
          <w:r>
            <w:tab/>
          </w:r>
          <w:r>
            <w:fldChar w:fldCharType="begin"/>
          </w:r>
          <w:r>
            <w:instrText xml:space="preserve"> PAGEREF _Toc458171884 \h </w:instrText>
          </w:r>
          <w:r>
            <w:fldChar w:fldCharType="separate"/>
          </w:r>
          <w:r>
            <w:t>131</w:t>
          </w:r>
          <w:r>
            <w:fldChar w:fldCharType="end"/>
          </w:r>
          <w:r>
            <w:fldChar w:fldCharType="end"/>
          </w:r>
        </w:p>
        <w:p>
          <w:pPr>
            <w:pStyle w:val="11"/>
            <w:tabs>
              <w:tab w:val="right" w:leader="dot" w:pos="8296"/>
            </w:tabs>
            <w:ind w:left="1120"/>
            <w:rPr>
              <w:sz w:val="21"/>
            </w:rPr>
          </w:pPr>
          <w:r>
            <w:fldChar w:fldCharType="begin"/>
          </w:r>
          <w:r>
            <w:instrText xml:space="preserve"> HYPERLINK \l "_Toc458171885" </w:instrText>
          </w:r>
          <w:r>
            <w:fldChar w:fldCharType="separate"/>
          </w:r>
          <w:r>
            <w:rPr>
              <w:rStyle w:val="31"/>
              <w:rFonts w:hint="eastAsia" w:eastAsia="楷体"/>
            </w:rPr>
            <w:t>第三节</w:t>
          </w:r>
          <w:r>
            <w:rPr>
              <w:rStyle w:val="31"/>
              <w:rFonts w:eastAsia="楷体"/>
            </w:rPr>
            <w:t xml:space="preserve"> </w:t>
          </w:r>
          <w:r>
            <w:rPr>
              <w:rStyle w:val="31"/>
              <w:rFonts w:hint="eastAsia" w:eastAsia="楷体"/>
            </w:rPr>
            <w:t>全面推进重大项目实施</w:t>
          </w:r>
          <w:r>
            <w:tab/>
          </w:r>
          <w:r>
            <w:fldChar w:fldCharType="begin"/>
          </w:r>
          <w:r>
            <w:instrText xml:space="preserve"> PAGEREF _Toc458171885 \h </w:instrText>
          </w:r>
          <w:r>
            <w:fldChar w:fldCharType="separate"/>
          </w:r>
          <w:r>
            <w:t>132</w:t>
          </w:r>
          <w:r>
            <w:fldChar w:fldCharType="end"/>
          </w:r>
          <w:r>
            <w:fldChar w:fldCharType="end"/>
          </w:r>
        </w:p>
        <w:p>
          <w:pPr>
            <w:rPr>
              <w:rFonts w:asciiTheme="minorEastAsia" w:hAnsiTheme="minorEastAsia"/>
              <w:szCs w:val="28"/>
            </w:rPr>
          </w:pPr>
          <w:r>
            <w:rPr>
              <w:rFonts w:asciiTheme="minorEastAsia" w:hAnsiTheme="minorEastAsia"/>
              <w:szCs w:val="28"/>
            </w:rPr>
            <w:fldChar w:fldCharType="end"/>
          </w:r>
        </w:p>
      </w:sdtContent>
    </w:sdt>
    <w:p>
      <w:pPr>
        <w:widowControl/>
        <w:jc w:val="left"/>
        <w:rPr>
          <w:rFonts w:asciiTheme="minorEastAsia" w:hAnsiTheme="minorEastAsia"/>
          <w:b/>
          <w:bCs/>
          <w:kern w:val="44"/>
          <w:szCs w:val="28"/>
        </w:rPr>
      </w:pPr>
      <w:r>
        <w:rPr>
          <w:rFonts w:asciiTheme="minorEastAsia" w:hAnsiTheme="minorEastAsia"/>
          <w:szCs w:val="28"/>
        </w:rPr>
        <w:br w:type="page"/>
      </w:r>
    </w:p>
    <w:p>
      <w:pPr>
        <w:pStyle w:val="2"/>
        <w:spacing w:before="0" w:after="0" w:line="600" w:lineRule="exact"/>
        <w:jc w:val="center"/>
        <w:rPr>
          <w:rFonts w:ascii="Times New Roman" w:hAnsi="Times New Roman" w:eastAsia="华文中宋" w:cs="Times New Roman"/>
          <w:lang w:val="zh-CN"/>
        </w:rPr>
      </w:pPr>
      <w:bookmarkStart w:id="1" w:name="_Toc458171770"/>
      <w:r>
        <w:rPr>
          <w:rFonts w:hint="eastAsia" w:ascii="Times New Roman" w:hAnsi="Times New Roman" w:eastAsia="华文中宋" w:cs="Times New Roman"/>
          <w:lang w:val="zh-CN"/>
        </w:rPr>
        <w:t>前言</w:t>
      </w:r>
      <w:bookmarkEnd w:id="1"/>
    </w:p>
    <w:p>
      <w:pPr>
        <w:spacing w:line="600" w:lineRule="exact"/>
        <w:ind w:firstLine="640" w:firstLineChars="200"/>
        <w:rPr>
          <w:rFonts w:ascii="仿宋_GB2312" w:hAnsi="Times New Roman" w:eastAsia="仿宋_GB2312" w:cs="Times New Roman"/>
          <w:sz w:val="32"/>
          <w:szCs w:val="32"/>
        </w:rPr>
      </w:pP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十三五</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时期（2016-2020年），是</w:t>
      </w:r>
      <w:r>
        <w:rPr>
          <w:rFonts w:hint="eastAsia" w:ascii="仿宋_GB2312" w:hAnsi="Times New Roman" w:eastAsia="仿宋_GB2312" w:cs="Times New Roman"/>
          <w:sz w:val="32"/>
          <w:szCs w:val="32"/>
          <w:lang w:eastAsia="zh-CN"/>
        </w:rPr>
        <w:t>全面建成小康社会</w:t>
      </w:r>
      <w:r>
        <w:rPr>
          <w:rFonts w:hint="eastAsia" w:ascii="仿宋_GB2312" w:hAnsi="Times New Roman" w:eastAsia="仿宋_GB2312" w:cs="Times New Roman"/>
          <w:sz w:val="32"/>
          <w:szCs w:val="32"/>
        </w:rPr>
        <w:t>的关键时期，是深化改革开放、加快转变经济发展方式、适应中国经济新常态的关键时期。科学制定和有效实施“十三五”规划，对于柳东新区在新一轮发展和竞争中抢占先机、把握主动、赢得新优势，加快打造柳东新区国际一流汽车城实现柳东新区经济社会平稳较快发展，具有十分重大的意义。根据相关政策和</w:t>
      </w:r>
      <w:r>
        <w:rPr>
          <w:rFonts w:ascii="Times New Roman" w:hAnsi="Times New Roman" w:eastAsia="仿宋_GB2312"/>
          <w:sz w:val="32"/>
          <w:szCs w:val="32"/>
        </w:rPr>
        <w:t>《柳州市国民经济和社会发展第十三个五年规划纲要》</w:t>
      </w:r>
      <w:r>
        <w:rPr>
          <w:rFonts w:hint="eastAsia" w:ascii="Times New Roman" w:hAnsi="Times New Roman" w:eastAsia="仿宋_GB2312"/>
          <w:sz w:val="32"/>
          <w:szCs w:val="32"/>
        </w:rPr>
        <w:t>关于柳东新区发展的</w:t>
      </w:r>
      <w:r>
        <w:rPr>
          <w:rFonts w:hint="eastAsia" w:ascii="仿宋_GB2312" w:hAnsi="Times New Roman" w:eastAsia="仿宋_GB2312" w:cs="Times New Roman"/>
          <w:sz w:val="32"/>
          <w:szCs w:val="32"/>
        </w:rPr>
        <w:t>建议，根据“十三五”时期国家提出的“稳速提质”、广西“提速提质”、柳州“提质增效升级”的发展导向，合理编制柳东新区经济和社会发展第十三个五年（2016-2020）规划纲要，主要阐述“十三五”时期经济社会发展的指导思想、目标任务和相关政策，明确未来五年内工作重点和工作计划，保障柳东新区经济社会高效有序推进。</w:t>
      </w:r>
    </w:p>
    <w:p/>
    <w:p>
      <w:pPr>
        <w:pStyle w:val="2"/>
        <w:spacing w:before="0" w:after="0" w:line="600" w:lineRule="exact"/>
        <w:jc w:val="center"/>
        <w:rPr>
          <w:rFonts w:ascii="Times New Roman" w:hAnsi="Times New Roman" w:eastAsia="华文中宋" w:cs="Times New Roman"/>
          <w:lang w:val="zh-CN" w:eastAsia="zh-CN"/>
        </w:rPr>
      </w:pPr>
      <w:bookmarkStart w:id="2" w:name="_Toc458171771"/>
      <w:r>
        <w:rPr>
          <w:rFonts w:hint="eastAsia" w:ascii="Times New Roman" w:hAnsi="Times New Roman" w:eastAsia="华文中宋" w:cs="Times New Roman"/>
          <w:lang w:val="zh-CN" w:eastAsia="zh-CN"/>
        </w:rPr>
        <w:t>第一篇 率先全面建成小康社会 打造创新型国家级新区</w:t>
      </w:r>
      <w:bookmarkEnd w:id="2"/>
    </w:p>
    <w:p>
      <w:pPr>
        <w:pStyle w:val="2"/>
        <w:spacing w:before="0" w:after="0" w:line="600" w:lineRule="exact"/>
        <w:jc w:val="center"/>
        <w:rPr>
          <w:rStyle w:val="31"/>
          <w:rFonts w:ascii="Times New Roman" w:hAnsi="Times New Roman" w:eastAsia="黑体" w:cs="Times New Roman"/>
          <w:color w:val="auto"/>
          <w:sz w:val="32"/>
          <w:szCs w:val="32"/>
          <w:u w:val="none"/>
          <w:lang w:val="zh-CN" w:eastAsia="zh-CN"/>
        </w:rPr>
      </w:pPr>
      <w:bookmarkStart w:id="3" w:name="_Toc458171772"/>
      <w:r>
        <w:rPr>
          <w:rStyle w:val="31"/>
          <w:rFonts w:hint="eastAsia" w:ascii="Times New Roman" w:hAnsi="Times New Roman" w:eastAsia="黑体" w:cs="Times New Roman"/>
          <w:color w:val="auto"/>
          <w:sz w:val="32"/>
          <w:szCs w:val="32"/>
          <w:u w:val="none"/>
          <w:lang w:val="zh-CN" w:eastAsia="zh-CN"/>
        </w:rPr>
        <w:t>第一章</w:t>
      </w:r>
      <w:r>
        <w:rPr>
          <w:rStyle w:val="31"/>
          <w:rFonts w:hint="eastAsia" w:ascii="Times New Roman" w:hAnsi="Times New Roman" w:eastAsia="黑体" w:cs="Times New Roman"/>
          <w:color w:val="auto"/>
          <w:sz w:val="32"/>
          <w:szCs w:val="32"/>
          <w:u w:val="none"/>
          <w:lang w:val="zh-CN"/>
        </w:rPr>
        <w:t xml:space="preserve"> “</w:t>
      </w:r>
      <w:r>
        <w:rPr>
          <w:rStyle w:val="31"/>
          <w:rFonts w:hint="eastAsia" w:ascii="Times New Roman" w:hAnsi="Times New Roman" w:eastAsia="黑体" w:cs="Times New Roman"/>
          <w:color w:val="auto"/>
          <w:sz w:val="32"/>
          <w:szCs w:val="32"/>
          <w:u w:val="none"/>
          <w:lang w:val="zh-CN" w:eastAsia="zh-CN"/>
        </w:rPr>
        <w:t>十二五”时期</w:t>
      </w:r>
      <w:r>
        <w:rPr>
          <w:rStyle w:val="31"/>
          <w:rFonts w:hint="eastAsia" w:ascii="Times New Roman" w:hAnsi="Times New Roman" w:eastAsia="黑体" w:cs="Times New Roman"/>
          <w:color w:val="auto"/>
          <w:sz w:val="32"/>
          <w:szCs w:val="32"/>
          <w:u w:val="none"/>
          <w:lang w:val="zh-CN"/>
        </w:rPr>
        <w:t>的</w:t>
      </w:r>
      <w:r>
        <w:rPr>
          <w:rStyle w:val="31"/>
          <w:rFonts w:hint="eastAsia" w:ascii="Times New Roman" w:hAnsi="Times New Roman" w:eastAsia="黑体" w:cs="Times New Roman"/>
          <w:color w:val="auto"/>
          <w:sz w:val="32"/>
          <w:szCs w:val="32"/>
          <w:u w:val="none"/>
          <w:lang w:val="zh-CN" w:eastAsia="zh-CN"/>
        </w:rPr>
        <w:t>发展成就</w:t>
      </w:r>
      <w:bookmarkEnd w:id="3"/>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“十二五”时期，柳东新区贯彻高举建设有中国的特色的伟大旗帜，坚持以科学发展观、</w:t>
      </w:r>
      <w:r>
        <w:rPr>
          <w:rFonts w:hint="eastAsia" w:ascii="仿宋_GB2312" w:hAnsi="Times New Roman" w:eastAsia="仿宋_GB2312" w:cs="Times New Roman"/>
          <w:sz w:val="32"/>
          <w:szCs w:val="32"/>
          <w:lang w:eastAsia="zh-CN"/>
        </w:rPr>
        <w:t>“三个代表”重要思想</w:t>
      </w:r>
      <w:r>
        <w:rPr>
          <w:rFonts w:hint="eastAsia" w:ascii="仿宋_GB2312" w:hAnsi="Times New Roman" w:eastAsia="仿宋_GB2312" w:cs="Times New Roman"/>
          <w:sz w:val="32"/>
          <w:szCs w:val="32"/>
        </w:rPr>
        <w:t>为指导，深入贯彻落实党的十八大和十八届三中、四中、五中全会精神，科学应对国际金融危机带来的困难和挑战，积极完成了“十二五”时期规划提出的目标任务，</w:t>
      </w:r>
      <w:r>
        <w:rPr>
          <w:rFonts w:hint="eastAsia" w:ascii="仿宋_GB2312" w:hAnsi="Times New Roman" w:eastAsia="仿宋_GB2312"/>
          <w:sz w:val="32"/>
          <w:szCs w:val="32"/>
        </w:rPr>
        <w:t>为“十三五”时期发展打下了良好基础</w:t>
      </w:r>
      <w:r>
        <w:rPr>
          <w:rFonts w:hint="eastAsia" w:ascii="仿宋_GB2312" w:hAnsi="Times New Roman" w:eastAsia="仿宋_GB2312" w:cs="Times New Roman"/>
          <w:sz w:val="32"/>
          <w:szCs w:val="32"/>
        </w:rPr>
        <w:t>。</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综合实力稳步提升。</w:t>
      </w:r>
      <w:r>
        <w:rPr>
          <w:rFonts w:hint="eastAsia" w:ascii="仿宋_GB2312" w:hAnsi="Times New Roman" w:eastAsia="仿宋_GB2312"/>
          <w:sz w:val="32"/>
          <w:szCs w:val="32"/>
        </w:rPr>
        <w:t>“十二五”期间，地区生产总值和财政收入稳步增长。</w:t>
      </w:r>
      <w:r>
        <w:rPr>
          <w:rFonts w:hint="eastAsia" w:ascii="仿宋_GB2312" w:hAnsi="Times New Roman" w:eastAsia="仿宋_GB2312" w:cs="Times New Roman"/>
          <w:sz w:val="32"/>
          <w:szCs w:val="32"/>
        </w:rPr>
        <w:t>在当前新业态、新模式及宏观经济下行压力等形势下，柳东新区经济综合实力仍有稳步提升。</w:t>
      </w:r>
      <w:r>
        <w:rPr>
          <w:rFonts w:ascii="仿宋_GB2312" w:hAnsi="Times New Roman" w:eastAsia="仿宋_GB2312" w:cs="Times New Roman"/>
          <w:sz w:val="32"/>
          <w:szCs w:val="32"/>
        </w:rPr>
        <w:t>2014</w:t>
      </w:r>
      <w:r>
        <w:rPr>
          <w:rFonts w:hint="eastAsia" w:ascii="仿宋_GB2312" w:hAnsi="Times New Roman" w:eastAsia="仿宋_GB2312" w:cs="Times New Roman"/>
          <w:sz w:val="32"/>
          <w:szCs w:val="32"/>
        </w:rPr>
        <w:t>年，柳东新区实现财政总收入</w:t>
      </w:r>
      <w:r>
        <w:rPr>
          <w:rFonts w:ascii="仿宋_GB2312" w:hAnsi="Times New Roman" w:eastAsia="仿宋_GB2312" w:cs="Times New Roman"/>
          <w:sz w:val="32"/>
          <w:szCs w:val="32"/>
        </w:rPr>
        <w:t>18.6</w:t>
      </w:r>
      <w:r>
        <w:rPr>
          <w:rFonts w:hint="eastAsia" w:ascii="仿宋_GB2312" w:hAnsi="Times New Roman" w:eastAsia="仿宋_GB2312" w:cs="Times New Roman"/>
          <w:sz w:val="32"/>
          <w:szCs w:val="32"/>
        </w:rPr>
        <w:t>亿元，年均增长</w:t>
      </w:r>
      <w:r>
        <w:rPr>
          <w:rFonts w:ascii="仿宋_GB2312" w:hAnsi="Times New Roman" w:eastAsia="仿宋_GB2312" w:cs="Times New Roman"/>
          <w:sz w:val="32"/>
          <w:szCs w:val="32"/>
        </w:rPr>
        <w:t>38%</w:t>
      </w:r>
      <w:r>
        <w:rPr>
          <w:rFonts w:hint="eastAsia" w:ascii="仿宋_GB2312" w:hAnsi="Times New Roman" w:eastAsia="仿宋_GB2312" w:cs="Times New Roman"/>
          <w:sz w:val="32"/>
          <w:szCs w:val="32"/>
        </w:rPr>
        <w:t>，彰显了柳东新区的经济实力。</w:t>
      </w:r>
      <w:r>
        <w:rPr>
          <w:rFonts w:ascii="仿宋_GB2312" w:hAnsi="Times New Roman" w:eastAsia="仿宋_GB2312" w:cs="Times New Roman"/>
          <w:sz w:val="32"/>
          <w:szCs w:val="32"/>
        </w:rPr>
        <w:t>2014</w:t>
      </w:r>
      <w:r>
        <w:rPr>
          <w:rFonts w:hint="eastAsia" w:ascii="仿宋_GB2312" w:hAnsi="Times New Roman" w:eastAsia="仿宋_GB2312" w:cs="Times New Roman"/>
          <w:sz w:val="32"/>
          <w:szCs w:val="32"/>
        </w:rPr>
        <w:t>年柳东新区规模以上工业企业总产值为</w:t>
      </w:r>
      <w:r>
        <w:rPr>
          <w:rFonts w:ascii="仿宋_GB2312" w:hAnsi="Times New Roman" w:eastAsia="仿宋_GB2312" w:cs="Times New Roman"/>
          <w:sz w:val="32"/>
          <w:szCs w:val="32"/>
        </w:rPr>
        <w:t>503.9</w:t>
      </w:r>
      <w:r>
        <w:rPr>
          <w:rFonts w:hint="eastAsia" w:ascii="仿宋_GB2312" w:hAnsi="Times New Roman" w:eastAsia="仿宋_GB2312" w:cs="Times New Roman"/>
          <w:sz w:val="32"/>
          <w:szCs w:val="32"/>
        </w:rPr>
        <w:t>亿元，同比增长</w:t>
      </w:r>
      <w:r>
        <w:rPr>
          <w:rFonts w:ascii="仿宋_GB2312" w:hAnsi="Times New Roman" w:eastAsia="仿宋_GB2312" w:cs="Times New Roman"/>
          <w:sz w:val="32"/>
          <w:szCs w:val="32"/>
        </w:rPr>
        <w:t>46%</w:t>
      </w:r>
      <w:r>
        <w:rPr>
          <w:rFonts w:hint="eastAsia" w:ascii="仿宋_GB2312" w:hAnsi="Times New Roman" w:eastAsia="仿宋_GB2312" w:cs="Times New Roman"/>
          <w:sz w:val="32"/>
          <w:szCs w:val="32"/>
        </w:rPr>
        <w:t>，年均增速达</w:t>
      </w:r>
      <w:r>
        <w:rPr>
          <w:rFonts w:ascii="仿宋_GB2312" w:hAnsi="Times New Roman" w:eastAsia="仿宋_GB2312" w:cs="Times New Roman"/>
          <w:sz w:val="32"/>
          <w:szCs w:val="32"/>
        </w:rPr>
        <w:t>47%</w:t>
      </w:r>
      <w:r>
        <w:rPr>
          <w:rFonts w:hint="eastAsia" w:ascii="仿宋_GB2312" w:hAnsi="Times New Roman" w:eastAsia="仿宋_GB2312" w:cs="Times New Roman"/>
          <w:sz w:val="32"/>
          <w:szCs w:val="32"/>
        </w:rPr>
        <w:t>。</w:t>
      </w:r>
      <w:r>
        <w:rPr>
          <w:rFonts w:hint="eastAsia" w:ascii="仿宋_GB2312" w:hAnsi="Times New Roman" w:eastAsia="仿宋_GB2312"/>
          <w:sz w:val="32"/>
          <w:szCs w:val="32"/>
        </w:rPr>
        <w:t>投资与消费拉动经济的作用日益凸显，2014年固定资产投资</w:t>
      </w:r>
      <w:r>
        <w:rPr>
          <w:rFonts w:ascii="Times New Roman" w:hAnsi="Times New Roman" w:cs="Times New Roman"/>
        </w:rPr>
        <w:t>262</w:t>
      </w:r>
      <w:r>
        <w:rPr>
          <w:rFonts w:ascii="仿宋_GB2312" w:hAnsi="Times New Roman" w:eastAsia="仿宋_GB2312" w:cs="Times New Roman"/>
          <w:sz w:val="32"/>
          <w:szCs w:val="32"/>
        </w:rPr>
        <w:t>.7</w:t>
      </w:r>
      <w:r>
        <w:rPr>
          <w:rFonts w:hint="eastAsia" w:ascii="仿宋_GB2312" w:hAnsi="Times New Roman" w:eastAsia="仿宋_GB2312" w:cs="Times New Roman"/>
          <w:sz w:val="32"/>
          <w:szCs w:val="32"/>
        </w:rPr>
        <w:t>亿元，</w:t>
      </w:r>
      <w:r>
        <w:rPr>
          <w:rFonts w:ascii="仿宋_GB2312" w:hAnsi="Times New Roman" w:eastAsia="仿宋_GB2312" w:cs="Times New Roman"/>
          <w:sz w:val="32"/>
          <w:szCs w:val="32"/>
        </w:rPr>
        <w:t>年均增长率达10%</w:t>
      </w:r>
      <w:r>
        <w:rPr>
          <w:rFonts w:hint="eastAsia" w:ascii="仿宋_GB2312" w:hAnsi="Times New Roman" w:eastAsia="仿宋_GB2312" w:cs="Times New Roman"/>
          <w:sz w:val="32"/>
          <w:szCs w:val="32"/>
        </w:rPr>
        <w:t>。柳东新区作为柳州市</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一心两城</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发展战略重点之一，在推进构建产业新城方面展现了极大的发展潜力。</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创新能力明显升级。</w:t>
      </w:r>
      <w:r>
        <w:rPr>
          <w:rFonts w:hint="eastAsia" w:ascii="仿宋_GB2312" w:hAnsi="Times New Roman" w:eastAsia="仿宋_GB2312"/>
          <w:sz w:val="32"/>
          <w:szCs w:val="32"/>
        </w:rPr>
        <w:t>创新驱动发展战略深入实施，科技创新成为推进产业调整升级和发展方式转变的重要支撑。上汽通用五菱造型中心落成启用，标志着柳州市具备了整车完全自主研发能力，“宝骏”汽车成功上市，东风柳汽景逸SUV填补广西空白。科技创新促进产业升级步伐加快，信息化和工业化融合进一步加深。</w:t>
      </w:r>
      <w:r>
        <w:rPr>
          <w:rFonts w:hint="eastAsia" w:ascii="仿宋_GB2312" w:hAnsi="Times New Roman" w:eastAsia="仿宋_GB2312" w:cs="Times New Roman"/>
          <w:sz w:val="32"/>
          <w:szCs w:val="32"/>
        </w:rPr>
        <w:t>科技投入逐年增大，</w:t>
      </w:r>
      <w:r>
        <w:rPr>
          <w:rFonts w:ascii="仿宋_GB2312" w:hAnsi="Times New Roman" w:eastAsia="仿宋_GB2312" w:cs="Times New Roman"/>
          <w:sz w:val="32"/>
          <w:szCs w:val="32"/>
        </w:rPr>
        <w:t>2014</w:t>
      </w:r>
      <w:r>
        <w:rPr>
          <w:rFonts w:hint="eastAsia" w:ascii="仿宋_GB2312" w:hAnsi="Times New Roman" w:eastAsia="仿宋_GB2312" w:cs="Times New Roman"/>
          <w:sz w:val="32"/>
          <w:szCs w:val="32"/>
        </w:rPr>
        <w:t>年年增长率达</w:t>
      </w:r>
      <w:r>
        <w:rPr>
          <w:rFonts w:ascii="仿宋_GB2312" w:hAnsi="Times New Roman" w:eastAsia="仿宋_GB2312" w:cs="Times New Roman"/>
          <w:sz w:val="32"/>
          <w:szCs w:val="32"/>
        </w:rPr>
        <w:t>45%</w:t>
      </w:r>
      <w:r>
        <w:rPr>
          <w:rFonts w:hint="eastAsia" w:ascii="仿宋_GB2312" w:hAnsi="Times New Roman" w:eastAsia="仿宋_GB2312" w:cs="Times New Roman"/>
          <w:sz w:val="32"/>
          <w:szCs w:val="32"/>
        </w:rPr>
        <w:t>。知识产权环境逐渐完善，企业技术创新和人才培养取得突破进展，</w:t>
      </w:r>
      <w:r>
        <w:rPr>
          <w:rFonts w:ascii="仿宋_GB2312" w:hAnsi="Times New Roman" w:eastAsia="仿宋_GB2312" w:cs="Times New Roman"/>
          <w:sz w:val="32"/>
          <w:szCs w:val="32"/>
        </w:rPr>
        <w:t>2014</w:t>
      </w:r>
      <w:r>
        <w:rPr>
          <w:rFonts w:hint="eastAsia" w:ascii="仿宋_GB2312" w:hAnsi="Times New Roman" w:eastAsia="仿宋_GB2312" w:cs="Times New Roman"/>
          <w:sz w:val="32"/>
          <w:szCs w:val="32"/>
        </w:rPr>
        <w:t>年全年发明专利申请</w:t>
      </w:r>
      <w:r>
        <w:rPr>
          <w:rFonts w:ascii="仿宋_GB2312" w:hAnsi="Times New Roman" w:eastAsia="仿宋_GB2312" w:cs="Times New Roman"/>
          <w:sz w:val="32"/>
          <w:szCs w:val="32"/>
        </w:rPr>
        <w:t>679</w:t>
      </w:r>
      <w:r>
        <w:rPr>
          <w:rFonts w:hint="eastAsia" w:ascii="仿宋_GB2312" w:hAnsi="Times New Roman" w:eastAsia="仿宋_GB2312" w:cs="Times New Roman"/>
          <w:sz w:val="32"/>
          <w:szCs w:val="32"/>
        </w:rPr>
        <w:t>件，同比增长</w:t>
      </w:r>
      <w:r>
        <w:rPr>
          <w:rFonts w:ascii="仿宋_GB2312" w:hAnsi="Times New Roman" w:eastAsia="仿宋_GB2312" w:cs="Times New Roman"/>
          <w:sz w:val="32"/>
          <w:szCs w:val="32"/>
        </w:rPr>
        <w:t>25%</w:t>
      </w:r>
      <w:r>
        <w:rPr>
          <w:rFonts w:hint="eastAsia" w:ascii="仿宋_GB2312" w:hAnsi="Times New Roman" w:eastAsia="仿宋_GB2312" w:cs="Times New Roman"/>
          <w:sz w:val="32"/>
          <w:szCs w:val="32"/>
        </w:rPr>
        <w:t>，发明专利授权</w:t>
      </w:r>
      <w:r>
        <w:rPr>
          <w:rFonts w:ascii="仿宋_GB2312" w:hAnsi="Times New Roman" w:eastAsia="仿宋_GB2312" w:cs="Times New Roman"/>
          <w:sz w:val="32"/>
          <w:szCs w:val="32"/>
        </w:rPr>
        <w:t>121</w:t>
      </w:r>
      <w:r>
        <w:rPr>
          <w:rFonts w:hint="eastAsia" w:ascii="仿宋_GB2312" w:hAnsi="Times New Roman" w:eastAsia="仿宋_GB2312" w:cs="Times New Roman"/>
          <w:sz w:val="32"/>
          <w:szCs w:val="32"/>
        </w:rPr>
        <w:t>件，同比增长</w:t>
      </w:r>
      <w:r>
        <w:rPr>
          <w:rFonts w:ascii="仿宋_GB2312" w:hAnsi="Times New Roman" w:eastAsia="仿宋_GB2312" w:cs="Times New Roman"/>
          <w:sz w:val="32"/>
          <w:szCs w:val="32"/>
        </w:rPr>
        <w:t xml:space="preserve">89% </w:t>
      </w:r>
      <w:r>
        <w:rPr>
          <w:rFonts w:hint="eastAsia" w:ascii="仿宋_GB2312" w:hAnsi="Times New Roman" w:eastAsia="仿宋_GB2312" w:cs="Times New Roman"/>
          <w:sz w:val="32"/>
          <w:szCs w:val="32"/>
        </w:rPr>
        <w:t>。科技引领效果显著，</w:t>
      </w:r>
      <w:r>
        <w:rPr>
          <w:rFonts w:ascii="仿宋_GB2312" w:hAnsi="Times New Roman" w:eastAsia="仿宋_GB2312" w:cs="Times New Roman"/>
          <w:sz w:val="32"/>
          <w:szCs w:val="32"/>
        </w:rPr>
        <w:t>2014</w:t>
      </w:r>
      <w:r>
        <w:rPr>
          <w:rFonts w:hint="eastAsia" w:ascii="仿宋_GB2312" w:hAnsi="Times New Roman" w:eastAsia="仿宋_GB2312" w:cs="Times New Roman"/>
          <w:sz w:val="32"/>
          <w:szCs w:val="32"/>
        </w:rPr>
        <w:t>年新认定国家级高新技术企业</w:t>
      </w:r>
      <w:r>
        <w:rPr>
          <w:rFonts w:ascii="仿宋_GB2312" w:hAnsi="Times New Roman" w:eastAsia="仿宋_GB2312" w:cs="Times New Roman"/>
          <w:sz w:val="32"/>
          <w:szCs w:val="32"/>
        </w:rPr>
        <w:t>18</w:t>
      </w:r>
      <w:r>
        <w:rPr>
          <w:rFonts w:hint="eastAsia" w:ascii="仿宋_GB2312" w:hAnsi="Times New Roman" w:eastAsia="仿宋_GB2312" w:cs="Times New Roman"/>
          <w:sz w:val="32"/>
          <w:szCs w:val="32"/>
        </w:rPr>
        <w:t>家，全区总数达</w:t>
      </w:r>
      <w:r>
        <w:rPr>
          <w:rFonts w:ascii="仿宋_GB2312" w:hAnsi="Times New Roman" w:eastAsia="仿宋_GB2312" w:cs="Times New Roman"/>
          <w:sz w:val="32"/>
          <w:szCs w:val="32"/>
        </w:rPr>
        <w:t>145</w:t>
      </w:r>
      <w:r>
        <w:rPr>
          <w:rFonts w:hint="eastAsia" w:ascii="仿宋_GB2312" w:hAnsi="Times New Roman" w:eastAsia="仿宋_GB2312" w:cs="Times New Roman"/>
          <w:sz w:val="32"/>
          <w:szCs w:val="32"/>
        </w:rPr>
        <w:t>家，占全市</w:t>
      </w:r>
      <w:r>
        <w:rPr>
          <w:rFonts w:ascii="仿宋_GB2312" w:hAnsi="Times New Roman" w:eastAsia="仿宋_GB2312" w:cs="Times New Roman"/>
          <w:sz w:val="32"/>
          <w:szCs w:val="32"/>
        </w:rPr>
        <w:t>12%</w:t>
      </w:r>
      <w:r>
        <w:rPr>
          <w:rFonts w:hint="eastAsia" w:ascii="仿宋_GB2312" w:hAnsi="Times New Roman" w:eastAsia="仿宋_GB2312" w:cs="Times New Roman"/>
          <w:sz w:val="32"/>
          <w:szCs w:val="32"/>
        </w:rPr>
        <w:t>。人才支撑取得突破进展，职教园区建设逐步完善。</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基础建设有序进行。</w:t>
      </w:r>
      <w:r>
        <w:rPr>
          <w:rFonts w:hint="eastAsia" w:ascii="仿宋_GB2312" w:hAnsi="Times New Roman" w:eastAsia="仿宋_GB2312" w:cs="Times New Roman"/>
          <w:sz w:val="32"/>
          <w:szCs w:val="32"/>
        </w:rPr>
        <w:t>新区</w:t>
      </w:r>
      <w:r>
        <w:rPr>
          <w:rFonts w:hint="eastAsia" w:ascii="仿宋_GB2312" w:hAnsi="Times New Roman" w:eastAsia="仿宋_GB2312"/>
          <w:sz w:val="32"/>
          <w:szCs w:val="32"/>
        </w:rPr>
        <w:t>功能不断强化，城市综合承载力明显提高。</w:t>
      </w:r>
      <w:r>
        <w:rPr>
          <w:rFonts w:hint="eastAsia" w:ascii="仿宋_GB2312" w:hAnsi="Times New Roman" w:eastAsia="仿宋_GB2312" w:cs="Times New Roman"/>
          <w:sz w:val="32"/>
          <w:szCs w:val="32"/>
        </w:rPr>
        <w:t>城市路网逐渐成型，内部交通逐渐优化，片区路网初见雏形。物流港口建设稳步推进，柳州港官塘作业区一期、柳州国家公路运输枢纽柳东物流中心等项目有序进行。主导产业链构建逐步完善，东风柳汽、通用五菱等整车厂前期已经落地，相关汽车配件厂陆续建成。供电、供水、污水处理等综合服务能力同步得到大幅提升。</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对外形象逐渐凸显。</w:t>
      </w:r>
      <w:r>
        <w:rPr>
          <w:rFonts w:hint="eastAsia" w:ascii="仿宋_GB2312" w:hAnsi="Times New Roman" w:eastAsia="仿宋_GB2312" w:cs="Times New Roman"/>
          <w:sz w:val="32"/>
          <w:szCs w:val="32"/>
        </w:rPr>
        <w:t>建成园博园等新区美化项目，持续完善道路绿化，并在开发过程中对山体林地保育，新区生态环境持续好转。开展各类环保整治专项行动，大力实施绿化工程，实行都市化管理，持续优化生产生活环境。</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民生事业明显提升。</w:t>
      </w:r>
      <w:r>
        <w:rPr>
          <w:rFonts w:hint="eastAsia" w:ascii="仿宋_GB2312" w:hAnsi="Times New Roman" w:eastAsia="仿宋_GB2312"/>
          <w:sz w:val="32"/>
          <w:szCs w:val="32"/>
        </w:rPr>
        <w:t>坚持以人为本，民生领域投入不断加大。持续实施为民办实事项目，为民办实事的长效机制初步建立。教育、医疗卫生、民政、人口计生、文化体育、公共交通、社会保障等公共服务实现跨越式发展。全面实施社会保障工程，努力实现养老保障城乡全覆盖；实施学前教育三年行动、职教园区服务大柳州等系列计划；加强卫生基础设施建设，改善就医条件；加快村级公共服务中心和社区文化活动中心建设，为基层提供文化活动阵地；有效落实养老事业扶持政策，提高高龄老人补贴标准，扩大普惠范围。社会发展综合水平位居柳州前列。</w:t>
      </w:r>
      <w:r>
        <w:rPr>
          <w:rFonts w:hint="eastAsia" w:ascii="仿宋_GB2312" w:hAnsi="Times New Roman" w:eastAsia="仿宋_GB2312" w:cs="Times New Roman"/>
          <w:sz w:val="32"/>
          <w:szCs w:val="32"/>
        </w:rPr>
        <w:t>社会保障体系逐渐完善，人民生活显著提高，就业规模逐渐扩大，城乡设施逐步完善，城乡统筹取得突破进展。雒容镇和洛埠镇农村基础设施建设逐步完善，</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村村通</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硬化道路、给水工程、改善小型农田水利等重要基础设施逐步建设。农村卫生环境和城乡风貌有效改善。大力开展</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美丽乡村</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建设，并取得一定成效。</w:t>
      </w:r>
    </w:p>
    <w:p>
      <w:pPr>
        <w:spacing w:line="600" w:lineRule="exact"/>
        <w:ind w:firstLine="643" w:firstLineChars="200"/>
        <w:rPr>
          <w:rFonts w:ascii="Times New Roman" w:hAnsi="Times New Roman" w:eastAsia="仿宋_GB2312"/>
          <w:b/>
          <w:sz w:val="32"/>
          <w:szCs w:val="32"/>
        </w:rPr>
      </w:pPr>
      <w:r>
        <w:rPr>
          <w:rFonts w:hint="eastAsia" w:ascii="仿宋_GB2312" w:hAnsi="Times New Roman" w:eastAsia="仿宋_GB2312"/>
          <w:b/>
          <w:kern w:val="0"/>
          <w:sz w:val="32"/>
          <w:szCs w:val="32"/>
        </w:rPr>
        <w:t>社会保持稳定和谐。</w:t>
      </w:r>
      <w:r>
        <w:rPr>
          <w:rFonts w:hint="eastAsia" w:ascii="仿宋_GB2312" w:hAnsi="Times New Roman" w:eastAsia="仿宋_GB2312"/>
          <w:sz w:val="32"/>
          <w:szCs w:val="32"/>
        </w:rPr>
        <w:t>依法治区有序推进，人民群众安全感显著增强，社会大局保持和谐稳定。深入推进“平安柳东”建设，严格落实维稳工作责任制，不断完善四级协调联动的综治信访</w:t>
      </w:r>
      <w:r>
        <w:rPr>
          <w:rFonts w:hint="eastAsia" w:ascii="仿宋_GB2312" w:hAnsi="Times New Roman" w:eastAsia="仿宋_GB2312"/>
          <w:kern w:val="0"/>
          <w:sz w:val="32"/>
          <w:szCs w:val="32"/>
        </w:rPr>
        <w:t>维稳网络。应急管理、突发公共事件处置能力进一步提升。强化公共安全，狠抓安全生产和食品药品安全监管，道路交通、火灾事故损失逐年下降。民主法制全面加强，大力发展基层民主，强化社会自治功能，扩大公民有序政治参与，</w:t>
      </w:r>
      <w:r>
        <w:rPr>
          <w:rFonts w:hint="eastAsia" w:ascii="仿宋_GB2312" w:hAnsi="Times New Roman" w:eastAsia="仿宋_GB2312"/>
          <w:bCs/>
          <w:kern w:val="0"/>
          <w:sz w:val="32"/>
          <w:szCs w:val="32"/>
        </w:rPr>
        <w:t>法治政府全面推进</w:t>
      </w:r>
      <w:r>
        <w:rPr>
          <w:rFonts w:hint="eastAsia" w:ascii="仿宋_GB2312" w:hAnsi="Times New Roman" w:eastAsia="仿宋_GB2312"/>
          <w:kern w:val="0"/>
          <w:sz w:val="32"/>
          <w:szCs w:val="32"/>
        </w:rPr>
        <w:t>。普法宣传深入开展，全社会法治观念日益增强，依法行政、公正司法成效明显。执法行为日益规范，率先完成执法主体、</w:t>
      </w:r>
      <w:r>
        <w:rPr>
          <w:rFonts w:hint="eastAsia" w:ascii="仿宋_GB2312" w:hAnsi="Times New Roman" w:eastAsia="仿宋_GB2312"/>
          <w:bCs/>
          <w:kern w:val="0"/>
          <w:sz w:val="32"/>
          <w:szCs w:val="32"/>
        </w:rPr>
        <w:t>职权、依据梳理工作。</w:t>
      </w:r>
      <w:r>
        <w:rPr>
          <w:rFonts w:hint="eastAsia" w:ascii="仿宋_GB2312" w:hAnsi="Times New Roman" w:eastAsia="仿宋_GB2312"/>
          <w:kern w:val="0"/>
          <w:sz w:val="32"/>
          <w:szCs w:val="32"/>
        </w:rPr>
        <w:t>完善重大行政决策配套制度和程序，建立政府法律顾问室，</w:t>
      </w:r>
      <w:r>
        <w:rPr>
          <w:rFonts w:hint="eastAsia" w:ascii="仿宋_GB2312" w:hAnsi="Times New Roman" w:eastAsia="仿宋_GB2312"/>
          <w:bCs/>
          <w:kern w:val="0"/>
          <w:sz w:val="32"/>
          <w:szCs w:val="32"/>
        </w:rPr>
        <w:t>政务环境不断优化。</w:t>
      </w:r>
    </w:p>
    <w:p>
      <w:pPr>
        <w:spacing w:line="600" w:lineRule="exact"/>
        <w:jc w:val="center"/>
        <w:rPr>
          <w:rFonts w:ascii="仿宋_GB2312" w:hAnsi="Times New Roman" w:eastAsia="仿宋_GB2312"/>
          <w:kern w:val="0"/>
          <w:sz w:val="32"/>
          <w:szCs w:val="32"/>
        </w:rPr>
      </w:pPr>
      <w:r>
        <w:rPr>
          <w:rFonts w:ascii="仿宋_GB2312" w:hAnsi="Times New Roman" w:eastAsia="仿宋_GB2312"/>
          <w:kern w:val="0"/>
          <w:sz w:val="32"/>
          <w:szCs w:val="32"/>
        </w:rPr>
        <w:t>表1： “十二五”规划目标完成情况</w:t>
      </w:r>
    </w:p>
    <w:tbl>
      <w:tblPr>
        <w:tblStyle w:val="27"/>
        <w:tblW w:w="8508" w:type="dxa"/>
        <w:jc w:val="center"/>
        <w:tblLayout w:type="fixed"/>
        <w:tblCellMar>
          <w:top w:w="0" w:type="dxa"/>
          <w:left w:w="108" w:type="dxa"/>
          <w:bottom w:w="0" w:type="dxa"/>
          <w:right w:w="108" w:type="dxa"/>
        </w:tblCellMar>
      </w:tblPr>
      <w:tblGrid>
        <w:gridCol w:w="354"/>
        <w:gridCol w:w="2377"/>
        <w:gridCol w:w="797"/>
        <w:gridCol w:w="1299"/>
        <w:gridCol w:w="722"/>
        <w:gridCol w:w="1375"/>
        <w:gridCol w:w="733"/>
        <w:gridCol w:w="851"/>
      </w:tblGrid>
      <w:tr>
        <w:tblPrEx>
          <w:tblCellMar>
            <w:top w:w="0" w:type="dxa"/>
            <w:left w:w="108" w:type="dxa"/>
            <w:bottom w:w="0" w:type="dxa"/>
            <w:right w:w="108" w:type="dxa"/>
          </w:tblCellMar>
        </w:tblPrEx>
        <w:trPr>
          <w:cantSplit/>
          <w:trHeight w:val="352" w:hRule="atLeast"/>
          <w:jc w:val="center"/>
        </w:trPr>
        <w:tc>
          <w:tcPr>
            <w:tcW w:w="354"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类别</w:t>
            </w:r>
          </w:p>
        </w:tc>
        <w:tc>
          <w:tcPr>
            <w:tcW w:w="2377"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指标名称</w:t>
            </w:r>
          </w:p>
        </w:tc>
        <w:tc>
          <w:tcPr>
            <w:tcW w:w="797"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单位</w:t>
            </w:r>
          </w:p>
        </w:tc>
        <w:tc>
          <w:tcPr>
            <w:tcW w:w="2021" w:type="dxa"/>
            <w:gridSpan w:val="2"/>
            <w:tcBorders>
              <w:top w:val="single" w:color="auto" w:sz="4" w:space="0"/>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“十二五”规划目标</w:t>
            </w:r>
          </w:p>
        </w:tc>
        <w:tc>
          <w:tcPr>
            <w:tcW w:w="2108" w:type="dxa"/>
            <w:gridSpan w:val="2"/>
            <w:tcBorders>
              <w:top w:val="single" w:color="auto" w:sz="4" w:space="0"/>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“十二五”时期完成情况</w:t>
            </w:r>
          </w:p>
        </w:tc>
        <w:tc>
          <w:tcPr>
            <w:tcW w:w="851" w:type="dxa"/>
            <w:vMerge w:val="restart"/>
            <w:tcBorders>
              <w:top w:val="single" w:color="auto" w:sz="4" w:space="0"/>
              <w:left w:val="nil"/>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hint="eastAsia" w:ascii="Times New Roman" w:hAnsi="Times New Roman" w:eastAsia="仿宋_GB2312"/>
                <w:b/>
                <w:kern w:val="0"/>
                <w:sz w:val="18"/>
                <w:szCs w:val="21"/>
              </w:rPr>
              <w:t>属性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79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1299" w:type="dxa"/>
            <w:tcBorders>
              <w:top w:val="nil"/>
              <w:left w:val="nil"/>
              <w:bottom w:val="single" w:color="auto" w:sz="4" w:space="0"/>
              <w:right w:val="single" w:color="auto" w:sz="4" w:space="0"/>
            </w:tcBorders>
            <w:shd w:val="clear" w:color="auto" w:fill="C5E0B3"/>
            <w:vAlign w:val="center"/>
          </w:tcPr>
          <w:p>
            <w:pPr>
              <w:spacing w:line="2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总  量</w:t>
            </w:r>
          </w:p>
        </w:tc>
        <w:tc>
          <w:tcPr>
            <w:tcW w:w="722" w:type="dxa"/>
            <w:tcBorders>
              <w:top w:val="nil"/>
              <w:left w:val="nil"/>
              <w:bottom w:val="single" w:color="auto" w:sz="4" w:space="0"/>
              <w:right w:val="single" w:color="auto" w:sz="4" w:space="0"/>
            </w:tcBorders>
            <w:shd w:val="clear" w:color="auto" w:fill="C5E0B3"/>
            <w:vAlign w:val="center"/>
          </w:tcPr>
          <w:p>
            <w:pPr>
              <w:spacing w:line="2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年均增</w:t>
            </w:r>
            <w:r>
              <w:rPr>
                <w:rFonts w:hint="eastAsia" w:ascii="Times New Roman" w:hAnsi="Times New Roman" w:eastAsia="仿宋_GB2312"/>
                <w:b/>
                <w:kern w:val="0"/>
                <w:sz w:val="18"/>
                <w:szCs w:val="21"/>
              </w:rPr>
              <w:t>长</w:t>
            </w:r>
          </w:p>
        </w:tc>
        <w:tc>
          <w:tcPr>
            <w:tcW w:w="1375" w:type="dxa"/>
            <w:tcBorders>
              <w:top w:val="nil"/>
              <w:left w:val="nil"/>
              <w:bottom w:val="single" w:color="auto" w:sz="4" w:space="0"/>
              <w:right w:val="single" w:color="auto" w:sz="4" w:space="0"/>
            </w:tcBorders>
            <w:shd w:val="clear" w:color="auto" w:fill="C5E0B3"/>
            <w:vAlign w:val="center"/>
          </w:tcPr>
          <w:p>
            <w:pPr>
              <w:spacing w:line="2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2015年预计</w:t>
            </w:r>
          </w:p>
        </w:tc>
        <w:tc>
          <w:tcPr>
            <w:tcW w:w="733" w:type="dxa"/>
            <w:tcBorders>
              <w:top w:val="nil"/>
              <w:left w:val="nil"/>
              <w:bottom w:val="single" w:color="auto" w:sz="4" w:space="0"/>
              <w:right w:val="single" w:color="auto" w:sz="4" w:space="0"/>
            </w:tcBorders>
            <w:shd w:val="clear" w:color="auto" w:fill="C5E0B3"/>
            <w:vAlign w:val="center"/>
          </w:tcPr>
          <w:p>
            <w:pPr>
              <w:spacing w:line="2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年均</w:t>
            </w:r>
          </w:p>
          <w:p>
            <w:pPr>
              <w:spacing w:line="2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增</w:t>
            </w:r>
            <w:r>
              <w:rPr>
                <w:rFonts w:hint="eastAsia" w:ascii="Times New Roman" w:hAnsi="Times New Roman" w:eastAsia="仿宋_GB2312"/>
                <w:b/>
                <w:kern w:val="0"/>
                <w:sz w:val="18"/>
                <w:szCs w:val="21"/>
              </w:rPr>
              <w:t>长</w:t>
            </w:r>
          </w:p>
        </w:tc>
        <w:tc>
          <w:tcPr>
            <w:tcW w:w="851" w:type="dxa"/>
            <w:vMerge w:val="continue"/>
            <w:tcBorders>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p>
        </w:tc>
      </w:tr>
      <w:tr>
        <w:tblPrEx>
          <w:tblCellMar>
            <w:top w:w="0" w:type="dxa"/>
            <w:left w:w="108" w:type="dxa"/>
            <w:bottom w:w="0" w:type="dxa"/>
            <w:right w:w="108" w:type="dxa"/>
          </w:tblCellMar>
        </w:tblPrEx>
        <w:trPr>
          <w:cantSplit/>
          <w:trHeight w:val="567" w:hRule="atLeast"/>
          <w:jc w:val="center"/>
        </w:trPr>
        <w:tc>
          <w:tcPr>
            <w:tcW w:w="354" w:type="dxa"/>
            <w:vMerge w:val="restart"/>
            <w:tcBorders>
              <w:top w:val="nil"/>
              <w:left w:val="single" w:color="auto" w:sz="4" w:space="0"/>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经济增长类</w:t>
            </w: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1.地区生产总值</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亿元</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600</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预期性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nil"/>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2.全部工业总产值</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亿元</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1500</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35.76</w:t>
            </w: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47%</w:t>
            </w: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预期性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nil"/>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3.财政收入</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亿元</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90</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54.15</w:t>
            </w: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38%</w:t>
            </w: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预期性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nil"/>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11.市区建成区面积</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15"/>
              </w:rPr>
            </w:pPr>
            <w:r>
              <w:rPr>
                <w:rFonts w:ascii="Times New Roman" w:hAnsi="Times New Roman" w:eastAsia="仿宋_GB2312"/>
                <w:kern w:val="0"/>
                <w:sz w:val="18"/>
                <w:szCs w:val="15"/>
              </w:rPr>
              <w:t>平方</w:t>
            </w:r>
          </w:p>
          <w:p>
            <w:pPr>
              <w:spacing w:line="300" w:lineRule="exact"/>
              <w:jc w:val="center"/>
              <w:rPr>
                <w:rFonts w:ascii="Times New Roman" w:hAnsi="Times New Roman" w:eastAsia="仿宋_GB2312"/>
                <w:kern w:val="0"/>
                <w:sz w:val="18"/>
                <w:szCs w:val="15"/>
              </w:rPr>
            </w:pPr>
            <w:r>
              <w:rPr>
                <w:rFonts w:ascii="Times New Roman" w:hAnsi="Times New Roman" w:eastAsia="仿宋_GB2312"/>
                <w:kern w:val="0"/>
                <w:sz w:val="18"/>
                <w:szCs w:val="15"/>
              </w:rPr>
              <w:t>公里</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30</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18"/>
              </w:rPr>
            </w:pP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预期性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nil"/>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12.常住人口</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万人</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30</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预期性</w:t>
            </w:r>
          </w:p>
        </w:tc>
      </w:tr>
      <w:tr>
        <w:tblPrEx>
          <w:tblCellMar>
            <w:top w:w="0" w:type="dxa"/>
            <w:left w:w="108" w:type="dxa"/>
            <w:bottom w:w="0" w:type="dxa"/>
            <w:right w:w="108" w:type="dxa"/>
          </w:tblCellMar>
        </w:tblPrEx>
        <w:trPr>
          <w:cantSplit/>
          <w:trHeight w:val="567" w:hRule="atLeast"/>
          <w:jc w:val="center"/>
        </w:trPr>
        <w:tc>
          <w:tcPr>
            <w:tcW w:w="354" w:type="dxa"/>
            <w:vMerge w:val="restart"/>
            <w:tcBorders>
              <w:top w:val="nil"/>
              <w:left w:val="single" w:color="auto" w:sz="4" w:space="0"/>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b/>
                <w:kern w:val="0"/>
                <w:sz w:val="18"/>
                <w:szCs w:val="21"/>
              </w:rPr>
            </w:pPr>
            <w:r>
              <w:rPr>
                <w:rFonts w:ascii="Times New Roman" w:hAnsi="Times New Roman" w:eastAsia="仿宋_GB2312"/>
                <w:b/>
                <w:kern w:val="0"/>
                <w:sz w:val="18"/>
                <w:szCs w:val="21"/>
              </w:rPr>
              <w:t>生态环境类</w:t>
            </w: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17.单位地区生产总值能耗</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吨标煤</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控制在</w:t>
            </w:r>
            <w:r>
              <w:rPr>
                <w:rFonts w:hint="eastAsia" w:ascii="Times New Roman" w:hAnsi="Times New Roman" w:eastAsia="仿宋_GB2312"/>
                <w:kern w:val="0"/>
                <w:sz w:val="18"/>
                <w:szCs w:val="21"/>
              </w:rPr>
              <w:t>柳州</w:t>
            </w:r>
            <w:r>
              <w:rPr>
                <w:rFonts w:ascii="Times New Roman" w:hAnsi="Times New Roman" w:eastAsia="仿宋_GB2312"/>
                <w:kern w:val="0"/>
                <w:sz w:val="18"/>
                <w:szCs w:val="21"/>
              </w:rPr>
              <w:t>下达指标内</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控制在</w:t>
            </w:r>
            <w:r>
              <w:rPr>
                <w:rFonts w:hint="eastAsia" w:ascii="Times New Roman" w:hAnsi="Times New Roman" w:eastAsia="仿宋_GB2312"/>
                <w:kern w:val="0"/>
                <w:sz w:val="18"/>
                <w:szCs w:val="21"/>
              </w:rPr>
              <w:t>柳州</w:t>
            </w:r>
            <w:r>
              <w:rPr>
                <w:rFonts w:ascii="Times New Roman" w:hAnsi="Times New Roman" w:eastAsia="仿宋_GB2312"/>
                <w:kern w:val="0"/>
                <w:sz w:val="18"/>
                <w:szCs w:val="21"/>
              </w:rPr>
              <w:t>下达指标内</w:t>
            </w: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约束性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nil"/>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18.二氧化硫排放总量</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控制在</w:t>
            </w:r>
            <w:r>
              <w:rPr>
                <w:rFonts w:hint="eastAsia" w:ascii="Times New Roman" w:hAnsi="Times New Roman" w:eastAsia="仿宋_GB2312"/>
                <w:kern w:val="0"/>
                <w:sz w:val="18"/>
                <w:szCs w:val="21"/>
              </w:rPr>
              <w:t>柳州</w:t>
            </w:r>
            <w:r>
              <w:rPr>
                <w:rFonts w:ascii="Times New Roman" w:hAnsi="Times New Roman" w:eastAsia="仿宋_GB2312"/>
                <w:kern w:val="0"/>
                <w:sz w:val="18"/>
                <w:szCs w:val="21"/>
              </w:rPr>
              <w:t>下达指标内</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控制在</w:t>
            </w:r>
            <w:r>
              <w:rPr>
                <w:rFonts w:hint="eastAsia" w:ascii="Times New Roman" w:hAnsi="Times New Roman" w:eastAsia="仿宋_GB2312"/>
                <w:kern w:val="0"/>
                <w:sz w:val="18"/>
                <w:szCs w:val="21"/>
              </w:rPr>
              <w:t>柳州</w:t>
            </w:r>
            <w:r>
              <w:rPr>
                <w:rFonts w:ascii="Times New Roman" w:hAnsi="Times New Roman" w:eastAsia="仿宋_GB2312"/>
                <w:kern w:val="0"/>
                <w:sz w:val="18"/>
                <w:szCs w:val="21"/>
              </w:rPr>
              <w:t>下达指标内</w:t>
            </w: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约束性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nil"/>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19.化学需氧量排放总量</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控制在</w:t>
            </w:r>
            <w:r>
              <w:rPr>
                <w:rFonts w:hint="eastAsia" w:ascii="Times New Roman" w:hAnsi="Times New Roman" w:eastAsia="仿宋_GB2312"/>
                <w:kern w:val="0"/>
                <w:sz w:val="18"/>
                <w:szCs w:val="21"/>
              </w:rPr>
              <w:t>柳州</w:t>
            </w:r>
            <w:r>
              <w:rPr>
                <w:rFonts w:ascii="Times New Roman" w:hAnsi="Times New Roman" w:eastAsia="仿宋_GB2312"/>
                <w:kern w:val="0"/>
                <w:sz w:val="18"/>
                <w:szCs w:val="21"/>
              </w:rPr>
              <w:t>下达指标内</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控制在</w:t>
            </w:r>
            <w:r>
              <w:rPr>
                <w:rFonts w:hint="eastAsia" w:ascii="Times New Roman" w:hAnsi="Times New Roman" w:eastAsia="仿宋_GB2312"/>
                <w:kern w:val="0"/>
                <w:sz w:val="18"/>
                <w:szCs w:val="21"/>
              </w:rPr>
              <w:t>柳州</w:t>
            </w:r>
            <w:r>
              <w:rPr>
                <w:rFonts w:ascii="Times New Roman" w:hAnsi="Times New Roman" w:eastAsia="仿宋_GB2312"/>
                <w:kern w:val="0"/>
                <w:sz w:val="18"/>
                <w:szCs w:val="21"/>
              </w:rPr>
              <w:t>下达指标内</w:t>
            </w: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约束性</w:t>
            </w:r>
          </w:p>
        </w:tc>
      </w:tr>
      <w:tr>
        <w:tblPrEx>
          <w:tblCellMar>
            <w:top w:w="0" w:type="dxa"/>
            <w:left w:w="108" w:type="dxa"/>
            <w:bottom w:w="0" w:type="dxa"/>
            <w:right w:w="108" w:type="dxa"/>
          </w:tblCellMar>
        </w:tblPrEx>
        <w:trPr>
          <w:cantSplit/>
          <w:trHeight w:val="567" w:hRule="atLeast"/>
          <w:jc w:val="center"/>
        </w:trPr>
        <w:tc>
          <w:tcPr>
            <w:tcW w:w="354" w:type="dxa"/>
            <w:vMerge w:val="continue"/>
            <w:tcBorders>
              <w:top w:val="nil"/>
              <w:left w:val="single" w:color="auto" w:sz="4" w:space="0"/>
              <w:bottom w:val="single" w:color="auto" w:sz="4" w:space="0"/>
              <w:right w:val="single" w:color="auto" w:sz="4" w:space="0"/>
            </w:tcBorders>
            <w:shd w:val="clear" w:color="auto" w:fill="C5E0B3"/>
            <w:vAlign w:val="center"/>
          </w:tcPr>
          <w:p>
            <w:pPr>
              <w:widowControl/>
              <w:spacing w:line="300" w:lineRule="exact"/>
              <w:jc w:val="left"/>
              <w:rPr>
                <w:rFonts w:ascii="Times New Roman" w:hAnsi="Times New Roman" w:eastAsia="仿宋_GB2312"/>
                <w:b/>
                <w:kern w:val="0"/>
                <w:sz w:val="18"/>
                <w:szCs w:val="21"/>
              </w:rPr>
            </w:pPr>
          </w:p>
        </w:tc>
        <w:tc>
          <w:tcPr>
            <w:tcW w:w="2377" w:type="dxa"/>
            <w:tcBorders>
              <w:top w:val="nil"/>
              <w:left w:val="single" w:color="auto" w:sz="4" w:space="0"/>
              <w:bottom w:val="single" w:color="auto" w:sz="4" w:space="0"/>
              <w:right w:val="single" w:color="auto" w:sz="4" w:space="0"/>
            </w:tcBorders>
            <w:shd w:val="clear" w:color="auto" w:fill="C5E0B3"/>
            <w:vAlign w:val="center"/>
          </w:tcPr>
          <w:p>
            <w:pPr>
              <w:spacing w:line="300" w:lineRule="exact"/>
              <w:rPr>
                <w:rFonts w:ascii="Times New Roman" w:hAnsi="Times New Roman" w:eastAsia="仿宋_GB2312"/>
                <w:kern w:val="0"/>
                <w:sz w:val="18"/>
                <w:szCs w:val="21"/>
              </w:rPr>
            </w:pPr>
            <w:r>
              <w:rPr>
                <w:rFonts w:ascii="Times New Roman" w:hAnsi="Times New Roman" w:eastAsia="仿宋_GB2312"/>
                <w:kern w:val="0"/>
                <w:sz w:val="18"/>
                <w:szCs w:val="21"/>
              </w:rPr>
              <w:t>20.建成区绿化覆盖率</w:t>
            </w:r>
          </w:p>
        </w:tc>
        <w:tc>
          <w:tcPr>
            <w:tcW w:w="797"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w:t>
            </w:r>
          </w:p>
        </w:tc>
        <w:tc>
          <w:tcPr>
            <w:tcW w:w="1299"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hint="eastAsia" w:ascii="Times New Roman" w:hAnsi="Times New Roman" w:eastAsia="仿宋_GB2312"/>
                <w:kern w:val="0"/>
                <w:sz w:val="18"/>
                <w:szCs w:val="21"/>
              </w:rPr>
              <w:t>35</w:t>
            </w:r>
          </w:p>
        </w:tc>
        <w:tc>
          <w:tcPr>
            <w:tcW w:w="722"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1375"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733"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p>
        </w:tc>
        <w:tc>
          <w:tcPr>
            <w:tcW w:w="851" w:type="dxa"/>
            <w:tcBorders>
              <w:top w:val="nil"/>
              <w:left w:val="nil"/>
              <w:bottom w:val="single" w:color="auto" w:sz="4" w:space="0"/>
              <w:right w:val="single" w:color="auto" w:sz="4" w:space="0"/>
            </w:tcBorders>
            <w:shd w:val="clear" w:color="auto" w:fill="C5E0B3"/>
            <w:vAlign w:val="center"/>
          </w:tcPr>
          <w:p>
            <w:pPr>
              <w:spacing w:line="300" w:lineRule="exact"/>
              <w:jc w:val="center"/>
              <w:rPr>
                <w:rFonts w:ascii="Times New Roman" w:hAnsi="Times New Roman" w:eastAsia="仿宋_GB2312"/>
                <w:kern w:val="0"/>
                <w:sz w:val="18"/>
                <w:szCs w:val="21"/>
              </w:rPr>
            </w:pPr>
            <w:r>
              <w:rPr>
                <w:rFonts w:ascii="Times New Roman" w:hAnsi="Times New Roman" w:eastAsia="仿宋_GB2312"/>
                <w:kern w:val="0"/>
                <w:sz w:val="18"/>
                <w:szCs w:val="21"/>
              </w:rPr>
              <w:t>预期性</w:t>
            </w:r>
          </w:p>
        </w:tc>
      </w:tr>
    </w:tbl>
    <w:p>
      <w:pPr>
        <w:spacing w:line="600" w:lineRule="exact"/>
        <w:ind w:firstLine="560" w:firstLineChars="200"/>
        <w:rPr>
          <w:rFonts w:ascii="仿宋_GB2312" w:eastAsia="仿宋_GB2312"/>
        </w:rPr>
      </w:pPr>
    </w:p>
    <w:p>
      <w:pPr>
        <w:pStyle w:val="2"/>
        <w:spacing w:before="0" w:after="0" w:line="600" w:lineRule="exact"/>
        <w:jc w:val="center"/>
        <w:rPr>
          <w:rStyle w:val="31"/>
          <w:rFonts w:ascii="Times New Roman" w:hAnsi="Times New Roman" w:eastAsia="黑体" w:cs="Times New Roman"/>
          <w:color w:val="auto"/>
          <w:sz w:val="32"/>
          <w:szCs w:val="32"/>
          <w:u w:val="none"/>
          <w:lang w:val="zh-CN"/>
        </w:rPr>
      </w:pPr>
      <w:bookmarkStart w:id="4" w:name="_Toc458171773"/>
      <w:r>
        <w:rPr>
          <w:rStyle w:val="31"/>
          <w:rFonts w:hint="eastAsia" w:ascii="Times New Roman" w:hAnsi="Times New Roman" w:eastAsia="黑体" w:cs="Times New Roman"/>
          <w:color w:val="auto"/>
          <w:sz w:val="32"/>
          <w:szCs w:val="32"/>
          <w:u w:val="none"/>
          <w:lang w:val="zh-CN"/>
        </w:rPr>
        <w:t>第二章 “</w:t>
      </w:r>
      <w:r>
        <w:rPr>
          <w:rStyle w:val="31"/>
          <w:rFonts w:ascii="Times New Roman" w:hAnsi="Times New Roman" w:eastAsia="黑体" w:cs="Times New Roman"/>
          <w:color w:val="auto"/>
          <w:sz w:val="32"/>
          <w:szCs w:val="32"/>
          <w:u w:val="none"/>
          <w:lang w:val="zh-CN"/>
        </w:rPr>
        <w:t>十三五”</w:t>
      </w:r>
      <w:r>
        <w:rPr>
          <w:rStyle w:val="31"/>
          <w:rFonts w:hint="eastAsia" w:ascii="Times New Roman" w:hAnsi="Times New Roman" w:eastAsia="黑体" w:cs="Times New Roman"/>
          <w:color w:val="auto"/>
          <w:sz w:val="32"/>
          <w:szCs w:val="32"/>
          <w:u w:val="none"/>
          <w:lang w:val="zh-CN"/>
        </w:rPr>
        <w:t>发展特征</w:t>
      </w:r>
      <w:bookmarkEnd w:id="4"/>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“十三五”时期，是柳东新区在全区率先全面建成小康社会的决胜期，是打造</w:t>
      </w:r>
      <w:r>
        <w:rPr>
          <w:rFonts w:ascii="仿宋_GB2312" w:hAnsi="Times New Roman" w:eastAsia="仿宋_GB2312"/>
          <w:sz w:val="32"/>
          <w:szCs w:val="32"/>
        </w:rPr>
        <w:t>创新型国家级特色新区</w:t>
      </w:r>
      <w:r>
        <w:rPr>
          <w:rFonts w:hint="eastAsia" w:ascii="仿宋_GB2312" w:hAnsi="Times New Roman" w:eastAsia="仿宋_GB2312"/>
          <w:sz w:val="32"/>
          <w:szCs w:val="32"/>
        </w:rPr>
        <w:t>的关键期，是推进新型城镇化进程的攻坚期，必须深化改革，扩大开发，注入新动力，开拓新空间，形成新优势，主动作为，科学发展，赢得新一轮区域和城市竞争先机。</w:t>
      </w:r>
    </w:p>
    <w:p>
      <w:pPr>
        <w:spacing w:line="600" w:lineRule="exact"/>
        <w:ind w:firstLine="643" w:firstLineChars="200"/>
        <w:rPr>
          <w:rFonts w:ascii="仿宋_GB2312" w:hAnsi="Times New Roman" w:eastAsia="仿宋_GB2312"/>
          <w:b/>
          <w:sz w:val="32"/>
          <w:szCs w:val="32"/>
        </w:rPr>
      </w:pPr>
      <w:r>
        <w:rPr>
          <w:rFonts w:hint="eastAsia" w:ascii="仿宋_GB2312" w:hAnsi="Times New Roman" w:eastAsia="仿宋_GB2312"/>
          <w:b/>
          <w:sz w:val="32"/>
          <w:szCs w:val="32"/>
        </w:rPr>
        <w:t>全面小康进入率先决胜期。</w:t>
      </w:r>
      <w:r>
        <w:rPr>
          <w:rFonts w:hint="eastAsia" w:ascii="仿宋_GB2312" w:hAnsi="Times New Roman" w:eastAsia="仿宋_GB2312"/>
          <w:sz w:val="32"/>
          <w:szCs w:val="32"/>
        </w:rPr>
        <w:t>“十三五”期，是柳东新区贯彻落实“四个全面”战略布局，全力打赢脱贫攻坚战，在新区率先全面建成小康社会的决胜期。率先实现全面小康，是历史赋予的重大使命，也是新区人民的共同期待。这就要求我们必须更加注重经济社会发展和改善民生，打赢率先实现全面小康的总决战，全面实现小康社会建设的各项目标，满足人民群众日益增长的物质文化需求，不断提升人民群众的幸福感和满意度。</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区域发展进入快速提升期。</w:t>
      </w:r>
      <w:r>
        <w:rPr>
          <w:rFonts w:hint="eastAsia" w:ascii="仿宋_GB2312" w:hAnsi="Times New Roman" w:eastAsia="仿宋_GB2312"/>
          <w:sz w:val="32"/>
          <w:szCs w:val="32"/>
        </w:rPr>
        <w:t>“十三五”期，是柳东新区按照市委、市政府赋予的新使命，</w:t>
      </w:r>
      <w:r>
        <w:rPr>
          <w:rFonts w:hint="eastAsia" w:ascii="仿宋_GB2312" w:hAnsi="仿宋" w:eastAsia="仿宋_GB2312"/>
          <w:sz w:val="32"/>
          <w:szCs w:val="32"/>
        </w:rPr>
        <w:t>按照“沿江发展，重点向东”的发展思路，全面建设柳东新区，使其成为柳州的重要组成部分。要利用好西江经济带和高铁经济带建设的重大利好环境，</w:t>
      </w:r>
      <w:r>
        <w:rPr>
          <w:rFonts w:ascii="仿宋_GB2312" w:hAnsi="仿宋" w:eastAsia="仿宋_GB2312"/>
          <w:sz w:val="32"/>
          <w:szCs w:val="32"/>
        </w:rPr>
        <w:t>将</w:t>
      </w:r>
      <w:r>
        <w:rPr>
          <w:rFonts w:hint="eastAsia" w:ascii="仿宋_GB2312" w:hAnsi="仿宋" w:eastAsia="仿宋_GB2312"/>
          <w:sz w:val="32"/>
          <w:szCs w:val="32"/>
        </w:rPr>
        <w:t>柳东新区的产业优势与西江经济带和高铁经济带的区域和交通优势相结合，</w:t>
      </w:r>
      <w:r>
        <w:rPr>
          <w:rFonts w:ascii="仿宋_GB2312" w:hAnsi="仿宋" w:eastAsia="仿宋_GB2312"/>
          <w:sz w:val="32"/>
          <w:szCs w:val="32"/>
        </w:rPr>
        <w:t>助力</w:t>
      </w:r>
      <w:r>
        <w:rPr>
          <w:rFonts w:hint="eastAsia" w:ascii="仿宋_GB2312" w:hAnsi="仿宋" w:eastAsia="仿宋_GB2312"/>
          <w:sz w:val="32"/>
          <w:szCs w:val="32"/>
        </w:rPr>
        <w:t>柳州成为西江经济带的龙头城市，</w:t>
      </w:r>
      <w:r>
        <w:rPr>
          <w:rFonts w:ascii="仿宋_GB2312" w:hAnsi="仿宋" w:eastAsia="仿宋_GB2312"/>
          <w:sz w:val="32"/>
          <w:szCs w:val="32"/>
        </w:rPr>
        <w:t>成为</w:t>
      </w:r>
      <w:r>
        <w:rPr>
          <w:rFonts w:hint="eastAsia" w:ascii="仿宋_GB2312" w:hAnsi="仿宋" w:eastAsia="仿宋_GB2312"/>
          <w:sz w:val="32"/>
          <w:szCs w:val="32"/>
        </w:rPr>
        <w:t>高铁经济带发展的新引擎。</w:t>
      </w:r>
    </w:p>
    <w:p>
      <w:pPr>
        <w:adjustRightInd w:val="0"/>
        <w:snapToGrid w:val="0"/>
        <w:spacing w:line="600" w:lineRule="exact"/>
        <w:ind w:firstLine="643" w:firstLineChars="200"/>
        <w:rPr>
          <w:rFonts w:ascii="仿宋_GB2312" w:hAnsi="Times New Roman" w:eastAsia="仿宋_GB2312"/>
          <w:color w:val="000000" w:themeColor="text1"/>
          <w:sz w:val="32"/>
          <w:szCs w:val="32"/>
          <w14:textFill>
            <w14:solidFill>
              <w14:schemeClr w14:val="tx1"/>
            </w14:solidFill>
          </w14:textFill>
        </w:rPr>
      </w:pPr>
      <w:r>
        <w:rPr>
          <w:rFonts w:hint="eastAsia" w:ascii="仿宋_GB2312" w:hAnsi="Times New Roman" w:eastAsia="仿宋_GB2312"/>
          <w:b/>
          <w:sz w:val="32"/>
          <w:szCs w:val="32"/>
        </w:rPr>
        <w:t>经济发展进入换挡提质期。</w:t>
      </w:r>
      <w:r>
        <w:rPr>
          <w:rFonts w:hint="eastAsia" w:ascii="仿宋_GB2312" w:hAnsi="Times New Roman" w:eastAsia="仿宋_GB2312"/>
          <w:sz w:val="32"/>
          <w:szCs w:val="32"/>
        </w:rPr>
        <w:t>“十三五”期，是柳东新区在新常态下全面加快新型工业化和城镇化进程，争创发展新优势，奋力实现“经济升级，城市转型”新跨越的提质期。</w:t>
      </w:r>
      <w:r>
        <w:rPr>
          <w:rFonts w:hint="eastAsia" w:ascii="仿宋_GB2312" w:hAnsi="Times New Roman" w:eastAsia="仿宋_GB2312"/>
          <w:color w:val="000000" w:themeColor="text1"/>
          <w:sz w:val="32"/>
          <w:szCs w:val="32"/>
          <w14:textFill>
            <w14:solidFill>
              <w14:schemeClr w14:val="tx1"/>
            </w14:solidFill>
          </w14:textFill>
        </w:rPr>
        <w:t>“十二五”期，柳东新区一直保持10％以上的高增速，速度的转换趋势越来越明显，是推动柳州经济增长的新动力引擎。然而，</w:t>
      </w:r>
      <w:r>
        <w:rPr>
          <w:rFonts w:ascii="仿宋_GB2312" w:hAnsi="Times New Roman" w:eastAsia="仿宋_GB2312"/>
          <w:color w:val="000000" w:themeColor="text1"/>
          <w:sz w:val="32"/>
          <w:szCs w:val="32"/>
          <w14:textFill>
            <w14:solidFill>
              <w14:schemeClr w14:val="tx1"/>
            </w14:solidFill>
          </w14:textFill>
        </w:rPr>
        <w:t>在</w:t>
      </w:r>
      <w:r>
        <w:rPr>
          <w:rFonts w:hint="eastAsia" w:ascii="仿宋_GB2312" w:hAnsi="Times New Roman" w:eastAsia="仿宋_GB2312"/>
          <w:color w:val="000000" w:themeColor="text1"/>
          <w:sz w:val="32"/>
          <w:szCs w:val="32"/>
          <w14:textFill>
            <w14:solidFill>
              <w14:schemeClr w14:val="tx1"/>
            </w14:solidFill>
          </w14:textFill>
        </w:rPr>
        <w:t>资源、环境、成本等各种约束进一步加剧，未来要保持高速增长面临着不少压力。新形势要求柳东新区加速转型升级，奋力抢占产业、创新、人才制高点，开拓新的发展空间、注入新的发展动力、形成新的发展优势，实现创新型经济、服务型经济的快速发展，保持合理适度、平稳较快的增长速度，确保新区经济持续健康发展。</w:t>
      </w:r>
    </w:p>
    <w:p>
      <w:pPr>
        <w:spacing w:line="600" w:lineRule="exact"/>
        <w:ind w:firstLine="643" w:firstLineChars="200"/>
        <w:rPr>
          <w:rFonts w:ascii="仿宋_GB2312" w:hAnsi="Times New Roman" w:eastAsia="仿宋_GB2312"/>
          <w:sz w:val="32"/>
          <w:szCs w:val="32"/>
        </w:rPr>
      </w:pPr>
      <w:bookmarkStart w:id="5" w:name="_Toc263323581"/>
      <w:bookmarkStart w:id="6" w:name="_Toc270516330"/>
      <w:r>
        <w:rPr>
          <w:rFonts w:hint="eastAsia" w:ascii="仿宋_GB2312" w:hAnsi="Times New Roman" w:eastAsia="仿宋_GB2312"/>
          <w:b/>
          <w:sz w:val="32"/>
          <w:szCs w:val="32"/>
        </w:rPr>
        <w:t>生态文明进入全力建设期。</w:t>
      </w:r>
      <w:r>
        <w:rPr>
          <w:rFonts w:hint="eastAsia" w:ascii="仿宋_GB2312" w:hAnsi="Times New Roman" w:eastAsia="仿宋_GB2312"/>
          <w:sz w:val="32"/>
          <w:szCs w:val="32"/>
        </w:rPr>
        <w:t>“十三五”期，柳东新区将加快推进生态城市建设，进入绿色促进发展的全面建设期。这一时期，建设生态文明是经济社会发展的重要内容、新区自身发展的内在要求、人民群众对改善生产生活环境的更高期盼，要求柳东新区加快形成资源节约、环境友好的生产方式、生活方式和消费模式，更大力度推进环境保护和生态建设，使经济效益、社会效益和生态效益有机结合。</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和谐社会进入全面加强期。</w:t>
      </w:r>
      <w:bookmarkEnd w:id="5"/>
      <w:bookmarkEnd w:id="6"/>
      <w:r>
        <w:rPr>
          <w:rFonts w:hint="eastAsia" w:ascii="仿宋_GB2312" w:hAnsi="Times New Roman" w:eastAsia="仿宋_GB2312"/>
          <w:sz w:val="32"/>
          <w:szCs w:val="32"/>
        </w:rPr>
        <w:t>“十三五”期，是柳东新区完善社会保障体系，创新社会治理，全面加强教育、文化、卫生、体育、人口发展等社会领域薄弱环节建设的加强期。随着经济增速的放缓和社会结构的加速转型，经济社会深度变革，人民群众日益增长的多样化、多层次的公共服务需求还不能得到较好满足，人民群众的利益诉求多元化，社会矛盾和社会风险可能进入高发期，要求柳东以民生为一切工作的出发点和落脚点，提高全体市民的幸福感。</w:t>
      </w:r>
    </w:p>
    <w:p>
      <w:pPr>
        <w:ind w:firstLine="643" w:firstLineChars="200"/>
        <w:rPr>
          <w:lang w:val="zh-CN"/>
        </w:rPr>
      </w:pPr>
      <w:r>
        <w:rPr>
          <w:rFonts w:hint="eastAsia" w:ascii="仿宋_GB2312" w:hAnsi="Times New Roman" w:eastAsia="仿宋_GB2312"/>
          <w:b/>
          <w:sz w:val="32"/>
          <w:szCs w:val="32"/>
        </w:rPr>
        <w:t>深化改革进入重要攻坚期。</w:t>
      </w:r>
      <w:r>
        <w:rPr>
          <w:rFonts w:hint="eastAsia" w:ascii="仿宋_GB2312" w:hAnsi="Times New Roman" w:eastAsia="仿宋_GB2312"/>
          <w:sz w:val="32"/>
          <w:szCs w:val="32"/>
        </w:rPr>
        <w:t>“十三五”期，是柳东新区全面深化改革、以改革促创新、以创新促发展的重要攻坚期。能否抓住这轮改革契机，将成为柳东</w:t>
      </w:r>
      <w:r>
        <w:rPr>
          <w:rFonts w:ascii="仿宋_GB2312" w:hAnsi="Times New Roman" w:eastAsia="仿宋_GB2312"/>
          <w:sz w:val="32"/>
          <w:szCs w:val="32"/>
        </w:rPr>
        <w:t>新区</w:t>
      </w:r>
      <w:r>
        <w:rPr>
          <w:rFonts w:hint="eastAsia" w:ascii="仿宋_GB2312" w:hAnsi="Times New Roman" w:eastAsia="仿宋_GB2312"/>
          <w:sz w:val="32"/>
          <w:szCs w:val="32"/>
        </w:rPr>
        <w:t>在新一轮区域和城区发展竞争中能否胜出的关键。必须牢牢把握深化改革是推动科学发展的核心动力，坚持解放思想、开拓创新，在改革上有更大的作为，在创新上有更大的突破，坚持用改革创新的办法破解发展难题，抓住经济社会发展中的突出矛盾，加大重点领域和关键环节的改革攻坚力度，着力破除不适应转变经济发展方式的制度瓶颈，不断完善市场经济体制，不断加强社会治理创新，为科学发展、和谐发展增添新动力。</w:t>
      </w:r>
    </w:p>
    <w:p>
      <w:pPr>
        <w:pStyle w:val="2"/>
        <w:spacing w:before="0" w:after="0" w:line="600" w:lineRule="exact"/>
        <w:jc w:val="center"/>
        <w:rPr>
          <w:rStyle w:val="31"/>
          <w:rFonts w:ascii="Times New Roman" w:hAnsi="Times New Roman" w:eastAsia="黑体" w:cs="Times New Roman"/>
          <w:color w:val="auto"/>
          <w:sz w:val="32"/>
          <w:szCs w:val="32"/>
          <w:u w:val="none"/>
          <w:lang w:val="zh-CN" w:eastAsia="zh-CN"/>
        </w:rPr>
      </w:pPr>
      <w:bookmarkStart w:id="7" w:name="_Toc458171774"/>
      <w:r>
        <w:rPr>
          <w:rStyle w:val="31"/>
          <w:rFonts w:hint="eastAsia" w:ascii="Times New Roman" w:hAnsi="Times New Roman" w:eastAsia="黑体" w:cs="Times New Roman"/>
          <w:color w:val="auto"/>
          <w:sz w:val="32"/>
          <w:szCs w:val="32"/>
          <w:u w:val="none"/>
          <w:lang w:val="zh-CN"/>
        </w:rPr>
        <w:t xml:space="preserve">第三章 </w:t>
      </w:r>
      <w:r>
        <w:rPr>
          <w:rStyle w:val="31"/>
          <w:rFonts w:hint="eastAsia" w:ascii="Times New Roman" w:hAnsi="Times New Roman" w:eastAsia="黑体" w:cs="Times New Roman"/>
          <w:color w:val="auto"/>
          <w:sz w:val="32"/>
          <w:szCs w:val="32"/>
          <w:u w:val="none"/>
          <w:lang w:val="zh-CN" w:eastAsia="zh-CN"/>
        </w:rPr>
        <w:t>“十三五”发展环境</w:t>
      </w:r>
      <w:bookmarkEnd w:id="7"/>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“十三五”期面临更加复杂多变的国际、国内环境和区域形势，柳州仍处于可以大有作为的重要战略机遇期，面临许多难得的发展机遇和严峻挑战。 </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世界经济在深度调整中曲折复苏。</w:t>
      </w:r>
      <w:r>
        <w:rPr>
          <w:rFonts w:hint="eastAsia" w:ascii="仿宋_GB2312" w:hAnsi="Times New Roman" w:eastAsia="仿宋_GB2312"/>
          <w:sz w:val="32"/>
          <w:szCs w:val="32"/>
        </w:rPr>
        <w:t>和平与发展仍是时代主题，世界多极化、经济全球化、文化多样化、社会信息化持续推进，区域合作更加广泛、深入。新一轮科技革命和产业变革正在孕育兴起，以信息技术革命为先导，生物技术、新能源和新材料技术、空间利用和海洋开发技术等不断取得重大突破，与经济社会发展深度融合，对生产生活方式带来前所未有的深刻影响。同时，国际金融危机深层次影响在相当长时期依然存在，全球经济贸易增长乏力。</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我国经济发展进入新常态。</w:t>
      </w:r>
      <w:r>
        <w:rPr>
          <w:rFonts w:hint="eastAsia" w:ascii="仿宋_GB2312" w:hAnsi="Times New Roman" w:eastAsia="仿宋_GB2312"/>
          <w:sz w:val="32"/>
          <w:szCs w:val="32"/>
        </w:rPr>
        <w:t>发展的环境和条件正在发生深刻变化，呈现速度变化、结构优化、动力转换三大特点，新型工业化、信息化、城镇化、农业现代化深入推进孕育着巨大发展潜能，全面深化改革、全方位对外开放将激发持续发展动力，经济长期向好基本面没有改变。在新一轮科技革命和产业革命的带动下，国内产业结构加速向中高端迈进，《中国制造2025》、“互联网+”行动计划深入实施，开展加快发展现代服务业行动，新技术、新材料、新产品、新模式、新业态不断涌现，为促进柳东新区推动传统产业提质增效，打造经济新引擎提供了难得机遇。</w:t>
      </w:r>
    </w:p>
    <w:p>
      <w:pPr>
        <w:spacing w:line="600" w:lineRule="exact"/>
        <w:ind w:firstLine="643" w:firstLineChars="200"/>
        <w:rPr>
          <w:rFonts w:ascii="仿宋_GB2312" w:hAnsi="Times New Roman" w:eastAsia="仿宋_GB2312"/>
          <w:kern w:val="0"/>
          <w:sz w:val="32"/>
          <w:szCs w:val="32"/>
        </w:rPr>
      </w:pPr>
      <w:r>
        <w:rPr>
          <w:rFonts w:hint="eastAsia" w:ascii="仿宋_GB2312" w:hAnsi="Times New Roman" w:eastAsia="仿宋_GB2312"/>
          <w:b/>
          <w:kern w:val="0"/>
          <w:sz w:val="32"/>
          <w:szCs w:val="32"/>
        </w:rPr>
        <w:t>广西发展多重机遇叠加。</w:t>
      </w:r>
      <w:r>
        <w:rPr>
          <w:rFonts w:hint="eastAsia" w:ascii="仿宋_GB2312" w:hAnsi="Times New Roman" w:eastAsia="仿宋_GB2312"/>
          <w:kern w:val="0"/>
          <w:sz w:val="32"/>
          <w:szCs w:val="32"/>
        </w:rPr>
        <w:t>国家</w:t>
      </w:r>
      <w:r>
        <w:rPr>
          <w:rFonts w:hint="eastAsia" w:ascii="仿宋_GB2312" w:hAnsi="Times New Roman" w:eastAsia="仿宋_GB2312"/>
          <w:kern w:val="0"/>
          <w:sz w:val="32"/>
          <w:szCs w:val="32"/>
          <w:lang w:eastAsia="zh-CN"/>
        </w:rPr>
        <w:t>“一带一路”倡议</w:t>
      </w:r>
      <w:r>
        <w:rPr>
          <w:rFonts w:hint="eastAsia" w:ascii="仿宋_GB2312" w:hAnsi="Times New Roman" w:eastAsia="仿宋_GB2312"/>
          <w:kern w:val="0"/>
          <w:sz w:val="32"/>
          <w:szCs w:val="32"/>
        </w:rPr>
        <w:t>深入实施，中国</w:t>
      </w:r>
      <w:r>
        <w:rPr>
          <w:rFonts w:hint="eastAsia" w:ascii="仿宋_GB2312" w:hAnsi="Times New Roman" w:eastAsia="仿宋_GB2312"/>
          <w:sz w:val="32"/>
          <w:szCs w:val="32"/>
        </w:rPr>
        <w:t>—</w:t>
      </w:r>
      <w:r>
        <w:rPr>
          <w:rFonts w:hint="eastAsia" w:ascii="仿宋_GB2312" w:hAnsi="Times New Roman" w:eastAsia="仿宋_GB2312"/>
          <w:kern w:val="0"/>
          <w:sz w:val="32"/>
          <w:szCs w:val="32"/>
        </w:rPr>
        <w:t>东盟自由贸易区升级版建设进程加快</w:t>
      </w:r>
      <w:r>
        <w:rPr>
          <w:rFonts w:hint="eastAsia" w:ascii="仿宋_GB2312" w:hAnsi="Times New Roman" w:eastAsia="仿宋_GB2312"/>
          <w:sz w:val="32"/>
          <w:szCs w:val="32"/>
        </w:rPr>
        <w:t>，珠江—西江经济带建设全面启动</w:t>
      </w:r>
      <w:r>
        <w:rPr>
          <w:rFonts w:hint="eastAsia" w:ascii="仿宋_GB2312" w:hAnsi="Times New Roman" w:eastAsia="仿宋_GB2312"/>
          <w:kern w:val="0"/>
          <w:sz w:val="32"/>
          <w:szCs w:val="32"/>
        </w:rPr>
        <w:t>，广西在全国对外开放大格局中的地位更加凸显。国家扶持中西部地区培育新的增长点，支持贫困地区加快脱贫致富奔小康，带来了新的历史机遇。广西基础设施支撑能力持续增强，产业结构和消费结构加快升级，全面深化改革红利持续释放，市场活力不断增强，保持经济持续稳定增长的空间广阔、潜力巨大。</w:t>
      </w:r>
      <w:r>
        <w:rPr>
          <w:rFonts w:hint="eastAsia" w:ascii="仿宋_GB2312" w:hAnsi="Times New Roman" w:eastAsia="仿宋_GB2312"/>
          <w:sz w:val="32"/>
          <w:szCs w:val="32"/>
        </w:rPr>
        <w:t>广西围绕“三大定位”和“两个建成”作出系列重大决策部署，为柳东新区发展带来多重叠加机遇，创造更为广阔的发展平台和空间。</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kern w:val="0"/>
          <w:sz w:val="32"/>
          <w:szCs w:val="32"/>
        </w:rPr>
        <w:t>柳州进入转型发展新阶段。</w:t>
      </w:r>
      <w:r>
        <w:rPr>
          <w:rFonts w:hint="eastAsia" w:ascii="仿宋_GB2312" w:hAnsi="Times New Roman" w:eastAsia="仿宋_GB2312"/>
          <w:sz w:val="32"/>
          <w:szCs w:val="32"/>
        </w:rPr>
        <w:t>柳州作为广西副中心城市和最大的工业城市，经过多年的建设发展和积累沉淀，在经济社会、城市建设等诸多领域确立起先发优势和比较优势，产业转型升级走在全区前列并率先进入工业化中后期阶段。特别是“十二五”期，围绕稳增长、调结构和创新驱动、转型升级，全面深化改革和推进依法治市，加快推进新型城镇化和加快发展服务业、非公有制经济，以及在发展教育事业、推进精准</w:t>
      </w:r>
      <w:r>
        <w:rPr>
          <w:rFonts w:hint="eastAsia" w:ascii="仿宋_GB2312" w:hAnsi="Times New Roman" w:eastAsia="仿宋_GB2312"/>
          <w:sz w:val="32"/>
          <w:szCs w:val="32"/>
          <w:lang w:eastAsia="zh-CN"/>
        </w:rPr>
        <w:t>脱贫攻坚</w:t>
      </w:r>
      <w:r>
        <w:rPr>
          <w:rFonts w:hint="eastAsia" w:ascii="仿宋_GB2312" w:hAnsi="Times New Roman" w:eastAsia="仿宋_GB2312"/>
          <w:sz w:val="32"/>
          <w:szCs w:val="32"/>
        </w:rPr>
        <w:t>等方面作出系列重大决策部署，为“十三五”期柳州发展奠定坚实的基础。</w:t>
      </w:r>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“十三五”期，由于自然条件、外部环境、产业结构、发展阶段等各方面的原因，也使柳东发展面临严峻的困难和挑战。</w:t>
      </w:r>
    </w:p>
    <w:p>
      <w:pPr>
        <w:spacing w:line="600" w:lineRule="exact"/>
        <w:ind w:firstLine="643" w:firstLineChars="200"/>
        <w:rPr>
          <w:rFonts w:ascii="仿宋_GB2312" w:hAnsi="Times New Roman" w:eastAsia="仿宋_GB2312"/>
          <w:b/>
          <w:sz w:val="32"/>
          <w:szCs w:val="32"/>
        </w:rPr>
      </w:pPr>
      <w:r>
        <w:rPr>
          <w:rFonts w:hint="eastAsia" w:ascii="仿宋_GB2312" w:hAnsi="Times New Roman" w:eastAsia="仿宋_GB2312"/>
          <w:b/>
          <w:sz w:val="32"/>
          <w:szCs w:val="32"/>
        </w:rPr>
        <w:t>产业创新能力有待提升。</w:t>
      </w:r>
      <w:r>
        <w:rPr>
          <w:rFonts w:hint="eastAsia" w:ascii="仿宋_GB2312" w:hAnsi="Times New Roman" w:eastAsia="仿宋_GB2312"/>
          <w:sz w:val="32"/>
          <w:szCs w:val="32"/>
        </w:rPr>
        <w:t>传统产业比重过大，战略性新兴产业发展缓慢，经济发展尚未真正从要素驱动向创新驱动转变，结构调整、转型升级和保持经济中高速增长难度加大。多年来制约发展的深层次结构性问题依然没有根本解决，柳东新区主要以传统汽车制造业为主，</w:t>
      </w:r>
      <w:r>
        <w:rPr>
          <w:rFonts w:ascii="仿宋_GB2312" w:hAnsi="Times New Roman" w:eastAsia="仿宋_GB2312"/>
          <w:sz w:val="32"/>
          <w:szCs w:val="32"/>
        </w:rPr>
        <w:t>对于</w:t>
      </w:r>
      <w:r>
        <w:rPr>
          <w:rFonts w:hint="eastAsia" w:ascii="仿宋_GB2312" w:hAnsi="Times New Roman" w:eastAsia="仿宋_GB2312"/>
          <w:sz w:val="32"/>
          <w:szCs w:val="32"/>
        </w:rPr>
        <w:t>新能源汽车、</w:t>
      </w:r>
      <w:r>
        <w:rPr>
          <w:rFonts w:ascii="仿宋_GB2312" w:hAnsi="Times New Roman" w:eastAsia="仿宋_GB2312"/>
          <w:sz w:val="32"/>
          <w:szCs w:val="32"/>
        </w:rPr>
        <w:t>互联网</w:t>
      </w:r>
      <w:r>
        <w:rPr>
          <w:rFonts w:hint="eastAsia" w:ascii="仿宋_GB2312" w:hAnsi="Times New Roman" w:eastAsia="仿宋_GB2312"/>
          <w:sz w:val="32"/>
          <w:szCs w:val="32"/>
        </w:rPr>
        <w:t>汽车等新兴产业发展较慢。产业链上，总体处于价值链中的中低端，</w:t>
      </w:r>
      <w:r>
        <w:rPr>
          <w:rFonts w:ascii="仿宋_GB2312" w:hAnsi="Times New Roman" w:eastAsia="仿宋_GB2312"/>
          <w:sz w:val="32"/>
          <w:szCs w:val="32"/>
        </w:rPr>
        <w:t>科技</w:t>
      </w:r>
      <w:r>
        <w:rPr>
          <w:rFonts w:hint="eastAsia" w:ascii="仿宋_GB2312" w:hAnsi="Times New Roman" w:eastAsia="仿宋_GB2312"/>
          <w:sz w:val="32"/>
          <w:szCs w:val="32"/>
        </w:rPr>
        <w:t>含量较低、</w:t>
      </w:r>
      <w:r>
        <w:rPr>
          <w:rFonts w:ascii="仿宋_GB2312" w:hAnsi="Times New Roman" w:eastAsia="仿宋_GB2312"/>
          <w:sz w:val="32"/>
          <w:szCs w:val="32"/>
        </w:rPr>
        <w:t>附加值</w:t>
      </w:r>
      <w:r>
        <w:rPr>
          <w:rFonts w:hint="eastAsia" w:ascii="仿宋_GB2312" w:hAnsi="Times New Roman" w:eastAsia="仿宋_GB2312"/>
          <w:sz w:val="32"/>
          <w:szCs w:val="32"/>
        </w:rPr>
        <w:t>不高。大型企业的技术研发体系较为薄弱，</w:t>
      </w:r>
      <w:r>
        <w:rPr>
          <w:rFonts w:ascii="仿宋_GB2312" w:hAnsi="Times New Roman" w:eastAsia="仿宋_GB2312"/>
          <w:sz w:val="32"/>
          <w:szCs w:val="32"/>
        </w:rPr>
        <w:t>中小型</w:t>
      </w:r>
      <w:r>
        <w:rPr>
          <w:rFonts w:hint="eastAsia" w:ascii="仿宋_GB2312" w:hAnsi="Times New Roman" w:eastAsia="仿宋_GB2312"/>
          <w:sz w:val="32"/>
          <w:szCs w:val="32"/>
        </w:rPr>
        <w:t>科技创新企业总体较少。</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统筹</w:t>
      </w:r>
      <w:r>
        <w:rPr>
          <w:rFonts w:ascii="仿宋_GB2312" w:hAnsi="Times New Roman" w:eastAsia="仿宋_GB2312"/>
          <w:b/>
          <w:sz w:val="32"/>
          <w:szCs w:val="32"/>
        </w:rPr>
        <w:t>协调发展任务</w:t>
      </w:r>
      <w:r>
        <w:rPr>
          <w:rFonts w:hint="eastAsia" w:ascii="仿宋_GB2312" w:hAnsi="Times New Roman" w:eastAsia="仿宋_GB2312"/>
          <w:b/>
          <w:sz w:val="32"/>
          <w:szCs w:val="32"/>
        </w:rPr>
        <w:t>艰巨。</w:t>
      </w:r>
      <w:r>
        <w:rPr>
          <w:rFonts w:hint="eastAsia" w:ascii="仿宋_GB2312" w:hAnsi="Times New Roman" w:eastAsia="仿宋_GB2312"/>
          <w:kern w:val="0"/>
          <w:sz w:val="32"/>
          <w:szCs w:val="32"/>
        </w:rPr>
        <w:t>区域统筹发展压力加大，城市</w:t>
      </w:r>
      <w:r>
        <w:rPr>
          <w:rFonts w:hint="eastAsia" w:ascii="仿宋_GB2312" w:hAnsi="Times New Roman" w:eastAsia="仿宋_GB2312"/>
          <w:sz w:val="32"/>
          <w:szCs w:val="32"/>
        </w:rPr>
        <w:t>空间发展不平衡，新区行政布局受到一定限制。新区发展较快，新区市政基础设施急需完善。城乡发展不平衡，城乡二元结构矛盾较为突出。雒容、</w:t>
      </w:r>
      <w:r>
        <w:rPr>
          <w:rFonts w:ascii="仿宋_GB2312" w:hAnsi="Times New Roman" w:eastAsia="仿宋_GB2312"/>
          <w:sz w:val="32"/>
          <w:szCs w:val="32"/>
        </w:rPr>
        <w:t>雒埠</w:t>
      </w:r>
      <w:r>
        <w:rPr>
          <w:rFonts w:hint="eastAsia" w:ascii="仿宋_GB2312" w:hAnsi="Times New Roman" w:eastAsia="仿宋_GB2312"/>
          <w:sz w:val="32"/>
          <w:szCs w:val="32"/>
        </w:rPr>
        <w:t>等老城镇配套急待升级完善，</w:t>
      </w:r>
      <w:r>
        <w:rPr>
          <w:rFonts w:ascii="仿宋_GB2312" w:hAnsi="Times New Roman" w:eastAsia="仿宋_GB2312"/>
          <w:sz w:val="32"/>
          <w:szCs w:val="32"/>
        </w:rPr>
        <w:t>旧村居民</w:t>
      </w:r>
      <w:r>
        <w:rPr>
          <w:rFonts w:hint="eastAsia" w:ascii="仿宋_GB2312" w:hAnsi="Times New Roman" w:eastAsia="仿宋_GB2312"/>
          <w:sz w:val="32"/>
          <w:szCs w:val="32"/>
        </w:rPr>
        <w:t>面临城镇化之后的产业转型压力，</w:t>
      </w:r>
      <w:r>
        <w:rPr>
          <w:rFonts w:ascii="仿宋_GB2312" w:hAnsi="Times New Roman" w:eastAsia="仿宋_GB2312"/>
          <w:sz w:val="32"/>
          <w:szCs w:val="32"/>
        </w:rPr>
        <w:t>新城区</w:t>
      </w:r>
      <w:r>
        <w:rPr>
          <w:rFonts w:hint="eastAsia" w:ascii="仿宋_GB2312" w:hAnsi="Times New Roman" w:eastAsia="仿宋_GB2312"/>
          <w:sz w:val="32"/>
          <w:szCs w:val="32"/>
        </w:rPr>
        <w:t>人口导入后急需配套设施的进一步完善。</w:t>
      </w:r>
      <w:r>
        <w:rPr>
          <w:rFonts w:ascii="仿宋_GB2312" w:hAnsi="Times New Roman" w:eastAsia="仿宋_GB2312"/>
          <w:sz w:val="32"/>
          <w:szCs w:val="32"/>
        </w:rPr>
        <w:t>总体</w:t>
      </w:r>
      <w:r>
        <w:rPr>
          <w:rFonts w:hint="eastAsia" w:ascii="仿宋_GB2312" w:hAnsi="Times New Roman" w:eastAsia="仿宋_GB2312"/>
          <w:sz w:val="32"/>
          <w:szCs w:val="32"/>
        </w:rPr>
        <w:t>协调任务艰巨。</w:t>
      </w:r>
    </w:p>
    <w:p>
      <w:pPr>
        <w:autoSpaceDE w:val="0"/>
        <w:autoSpaceDN w:val="0"/>
        <w:adjustRightInd w:val="0"/>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绿色发展压力不断加大。</w:t>
      </w:r>
      <w:r>
        <w:rPr>
          <w:rFonts w:hint="eastAsia" w:ascii="仿宋_GB2312" w:hAnsi="Times New Roman" w:eastAsia="仿宋_GB2312"/>
          <w:sz w:val="32"/>
          <w:szCs w:val="32"/>
        </w:rPr>
        <w:t>高能耗、高污染、高排放的资源型产业仍占相当大的比重，化解资源、环境硬约束的压力大，对柳东新区加快经济结构调整、推动经济发展方式转变提出更加迫切的要求。节能减排、环境整治等将面临更多的考验。城市快速扩张、产业加快发展与环境建设的矛盾冲突明显，经济发展、城市建设对资源、能源平衡和环境承载能力提出更高要求，统筹实现经济发展和环境保护难度总体较大，土地、资金、人才等要素缺乏问题更加突出。</w:t>
      </w:r>
    </w:p>
    <w:p>
      <w:pPr>
        <w:autoSpaceDE w:val="0"/>
        <w:autoSpaceDN w:val="0"/>
        <w:adjustRightInd w:val="0"/>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开放型经济体系有待完善。</w:t>
      </w:r>
      <w:r>
        <w:rPr>
          <w:rFonts w:hint="eastAsia" w:ascii="仿宋_GB2312" w:hAnsi="Times New Roman" w:eastAsia="仿宋_GB2312"/>
          <w:sz w:val="32"/>
          <w:szCs w:val="32"/>
        </w:rPr>
        <w:t>开放型经济的总量、规模与国内同等开发区相比，仍有明显差距。在外资企业引进方面，科技含量高、带动力强的大型项目偏少；已引进的外资企业发展势头不足，外资企业出口占外贸出口总值偏低，对新区经济结构调整及经济外向度的促进带动作用不明显。外贸出口，支柱型产业、大中型企业经济外向度不高，自主品牌产品出口少，加工贸易比重低，机电产品、高新技术产品出口比重与新区以汽车为主导的工业产业结构不相匹配。在国际经济技术合作中到境外投资的企业数量少、规模小，劳务、技术输出能力较弱，经济外向度不高。</w:t>
      </w:r>
    </w:p>
    <w:p>
      <w:pPr>
        <w:spacing w:line="600" w:lineRule="exact"/>
        <w:ind w:firstLine="643" w:firstLineChars="200"/>
        <w:rPr>
          <w:rFonts w:ascii="仿宋_GB2312" w:hAnsi="Times New Roman" w:eastAsia="仿宋_GB2312"/>
          <w:b/>
          <w:sz w:val="32"/>
          <w:szCs w:val="32"/>
        </w:rPr>
      </w:pPr>
      <w:r>
        <w:rPr>
          <w:rFonts w:hint="eastAsia" w:ascii="仿宋_GB2312" w:hAnsi="Times New Roman" w:eastAsia="仿宋_GB2312"/>
          <w:b/>
          <w:sz w:val="32"/>
          <w:szCs w:val="32"/>
        </w:rPr>
        <w:t>基本公共服务相对落后。</w:t>
      </w:r>
      <w:r>
        <w:rPr>
          <w:rFonts w:hint="eastAsia" w:ascii="仿宋_GB2312" w:hAnsi="Times New Roman" w:eastAsia="仿宋_GB2312"/>
          <w:sz w:val="32"/>
          <w:szCs w:val="32"/>
        </w:rPr>
        <w:t>新区发展时间不长，</w:t>
      </w:r>
      <w:r>
        <w:rPr>
          <w:rFonts w:ascii="仿宋_GB2312" w:hAnsi="Times New Roman" w:eastAsia="仿宋_GB2312"/>
          <w:sz w:val="32"/>
          <w:szCs w:val="32"/>
        </w:rPr>
        <w:t>公共服务</w:t>
      </w:r>
      <w:r>
        <w:rPr>
          <w:rFonts w:hint="eastAsia" w:ascii="仿宋_GB2312" w:hAnsi="Times New Roman" w:eastAsia="仿宋_GB2312"/>
          <w:sz w:val="32"/>
          <w:szCs w:val="32"/>
        </w:rPr>
        <w:t>配套建设远远落后于产业发展。特别是教育、</w:t>
      </w:r>
      <w:r>
        <w:rPr>
          <w:rFonts w:ascii="仿宋_GB2312" w:hAnsi="Times New Roman" w:eastAsia="仿宋_GB2312"/>
          <w:sz w:val="32"/>
          <w:szCs w:val="32"/>
        </w:rPr>
        <w:t>医疗</w:t>
      </w:r>
      <w:r>
        <w:rPr>
          <w:rFonts w:hint="eastAsia" w:ascii="仿宋_GB2312" w:hAnsi="Times New Roman" w:eastAsia="仿宋_GB2312"/>
          <w:sz w:val="32"/>
          <w:szCs w:val="32"/>
        </w:rPr>
        <w:t>、</w:t>
      </w:r>
      <w:r>
        <w:rPr>
          <w:rFonts w:ascii="仿宋_GB2312" w:hAnsi="Times New Roman" w:eastAsia="仿宋_GB2312"/>
          <w:sz w:val="32"/>
          <w:szCs w:val="32"/>
        </w:rPr>
        <w:t>社会保障</w:t>
      </w:r>
      <w:r>
        <w:rPr>
          <w:rFonts w:hint="eastAsia" w:ascii="仿宋_GB2312" w:hAnsi="Times New Roman" w:eastAsia="仿宋_GB2312"/>
          <w:sz w:val="32"/>
          <w:szCs w:val="32"/>
        </w:rPr>
        <w:t>等体系不够健全，教育资源总体发展较为滞后。商业配套严重不足，</w:t>
      </w:r>
      <w:r>
        <w:rPr>
          <w:rFonts w:ascii="仿宋_GB2312" w:hAnsi="Times New Roman" w:eastAsia="仿宋_GB2312"/>
          <w:sz w:val="32"/>
          <w:szCs w:val="32"/>
        </w:rPr>
        <w:t>导致</w:t>
      </w:r>
      <w:r>
        <w:rPr>
          <w:rFonts w:hint="eastAsia" w:ascii="仿宋_GB2312" w:hAnsi="Times New Roman" w:eastAsia="仿宋_GB2312"/>
          <w:sz w:val="32"/>
          <w:szCs w:val="32"/>
        </w:rPr>
        <w:t>新区人口集聚缓慢。城镇的配套总体水平较低，与新区的品质发展有一定差距。贫困地区发展不平衡仍十分明显，贫困地区的基本公共服务能力和基础设施建设有待进一步改善，产业竞争能力有待进一步提高，扶贫对象自我发展能力依然薄弱，</w:t>
      </w:r>
      <w:r>
        <w:rPr>
          <w:rFonts w:hint="eastAsia" w:ascii="仿宋_GB2312" w:hAnsi="Times New Roman" w:eastAsia="仿宋_GB2312"/>
          <w:sz w:val="32"/>
          <w:szCs w:val="32"/>
          <w:lang w:eastAsia="zh-CN"/>
        </w:rPr>
        <w:t>脱贫攻坚</w:t>
      </w:r>
      <w:r>
        <w:rPr>
          <w:rFonts w:hint="eastAsia" w:ascii="仿宋_GB2312" w:hAnsi="Times New Roman" w:eastAsia="仿宋_GB2312"/>
          <w:sz w:val="32"/>
          <w:szCs w:val="32"/>
        </w:rPr>
        <w:t>任务艰巨。</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城区整体形象</w:t>
      </w:r>
      <w:r>
        <w:rPr>
          <w:rFonts w:ascii="仿宋_GB2312" w:hAnsi="Times New Roman" w:eastAsia="仿宋_GB2312"/>
          <w:b/>
          <w:sz w:val="32"/>
          <w:szCs w:val="32"/>
        </w:rPr>
        <w:t>有待</w:t>
      </w:r>
      <w:r>
        <w:rPr>
          <w:rFonts w:hint="eastAsia" w:ascii="仿宋_GB2312" w:hAnsi="Times New Roman" w:eastAsia="仿宋_GB2312"/>
          <w:b/>
          <w:sz w:val="32"/>
          <w:szCs w:val="32"/>
        </w:rPr>
        <w:t>改善。</w:t>
      </w:r>
      <w:r>
        <w:rPr>
          <w:rFonts w:hint="eastAsia" w:ascii="仿宋_GB2312" w:hAnsi="Times New Roman" w:eastAsia="仿宋_GB2312"/>
          <w:sz w:val="32"/>
          <w:szCs w:val="32"/>
        </w:rPr>
        <w:t>新区建设不平衡，</w:t>
      </w:r>
      <w:r>
        <w:rPr>
          <w:rFonts w:ascii="仿宋_GB2312" w:hAnsi="Times New Roman" w:eastAsia="仿宋_GB2312"/>
          <w:sz w:val="32"/>
          <w:szCs w:val="32"/>
        </w:rPr>
        <w:t>新区</w:t>
      </w:r>
      <w:r>
        <w:rPr>
          <w:rFonts w:hint="eastAsia" w:ascii="仿宋_GB2312" w:hAnsi="Times New Roman" w:eastAsia="仿宋_GB2312"/>
          <w:sz w:val="32"/>
          <w:szCs w:val="32"/>
        </w:rPr>
        <w:t>、</w:t>
      </w:r>
      <w:r>
        <w:rPr>
          <w:rFonts w:ascii="仿宋_GB2312" w:hAnsi="Times New Roman" w:eastAsia="仿宋_GB2312"/>
          <w:sz w:val="32"/>
          <w:szCs w:val="32"/>
        </w:rPr>
        <w:t>镇</w:t>
      </w:r>
      <w:r>
        <w:rPr>
          <w:rFonts w:hint="eastAsia" w:ascii="仿宋_GB2312" w:hAnsi="Times New Roman" w:eastAsia="仿宋_GB2312"/>
          <w:sz w:val="32"/>
          <w:szCs w:val="32"/>
        </w:rPr>
        <w:t>、</w:t>
      </w:r>
      <w:r>
        <w:rPr>
          <w:rFonts w:ascii="仿宋_GB2312" w:hAnsi="Times New Roman" w:eastAsia="仿宋_GB2312"/>
          <w:sz w:val="32"/>
          <w:szCs w:val="32"/>
        </w:rPr>
        <w:t>村</w:t>
      </w:r>
      <w:r>
        <w:rPr>
          <w:rFonts w:hint="eastAsia" w:ascii="仿宋_GB2312" w:hAnsi="Times New Roman" w:eastAsia="仿宋_GB2312"/>
          <w:sz w:val="32"/>
          <w:szCs w:val="32"/>
        </w:rPr>
        <w:t>并存发展，</w:t>
      </w:r>
      <w:r>
        <w:rPr>
          <w:rFonts w:ascii="仿宋_GB2312" w:hAnsi="Times New Roman" w:eastAsia="仿宋_GB2312"/>
          <w:sz w:val="32"/>
          <w:szCs w:val="32"/>
        </w:rPr>
        <w:t>形象</w:t>
      </w:r>
      <w:r>
        <w:rPr>
          <w:rFonts w:hint="eastAsia" w:ascii="仿宋_GB2312" w:hAnsi="Times New Roman" w:eastAsia="仿宋_GB2312"/>
          <w:sz w:val="32"/>
          <w:szCs w:val="32"/>
        </w:rPr>
        <w:t>差异较大。</w:t>
      </w:r>
      <w:r>
        <w:rPr>
          <w:rFonts w:ascii="仿宋_GB2312" w:hAnsi="Times New Roman" w:eastAsia="仿宋_GB2312"/>
          <w:sz w:val="32"/>
          <w:szCs w:val="32"/>
        </w:rPr>
        <w:t>新区</w:t>
      </w:r>
      <w:r>
        <w:rPr>
          <w:rFonts w:hint="eastAsia" w:ascii="仿宋_GB2312" w:hAnsi="Times New Roman" w:eastAsia="仿宋_GB2312"/>
          <w:sz w:val="32"/>
          <w:szCs w:val="32"/>
        </w:rPr>
        <w:t>建设处于快速发展阶段，道路骨架还未完善，</w:t>
      </w:r>
      <w:r>
        <w:rPr>
          <w:rFonts w:ascii="仿宋_GB2312" w:hAnsi="Times New Roman" w:eastAsia="仿宋_GB2312"/>
          <w:sz w:val="32"/>
          <w:szCs w:val="32"/>
        </w:rPr>
        <w:t>公共</w:t>
      </w:r>
      <w:r>
        <w:rPr>
          <w:rFonts w:hint="eastAsia" w:ascii="仿宋_GB2312" w:hAnsi="Times New Roman" w:eastAsia="仿宋_GB2312"/>
          <w:sz w:val="32"/>
          <w:szCs w:val="32"/>
        </w:rPr>
        <w:t>配套建设处于补丁式发展，</w:t>
      </w:r>
      <w:r>
        <w:rPr>
          <w:rFonts w:ascii="仿宋_GB2312" w:hAnsi="Times New Roman" w:eastAsia="仿宋_GB2312"/>
          <w:sz w:val="32"/>
          <w:szCs w:val="32"/>
        </w:rPr>
        <w:t>未能</w:t>
      </w:r>
      <w:r>
        <w:rPr>
          <w:rFonts w:hint="eastAsia" w:ascii="仿宋_GB2312" w:hAnsi="Times New Roman" w:eastAsia="仿宋_GB2312"/>
          <w:sz w:val="32"/>
          <w:szCs w:val="32"/>
        </w:rPr>
        <w:t>很好形成整体形象。</w:t>
      </w:r>
      <w:r>
        <w:rPr>
          <w:rFonts w:ascii="仿宋_GB2312" w:hAnsi="Times New Roman" w:eastAsia="仿宋_GB2312"/>
          <w:sz w:val="32"/>
          <w:szCs w:val="32"/>
        </w:rPr>
        <w:t>雒容镇</w:t>
      </w:r>
      <w:r>
        <w:rPr>
          <w:rFonts w:hint="eastAsia" w:ascii="仿宋_GB2312" w:hAnsi="Times New Roman" w:eastAsia="仿宋_GB2312"/>
          <w:sz w:val="32"/>
          <w:szCs w:val="32"/>
        </w:rPr>
        <w:t>以传统形象为主，</w:t>
      </w:r>
      <w:r>
        <w:rPr>
          <w:rFonts w:ascii="仿宋_GB2312" w:hAnsi="Times New Roman" w:eastAsia="仿宋_GB2312"/>
          <w:sz w:val="32"/>
          <w:szCs w:val="32"/>
        </w:rPr>
        <w:t>但</w:t>
      </w:r>
      <w:r>
        <w:rPr>
          <w:rFonts w:hint="eastAsia" w:ascii="仿宋_GB2312" w:hAnsi="Times New Roman" w:eastAsia="仿宋_GB2312"/>
          <w:sz w:val="32"/>
          <w:szCs w:val="32"/>
        </w:rPr>
        <w:t>建筑风貌参差不齐，</w:t>
      </w:r>
      <w:r>
        <w:rPr>
          <w:rFonts w:ascii="仿宋_GB2312" w:hAnsi="Times New Roman" w:eastAsia="仿宋_GB2312"/>
          <w:sz w:val="32"/>
          <w:szCs w:val="32"/>
        </w:rPr>
        <w:t>旧镇</w:t>
      </w:r>
      <w:r>
        <w:rPr>
          <w:rFonts w:hint="eastAsia" w:ascii="仿宋_GB2312" w:hAnsi="Times New Roman" w:eastAsia="仿宋_GB2312"/>
          <w:sz w:val="32"/>
          <w:szCs w:val="32"/>
        </w:rPr>
        <w:t>旧村旧工业区面貌有待提升。原有村庄逐渐被新城区包围，</w:t>
      </w:r>
      <w:r>
        <w:rPr>
          <w:rFonts w:ascii="仿宋_GB2312" w:hAnsi="Times New Roman" w:eastAsia="仿宋_GB2312"/>
          <w:sz w:val="32"/>
          <w:szCs w:val="32"/>
        </w:rPr>
        <w:t>城中村</w:t>
      </w:r>
      <w:r>
        <w:rPr>
          <w:rFonts w:hint="eastAsia" w:ascii="仿宋_GB2312" w:hAnsi="Times New Roman" w:eastAsia="仿宋_GB2312"/>
          <w:sz w:val="32"/>
          <w:szCs w:val="32"/>
        </w:rPr>
        <w:t>现象开始显现。在城市</w:t>
      </w:r>
      <w:r>
        <w:rPr>
          <w:rFonts w:ascii="仿宋_GB2312" w:hAnsi="Times New Roman" w:eastAsia="仿宋_GB2312"/>
          <w:sz w:val="32"/>
          <w:szCs w:val="32"/>
        </w:rPr>
        <w:t>整体</w:t>
      </w:r>
      <w:r>
        <w:rPr>
          <w:rFonts w:hint="eastAsia" w:ascii="仿宋_GB2312" w:hAnsi="Times New Roman" w:eastAsia="仿宋_GB2312"/>
          <w:sz w:val="32"/>
          <w:szCs w:val="32"/>
        </w:rPr>
        <w:t>形象打造上压力较大。</w:t>
      </w:r>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面对经济发展新常态和第一个百年奋斗目标，如何以有限的要素资源、环境容量和综合承载能力统筹好经济社会与生态环境同步健康发展，如何统筹弥合城乡发展差距、补齐民生短板、提高保障水平、推进基本公共服务全覆盖与均衡化以及带动少数民族贫困地区实现全面小康，进一步把柳东新区引入科学发展、可持续发展和包容性发展的良性轨道，都是“十三五”时期必须直面和解决的重大课题。我们要坚定信心，坚持加快发展不动摇，充分发挥比较优势，主动适应新常态，把握新机遇，应对新挑战，实现新作为，一张蓝图绘到底，奋力开创“十三五”时期柳东新区发展新局面。</w:t>
      </w:r>
    </w:p>
    <w:p>
      <w:pPr>
        <w:spacing w:line="600" w:lineRule="exact"/>
        <w:ind w:firstLine="643" w:firstLineChars="200"/>
        <w:rPr>
          <w:rFonts w:ascii="仿宋_GB2312" w:hAnsi="Times New Roman" w:eastAsia="仿宋_GB2312"/>
          <w:b/>
          <w:sz w:val="32"/>
          <w:szCs w:val="32"/>
        </w:rPr>
      </w:pPr>
    </w:p>
    <w:p>
      <w:pPr>
        <w:pStyle w:val="2"/>
        <w:spacing w:before="0" w:after="0" w:line="600" w:lineRule="exact"/>
        <w:jc w:val="center"/>
        <w:rPr>
          <w:rStyle w:val="31"/>
          <w:rFonts w:ascii="Times New Roman" w:hAnsi="Times New Roman" w:eastAsia="黑体" w:cs="Times New Roman"/>
          <w:color w:val="auto"/>
          <w:sz w:val="32"/>
          <w:szCs w:val="32"/>
          <w:u w:val="none"/>
          <w:lang w:val="zh-CN"/>
        </w:rPr>
      </w:pPr>
      <w:bookmarkStart w:id="8" w:name="_Toc458171775"/>
      <w:r>
        <w:rPr>
          <w:rStyle w:val="31"/>
          <w:rFonts w:hint="eastAsia" w:ascii="Times New Roman" w:hAnsi="Times New Roman" w:eastAsia="黑体" w:cs="Times New Roman"/>
          <w:color w:val="auto"/>
          <w:sz w:val="32"/>
          <w:szCs w:val="32"/>
          <w:u w:val="none"/>
          <w:lang w:val="zh-CN"/>
        </w:rPr>
        <w:t xml:space="preserve">第四章 </w:t>
      </w:r>
      <w:r>
        <w:rPr>
          <w:rStyle w:val="31"/>
          <w:rFonts w:hint="eastAsia" w:ascii="Times New Roman" w:hAnsi="Times New Roman" w:eastAsia="黑体" w:cs="Times New Roman"/>
          <w:color w:val="auto"/>
          <w:sz w:val="32"/>
          <w:szCs w:val="32"/>
          <w:u w:val="none"/>
          <w:lang w:val="zh-CN" w:eastAsia="zh-CN"/>
        </w:rPr>
        <w:t>“十三五”</w:t>
      </w:r>
      <w:r>
        <w:rPr>
          <w:rStyle w:val="31"/>
          <w:rFonts w:hint="eastAsia" w:ascii="Times New Roman" w:hAnsi="Times New Roman" w:eastAsia="黑体" w:cs="Times New Roman"/>
          <w:color w:val="auto"/>
          <w:sz w:val="32"/>
          <w:szCs w:val="32"/>
          <w:u w:val="none"/>
          <w:lang w:val="zh-CN"/>
        </w:rPr>
        <w:t>的发展蓝图</w:t>
      </w:r>
      <w:bookmarkEnd w:id="8"/>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三五”期，必须准确把握柳东新区所处的历史方位和阶段性特征，准确把握新常态下的新趋势新特点，努力在柳州成为西江经济带龙头城市的进程中发挥实业引擎和开放引擎作用，在为全局战略的实施做出积极贡献的同时加快自身发展，奋力走出一条新常态下具有柳东特色的发展之路。</w:t>
      </w:r>
    </w:p>
    <w:p/>
    <w:p>
      <w:pPr>
        <w:pStyle w:val="4"/>
        <w:spacing w:before="0" w:after="0" w:line="600" w:lineRule="exact"/>
        <w:jc w:val="center"/>
        <w:rPr>
          <w:rFonts w:ascii="Times New Roman" w:hAnsi="Times New Roman" w:eastAsia="楷体" w:cs="Times New Roman"/>
          <w:kern w:val="0"/>
          <w:lang w:val="zh-CN" w:eastAsia="zh-CN"/>
        </w:rPr>
      </w:pPr>
      <w:bookmarkStart w:id="9" w:name="_Toc458171776"/>
      <w:r>
        <w:rPr>
          <w:rFonts w:hint="eastAsia" w:ascii="Times New Roman" w:hAnsi="Times New Roman" w:eastAsia="楷体" w:cs="Times New Roman"/>
          <w:kern w:val="0"/>
          <w:lang w:val="zh-CN" w:eastAsia="zh-CN"/>
        </w:rPr>
        <w:t>第一节 指导思想</w:t>
      </w:r>
      <w:bookmarkEnd w:id="9"/>
    </w:p>
    <w:p>
      <w:pPr>
        <w:tabs>
          <w:tab w:val="left" w:pos="720"/>
        </w:tabs>
        <w:spacing w:line="360" w:lineRule="atLeast"/>
        <w:ind w:firstLine="640" w:firstLineChars="200"/>
        <w:rPr>
          <w:rFonts w:ascii="Times New Roman" w:hAnsi="Times New Roman" w:eastAsia="宋体" w:cs="Times New Roman"/>
          <w:sz w:val="21"/>
          <w:szCs w:val="21"/>
        </w:rPr>
      </w:pPr>
      <w:r>
        <w:rPr>
          <w:rFonts w:ascii="Times New Roman" w:hAnsi="Times New Roman" w:eastAsia="仿宋_GB2312"/>
          <w:sz w:val="32"/>
          <w:szCs w:val="32"/>
        </w:rPr>
        <w:t>高举中国特色社会主义伟大旗帜，全面贯彻党的十八大和十八届三中、四中、五中全会精神，以马克思列宁主义、毛泽东思想、邓小平理论、“三个代表”重要思想、科学发展观为指导，深入贯彻习近平总书记系列重要讲话精神，按照“五位一体”总体布局和“四个全面”战略布局，围绕自治区党委十届六次全会部署和“两个建成”奋斗目标，坚持发展第一要务，以提高发展质量和效益为中心，牢固树立创新发展、协调发展、绿色发展、开放发展、共享发展理念，深入实施“实业兴市，开放强柳”战略，充分发挥实业引擎和开放引擎作用，加快形成引领经济发展新常态的体制机制和发展方式，全面加快结构调整和转型升级，进一步做强产业、做好民生、做优环境，</w:t>
      </w:r>
      <w:r>
        <w:rPr>
          <w:rFonts w:hint="eastAsia" w:ascii="Times New Roman" w:hAnsi="Times New Roman" w:eastAsia="仿宋_GB2312"/>
          <w:sz w:val="32"/>
          <w:szCs w:val="32"/>
        </w:rPr>
        <w:t>围绕全面建成广西柳州汽车城和创新型特色园区等核心任务，以建设“国际一流，世界先进”汽车城为目标，以保障和改善民生为出发点和落脚点，坚持“产城融合、生态引领、创新驱动、特色新城”战略，充分发挥区位、产业、人文、科教优势，着力构建特色鲜明的城市空间体系，着力构造现代产业体系，着力完善公共服务设施体系，着力推进新型城镇化体系，着力提升改革与技术创新水平，强化生态环境保护，努力在</w:t>
      </w:r>
      <w:r>
        <w:rPr>
          <w:rFonts w:ascii="Times New Roman" w:hAnsi="Times New Roman" w:eastAsia="仿宋_GB2312"/>
          <w:sz w:val="32"/>
          <w:szCs w:val="32"/>
        </w:rPr>
        <w:t>“</w:t>
      </w:r>
      <w:r>
        <w:rPr>
          <w:rFonts w:hint="eastAsia" w:ascii="Times New Roman" w:hAnsi="Times New Roman" w:eastAsia="仿宋_GB2312"/>
          <w:sz w:val="32"/>
          <w:szCs w:val="32"/>
        </w:rPr>
        <w:t>十三五</w:t>
      </w:r>
      <w:r>
        <w:rPr>
          <w:rFonts w:ascii="Times New Roman" w:hAnsi="Times New Roman" w:eastAsia="仿宋_GB2312"/>
          <w:sz w:val="32"/>
          <w:szCs w:val="32"/>
        </w:rPr>
        <w:t>”</w:t>
      </w:r>
      <w:r>
        <w:rPr>
          <w:rFonts w:hint="eastAsia" w:ascii="Times New Roman" w:hAnsi="Times New Roman" w:eastAsia="仿宋_GB2312"/>
          <w:sz w:val="32"/>
          <w:szCs w:val="32"/>
        </w:rPr>
        <w:t>期未成</w:t>
      </w:r>
      <w:r>
        <w:rPr>
          <w:rFonts w:ascii="Times New Roman" w:hAnsi="Times New Roman" w:eastAsia="仿宋_GB2312"/>
          <w:sz w:val="32"/>
          <w:szCs w:val="32"/>
        </w:rPr>
        <w:t>为</w:t>
      </w:r>
      <w:r>
        <w:rPr>
          <w:rFonts w:hint="eastAsia" w:ascii="Times New Roman" w:hAnsi="Times New Roman" w:eastAsia="仿宋_GB2312"/>
          <w:sz w:val="32"/>
          <w:szCs w:val="32"/>
        </w:rPr>
        <w:t>西江经济带发展新引擎、国家高新区建设先进区、全国汽车产业发展新高地、产城融合示范区。</w:t>
      </w:r>
    </w:p>
    <w:p>
      <w:pPr>
        <w:pStyle w:val="4"/>
        <w:spacing w:before="0" w:after="0" w:line="600" w:lineRule="exact"/>
        <w:jc w:val="center"/>
        <w:rPr>
          <w:rFonts w:ascii="Times New Roman" w:hAnsi="Times New Roman" w:eastAsia="楷体" w:cs="Times New Roman"/>
          <w:kern w:val="0"/>
          <w:lang w:val="zh-CN" w:eastAsia="zh-CN"/>
        </w:rPr>
      </w:pPr>
      <w:bookmarkStart w:id="10" w:name="_Toc458171777"/>
      <w:r>
        <w:rPr>
          <w:rFonts w:hint="eastAsia" w:ascii="Times New Roman" w:hAnsi="Times New Roman" w:eastAsia="楷体" w:cs="Times New Roman"/>
          <w:kern w:val="0"/>
          <w:lang w:val="zh-CN" w:eastAsia="zh-CN"/>
        </w:rPr>
        <w:t>第二节 发展原则</w:t>
      </w:r>
      <w:bookmarkEnd w:id="10"/>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推动“十三五”期柳东新区发展，必须做到“六个坚持、六个驱动”。</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坚持实业兴市，开放驱动原则。</w:t>
      </w:r>
      <w:r>
        <w:rPr>
          <w:rFonts w:hint="eastAsia" w:ascii="仿宋_GB2312" w:hAnsi="Times New Roman" w:eastAsia="仿宋_GB2312"/>
          <w:sz w:val="32"/>
          <w:szCs w:val="32"/>
        </w:rPr>
        <w:t>咬住实业不放松，把工业、服务业和农业产业化作为发展实体经济的主战场，促进三次产业紧密融合、协同发展，以实体经济的大发展带动新型工业化、城镇化的大提升。坚持开放不动摇，积极融入区域开放合作，汇聚优势发展资源，使柳东新区成为吸纳聚集资源的洼地、创新创业发展的福地。</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坚持创新发展，科技驱动原则。</w:t>
      </w:r>
      <w:r>
        <w:rPr>
          <w:rFonts w:hint="eastAsia" w:ascii="仿宋_GB2312" w:hAnsi="Times New Roman" w:eastAsia="仿宋_GB2312" w:cs="Times New Roman"/>
          <w:sz w:val="32"/>
          <w:szCs w:val="32"/>
        </w:rPr>
        <w:t>立足柳东综合优势，紧紧抓住发展第一要务，积极发展主导产业，确保主导产业领头地位，确保经济平稳较快增长良好势头。坚持发展速度与结构、质量、效益相统一，促进经济增长向依靠消费、投资、出口协调拉动转变。率先在转变发展模式、完善体制机制、突破资源瓶颈、构建和谐社会等方面实现突破，努力在区域发展中发挥示范带动作用。充分发挥新区职教园在科技教育上的资源优势，利用“一带一路”“互联网+”“东盟自贸区”等国家大政策指导下所赋予的先行发展的机遇，加大统筹科技资源改革力度，进一步提高科教资源对经济的贡献度，创造性的物流港口经济和生产性服务业，打造广西内陆开发开放高地。深化重点领域和关键环节改革，为经济社会发展提供体制机制保障。</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坚持提质增效，产业驱动原则。</w:t>
      </w:r>
      <w:r>
        <w:rPr>
          <w:rFonts w:hint="eastAsia" w:ascii="仿宋_GB2312" w:hAnsi="Times New Roman" w:eastAsia="仿宋_GB2312"/>
          <w:sz w:val="32"/>
          <w:szCs w:val="32"/>
        </w:rPr>
        <w:t>围绕构建具有核心竞争优势的现代产业体系，加大经济结构调整力度，力争总量提质、分量提速，把发展的着力点更多转到提高质量和效益上来，推动产业转型升级。进一步提升城市价值品质，重点提升区域集聚能力、产业配套能力和综合服务能力，逐步实现产城人融合发展的新格局。</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坚持协调发展，城乡驱动原则。</w:t>
      </w:r>
      <w:r>
        <w:rPr>
          <w:rFonts w:hint="eastAsia" w:ascii="仿宋_GB2312" w:hAnsi="Times New Roman" w:eastAsia="仿宋_GB2312"/>
          <w:sz w:val="32"/>
          <w:szCs w:val="32"/>
        </w:rPr>
        <w:t>突出发展的平衡性、协调性和可持续性，坚持区域协同、补齐短板、“四化”同步，在协调发展中拓宽发展空间，在加强薄弱领域中增强发展后劲。</w:t>
      </w:r>
      <w:r>
        <w:rPr>
          <w:rFonts w:hint="eastAsia" w:ascii="仿宋_GB2312" w:hAnsi="Times New Roman" w:eastAsia="仿宋_GB2312" w:cs="Times New Roman"/>
          <w:sz w:val="32"/>
          <w:szCs w:val="32"/>
        </w:rPr>
        <w:t>把发展的出发点和落脚点真正放在富民、惠民和安民上，着力促进城乡区域发展相协调，人口资源环境相协调，改革发展稳定相协调，经济发展与社会进步相协调，使全区人民共享经济发展成果，进一步增强市民幸福感和满意度。</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坚持绿色发展，环境驱动原则。</w:t>
      </w:r>
      <w:r>
        <w:rPr>
          <w:rFonts w:hint="eastAsia" w:ascii="仿宋_GB2312" w:hAnsi="Times New Roman" w:eastAsia="仿宋_GB2312" w:cs="Times New Roman"/>
          <w:sz w:val="32"/>
          <w:szCs w:val="32"/>
        </w:rPr>
        <w:t>把建设资源节约型、环境友好型社会作为可持续发展的根本举措，把节能减排和低碳发展上升到更加重要的位臵，减轻快速发展对资源和环境的压力，加大绿色投资，倡导绿色消费，促进绿色增长，实现经济效益与生态效益的有机统一，确保新区在更长时间内保持又好又快的发展态势。</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坚持共享兼顾，新型城镇化驱动原则。</w:t>
      </w:r>
      <w:r>
        <w:rPr>
          <w:rFonts w:ascii="仿宋_GB2312" w:hAnsi="Times New Roman" w:eastAsia="仿宋_GB2312" w:cs="Times New Roman"/>
          <w:sz w:val="32"/>
          <w:szCs w:val="32"/>
        </w:rPr>
        <w:t>是以城乡统筹、城乡一体、产城互动、节约集约、生态宜居、和谐发展为基本特征</w:t>
      </w:r>
      <w:r>
        <w:rPr>
          <w:rFonts w:hint="eastAsia" w:ascii="仿宋_GB2312" w:hAnsi="Times New Roman" w:eastAsia="仿宋_GB2312" w:cs="Times New Roman"/>
          <w:sz w:val="32"/>
          <w:szCs w:val="32"/>
        </w:rPr>
        <w:t>，坚持城市与</w:t>
      </w:r>
      <w:r>
        <w:rPr>
          <w:rFonts w:ascii="仿宋_GB2312" w:hAnsi="Times New Roman" w:eastAsia="仿宋_GB2312" w:cs="Times New Roman"/>
          <w:sz w:val="32"/>
          <w:szCs w:val="32"/>
        </w:rPr>
        <w:t>新型农村社区协调发展、互促共进</w:t>
      </w:r>
      <w:r>
        <w:rPr>
          <w:rFonts w:hint="eastAsia" w:ascii="仿宋_GB2312" w:hAnsi="Times New Roman" w:eastAsia="仿宋_GB2312" w:cs="Times New Roman"/>
          <w:sz w:val="32"/>
          <w:szCs w:val="32"/>
        </w:rPr>
        <w:t>，</w:t>
      </w:r>
      <w:r>
        <w:rPr>
          <w:rFonts w:ascii="仿宋_GB2312" w:hAnsi="Times New Roman" w:eastAsia="仿宋_GB2312" w:cs="Times New Roman"/>
          <w:sz w:val="32"/>
          <w:szCs w:val="32"/>
        </w:rPr>
        <w:t>以提升城市文化、公共服务等内涵为中心</w:t>
      </w:r>
      <w:r>
        <w:rPr>
          <w:rFonts w:hint="eastAsia" w:ascii="仿宋_GB2312" w:hAnsi="Times New Roman" w:eastAsia="仿宋_GB2312" w:cs="Times New Roman"/>
          <w:sz w:val="32"/>
          <w:szCs w:val="32"/>
        </w:rPr>
        <w:t>，实现全面统一的城镇化</w:t>
      </w:r>
      <w:r>
        <w:rPr>
          <w:rFonts w:ascii="仿宋_GB2312" w:hAnsi="Times New Roman" w:eastAsia="仿宋_GB2312" w:cs="Times New Roman"/>
          <w:sz w:val="32"/>
          <w:szCs w:val="32"/>
        </w:rPr>
        <w:t>。</w:t>
      </w:r>
    </w:p>
    <w:p>
      <w:pPr>
        <w:pStyle w:val="4"/>
        <w:spacing w:before="0" w:after="0" w:line="600" w:lineRule="exact"/>
        <w:jc w:val="center"/>
        <w:rPr>
          <w:rFonts w:ascii="Times New Roman" w:hAnsi="Times New Roman" w:eastAsia="楷体" w:cs="Times New Roman"/>
          <w:kern w:val="0"/>
          <w:lang w:val="zh-CN" w:eastAsia="zh-CN"/>
        </w:rPr>
      </w:pPr>
      <w:bookmarkStart w:id="11" w:name="_Toc458171778"/>
      <w:r>
        <w:rPr>
          <w:rFonts w:hint="eastAsia" w:ascii="Times New Roman" w:hAnsi="Times New Roman" w:eastAsia="楷体" w:cs="Times New Roman"/>
          <w:kern w:val="0"/>
          <w:lang w:val="zh-CN" w:eastAsia="zh-CN"/>
        </w:rPr>
        <w:t>第三节 发展目标</w:t>
      </w:r>
      <w:bookmarkEnd w:id="11"/>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sz w:val="32"/>
          <w:szCs w:val="32"/>
        </w:rPr>
        <w:t>“十三五”期，综合考虑未来五年发展趋势和柳东新区发展实际，今后五年主要发展目标是：</w:t>
      </w:r>
      <w:r>
        <w:rPr>
          <w:rFonts w:hint="eastAsia" w:ascii="仿宋_GB2312" w:hAnsi="Times New Roman" w:eastAsia="仿宋_GB2312" w:cs="Times New Roman"/>
          <w:sz w:val="32"/>
          <w:szCs w:val="32"/>
        </w:rPr>
        <w:t>全面推进国际一流汽车城建设，初步形成产城融合示范区基本框架。</w:t>
      </w:r>
    </w:p>
    <w:p>
      <w:pPr>
        <w:spacing w:line="60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最终实现新区经济实力明显增强，在柳州市的战略地位进一步提升；统筹职教园区、商务中心区建设取得成效，科技对经济增长的贡献度显著提高，力争建成柳州一流创新型新区；全国重要的汽车制造业基地和高新技术产业基地实力进一步增强，战略性新兴产业蓬勃发展，在柳州产业布局中的地位得到进一步提升；彰显新区特色的城市文明建设加快实施，柳东人文特色得到充分发挥。</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cs="Times New Roman"/>
          <w:b/>
          <w:sz w:val="32"/>
          <w:szCs w:val="32"/>
        </w:rPr>
        <w:t>经济实力实现新跨越。</w:t>
      </w:r>
      <w:r>
        <w:rPr>
          <w:rFonts w:hint="eastAsia" w:ascii="仿宋_GB2312" w:hAnsi="Times New Roman" w:eastAsia="仿宋_GB2312" w:cs="Times New Roman"/>
          <w:sz w:val="32"/>
          <w:szCs w:val="32"/>
        </w:rPr>
        <w:t>到2020年，</w:t>
      </w:r>
      <w:r>
        <w:rPr>
          <w:rFonts w:hint="eastAsia" w:ascii="仿宋_GB2312" w:hAnsi="Times New Roman" w:eastAsia="仿宋_GB2312"/>
          <w:sz w:val="32"/>
          <w:szCs w:val="32"/>
        </w:rPr>
        <w:t>经济增速高于全区、全市水平，地区生产总值年均增长</w:t>
      </w:r>
      <w:r>
        <w:rPr>
          <w:rFonts w:hint="eastAsia" w:ascii="仿宋_GB2312" w:hAnsi="Times New Roman" w:eastAsia="仿宋_GB2312" w:cs="Times New Roman"/>
          <w:sz w:val="32"/>
          <w:szCs w:val="32"/>
        </w:rPr>
        <w:t>10%；</w:t>
      </w:r>
      <w:r>
        <w:rPr>
          <w:rFonts w:hint="eastAsia" w:ascii="仿宋_GB2312" w:hAnsi="Times New Roman" w:eastAsia="仿宋_GB2312"/>
          <w:sz w:val="32"/>
          <w:szCs w:val="32"/>
        </w:rPr>
        <w:t>财政收入年均增长达到28％，</w:t>
      </w:r>
      <w:r>
        <w:rPr>
          <w:rFonts w:hint="eastAsia" w:ascii="仿宋_GB2312" w:hAnsi="Times New Roman" w:eastAsia="仿宋_GB2312" w:cs="Times New Roman"/>
          <w:sz w:val="32"/>
          <w:szCs w:val="32"/>
        </w:rPr>
        <w:t>财政收入超过80亿元；</w:t>
      </w:r>
      <w:r>
        <w:rPr>
          <w:rFonts w:hint="eastAsia" w:ascii="仿宋_GB2312" w:hAnsi="Times New Roman" w:eastAsia="仿宋_GB2312"/>
          <w:sz w:val="32"/>
          <w:szCs w:val="32"/>
        </w:rPr>
        <w:t>规模以上工业增加值年均增长12％，</w:t>
      </w:r>
      <w:r>
        <w:rPr>
          <w:rFonts w:hint="eastAsia" w:ascii="仿宋_GB2312" w:hAnsi="Times New Roman" w:eastAsia="仿宋_GB2312" w:cs="Times New Roman"/>
          <w:sz w:val="32"/>
          <w:szCs w:val="32"/>
        </w:rPr>
        <w:t>总产值达到1800亿元；全社会固定资产投资年均增长15%，</w:t>
      </w:r>
      <w:r>
        <w:rPr>
          <w:rFonts w:hint="eastAsia" w:ascii="仿宋_GB2312" w:hAnsi="Times New Roman" w:eastAsia="仿宋_GB2312"/>
          <w:sz w:val="32"/>
          <w:szCs w:val="32"/>
        </w:rPr>
        <w:t>社会消费品零售总额年均增长10％，价格总水平保持稳定，经济发展的质量和效益显著提高，新区</w:t>
      </w:r>
      <w:r>
        <w:rPr>
          <w:rFonts w:hint="eastAsia" w:ascii="仿宋_GB2312" w:hAnsi="Times New Roman" w:eastAsia="仿宋_GB2312" w:cs="Times New Roman"/>
          <w:sz w:val="32"/>
          <w:szCs w:val="32"/>
        </w:rPr>
        <w:t>经济实力实现新跨越</w:t>
      </w:r>
      <w:r>
        <w:rPr>
          <w:rFonts w:hint="eastAsia" w:ascii="仿宋_GB2312" w:hAnsi="Times New Roman" w:eastAsia="仿宋_GB2312"/>
          <w:sz w:val="32"/>
          <w:szCs w:val="32"/>
        </w:rPr>
        <w:t>，在柳州的战略地位逐步提升。</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经济结构得到新提升。</w:t>
      </w:r>
      <w:r>
        <w:rPr>
          <w:rFonts w:hint="eastAsia" w:ascii="仿宋_GB2312" w:hAnsi="Times New Roman" w:eastAsia="仿宋_GB2312" w:cs="Times New Roman"/>
          <w:sz w:val="32"/>
          <w:szCs w:val="32"/>
        </w:rPr>
        <w:t>第三产业比重逐渐提升，到2020年，新区服务业增加值占GDP比重突破35%，生产性服务业增加值占服务业增加值比重达到60%左右。三次产业比重明显改善，至2020年，三次产业结构调整为4:64:32。</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b/>
          <w:sz w:val="32"/>
          <w:szCs w:val="32"/>
        </w:rPr>
        <w:t>转型升级发展成效显著。</w:t>
      </w:r>
      <w:r>
        <w:rPr>
          <w:rFonts w:hint="eastAsia" w:ascii="仿宋_GB2312" w:hAnsi="Times New Roman" w:eastAsia="仿宋_GB2312"/>
          <w:sz w:val="32"/>
          <w:szCs w:val="32"/>
        </w:rPr>
        <w:t>新型工业化、城镇化、信息化、农业现代化实现同步发展。战略性新兴产业和服务业占比明显提高，工业化信息化水平明显提高，工业化加快向后期阶段过渡。战略性新兴产业蓬勃发展，具有柳东特色和比较优势的现代产业体系基本形成，经济质量和竞争力全面提升，区域性先进制造业基地实力显著提高，引领西江经济带和高铁经济带产业发展。城镇化协调同步推进，加快城镇化进程，全区常住人口城镇化率达</w:t>
      </w:r>
      <w:r>
        <w:rPr>
          <w:rFonts w:ascii="仿宋_GB2312" w:hAnsi="Times New Roman" w:eastAsia="仿宋_GB2312"/>
          <w:sz w:val="32"/>
          <w:szCs w:val="32"/>
        </w:rPr>
        <w:t>70</w:t>
      </w:r>
      <w:r>
        <w:rPr>
          <w:rFonts w:hint="eastAsia" w:ascii="仿宋_GB2312" w:hAnsi="Times New Roman" w:eastAsia="仿宋_GB2312"/>
          <w:sz w:val="32"/>
          <w:szCs w:val="32"/>
        </w:rPr>
        <w:t>％。主体功能区基本形成，空间布局进一步优化。</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创新能力实现新突破。</w:t>
      </w:r>
      <w:r>
        <w:rPr>
          <w:rFonts w:hint="eastAsia" w:ascii="仿宋_GB2312" w:hAnsi="Times New Roman" w:eastAsia="仿宋_GB2312" w:cs="Times New Roman"/>
          <w:sz w:val="32"/>
          <w:szCs w:val="32"/>
        </w:rPr>
        <w:t>推动理论创新、制度创新、科技创新、文化创新上新的水平，人才强区战略扎实推进，让创新在全社会蔚然成风，基本形成适应创新驱动发展要求的制度环境。创新链条构建完善，全社会研发投入占地区生产总值比重达到</w:t>
      </w:r>
      <w:r>
        <w:rPr>
          <w:rFonts w:ascii="仿宋_GB2312" w:hAnsi="Times New Roman" w:eastAsia="仿宋_GB2312" w:cs="Times New Roman"/>
          <w:sz w:val="32"/>
          <w:szCs w:val="32"/>
        </w:rPr>
        <w:t>2.6</w:t>
      </w:r>
      <w:r>
        <w:rPr>
          <w:rFonts w:hint="eastAsia" w:ascii="仿宋_GB2312" w:hAnsi="Times New Roman" w:eastAsia="仿宋_GB2312" w:cs="Times New Roman"/>
          <w:sz w:val="32"/>
          <w:szCs w:val="32"/>
        </w:rPr>
        <w:t>％以上。企业创新主体地位确立，创新型领军企业加快成长，一批重大创新平台建成，创新型中小企业大批涌现，高新技术企业大幅增加。城市创新能力明显提升，科技进步贡献率不断提高，区域创新创业生态体系更趋完善，大众创业、万众创新局面生动，柳东新区进入创新型特色新区行列。建设创新型新区，职教园区建设取得明显进展，不断加大研发投入，到2020年新区R&amp;D经费投入预计达到3360万元。</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空间体系逐渐鲜明。</w:t>
      </w:r>
      <w:r>
        <w:rPr>
          <w:rFonts w:hint="eastAsia" w:ascii="仿宋_GB2312" w:hAnsi="Times New Roman" w:eastAsia="仿宋_GB2312" w:cs="Times New Roman"/>
          <w:sz w:val="32"/>
          <w:szCs w:val="32"/>
        </w:rPr>
        <w:t>构建特色鲜明的城市发展框架，提升新区综合服务能力。明确城市发展方向与发展骨架，完善新区服务功能，培育和建设六个服务中心、六个城市发展板块。</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生态建设取得新进展。</w:t>
      </w:r>
      <w:r>
        <w:rPr>
          <w:rFonts w:hint="eastAsia" w:ascii="仿宋_GB2312" w:hAnsi="Times New Roman" w:eastAsia="仿宋_GB2312"/>
          <w:sz w:val="32"/>
          <w:szCs w:val="32"/>
        </w:rPr>
        <w:t>生态文明理念贯穿经济社会发展全过程，能源资源开发利用效率大幅提高，大气、水、土壤等污染得到有效整治，质量明显提高。单位生产总值能耗和二氧化碳排放大幅度下降，主要污染物排放总量显著减少，柳州下达节能减排目标任务全面完成。到2020年，生态文明制度建立健全，绿色生产生活方式初步建立，生产空间、生活空间、生态空间科学布局，天蓝、地绿、水清、村美的生态环境基本展现，森林覆盖率达到65％，</w:t>
      </w:r>
      <w:r>
        <w:rPr>
          <w:rFonts w:hint="eastAsia" w:ascii="仿宋_GB2312" w:hAnsi="Times New Roman" w:eastAsia="仿宋_GB2312" w:cs="Times New Roman"/>
          <w:sz w:val="32"/>
          <w:szCs w:val="32"/>
        </w:rPr>
        <w:t>达到生态城市标准；城镇污水、生活垃圾无害化处理率达到95%。</w: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民生改善达到新水平。</w:t>
      </w:r>
      <w:r>
        <w:rPr>
          <w:rFonts w:hint="eastAsia" w:ascii="仿宋_GB2312" w:hAnsi="Times New Roman" w:eastAsia="仿宋_GB2312" w:cs="Times New Roman"/>
          <w:sz w:val="32"/>
          <w:szCs w:val="32"/>
        </w:rPr>
        <w:t>城乡居民收入保持两位数增长，收入差距缩小，中等收入人口比重上升。现行标准下农村贫困人口实现全脱贫，贫困乡镇、贫困村全部摘帽，基本消灭绝对贫困。全面普及高中阶段教育，从业人员平均受教育年限达到12年以上，教育现代化基本实现。建立覆盖城乡居民的基本医疗卫生体系和社会保障体系。城乡居民收入持续增加，到2020年，城镇居民人均可支配收入和农村居民人均纯收入比2015年翻一番。</w:t>
      </w:r>
    </w:p>
    <w:p>
      <w:pPr>
        <w:pStyle w:val="24"/>
        <w:spacing w:before="0" w:beforeAutospacing="0" w:after="0" w:afterAutospacing="0" w:line="600" w:lineRule="exact"/>
        <w:ind w:firstLine="643" w:firstLineChars="200"/>
        <w:jc w:val="both"/>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改革开放全面深入推进。</w:t>
      </w:r>
      <w:r>
        <w:rPr>
          <w:rFonts w:hint="eastAsia" w:ascii="仿宋_GB2312" w:hAnsi="Times New Roman" w:eastAsia="仿宋_GB2312" w:cs="Times New Roman"/>
          <w:sz w:val="32"/>
          <w:szCs w:val="32"/>
        </w:rPr>
        <w:t>全面完成自治区、市委、区委提出的改革任务，发挥国家新型城镇化试点城市等先行先试的作用，注重体制机制创新，重要领域和关键环节改革取得决定性成果，形成一批可复制可推广的经验，各方面制度更加成熟更加定型，城市治理体系和治理能力现代化水平进一步提高。实施更加主动的开放战略，成为</w:t>
      </w:r>
      <w:r>
        <w:rPr>
          <w:rFonts w:hint="eastAsia" w:ascii="仿宋_GB2312" w:hAnsi="Times New Roman" w:eastAsia="仿宋_GB2312" w:cs="Times New Roman"/>
          <w:sz w:val="32"/>
          <w:szCs w:val="32"/>
          <w:lang w:eastAsia="zh-CN"/>
        </w:rPr>
        <w:t>“一带一路”倡议</w:t>
      </w:r>
      <w:r>
        <w:rPr>
          <w:rFonts w:hint="eastAsia" w:ascii="仿宋_GB2312" w:hAnsi="Times New Roman" w:eastAsia="仿宋_GB2312" w:cs="Times New Roman"/>
          <w:sz w:val="32"/>
          <w:szCs w:val="32"/>
        </w:rPr>
        <w:t>节点城市，高水平开放型经济更加活跃，城市竞争力和影响力明显增强，国际化水平大幅提升。重要领域和关键环节改革取得决定性成果，现代市场体系日趋完善，资源配置的市场化机制进一步健全。</w:t>
      </w:r>
    </w:p>
    <w:p>
      <w:pPr>
        <w:pStyle w:val="24"/>
        <w:spacing w:before="0" w:beforeAutospacing="0" w:after="0" w:afterAutospacing="0" w:line="600" w:lineRule="exact"/>
        <w:ind w:firstLine="643" w:firstLineChars="200"/>
        <w:jc w:val="both"/>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社会文明程度显著提高。</w:t>
      </w:r>
      <w:r>
        <w:rPr>
          <w:rFonts w:hint="eastAsia" w:ascii="仿宋_GB2312" w:hAnsi="Times New Roman" w:eastAsia="仿宋_GB2312" w:cs="Times New Roman"/>
          <w:sz w:val="32"/>
          <w:szCs w:val="32"/>
        </w:rPr>
        <w:t>文化强区建设取得显著成效，市民素质、社会文明程度以及文化软实力显著提升。中国梦和社会主义核心价值观更加深入人心，爱国主义、集体主义、社会主义思想广泛弘扬，社会文明风尚更加浓厚，文明城市建设深入推进，市民思想道德素质、科学文化素质、健康素质明显提高，全社会法治意识不断增强。公共文化服务体系全面建成，文化产业成为重要支柱产业，城市品牌形象显著提升。民主法治建设全面加强，民主制度更加健全，民主形式更加丰富，基层民主参选率大幅提高。城乡社区自治能力显著增强。依法治柳战略全面落实，司法公信力显著提高，人权得到切实尊重和保障。创新社会治理工作取得新进展，依法治市成效显著，法治服务型政府基本形成，政府公信力和执行力明显提高，社会安定有序和谐，经济社会发展充满活力。</w:t>
      </w:r>
    </w:p>
    <w:p>
      <w:pPr>
        <w:spacing w:line="600" w:lineRule="exact"/>
        <w:jc w:val="center"/>
        <w:rPr>
          <w:rFonts w:ascii="仿宋_GB2312" w:hAnsi="Times New Roman" w:eastAsia="仿宋_GB2312"/>
          <w:kern w:val="0"/>
          <w:sz w:val="32"/>
          <w:szCs w:val="32"/>
        </w:rPr>
      </w:pPr>
      <w:r>
        <w:rPr>
          <w:rFonts w:ascii="仿宋_GB2312" w:hAnsi="Times New Roman" w:eastAsia="仿宋_GB2312"/>
          <w:kern w:val="0"/>
          <w:sz w:val="32"/>
          <w:szCs w:val="32"/>
        </w:rPr>
        <w:t>表2：“十三五”期经济社会发展主要指标</w:t>
      </w:r>
    </w:p>
    <w:tbl>
      <w:tblPr>
        <w:tblStyle w:val="27"/>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3490"/>
        <w:gridCol w:w="839"/>
        <w:gridCol w:w="1264"/>
        <w:gridCol w:w="113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b/>
                <w:szCs w:val="21"/>
              </w:rPr>
              <w:t>指标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b/>
                <w:szCs w:val="21"/>
              </w:rPr>
              <w:t>单位</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b/>
                <w:szCs w:val="21"/>
              </w:rPr>
              <w:t>2020年</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b/>
                <w:szCs w:val="21"/>
              </w:rPr>
              <w:t>年均增长（％）</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b/>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restart"/>
            <w:tcBorders>
              <w:top w:val="single" w:color="auto" w:sz="4" w:space="0"/>
              <w:left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p>
          <w:p>
            <w:pPr>
              <w:spacing w:line="280" w:lineRule="exact"/>
              <w:jc w:val="center"/>
              <w:rPr>
                <w:rFonts w:ascii="Times New Roman" w:hAnsi="Times New Roman" w:eastAsia="仿宋_GB2312"/>
                <w:b/>
                <w:szCs w:val="21"/>
              </w:rPr>
            </w:pPr>
            <w:r>
              <w:rPr>
                <w:rFonts w:ascii="Times New Roman" w:hAnsi="Times New Roman" w:eastAsia="仿宋_GB2312"/>
                <w:b/>
                <w:szCs w:val="21"/>
              </w:rPr>
              <w:t>经济发展</w:t>
            </w: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1.地区生产总值</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亿元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10</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规模以上</w:t>
            </w:r>
            <w:r>
              <w:rPr>
                <w:rFonts w:ascii="Times New Roman" w:hAnsi="Times New Roman" w:eastAsia="仿宋_GB2312"/>
                <w:szCs w:val="21"/>
              </w:rPr>
              <w:t>工业增加值</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亿元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1800</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10</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3.财政收入</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亿元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80</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4.固定资产投资</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亿元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5</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5.社会消费品零售总额</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亿元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6.外贸进出口总额</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亿美元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restart"/>
            <w:tcBorders>
              <w:top w:val="single" w:color="auto" w:sz="4" w:space="0"/>
              <w:left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7.</w:t>
            </w:r>
            <w:r>
              <w:rPr>
                <w:rFonts w:hint="eastAsia" w:ascii="Times New Roman" w:hAnsi="Times New Roman" w:eastAsia="仿宋_GB2312"/>
                <w:szCs w:val="21"/>
              </w:rPr>
              <w:t>城镇化率</w:t>
            </w:r>
          </w:p>
          <w:p>
            <w:pPr>
              <w:spacing w:line="280" w:lineRule="exact"/>
              <w:rPr>
                <w:rFonts w:ascii="Times New Roman" w:hAnsi="Times New Roman" w:eastAsia="仿宋_GB2312"/>
                <w:szCs w:val="21"/>
              </w:rPr>
            </w:pPr>
            <w:r>
              <w:rPr>
                <w:rFonts w:hint="eastAsia" w:ascii="Times New Roman" w:hAnsi="Times New Roman" w:eastAsia="仿宋_GB2312"/>
                <w:szCs w:val="21"/>
              </w:rPr>
              <w:t>其中：</w:t>
            </w:r>
            <w:r>
              <w:rPr>
                <w:rFonts w:ascii="Times New Roman" w:hAnsi="Times New Roman" w:eastAsia="仿宋_GB2312"/>
                <w:szCs w:val="21"/>
              </w:rPr>
              <w:t>常住人口城镇化率</w:t>
            </w:r>
          </w:p>
          <w:p>
            <w:pPr>
              <w:spacing w:line="280" w:lineRule="exact"/>
              <w:ind w:firstLine="840" w:firstLineChars="300"/>
              <w:rPr>
                <w:rFonts w:ascii="Times New Roman" w:hAnsi="Times New Roman" w:eastAsia="仿宋_GB2312"/>
                <w:szCs w:val="21"/>
              </w:rPr>
            </w:pPr>
            <w:r>
              <w:rPr>
                <w:rFonts w:hint="eastAsia" w:ascii="Times New Roman" w:hAnsi="Times New Roman" w:eastAsia="仿宋_GB2312"/>
                <w:szCs w:val="21"/>
              </w:rPr>
              <w:t>户籍人口城镇化率</w:t>
            </w:r>
          </w:p>
        </w:tc>
        <w:tc>
          <w:tcPr>
            <w:tcW w:w="846" w:type="dxa"/>
            <w:vMerge w:val="restart"/>
            <w:tcBorders>
              <w:top w:val="single" w:color="auto" w:sz="4" w:space="0"/>
              <w:left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p>
            <w:pPr>
              <w:spacing w:line="280" w:lineRule="exact"/>
              <w:jc w:val="center"/>
              <w:rPr>
                <w:rFonts w:ascii="Times New Roman" w:hAnsi="Times New Roman" w:eastAsia="仿宋_GB2312"/>
                <w:b/>
                <w:szCs w:val="21"/>
              </w:rPr>
            </w:pP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70</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continue"/>
            <w:tcBorders>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p>
        </w:tc>
        <w:tc>
          <w:tcPr>
            <w:tcW w:w="846" w:type="dxa"/>
            <w:vMerge w:val="continue"/>
            <w:tcBorders>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55</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restart"/>
            <w:tcBorders>
              <w:top w:val="single" w:color="auto" w:sz="4" w:space="0"/>
              <w:left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p>
          <w:p>
            <w:pPr>
              <w:spacing w:line="280" w:lineRule="exact"/>
              <w:jc w:val="center"/>
              <w:rPr>
                <w:rFonts w:ascii="Times New Roman" w:hAnsi="Times New Roman" w:eastAsia="仿宋_GB2312"/>
                <w:b/>
                <w:szCs w:val="21"/>
              </w:rPr>
            </w:pPr>
          </w:p>
          <w:p>
            <w:pPr>
              <w:spacing w:line="280" w:lineRule="exact"/>
              <w:jc w:val="center"/>
              <w:rPr>
                <w:rFonts w:ascii="Times New Roman" w:hAnsi="Times New Roman" w:eastAsia="仿宋_GB2312"/>
                <w:b/>
                <w:szCs w:val="21"/>
              </w:rPr>
            </w:pPr>
            <w:r>
              <w:rPr>
                <w:rFonts w:ascii="Times New Roman" w:hAnsi="Times New Roman" w:eastAsia="仿宋_GB2312"/>
                <w:b/>
                <w:szCs w:val="21"/>
              </w:rPr>
              <w:t>民生福祉</w:t>
            </w:r>
          </w:p>
          <w:p>
            <w:pPr>
              <w:spacing w:line="280" w:lineRule="exact"/>
              <w:jc w:val="center"/>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hint="eastAsia" w:ascii="Times New Roman" w:hAnsi="Times New Roman" w:eastAsia="仿宋_GB2312"/>
                <w:szCs w:val="21"/>
              </w:rPr>
              <w:t>8</w:t>
            </w:r>
            <w:r>
              <w:rPr>
                <w:rFonts w:ascii="Times New Roman" w:hAnsi="Times New Roman" w:eastAsia="仿宋_GB2312"/>
                <w:szCs w:val="21"/>
              </w:rPr>
              <w:t>.九年义务教育巩固率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95</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hint="eastAsia" w:ascii="Times New Roman" w:hAnsi="Times New Roman" w:eastAsia="仿宋_GB2312"/>
                <w:szCs w:val="21"/>
              </w:rPr>
              <w:t>9</w:t>
            </w:r>
            <w:r>
              <w:rPr>
                <w:rFonts w:ascii="Times New Roman" w:hAnsi="Times New Roman" w:eastAsia="仿宋_GB2312"/>
                <w:szCs w:val="21"/>
              </w:rPr>
              <w:t>.高中阶段毛入学率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9</w:t>
            </w:r>
            <w:r>
              <w:rPr>
                <w:rFonts w:hint="eastAsia" w:ascii="Times New Roman" w:hAnsi="Times New Roman" w:eastAsia="仿宋_GB2312"/>
                <w:szCs w:val="21"/>
              </w:rPr>
              <w:t>5</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0</w:t>
            </w:r>
            <w:r>
              <w:rPr>
                <w:rFonts w:ascii="Times New Roman" w:hAnsi="Times New Roman" w:eastAsia="仿宋_GB2312"/>
                <w:szCs w:val="21"/>
              </w:rPr>
              <w:t>.市区常住人口</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万人</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预期</w:t>
            </w:r>
            <w:r>
              <w:rPr>
                <w:rFonts w:ascii="Times New Roman" w:hAnsi="Times New Roman" w:eastAsia="仿宋_GB2312"/>
                <w:szCs w:val="21"/>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restart"/>
            <w:tcBorders>
              <w:top w:val="single" w:color="auto" w:sz="4" w:space="0"/>
              <w:left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1</w:t>
            </w:r>
            <w:r>
              <w:rPr>
                <w:rFonts w:ascii="Times New Roman" w:hAnsi="Times New Roman" w:eastAsia="仿宋_GB2312"/>
                <w:szCs w:val="21"/>
              </w:rPr>
              <w:t>.</w:t>
            </w:r>
            <w:r>
              <w:rPr>
                <w:rFonts w:hint="eastAsia" w:ascii="Times New Roman" w:hAnsi="Times New Roman" w:eastAsia="仿宋_GB2312"/>
                <w:szCs w:val="21"/>
              </w:rPr>
              <w:t>居民人均可支配收入</w:t>
            </w:r>
          </w:p>
          <w:p>
            <w:pPr>
              <w:spacing w:line="280" w:lineRule="exact"/>
              <w:rPr>
                <w:rFonts w:ascii="Times New Roman" w:hAnsi="Times New Roman" w:eastAsia="仿宋_GB2312"/>
                <w:szCs w:val="21"/>
              </w:rPr>
            </w:pPr>
          </w:p>
          <w:p>
            <w:pPr>
              <w:spacing w:line="280" w:lineRule="exact"/>
              <w:rPr>
                <w:rFonts w:ascii="Times New Roman" w:hAnsi="Times New Roman" w:eastAsia="仿宋_GB2312"/>
                <w:szCs w:val="21"/>
              </w:rPr>
            </w:pPr>
            <w:r>
              <w:rPr>
                <w:rFonts w:hint="eastAsia" w:ascii="Times New Roman" w:hAnsi="Times New Roman" w:eastAsia="仿宋_GB2312"/>
                <w:szCs w:val="21"/>
              </w:rPr>
              <w:t>其中：</w:t>
            </w:r>
            <w:r>
              <w:rPr>
                <w:rFonts w:ascii="Times New Roman" w:hAnsi="Times New Roman" w:eastAsia="仿宋_GB2312"/>
                <w:szCs w:val="21"/>
              </w:rPr>
              <w:t>城镇居民人均可支配收入</w:t>
            </w:r>
          </w:p>
          <w:p>
            <w:pPr>
              <w:spacing w:line="280" w:lineRule="exact"/>
              <w:rPr>
                <w:rFonts w:ascii="Times New Roman" w:hAnsi="Times New Roman" w:eastAsia="仿宋_GB2312"/>
                <w:szCs w:val="21"/>
              </w:rPr>
            </w:pPr>
          </w:p>
          <w:p>
            <w:pPr>
              <w:spacing w:line="280" w:lineRule="exact"/>
              <w:ind w:firstLine="840" w:firstLineChars="300"/>
              <w:rPr>
                <w:rFonts w:ascii="Times New Roman" w:hAnsi="Times New Roman" w:eastAsia="仿宋_GB2312"/>
                <w:szCs w:val="21"/>
              </w:rPr>
            </w:pPr>
            <w:r>
              <w:rPr>
                <w:rFonts w:hint="eastAsia" w:ascii="Times New Roman" w:hAnsi="Times New Roman" w:eastAsia="仿宋_GB2312"/>
                <w:szCs w:val="21"/>
              </w:rPr>
              <w:t>农村居民</w:t>
            </w:r>
            <w:r>
              <w:rPr>
                <w:rFonts w:ascii="Times New Roman" w:hAnsi="Times New Roman" w:eastAsia="仿宋_GB2312"/>
                <w:szCs w:val="21"/>
              </w:rPr>
              <w:t>人均</w:t>
            </w:r>
            <w:r>
              <w:rPr>
                <w:rFonts w:hint="eastAsia" w:ascii="Times New Roman" w:hAnsi="Times New Roman" w:eastAsia="仿宋_GB2312"/>
                <w:szCs w:val="21"/>
              </w:rPr>
              <w:t>可支配</w:t>
            </w:r>
            <w:r>
              <w:rPr>
                <w:rFonts w:ascii="Times New Roman" w:hAnsi="Times New Roman" w:eastAsia="仿宋_GB2312"/>
                <w:szCs w:val="21"/>
              </w:rPr>
              <w:t>收入</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continue"/>
            <w:tcBorders>
              <w:left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48000</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continue"/>
            <w:tcBorders>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18000</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2</w:t>
            </w:r>
            <w:r>
              <w:rPr>
                <w:rFonts w:ascii="Times New Roman" w:hAnsi="Times New Roman" w:eastAsia="仿宋_GB2312"/>
                <w:szCs w:val="21"/>
              </w:rPr>
              <w:t>.城镇登记失业率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按柳州市下达任务</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3</w:t>
            </w:r>
            <w:r>
              <w:rPr>
                <w:rFonts w:ascii="Times New Roman" w:hAnsi="Times New Roman" w:eastAsia="仿宋_GB2312"/>
                <w:szCs w:val="21"/>
              </w:rPr>
              <w:t>.城镇新增就业人数</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万人</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4</w:t>
            </w:r>
            <w:r>
              <w:rPr>
                <w:rFonts w:ascii="Times New Roman" w:hAnsi="Times New Roman" w:eastAsia="仿宋_GB2312"/>
                <w:szCs w:val="21"/>
              </w:rPr>
              <w:t>.贫困人口脱贫</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万人</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5</w:t>
            </w:r>
            <w:r>
              <w:rPr>
                <w:rFonts w:ascii="Times New Roman" w:hAnsi="Times New Roman" w:eastAsia="仿宋_GB2312"/>
                <w:szCs w:val="21"/>
              </w:rPr>
              <w:t>.城镇保障性住房建设和棚户区改造</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万套</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6</w:t>
            </w:r>
            <w:r>
              <w:rPr>
                <w:rFonts w:ascii="Times New Roman" w:hAnsi="Times New Roman" w:eastAsia="仿宋_GB2312"/>
                <w:szCs w:val="21"/>
              </w:rPr>
              <w:t>.人均预期寿命</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岁</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77</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7</w:t>
            </w:r>
            <w:r>
              <w:rPr>
                <w:rFonts w:ascii="Times New Roman" w:hAnsi="Times New Roman" w:eastAsia="仿宋_GB2312"/>
                <w:szCs w:val="21"/>
              </w:rPr>
              <w:t>.每千名老人养老床位数</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张</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35</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b/>
                <w:szCs w:val="21"/>
              </w:rPr>
              <w:t>创新驱动</w:t>
            </w: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8</w:t>
            </w:r>
            <w:r>
              <w:rPr>
                <w:rFonts w:ascii="Times New Roman" w:hAnsi="Times New Roman" w:eastAsia="仿宋_GB2312"/>
                <w:szCs w:val="21"/>
              </w:rPr>
              <w:t>.研究与试验发展经费支出占地区生产总值比重</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2.2</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hint="eastAsia" w:ascii="Times New Roman" w:hAnsi="Times New Roman" w:eastAsia="仿宋_GB2312"/>
                <w:szCs w:val="21"/>
              </w:rPr>
              <w:t>19</w:t>
            </w:r>
            <w:r>
              <w:rPr>
                <w:rFonts w:ascii="Times New Roman" w:hAnsi="Times New Roman" w:eastAsia="仿宋_GB2312"/>
                <w:szCs w:val="21"/>
              </w:rPr>
              <w:t>.新增劳动力平均受教育年限</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年</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1</w:t>
            </w:r>
            <w:r>
              <w:rPr>
                <w:rFonts w:hint="eastAsia" w:ascii="Times New Roman" w:hAnsi="Times New Roman" w:eastAsia="仿宋_GB2312"/>
                <w:szCs w:val="21"/>
              </w:rPr>
              <w:t>2</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0</w:t>
            </w:r>
            <w:r>
              <w:rPr>
                <w:rFonts w:ascii="Times New Roman" w:hAnsi="Times New Roman" w:eastAsia="仿宋_GB2312"/>
                <w:szCs w:val="21"/>
              </w:rPr>
              <w:t>.互联网普及率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90</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b/>
                <w:szCs w:val="21"/>
              </w:rPr>
              <w:t>生态文明</w:t>
            </w: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1</w:t>
            </w:r>
            <w:r>
              <w:rPr>
                <w:rFonts w:ascii="Times New Roman" w:hAnsi="Times New Roman" w:eastAsia="仿宋_GB2312"/>
                <w:szCs w:val="21"/>
              </w:rPr>
              <w:t>.耕地保有量</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hint="eastAsia" w:ascii="Times New Roman" w:hAnsi="Times New Roman" w:eastAsia="仿宋_GB2312"/>
                <w:szCs w:val="21"/>
              </w:rPr>
              <w:t>万亩</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按柳州市下达任务</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2</w:t>
            </w:r>
            <w:r>
              <w:rPr>
                <w:rFonts w:ascii="Times New Roman" w:hAnsi="Times New Roman" w:eastAsia="仿宋_GB2312"/>
                <w:szCs w:val="21"/>
              </w:rPr>
              <w:t>.新增建设用地规模</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万</w:t>
            </w:r>
            <w:r>
              <w:rPr>
                <w:rFonts w:ascii="Times New Roman" w:hAnsi="Times New Roman" w:eastAsia="仿宋_GB2312"/>
                <w:szCs w:val="21"/>
              </w:rPr>
              <w:t>公顷</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按柳州市下达任务</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3.</w:t>
            </w:r>
            <w:r>
              <w:rPr>
                <w:rFonts w:ascii="Times New Roman" w:hAnsi="Times New Roman" w:eastAsia="仿宋_GB2312"/>
                <w:szCs w:val="21"/>
              </w:rPr>
              <w:t>单位生产总值能源消耗降低</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按柳州市下达任务</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4</w:t>
            </w:r>
            <w:r>
              <w:rPr>
                <w:rFonts w:ascii="Times New Roman" w:hAnsi="Times New Roman" w:eastAsia="仿宋_GB2312"/>
                <w:szCs w:val="21"/>
              </w:rPr>
              <w:t>.单位生产总值二氧化碳排放降低</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按柳州市下达任务</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5.</w:t>
            </w:r>
            <w:r>
              <w:rPr>
                <w:rFonts w:ascii="Times New Roman" w:hAnsi="Times New Roman" w:eastAsia="仿宋_GB2312"/>
                <w:szCs w:val="21"/>
              </w:rPr>
              <w:t>万元生产总值用水量降低</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吨/万元</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按柳州市下达任务</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6</w:t>
            </w:r>
            <w:r>
              <w:rPr>
                <w:rFonts w:ascii="Times New Roman" w:hAnsi="Times New Roman" w:eastAsia="仿宋_GB2312"/>
                <w:szCs w:val="21"/>
              </w:rPr>
              <w:t>.主要污染物排放量降低</w:t>
            </w:r>
          </w:p>
          <w:p>
            <w:pPr>
              <w:spacing w:line="280" w:lineRule="exact"/>
              <w:rPr>
                <w:rFonts w:ascii="Times New Roman" w:hAnsi="Times New Roman" w:eastAsia="仿宋_GB2312"/>
                <w:szCs w:val="21"/>
              </w:rPr>
            </w:pPr>
          </w:p>
          <w:p>
            <w:pPr>
              <w:spacing w:line="280" w:lineRule="exact"/>
              <w:rPr>
                <w:rFonts w:ascii="Times New Roman" w:hAnsi="Times New Roman" w:eastAsia="仿宋_GB2312"/>
                <w:szCs w:val="21"/>
              </w:rPr>
            </w:pPr>
            <w:r>
              <w:rPr>
                <w:rFonts w:ascii="Times New Roman" w:hAnsi="Times New Roman" w:eastAsia="仿宋_GB2312"/>
                <w:szCs w:val="21"/>
              </w:rPr>
              <w:t>其中：化学需氧量</w:t>
            </w:r>
          </w:p>
          <w:p>
            <w:pPr>
              <w:spacing w:line="280" w:lineRule="exact"/>
              <w:rPr>
                <w:rFonts w:ascii="Times New Roman" w:hAnsi="Times New Roman" w:eastAsia="仿宋_GB2312"/>
                <w:szCs w:val="21"/>
              </w:rPr>
            </w:pPr>
          </w:p>
          <w:p>
            <w:pPr>
              <w:spacing w:line="280" w:lineRule="exact"/>
              <w:ind w:firstLine="840" w:firstLineChars="300"/>
              <w:rPr>
                <w:rFonts w:ascii="Times New Roman" w:hAnsi="Times New Roman" w:eastAsia="仿宋_GB2312"/>
                <w:szCs w:val="21"/>
              </w:rPr>
            </w:pPr>
            <w:r>
              <w:rPr>
                <w:rFonts w:ascii="Times New Roman" w:hAnsi="Times New Roman" w:eastAsia="仿宋_GB2312"/>
                <w:szCs w:val="21"/>
              </w:rPr>
              <w:t>氨氮</w:t>
            </w:r>
          </w:p>
          <w:p>
            <w:pPr>
              <w:spacing w:line="280" w:lineRule="exact"/>
              <w:rPr>
                <w:rFonts w:ascii="Times New Roman" w:hAnsi="Times New Roman" w:eastAsia="仿宋_GB2312"/>
                <w:szCs w:val="21"/>
              </w:rPr>
            </w:pPr>
          </w:p>
          <w:p>
            <w:pPr>
              <w:spacing w:line="280" w:lineRule="exact"/>
              <w:ind w:firstLine="840" w:firstLineChars="300"/>
              <w:rPr>
                <w:rFonts w:ascii="Times New Roman" w:hAnsi="Times New Roman" w:eastAsia="仿宋_GB2312"/>
                <w:szCs w:val="21"/>
              </w:rPr>
            </w:pPr>
            <w:r>
              <w:rPr>
                <w:rFonts w:ascii="Times New Roman" w:hAnsi="Times New Roman" w:eastAsia="仿宋_GB2312"/>
                <w:szCs w:val="21"/>
              </w:rPr>
              <w:t>二氧化硫</w:t>
            </w:r>
          </w:p>
          <w:p>
            <w:pPr>
              <w:spacing w:line="280" w:lineRule="exact"/>
              <w:rPr>
                <w:rFonts w:ascii="Times New Roman" w:hAnsi="Times New Roman" w:eastAsia="仿宋_GB2312"/>
                <w:szCs w:val="21"/>
              </w:rPr>
            </w:pPr>
          </w:p>
          <w:p>
            <w:pPr>
              <w:spacing w:line="280" w:lineRule="exact"/>
              <w:ind w:firstLine="840" w:firstLineChars="300"/>
              <w:rPr>
                <w:rFonts w:ascii="Times New Roman" w:hAnsi="Times New Roman" w:eastAsia="仿宋_GB2312"/>
                <w:szCs w:val="21"/>
              </w:rPr>
            </w:pPr>
            <w:r>
              <w:rPr>
                <w:rFonts w:ascii="Times New Roman" w:hAnsi="Times New Roman" w:eastAsia="仿宋_GB2312"/>
                <w:szCs w:val="21"/>
              </w:rPr>
              <w:t>氮氧化物</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vMerge w:val="restart"/>
            <w:tcBorders>
              <w:top w:val="single" w:color="auto" w:sz="4" w:space="0"/>
              <w:left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按柳州市下达任务</w:t>
            </w:r>
          </w:p>
          <w:p>
            <w:pPr>
              <w:spacing w:line="280" w:lineRule="exact"/>
              <w:jc w:val="center"/>
              <w:rPr>
                <w:rFonts w:ascii="Times New Roman" w:hAnsi="Times New Roman" w:eastAsia="仿宋_GB2312"/>
                <w:szCs w:val="21"/>
              </w:rPr>
            </w:pPr>
          </w:p>
        </w:tc>
        <w:tc>
          <w:tcPr>
            <w:tcW w:w="1131"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vMerge w:val="restart"/>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vMerge w:val="continue"/>
            <w:tcBorders>
              <w:left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p>
        </w:tc>
        <w:tc>
          <w:tcPr>
            <w:tcW w:w="1131"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vMerge w:val="continue"/>
            <w:tcBorders>
              <w:left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p>
        </w:tc>
        <w:tc>
          <w:tcPr>
            <w:tcW w:w="1131"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vMerge w:val="continue"/>
            <w:tcBorders>
              <w:left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p>
        </w:tc>
        <w:tc>
          <w:tcPr>
            <w:tcW w:w="1131"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vMerge w:val="continue"/>
            <w:tcBorders>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p>
        </w:tc>
        <w:tc>
          <w:tcPr>
            <w:tcW w:w="1131"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c>
          <w:tcPr>
            <w:tcW w:w="1212"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ascii="Times New Roman" w:hAnsi="Times New Roman" w:eastAsia="仿宋_GB2312"/>
                <w:szCs w:val="21"/>
              </w:rPr>
              <w:t>2</w:t>
            </w:r>
            <w:r>
              <w:rPr>
                <w:rFonts w:hint="eastAsia" w:ascii="Times New Roman" w:hAnsi="Times New Roman" w:eastAsia="仿宋_GB2312"/>
                <w:szCs w:val="21"/>
              </w:rPr>
              <w:t>7</w:t>
            </w:r>
            <w:r>
              <w:rPr>
                <w:rFonts w:ascii="Times New Roman" w:hAnsi="Times New Roman" w:eastAsia="仿宋_GB2312"/>
                <w:szCs w:val="21"/>
              </w:rPr>
              <w:t>.森林覆盖率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65</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hint="eastAsia" w:ascii="Times New Roman" w:hAnsi="Times New Roman" w:eastAsia="仿宋_GB2312"/>
                <w:szCs w:val="21"/>
              </w:rPr>
              <w:t>28</w:t>
            </w:r>
            <w:r>
              <w:rPr>
                <w:rFonts w:ascii="Times New Roman" w:hAnsi="Times New Roman" w:eastAsia="仿宋_GB2312"/>
                <w:szCs w:val="21"/>
              </w:rPr>
              <w:t>.城市空气质量优良率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8</w:t>
            </w:r>
            <w:r>
              <w:rPr>
                <w:rFonts w:hint="eastAsia" w:ascii="Times New Roman" w:hAnsi="Times New Roman" w:eastAsia="仿宋_GB2312"/>
                <w:szCs w:val="21"/>
              </w:rPr>
              <w:t>5以上</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C5E0B3"/>
            <w:vAlign w:val="center"/>
          </w:tcPr>
          <w:p>
            <w:pPr>
              <w:widowControl/>
              <w:spacing w:line="280" w:lineRule="exact"/>
              <w:jc w:val="left"/>
              <w:rPr>
                <w:rFonts w:ascii="Times New Roman" w:hAnsi="Times New Roman" w:eastAsia="仿宋_GB2312"/>
                <w:b/>
                <w:szCs w:val="21"/>
              </w:rPr>
            </w:pPr>
          </w:p>
        </w:tc>
        <w:tc>
          <w:tcPr>
            <w:tcW w:w="353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rPr>
                <w:rFonts w:ascii="Times New Roman" w:hAnsi="Times New Roman" w:eastAsia="仿宋_GB2312"/>
                <w:szCs w:val="21"/>
              </w:rPr>
            </w:pPr>
            <w:r>
              <w:rPr>
                <w:rFonts w:hint="eastAsia" w:ascii="Times New Roman" w:hAnsi="Times New Roman" w:eastAsia="仿宋_GB2312"/>
                <w:szCs w:val="21"/>
              </w:rPr>
              <w:t>29</w:t>
            </w:r>
            <w:r>
              <w:rPr>
                <w:rFonts w:ascii="Times New Roman" w:hAnsi="Times New Roman" w:eastAsia="仿宋_GB2312"/>
                <w:szCs w:val="21"/>
              </w:rPr>
              <w:t>.主要河流水质优良率</w:t>
            </w:r>
          </w:p>
        </w:tc>
        <w:tc>
          <w:tcPr>
            <w:tcW w:w="846"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b/>
                <w:szCs w:val="21"/>
              </w:rPr>
            </w:pPr>
            <w:r>
              <w:rPr>
                <w:rFonts w:ascii="Times New Roman" w:hAnsi="Times New Roman" w:eastAsia="仿宋_GB2312"/>
                <w:szCs w:val="21"/>
              </w:rPr>
              <w:t>％</w:t>
            </w:r>
          </w:p>
        </w:tc>
        <w:tc>
          <w:tcPr>
            <w:tcW w:w="127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96</w:t>
            </w:r>
            <w:r>
              <w:rPr>
                <w:rFonts w:hint="eastAsia" w:ascii="Times New Roman" w:hAnsi="Times New Roman" w:eastAsia="仿宋_GB2312"/>
                <w:szCs w:val="21"/>
              </w:rPr>
              <w:t>以上</w:t>
            </w:r>
          </w:p>
        </w:tc>
        <w:tc>
          <w:tcPr>
            <w:tcW w:w="1131"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hint="eastAsia" w:ascii="Times New Roman" w:hAnsi="Times New Roman" w:eastAsia="仿宋_GB2312"/>
                <w:szCs w:val="21"/>
              </w:rPr>
              <w:t>-</w:t>
            </w:r>
          </w:p>
        </w:tc>
        <w:tc>
          <w:tcPr>
            <w:tcW w:w="1212" w:type="dxa"/>
            <w:tcBorders>
              <w:top w:val="single" w:color="auto" w:sz="4" w:space="0"/>
              <w:left w:val="single" w:color="auto" w:sz="4" w:space="0"/>
              <w:bottom w:val="single" w:color="auto" w:sz="4" w:space="0"/>
              <w:right w:val="single" w:color="auto" w:sz="4" w:space="0"/>
            </w:tcBorders>
            <w:shd w:val="clear" w:color="auto" w:fill="C5E0B3"/>
            <w:vAlign w:val="center"/>
          </w:tcPr>
          <w:p>
            <w:pPr>
              <w:spacing w:line="280" w:lineRule="exact"/>
              <w:jc w:val="center"/>
              <w:rPr>
                <w:rFonts w:ascii="Times New Roman" w:hAnsi="Times New Roman" w:eastAsia="仿宋_GB2312"/>
                <w:szCs w:val="21"/>
              </w:rPr>
            </w:pPr>
            <w:r>
              <w:rPr>
                <w:rFonts w:ascii="Times New Roman" w:hAnsi="Times New Roman" w:eastAsia="仿宋_GB2312"/>
                <w:szCs w:val="21"/>
              </w:rPr>
              <w:t>约束性</w:t>
            </w:r>
          </w:p>
        </w:tc>
      </w:tr>
    </w:tbl>
    <w:p>
      <w:pPr>
        <w:rPr>
          <w:lang w:val="zh-CN" w:eastAsia="zh-CN"/>
        </w:rPr>
      </w:pPr>
    </w:p>
    <w:p>
      <w:pPr>
        <w:widowControl/>
        <w:jc w:val="left"/>
        <w:rPr>
          <w:lang w:val="zh-CN" w:eastAsia="zh-CN"/>
        </w:rPr>
      </w:pPr>
      <w:r>
        <w:rPr>
          <w:lang w:val="zh-CN" w:eastAsia="zh-CN"/>
        </w:rPr>
        <w:br w:type="page"/>
      </w:r>
    </w:p>
    <w:p>
      <w:pPr>
        <w:pStyle w:val="2"/>
        <w:spacing w:before="0" w:after="0" w:line="600" w:lineRule="exact"/>
        <w:jc w:val="center"/>
        <w:rPr>
          <w:rFonts w:ascii="Times New Roman" w:hAnsi="Times New Roman" w:eastAsia="华文中宋" w:cs="Times New Roman"/>
          <w:lang w:val="zh-CN"/>
        </w:rPr>
      </w:pPr>
      <w:bookmarkStart w:id="12" w:name="_Toc458171779"/>
      <w:r>
        <w:rPr>
          <w:rFonts w:hint="eastAsia" w:ascii="Times New Roman" w:hAnsi="Times New Roman" w:eastAsia="华文中宋" w:cs="Times New Roman"/>
          <w:lang w:val="zh-CN" w:eastAsia="zh-CN"/>
        </w:rPr>
        <w:t>第二篇 实施</w:t>
      </w:r>
      <w:r>
        <w:rPr>
          <w:rFonts w:ascii="Times New Roman" w:hAnsi="Times New Roman" w:eastAsia="华文中宋" w:cs="Times New Roman"/>
          <w:lang w:val="zh-CN" w:eastAsia="zh-CN"/>
        </w:rPr>
        <w:t>创新驱动战略</w:t>
      </w:r>
      <w:r>
        <w:rPr>
          <w:rFonts w:hint="eastAsia" w:ascii="Times New Roman" w:hAnsi="Times New Roman" w:eastAsia="华文中宋" w:cs="Times New Roman"/>
          <w:lang w:val="zh-CN" w:eastAsia="zh-CN"/>
        </w:rPr>
        <w:t xml:space="preserve"> 全面推进</w:t>
      </w:r>
      <w:r>
        <w:rPr>
          <w:rFonts w:ascii="Times New Roman" w:hAnsi="Times New Roman" w:eastAsia="华文中宋" w:cs="Times New Roman"/>
          <w:lang w:val="zh-CN" w:eastAsia="zh-CN"/>
        </w:rPr>
        <w:t>实业兴</w:t>
      </w:r>
      <w:r>
        <w:rPr>
          <w:rFonts w:hint="eastAsia" w:ascii="Times New Roman" w:hAnsi="Times New Roman" w:eastAsia="华文中宋" w:cs="Times New Roman"/>
          <w:lang w:val="zh-CN" w:eastAsia="zh-CN"/>
        </w:rPr>
        <w:t>区</w:t>
      </w:r>
      <w:bookmarkEnd w:id="12"/>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以实业作为支撑发展的脊梁，依托创新驱动，加快推进三次产业融合联动发展，在保持经济持续较快发展的同时，优化提升产业结构和发展层次，加快推动产业升级转型，全面构建科学合理的现代产业体系。</w:t>
      </w:r>
    </w:p>
    <w:p/>
    <w:p>
      <w:pPr>
        <w:pStyle w:val="2"/>
        <w:spacing w:before="0" w:after="0" w:line="600" w:lineRule="exact"/>
        <w:jc w:val="center"/>
        <w:rPr>
          <w:rStyle w:val="31"/>
          <w:rFonts w:ascii="Times New Roman" w:hAnsi="Times New Roman" w:eastAsia="黑体" w:cs="Times New Roman"/>
          <w:color w:val="auto"/>
          <w:sz w:val="32"/>
          <w:szCs w:val="32"/>
          <w:u w:val="none"/>
          <w:lang w:val="zh-CN" w:eastAsia="zh-CN"/>
        </w:rPr>
      </w:pPr>
      <w:bookmarkStart w:id="13" w:name="_Toc458171780"/>
      <w:r>
        <w:rPr>
          <w:rStyle w:val="31"/>
          <w:rFonts w:hint="eastAsia" w:ascii="Times New Roman" w:hAnsi="Times New Roman" w:eastAsia="黑体" w:cs="Times New Roman"/>
          <w:color w:val="auto"/>
          <w:sz w:val="32"/>
          <w:szCs w:val="32"/>
          <w:u w:val="none"/>
          <w:lang w:val="zh-CN" w:eastAsia="zh-CN"/>
        </w:rPr>
        <w:t>第</w:t>
      </w:r>
      <w:r>
        <w:rPr>
          <w:rStyle w:val="31"/>
          <w:rFonts w:hint="eastAsia" w:ascii="Times New Roman" w:hAnsi="Times New Roman" w:eastAsia="黑体" w:cs="Times New Roman"/>
          <w:color w:val="auto"/>
          <w:sz w:val="32"/>
          <w:szCs w:val="32"/>
          <w:u w:val="none"/>
          <w:lang w:val="zh-CN"/>
        </w:rPr>
        <w:t>五</w:t>
      </w:r>
      <w:r>
        <w:rPr>
          <w:rStyle w:val="31"/>
          <w:rFonts w:hint="eastAsia" w:ascii="Times New Roman" w:hAnsi="Times New Roman" w:eastAsia="黑体" w:cs="Times New Roman"/>
          <w:color w:val="auto"/>
          <w:sz w:val="32"/>
          <w:szCs w:val="32"/>
          <w:u w:val="none"/>
          <w:lang w:val="zh-CN" w:eastAsia="zh-CN"/>
        </w:rPr>
        <w:t>章</w:t>
      </w:r>
      <w:r>
        <w:rPr>
          <w:rStyle w:val="31"/>
          <w:rFonts w:hint="eastAsia" w:ascii="Times New Roman" w:hAnsi="Times New Roman" w:eastAsia="黑体" w:cs="Times New Roman"/>
          <w:color w:val="auto"/>
          <w:sz w:val="32"/>
          <w:szCs w:val="32"/>
          <w:u w:val="none"/>
          <w:lang w:val="zh-CN"/>
        </w:rPr>
        <w:t xml:space="preserve"> </w:t>
      </w:r>
      <w:r>
        <w:rPr>
          <w:rStyle w:val="31"/>
          <w:rFonts w:hint="eastAsia" w:ascii="Times New Roman" w:hAnsi="Times New Roman" w:eastAsia="黑体" w:cs="Times New Roman"/>
          <w:color w:val="auto"/>
          <w:sz w:val="32"/>
          <w:szCs w:val="32"/>
          <w:u w:val="none"/>
          <w:lang w:val="zh-CN" w:eastAsia="zh-CN"/>
        </w:rPr>
        <w:t>创建</w:t>
      </w:r>
      <w:r>
        <w:rPr>
          <w:rStyle w:val="31"/>
          <w:rFonts w:ascii="Times New Roman" w:hAnsi="Times New Roman" w:eastAsia="黑体" w:cs="Times New Roman"/>
          <w:color w:val="auto"/>
          <w:sz w:val="32"/>
          <w:szCs w:val="32"/>
          <w:u w:val="none"/>
          <w:lang w:val="zh-CN" w:eastAsia="zh-CN"/>
        </w:rPr>
        <w:t>国家</w:t>
      </w:r>
      <w:r>
        <w:rPr>
          <w:rStyle w:val="31"/>
          <w:rFonts w:hint="eastAsia" w:ascii="Times New Roman" w:hAnsi="Times New Roman" w:eastAsia="黑体" w:cs="Times New Roman"/>
          <w:color w:val="auto"/>
          <w:sz w:val="32"/>
          <w:szCs w:val="32"/>
          <w:u w:val="none"/>
          <w:lang w:val="zh-CN" w:eastAsia="zh-CN"/>
        </w:rPr>
        <w:t>创业</w:t>
      </w:r>
      <w:r>
        <w:rPr>
          <w:rStyle w:val="31"/>
          <w:rFonts w:ascii="Times New Roman" w:hAnsi="Times New Roman" w:eastAsia="黑体" w:cs="Times New Roman"/>
          <w:color w:val="auto"/>
          <w:sz w:val="32"/>
          <w:szCs w:val="32"/>
          <w:u w:val="none"/>
          <w:lang w:val="zh-CN" w:eastAsia="zh-CN"/>
        </w:rPr>
        <w:t>创新</w:t>
      </w:r>
      <w:r>
        <w:rPr>
          <w:rStyle w:val="31"/>
          <w:rFonts w:hint="eastAsia" w:ascii="Times New Roman" w:hAnsi="Times New Roman" w:eastAsia="黑体" w:cs="Times New Roman"/>
          <w:color w:val="auto"/>
          <w:sz w:val="32"/>
          <w:szCs w:val="32"/>
          <w:u w:val="none"/>
          <w:lang w:val="zh-CN" w:eastAsia="zh-CN"/>
        </w:rPr>
        <w:t>型新区</w:t>
      </w:r>
      <w:bookmarkEnd w:id="13"/>
    </w:p>
    <w:p>
      <w:pPr>
        <w:pStyle w:val="24"/>
        <w:spacing w:before="0" w:beforeAutospacing="0" w:after="0" w:afterAutospacing="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实施创新驱动发展战略，</w:t>
      </w:r>
      <w:r>
        <w:rPr>
          <w:rFonts w:ascii="华文仿宋" w:hAnsi="华文仿宋" w:eastAsia="华文仿宋"/>
          <w:sz w:val="32"/>
          <w:szCs w:val="32"/>
        </w:rPr>
        <w:t>坚持创新发展，着力形成新的发展动力源和增长极</w:t>
      </w:r>
      <w:r>
        <w:rPr>
          <w:rFonts w:hint="eastAsia" w:ascii="华文仿宋" w:hAnsi="华文仿宋" w:eastAsia="华文仿宋"/>
          <w:sz w:val="32"/>
          <w:szCs w:val="32"/>
        </w:rPr>
        <w:t>。</w:t>
      </w:r>
      <w:r>
        <w:rPr>
          <w:rFonts w:ascii="Times New Roman" w:hAnsi="Times New Roman" w:eastAsia="仿宋_GB2312"/>
          <w:sz w:val="32"/>
          <w:szCs w:val="32"/>
        </w:rPr>
        <w:t>全面推动科技创新、产业创新、企业创新、市场创新、产品创新、业态创新、管理创新，大力发展新技术、新产品、新业态、新模式，系统提升城市创新能力，增强创新驱动发展能力，</w:t>
      </w:r>
      <w:r>
        <w:rPr>
          <w:rFonts w:hint="eastAsia" w:ascii="Times New Roman" w:hAnsi="Times New Roman" w:eastAsia="仿宋_GB2312"/>
          <w:sz w:val="32"/>
          <w:szCs w:val="32"/>
        </w:rPr>
        <w:t>积极创建国家小微企业创业创新基地，</w:t>
      </w:r>
      <w:r>
        <w:rPr>
          <w:rFonts w:ascii="Times New Roman" w:hAnsi="Times New Roman" w:eastAsia="仿宋_GB2312"/>
          <w:sz w:val="32"/>
          <w:szCs w:val="32"/>
        </w:rPr>
        <w:t>努力创建国家创新型试点</w:t>
      </w:r>
      <w:r>
        <w:rPr>
          <w:rFonts w:hint="eastAsia" w:ascii="Times New Roman" w:hAnsi="Times New Roman" w:eastAsia="仿宋_GB2312"/>
          <w:sz w:val="32"/>
          <w:szCs w:val="32"/>
        </w:rPr>
        <w:t>城区</w:t>
      </w:r>
      <w:r>
        <w:rPr>
          <w:rFonts w:ascii="Times New Roman" w:hAnsi="Times New Roman" w:eastAsia="仿宋_GB2312"/>
          <w:sz w:val="32"/>
          <w:szCs w:val="32"/>
        </w:rPr>
        <w:t>。</w:t>
      </w:r>
    </w:p>
    <w:p>
      <w:pPr>
        <w:pStyle w:val="4"/>
        <w:spacing w:before="0" w:after="0" w:line="600" w:lineRule="exact"/>
        <w:jc w:val="center"/>
        <w:rPr>
          <w:rFonts w:hint="eastAsia" w:ascii="Times New Roman" w:hAnsi="Times New Roman" w:eastAsia="楷体" w:cs="Times New Roman"/>
          <w:kern w:val="0"/>
          <w:lang w:val="zh-CN"/>
        </w:rPr>
      </w:pPr>
      <w:r>
        <w:rPr>
          <w:rFonts w:hint="eastAsia" w:ascii="Times New Roman" w:hAnsi="Times New Roman" w:eastAsia="楷体" w:cs="Times New Roman"/>
          <w:kern w:val="0"/>
          <w:lang w:val="zh-CN"/>
        </w:rPr>
        <w:t xml:space="preserve">第一节 </w:t>
      </w:r>
      <w:r>
        <w:rPr>
          <w:rFonts w:hint="eastAsia" w:ascii="Times New Roman" w:hAnsi="Times New Roman" w:eastAsia="楷体" w:cs="Times New Roman"/>
          <w:kern w:val="0"/>
          <w:lang w:val="zh-CN" w:eastAsia="zh-CN"/>
        </w:rPr>
        <w:t>积极创建国家小微企业创业创新基地</w:t>
      </w:r>
    </w:p>
    <w:p>
      <w:pPr>
        <w:pStyle w:val="24"/>
        <w:spacing w:before="0" w:beforeAutospacing="0" w:after="0" w:afterAutospacing="0" w:line="600" w:lineRule="exact"/>
        <w:ind w:firstLine="640" w:firstLineChars="200"/>
        <w:jc w:val="both"/>
        <w:rPr>
          <w:rFonts w:hint="eastAsia" w:ascii="Times New Roman" w:hAnsi="Times New Roman" w:eastAsia="仿宋_GB2312"/>
          <w:sz w:val="32"/>
          <w:szCs w:val="32"/>
        </w:rPr>
      </w:pPr>
      <w:r>
        <w:rPr>
          <w:rFonts w:hint="eastAsia" w:ascii="Times New Roman" w:hAnsi="Times New Roman" w:eastAsia="仿宋_GB2312"/>
          <w:sz w:val="32"/>
          <w:szCs w:val="32"/>
        </w:rPr>
        <w:t>积极响应柳州市创建“2016年小微企业创业创新基地城市示范”号召，柳东新区未来五年企业研发投入年均增长20%以上，力争2020年新区高新技术企业突破百家。</w:t>
      </w:r>
    </w:p>
    <w:p>
      <w:pPr>
        <w:pStyle w:val="24"/>
        <w:spacing w:before="0" w:beforeAutospacing="0" w:after="0" w:afterAutospacing="0" w:line="600" w:lineRule="exact"/>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围绕柳州市“政策与机制创新集成</w:t>
      </w:r>
      <w:r>
        <w:rPr>
          <w:rFonts w:ascii="Times New Roman" w:hAnsi="Times New Roman" w:eastAsia="仿宋_GB2312"/>
          <w:sz w:val="32"/>
          <w:szCs w:val="32"/>
        </w:rPr>
        <w:t>100</w:t>
      </w:r>
      <w:r>
        <w:rPr>
          <w:rFonts w:hint="eastAsia" w:ascii="Times New Roman" w:hAnsi="Times New Roman" w:eastAsia="仿宋_GB2312"/>
          <w:sz w:val="32"/>
          <w:szCs w:val="32"/>
        </w:rPr>
        <w:t>、示范空间</w:t>
      </w:r>
      <w:r>
        <w:rPr>
          <w:rFonts w:ascii="Times New Roman" w:hAnsi="Times New Roman" w:eastAsia="仿宋_GB2312"/>
          <w:sz w:val="32"/>
          <w:szCs w:val="32"/>
        </w:rPr>
        <w:t>1+10+100+200</w:t>
      </w:r>
      <w:r>
        <w:rPr>
          <w:rFonts w:hint="eastAsia" w:ascii="Times New Roman" w:hAnsi="Times New Roman" w:eastAsia="仿宋_GB2312"/>
          <w:sz w:val="32"/>
          <w:szCs w:val="32"/>
        </w:rPr>
        <w:t>、构建</w:t>
      </w:r>
      <w:r>
        <w:rPr>
          <w:rFonts w:ascii="Times New Roman" w:hAnsi="Times New Roman" w:eastAsia="仿宋_GB2312"/>
          <w:sz w:val="32"/>
          <w:szCs w:val="32"/>
        </w:rPr>
        <w:t>E</w:t>
      </w:r>
      <w:r>
        <w:rPr>
          <w:rFonts w:hint="eastAsia" w:ascii="Times New Roman" w:hAnsi="Times New Roman" w:eastAsia="仿宋_GB2312"/>
          <w:sz w:val="32"/>
          <w:szCs w:val="32"/>
        </w:rPr>
        <w:t>云一体</w:t>
      </w:r>
      <w:r>
        <w:rPr>
          <w:rFonts w:ascii="Times New Roman" w:hAnsi="Times New Roman" w:eastAsia="仿宋_GB2312"/>
          <w:sz w:val="32"/>
          <w:szCs w:val="32"/>
        </w:rPr>
        <w:t>+12+3</w:t>
      </w:r>
      <w:r>
        <w:rPr>
          <w:rFonts w:hint="eastAsia" w:ascii="Times New Roman" w:hAnsi="Times New Roman" w:eastAsia="仿宋_GB2312"/>
          <w:sz w:val="32"/>
          <w:szCs w:val="32"/>
        </w:rPr>
        <w:t>的服务支撑体系”为示范主要内容，柳东新区争取主动，积极争取示范内容在柳东新区落地，全面驱动基地示范创新、服务创新、融资措施创新、体制机制创新，示范引领，辐射带动，全面开展一体化示范工作，探索柳东新区汽车制造业一支独大的产业结构，通过大力促进小微企业创业创新，实现产业结构调整和城市转型。</w:t>
      </w:r>
    </w:p>
    <w:p>
      <w:pPr>
        <w:pStyle w:val="24"/>
        <w:spacing w:before="0" w:beforeAutospacing="0" w:after="0" w:afterAutospacing="0" w:line="60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加强组织保障，细化任务分工</w:t>
      </w:r>
      <w:r>
        <w:rPr>
          <w:rFonts w:hint="eastAsia" w:ascii="Times New Roman" w:hAnsi="Times New Roman" w:eastAsia="仿宋_GB2312"/>
          <w:sz w:val="32"/>
          <w:szCs w:val="32"/>
        </w:rPr>
        <w:t>，</w:t>
      </w:r>
      <w:r>
        <w:rPr>
          <w:rFonts w:ascii="Times New Roman" w:hAnsi="Times New Roman" w:eastAsia="仿宋_GB2312"/>
          <w:sz w:val="32"/>
          <w:szCs w:val="32"/>
        </w:rPr>
        <w:t>成立了领导小组，领导推进</w:t>
      </w:r>
      <w:r>
        <w:rPr>
          <w:rFonts w:hint="eastAsia" w:ascii="Times New Roman" w:hAnsi="Times New Roman" w:eastAsia="仿宋_GB2312"/>
          <w:sz w:val="32"/>
          <w:szCs w:val="32"/>
        </w:rPr>
        <w:t>新区</w:t>
      </w:r>
      <w:r>
        <w:rPr>
          <w:rFonts w:ascii="Times New Roman" w:hAnsi="Times New Roman" w:eastAsia="仿宋_GB2312"/>
          <w:sz w:val="32"/>
          <w:szCs w:val="32"/>
        </w:rPr>
        <w:t>两创示范创建工作。出台一系列配套政策，强化政策支撑。多元筹措资金，加大资金支持力度，分发挥财政资金的引导作用。强化信息公开制度，拓宽公开渠道</w:t>
      </w:r>
      <w:r>
        <w:rPr>
          <w:rFonts w:hint="eastAsia" w:ascii="Times New Roman" w:hAnsi="Times New Roman" w:eastAsia="仿宋_GB2312"/>
          <w:sz w:val="32"/>
          <w:szCs w:val="32"/>
        </w:rPr>
        <w:t>，</w:t>
      </w:r>
      <w:r>
        <w:rPr>
          <w:rFonts w:ascii="Times New Roman" w:hAnsi="Times New Roman" w:eastAsia="仿宋_GB2312"/>
          <w:sz w:val="32"/>
          <w:szCs w:val="32"/>
        </w:rPr>
        <w:t>进一步强化预算公开工作，充分利用多种平台，公开两创建设的项目进度和资金使用情况。建立健全监管制度，加强项目资金管理，出台两创专项资金管理办法，严格规范项目资金的使用。同时，将两创工作项目纳入绩效考核，设置相应的绩效考核指标体系，对</w:t>
      </w:r>
      <w:r>
        <w:rPr>
          <w:rFonts w:hint="eastAsia" w:ascii="Times New Roman" w:hAnsi="Times New Roman" w:eastAsia="仿宋_GB2312"/>
          <w:sz w:val="32"/>
          <w:szCs w:val="32"/>
        </w:rPr>
        <w:t>新区</w:t>
      </w:r>
      <w:r>
        <w:rPr>
          <w:rFonts w:ascii="Times New Roman" w:hAnsi="Times New Roman" w:eastAsia="仿宋_GB2312"/>
          <w:sz w:val="32"/>
          <w:szCs w:val="32"/>
        </w:rPr>
        <w:t>各部门两创工作进行绩效考核。</w:t>
      </w:r>
    </w:p>
    <w:p>
      <w:pPr>
        <w:pStyle w:val="4"/>
        <w:spacing w:before="0" w:after="0" w:line="600" w:lineRule="exact"/>
        <w:jc w:val="center"/>
        <w:rPr>
          <w:rFonts w:ascii="Times New Roman" w:hAnsi="Times New Roman" w:eastAsia="楷体" w:cs="Times New Roman"/>
          <w:kern w:val="0"/>
          <w:lang w:val="zh-CN" w:eastAsia="zh-CN"/>
        </w:rPr>
      </w:pPr>
      <w:bookmarkStart w:id="14" w:name="_Toc458171781"/>
      <w:bookmarkStart w:id="15" w:name="_Toc440536775"/>
      <w:bookmarkStart w:id="16" w:name="_Toc439832042"/>
      <w:r>
        <w:rPr>
          <w:rFonts w:ascii="Times New Roman" w:hAnsi="Times New Roman" w:eastAsia="楷体" w:cs="Times New Roman"/>
          <w:kern w:val="0"/>
          <w:lang w:val="zh-CN" w:eastAsia="zh-CN"/>
        </w:rPr>
        <w:t>第</w:t>
      </w:r>
      <w:r>
        <w:rPr>
          <w:rFonts w:hint="eastAsia" w:ascii="Times New Roman" w:hAnsi="Times New Roman" w:eastAsia="楷体" w:cs="Times New Roman"/>
          <w:kern w:val="0"/>
          <w:lang w:val="zh-CN"/>
        </w:rPr>
        <w:t>二</w:t>
      </w:r>
      <w:r>
        <w:rPr>
          <w:rFonts w:ascii="Times New Roman" w:hAnsi="Times New Roman" w:eastAsia="楷体" w:cs="Times New Roman"/>
          <w:kern w:val="0"/>
          <w:lang w:val="zh-CN" w:eastAsia="zh-CN"/>
        </w:rPr>
        <w:t>节 增强企业自主创新能力</w:t>
      </w:r>
      <w:bookmarkEnd w:id="14"/>
      <w:bookmarkEnd w:id="15"/>
      <w:bookmarkEnd w:id="16"/>
    </w:p>
    <w:p>
      <w:pPr>
        <w:spacing w:line="600" w:lineRule="exact"/>
        <w:ind w:firstLine="640" w:firstLineChars="200"/>
        <w:rPr>
          <w:rFonts w:hint="eastAsia" w:ascii="Times New Roman" w:hAnsi="Times New Roman" w:eastAsia="仿宋_GB2312"/>
          <w:sz w:val="32"/>
          <w:szCs w:val="32"/>
        </w:rPr>
      </w:pPr>
      <w:r>
        <w:rPr>
          <w:rFonts w:ascii="Times New Roman" w:hAnsi="Times New Roman" w:eastAsia="仿宋_GB2312"/>
          <w:bCs/>
          <w:sz w:val="32"/>
          <w:szCs w:val="32"/>
        </w:rPr>
        <w:t>积极引导创新要素向企业集聚，</w:t>
      </w:r>
      <w:r>
        <w:rPr>
          <w:rFonts w:ascii="Times New Roman" w:hAnsi="Times New Roman" w:eastAsia="仿宋_GB2312"/>
          <w:sz w:val="32"/>
          <w:szCs w:val="32"/>
        </w:rPr>
        <w:t>充分发挥企业创新主体作用，把增强企业自主创新能力作为转变经济发展方式的重要支撑，推动企业加强技术创新、商业模式创新、品牌创新，成为创新驱动发展的生力军。加大科技投入规模</w:t>
      </w:r>
      <w:r>
        <w:rPr>
          <w:rFonts w:hint="eastAsia" w:ascii="Times New Roman" w:hAnsi="Times New Roman" w:eastAsia="仿宋_GB2312"/>
          <w:sz w:val="32"/>
          <w:szCs w:val="32"/>
        </w:rPr>
        <w:t>、</w:t>
      </w:r>
      <w:r>
        <w:rPr>
          <w:rFonts w:ascii="Times New Roman" w:hAnsi="Times New Roman" w:eastAsia="仿宋_GB2312"/>
          <w:sz w:val="32"/>
          <w:szCs w:val="32"/>
        </w:rPr>
        <w:t>优化科技资源配置、促进科技资源共享，进一步提高企业对先进技术引进吸收再创新的能力，通过多种手段增强企业核心技术竞争力。进一步发挥政府的引导作用，通过税收、财政、信贷等政策措施，形成企业增加科技投入的激励机制。支持大中型骨干企业建立企业技术中心，增强研发能力。支持企业在重点发展的产业进行技术创新合作。依托各类工程研究（技术）中心，引导“产学研用”建立技术创新联盟，优先支持有条件的企业集团、创新联盟牵头承担重大科技产业化项目。</w:t>
      </w:r>
    </w:p>
    <w:p>
      <w:pPr>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ascii="Times New Roman" w:hAnsi="Times New Roman" w:eastAsia="楷体" w:cs="Times New Roman"/>
          <w:kern w:val="0"/>
          <w:lang w:val="zh-CN" w:eastAsia="zh-CN"/>
        </w:rPr>
      </w:pPr>
      <w:bookmarkStart w:id="17" w:name="_Toc458171782"/>
      <w:bookmarkStart w:id="18" w:name="_Toc440536776"/>
      <w:bookmarkStart w:id="19" w:name="_Toc439832043"/>
      <w:r>
        <w:rPr>
          <w:rFonts w:ascii="Times New Roman" w:hAnsi="Times New Roman" w:eastAsia="楷体" w:cs="Times New Roman"/>
          <w:kern w:val="0"/>
          <w:lang w:val="zh-CN" w:eastAsia="zh-CN"/>
        </w:rPr>
        <w:t>第</w:t>
      </w:r>
      <w:r>
        <w:rPr>
          <w:rFonts w:hint="eastAsia" w:ascii="Times New Roman" w:hAnsi="Times New Roman" w:eastAsia="楷体" w:cs="Times New Roman"/>
          <w:kern w:val="0"/>
          <w:lang w:val="zh-CN"/>
        </w:rPr>
        <w:t>三</w:t>
      </w:r>
      <w:r>
        <w:rPr>
          <w:rFonts w:ascii="Times New Roman" w:hAnsi="Times New Roman" w:eastAsia="楷体" w:cs="Times New Roman"/>
          <w:kern w:val="0"/>
          <w:lang w:val="zh-CN" w:eastAsia="zh-CN"/>
        </w:rPr>
        <w:t>节 加强公共创新平台建设</w:t>
      </w:r>
      <w:bookmarkEnd w:id="17"/>
      <w:bookmarkEnd w:id="18"/>
      <w:bookmarkEnd w:id="19"/>
    </w:p>
    <w:p>
      <w:pPr>
        <w:spacing w:line="60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加快构建科技公共服务平台，健全以技术交易市场为核心的技术转移和产业化服务体系，重点发展研究开发、技术转移、检验检测认证、创业孵化、知识产权、科技咨询、科技金融、</w:t>
      </w:r>
      <w:r>
        <w:rPr>
          <w:rFonts w:hint="eastAsia" w:ascii="Times New Roman" w:hAnsi="Times New Roman" w:eastAsia="仿宋_GB2312"/>
          <w:bCs/>
          <w:sz w:val="32"/>
          <w:szCs w:val="32"/>
        </w:rPr>
        <w:t>科技</w:t>
      </w:r>
      <w:r>
        <w:rPr>
          <w:rFonts w:ascii="Times New Roman" w:hAnsi="Times New Roman" w:eastAsia="仿宋_GB2312"/>
          <w:bCs/>
          <w:sz w:val="32"/>
          <w:szCs w:val="32"/>
        </w:rPr>
        <w:t>普及等专业和综合科技服务。围绕汽车及零部件、汽车电子、机械制造、新材料等产业，重点引进国内外一流的研究机构、重点实验室、工程研究院到柳落户或创建分支机构，搭建产业专业技术平台。加快国家级质量检验检测中心、国家进出口汽车检测重点实验室柳州分中心建设，支持国家机器人工程技术中心柳州分中心、快速制造国家工程研究中心等平台建设，重点推进</w:t>
      </w:r>
      <w:r>
        <w:rPr>
          <w:rFonts w:hint="eastAsia" w:ascii="Times New Roman" w:hAnsi="Times New Roman" w:eastAsia="仿宋_GB2312"/>
          <w:bCs/>
          <w:sz w:val="32"/>
          <w:szCs w:val="32"/>
        </w:rPr>
        <w:t>汽车产业园</w:t>
      </w:r>
      <w:r>
        <w:rPr>
          <w:rFonts w:ascii="Times New Roman" w:hAnsi="Times New Roman" w:eastAsia="仿宋_GB2312"/>
          <w:bCs/>
          <w:sz w:val="32"/>
          <w:szCs w:val="32"/>
        </w:rPr>
        <w:t>、中欧产业园等特色产业园建设，与</w:t>
      </w:r>
      <w:r>
        <w:rPr>
          <w:rFonts w:hint="eastAsia" w:ascii="Times New Roman" w:hAnsi="Times New Roman" w:eastAsia="仿宋_GB2312"/>
          <w:bCs/>
          <w:sz w:val="32"/>
          <w:szCs w:val="32"/>
        </w:rPr>
        <w:t>牛津大学、西安交大等知名院校</w:t>
      </w:r>
      <w:r>
        <w:rPr>
          <w:rFonts w:ascii="Times New Roman" w:hAnsi="Times New Roman" w:eastAsia="仿宋_GB2312"/>
          <w:bCs/>
          <w:sz w:val="32"/>
          <w:szCs w:val="32"/>
        </w:rPr>
        <w:t>合作共建国际高科技园。</w:t>
      </w:r>
    </w:p>
    <w:p>
      <w:pPr>
        <w:spacing w:line="600" w:lineRule="exact"/>
        <w:ind w:firstLine="640" w:firstLineChars="200"/>
        <w:rPr>
          <w:rFonts w:ascii="Times New Roman" w:hAnsi="Times New Roman" w:eastAsia="仿宋_GB2312"/>
          <w:bCs/>
          <w:sz w:val="32"/>
          <w:szCs w:val="32"/>
        </w:rPr>
      </w:pPr>
    </w:p>
    <w:p>
      <w:pPr>
        <w:pStyle w:val="4"/>
        <w:spacing w:before="0" w:after="0" w:line="600" w:lineRule="exact"/>
        <w:jc w:val="center"/>
        <w:rPr>
          <w:rFonts w:ascii="Times New Roman" w:hAnsi="Times New Roman" w:eastAsia="楷体" w:cs="Times New Roman"/>
          <w:kern w:val="0"/>
          <w:lang w:val="zh-CN" w:eastAsia="zh-CN"/>
        </w:rPr>
      </w:pPr>
      <w:bookmarkStart w:id="20" w:name="_Toc458171783"/>
      <w:bookmarkStart w:id="21" w:name="_Toc440536777"/>
      <w:bookmarkStart w:id="22" w:name="_Toc439832044"/>
      <w:r>
        <w:rPr>
          <w:rFonts w:ascii="Times New Roman" w:hAnsi="Times New Roman" w:eastAsia="楷体" w:cs="Times New Roman"/>
          <w:kern w:val="0"/>
          <w:lang w:val="zh-CN" w:eastAsia="zh-CN"/>
        </w:rPr>
        <w:t>第</w:t>
      </w:r>
      <w:r>
        <w:rPr>
          <w:rFonts w:hint="eastAsia" w:ascii="Times New Roman" w:hAnsi="Times New Roman" w:eastAsia="楷体" w:cs="Times New Roman"/>
          <w:kern w:val="0"/>
          <w:lang w:val="zh-CN"/>
        </w:rPr>
        <w:t>四</w:t>
      </w:r>
      <w:r>
        <w:rPr>
          <w:rFonts w:ascii="Times New Roman" w:hAnsi="Times New Roman" w:eastAsia="楷体" w:cs="Times New Roman"/>
          <w:kern w:val="0"/>
          <w:lang w:val="zh-CN" w:eastAsia="zh-CN"/>
        </w:rPr>
        <w:t>节 完善产学研合作机制</w:t>
      </w:r>
      <w:bookmarkEnd w:id="20"/>
      <w:bookmarkEnd w:id="21"/>
      <w:bookmarkEnd w:id="22"/>
    </w:p>
    <w:p>
      <w:pPr>
        <w:spacing w:line="60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进一步创新产学研</w:t>
      </w:r>
      <w:r>
        <w:rPr>
          <w:rFonts w:hint="eastAsia" w:ascii="Times New Roman" w:hAnsi="Times New Roman" w:eastAsia="仿宋_GB2312"/>
          <w:bCs/>
          <w:sz w:val="32"/>
          <w:szCs w:val="32"/>
        </w:rPr>
        <w:t>柳东</w:t>
      </w:r>
      <w:r>
        <w:rPr>
          <w:rFonts w:ascii="Times New Roman" w:hAnsi="Times New Roman" w:eastAsia="仿宋_GB2312"/>
          <w:bCs/>
          <w:sz w:val="32"/>
          <w:szCs w:val="32"/>
        </w:rPr>
        <w:t>模式，鼓励以重大科技计划项目为载体，建立产业技术联盟、创新联盟、标准联盟等，探索完善产学研合作机制。探索筛选培育机制，重点支持技术创新领先、市场前景广阔的项目。探索利益共享机制，维护科研院所、科技人员、企业家创新创业利益。探索长效合作机制，加快由单一技术、项目合作向整体性、战略性合作跨越。探索诚信管理机制，进一步提高产学研合作效率。全面提升吸纳国内外创新资源能力，争取国家、自治区高层次创新资源落户柳州，积极引进国际、国内的科技资源，重点建设一批国内领先、国际先进的研发中心，深入推进产学研合作。</w:t>
      </w:r>
    </w:p>
    <w:p>
      <w:pPr>
        <w:spacing w:line="600" w:lineRule="exact"/>
        <w:rPr>
          <w:rFonts w:ascii="Times New Roman" w:hAnsi="Times New Roman"/>
        </w:rPr>
      </w:pPr>
    </w:p>
    <w:p>
      <w:pPr>
        <w:pStyle w:val="4"/>
        <w:spacing w:before="0" w:after="0" w:line="600" w:lineRule="exact"/>
        <w:jc w:val="center"/>
        <w:rPr>
          <w:rFonts w:ascii="Times New Roman" w:hAnsi="Times New Roman" w:eastAsia="楷体" w:cs="Times New Roman"/>
          <w:kern w:val="0"/>
          <w:lang w:val="zh-CN" w:eastAsia="zh-CN"/>
        </w:rPr>
      </w:pPr>
      <w:bookmarkStart w:id="23" w:name="_Toc439832046"/>
      <w:bookmarkStart w:id="24" w:name="_Toc440536778"/>
      <w:bookmarkStart w:id="25" w:name="_Toc458171784"/>
      <w:r>
        <w:rPr>
          <w:rFonts w:ascii="Times New Roman" w:hAnsi="Times New Roman" w:eastAsia="楷体" w:cs="Times New Roman"/>
          <w:kern w:val="0"/>
          <w:lang w:val="zh-CN" w:eastAsia="zh-CN"/>
        </w:rPr>
        <w:t>第</w:t>
      </w:r>
      <w:r>
        <w:rPr>
          <w:rFonts w:hint="eastAsia" w:ascii="Times New Roman" w:hAnsi="Times New Roman" w:eastAsia="楷体" w:cs="Times New Roman"/>
          <w:kern w:val="0"/>
          <w:lang w:val="zh-CN"/>
        </w:rPr>
        <w:t>五</w:t>
      </w:r>
      <w:r>
        <w:rPr>
          <w:rFonts w:ascii="Times New Roman" w:hAnsi="Times New Roman" w:eastAsia="楷体" w:cs="Times New Roman"/>
          <w:kern w:val="0"/>
          <w:lang w:val="zh-CN" w:eastAsia="zh-CN"/>
        </w:rPr>
        <w:t>节 建设创新创业人才高地</w:t>
      </w:r>
      <w:bookmarkEnd w:id="23"/>
      <w:bookmarkEnd w:id="24"/>
      <w:bookmarkEnd w:id="25"/>
    </w:p>
    <w:p>
      <w:pPr>
        <w:spacing w:line="60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实施更加积极的人才政策，建立更加灵活的人才管理制度，优化人才创新创业环境，完善支持创新人才体系，激发人才创新创业活力。</w:t>
      </w:r>
    </w:p>
    <w:p>
      <w:pPr>
        <w:spacing w:line="600" w:lineRule="exact"/>
        <w:ind w:firstLine="643" w:firstLineChars="200"/>
        <w:rPr>
          <w:rFonts w:ascii="Times New Roman" w:hAnsi="Times New Roman" w:eastAsia="仿宋_GB2312"/>
          <w:bCs/>
          <w:sz w:val="32"/>
          <w:szCs w:val="32"/>
        </w:rPr>
      </w:pPr>
      <w:bookmarkStart w:id="26" w:name="_Toc437500811"/>
      <w:bookmarkStart w:id="27" w:name="_Toc436116541"/>
      <w:r>
        <w:rPr>
          <w:rFonts w:ascii="Times New Roman" w:hAnsi="Times New Roman" w:eastAsia="仿宋_GB2312"/>
          <w:b/>
          <w:bCs/>
          <w:sz w:val="32"/>
          <w:szCs w:val="32"/>
          <w:lang w:val="zh-CN" w:eastAsia="zh-CN"/>
        </w:rPr>
        <w:t>加快创新型人才队伍建设</w:t>
      </w:r>
      <w:bookmarkEnd w:id="26"/>
      <w:bookmarkEnd w:id="27"/>
      <w:r>
        <w:rPr>
          <w:rFonts w:ascii="Times New Roman" w:hAnsi="Times New Roman" w:eastAsia="仿宋_GB2312"/>
          <w:b/>
          <w:bCs/>
          <w:sz w:val="32"/>
          <w:szCs w:val="32"/>
          <w:lang w:val="zh-CN" w:eastAsia="zh-CN"/>
        </w:rPr>
        <w:t>。</w:t>
      </w:r>
      <w:r>
        <w:rPr>
          <w:rFonts w:ascii="Times New Roman" w:hAnsi="Times New Roman" w:eastAsia="仿宋_GB2312"/>
          <w:bCs/>
          <w:sz w:val="32"/>
          <w:szCs w:val="32"/>
        </w:rPr>
        <w:t>以高层次创新型人才为重点，培养和引进一批掌握科技前沿技术、能够突破关键技术、带动新兴学科和新兴产业发展、具有国际国内领先水平的高层次研发人才、创新创业人才和学科带头人，主动培养一线创新人才和青年科技人才，壮大高新技术产业、现代服务业、现代制造业、现代农业和战略性新兴产业人才队伍。</w:t>
      </w:r>
      <w:bookmarkStart w:id="28" w:name="_Toc437500812"/>
      <w:bookmarkStart w:id="29" w:name="_Toc436116542"/>
    </w:p>
    <w:p>
      <w:pPr>
        <w:spacing w:line="600" w:lineRule="exact"/>
        <w:ind w:firstLine="643" w:firstLineChars="200"/>
        <w:rPr>
          <w:rFonts w:ascii="Times New Roman" w:hAnsi="Times New Roman" w:eastAsia="仿宋_GB2312"/>
          <w:bCs/>
          <w:sz w:val="32"/>
          <w:szCs w:val="32"/>
        </w:rPr>
      </w:pPr>
      <w:r>
        <w:rPr>
          <w:rFonts w:ascii="Times New Roman" w:hAnsi="Times New Roman" w:eastAsia="仿宋_GB2312"/>
          <w:b/>
          <w:bCs/>
          <w:sz w:val="32"/>
          <w:szCs w:val="32"/>
          <w:lang w:val="zh-CN" w:eastAsia="zh-CN"/>
        </w:rPr>
        <w:t>统筹各类人才开发</w:t>
      </w:r>
      <w:bookmarkEnd w:id="28"/>
      <w:bookmarkEnd w:id="29"/>
      <w:r>
        <w:rPr>
          <w:rFonts w:ascii="Times New Roman" w:hAnsi="Times New Roman" w:eastAsia="仿宋_GB2312"/>
          <w:b/>
          <w:bCs/>
          <w:sz w:val="32"/>
          <w:szCs w:val="32"/>
          <w:lang w:val="zh-CN" w:eastAsia="zh-CN"/>
        </w:rPr>
        <w:t>。</w:t>
      </w:r>
      <w:r>
        <w:rPr>
          <w:rFonts w:ascii="Times New Roman" w:hAnsi="Times New Roman" w:eastAsia="仿宋_GB2312"/>
          <w:bCs/>
          <w:sz w:val="32"/>
          <w:szCs w:val="32"/>
        </w:rPr>
        <w:t>围绕创新驱动战略，大力开发经济社会领域急需的紧缺专业技术人才，打造一支自主创新能力突出的高素质专业技术人才队伍。统筹推进党政、企业经营管理、专业技术、高技能、农村实用、社会工作等各类人才队伍建设。实现人才数量充足、结构合理、整体素质和创新能力显著提升，满足经济社会发展对人才的多样化需求。</w:t>
      </w:r>
      <w:bookmarkStart w:id="30" w:name="_Toc357788050"/>
      <w:bookmarkStart w:id="31" w:name="_Toc358292912"/>
      <w:bookmarkStart w:id="32" w:name="_Toc392847923"/>
      <w:bookmarkStart w:id="33" w:name="_Toc392182459"/>
      <w:bookmarkStart w:id="34" w:name="_Toc437500813"/>
      <w:bookmarkStart w:id="35" w:name="_Toc436116543"/>
    </w:p>
    <w:p>
      <w:pPr>
        <w:spacing w:line="600" w:lineRule="exact"/>
        <w:ind w:firstLine="643" w:firstLineChars="200"/>
        <w:rPr>
          <w:rFonts w:ascii="Times New Roman" w:hAnsi="Times New Roman" w:eastAsia="仿宋_GB2312"/>
          <w:bCs/>
          <w:sz w:val="32"/>
          <w:szCs w:val="32"/>
          <w:lang w:val="zh-CN"/>
        </w:rPr>
      </w:pPr>
      <w:r>
        <w:rPr>
          <w:rFonts w:ascii="Times New Roman" w:hAnsi="Times New Roman" w:eastAsia="仿宋_GB2312"/>
          <w:b/>
          <w:bCs/>
          <w:sz w:val="32"/>
          <w:szCs w:val="32"/>
          <w:lang w:val="zh-CN" w:eastAsia="zh-CN"/>
        </w:rPr>
        <w:t>培育万众创业开放创新人才</w:t>
      </w:r>
      <w:bookmarkEnd w:id="30"/>
      <w:bookmarkEnd w:id="31"/>
      <w:bookmarkEnd w:id="32"/>
      <w:bookmarkEnd w:id="33"/>
      <w:bookmarkEnd w:id="34"/>
      <w:bookmarkEnd w:id="35"/>
      <w:r>
        <w:rPr>
          <w:rFonts w:ascii="Times New Roman" w:hAnsi="Times New Roman" w:eastAsia="仿宋_GB2312"/>
          <w:b/>
          <w:bCs/>
          <w:sz w:val="32"/>
          <w:szCs w:val="32"/>
          <w:lang w:val="zh-CN" w:eastAsia="zh-CN"/>
        </w:rPr>
        <w:t>。</w:t>
      </w:r>
      <w:r>
        <w:rPr>
          <w:rFonts w:ascii="Times New Roman" w:hAnsi="Times New Roman" w:eastAsia="仿宋_GB2312"/>
          <w:bCs/>
          <w:sz w:val="32"/>
          <w:szCs w:val="32"/>
        </w:rPr>
        <w:t>加快推进产业协同创新，重点推进科技、金融、信息、人才等发展要素与重点产业融合，以产业协同创新补强、延长产业链。</w:t>
      </w:r>
      <w:r>
        <w:rPr>
          <w:rFonts w:hint="eastAsia" w:ascii="Times New Roman" w:hAnsi="Times New Roman" w:eastAsia="仿宋_GB2312"/>
          <w:bCs/>
          <w:sz w:val="32"/>
          <w:szCs w:val="32"/>
        </w:rPr>
        <w:t>落实柳州</w:t>
      </w:r>
      <w:r>
        <w:rPr>
          <w:rFonts w:ascii="Times New Roman" w:hAnsi="Times New Roman" w:eastAsia="仿宋_GB2312"/>
          <w:bCs/>
          <w:sz w:val="32"/>
          <w:szCs w:val="32"/>
        </w:rPr>
        <w:t>“个十百人才工程”、“优秀人才接触柳州计划”等人才引进计划，围绕汽车、机械等传统优势产业和战略性新</w:t>
      </w:r>
      <w:r>
        <w:rPr>
          <w:rFonts w:ascii="Times New Roman" w:hAnsi="Times New Roman" w:eastAsia="仿宋_GB2312"/>
          <w:sz w:val="32"/>
          <w:szCs w:val="32"/>
        </w:rPr>
        <w:t>兴产业的重大需求，面向国内外引进高层次科技创新人才，大力引进高水平创新创业团队，重点培育科技企业家。</w:t>
      </w:r>
      <w:bookmarkStart w:id="36" w:name="_Toc429247648"/>
      <w:bookmarkStart w:id="37" w:name="_Toc429337925"/>
      <w:bookmarkStart w:id="38" w:name="_Toc429247755"/>
      <w:bookmarkStart w:id="39" w:name="_Toc429339056"/>
      <w:r>
        <w:rPr>
          <w:rFonts w:ascii="Times New Roman" w:hAnsi="Times New Roman" w:eastAsia="仿宋_GB2312"/>
          <w:bCs/>
          <w:sz w:val="32"/>
          <w:szCs w:val="32"/>
          <w:lang w:val="zh-CN"/>
        </w:rPr>
        <w:t>结合“互联网+”行动计划，大力发展市场化、专业化、集成化、网络化的“众创空间”，为小微创新企业成长和个人创业提供低成本、便利化、全要素的开放式综合服务平台</w:t>
      </w:r>
      <w:bookmarkEnd w:id="36"/>
      <w:bookmarkEnd w:id="37"/>
      <w:bookmarkEnd w:id="38"/>
      <w:bookmarkEnd w:id="39"/>
      <w:bookmarkStart w:id="40" w:name="_Toc437500814"/>
      <w:r>
        <w:rPr>
          <w:rFonts w:ascii="Times New Roman" w:hAnsi="Times New Roman" w:eastAsia="仿宋_GB2312"/>
          <w:bCs/>
          <w:sz w:val="32"/>
          <w:szCs w:val="32"/>
          <w:lang w:val="zh-CN"/>
        </w:rPr>
        <w:t>。</w:t>
      </w:r>
    </w:p>
    <w:bookmarkEnd w:id="40"/>
    <w:p>
      <w:pPr>
        <w:spacing w:line="600" w:lineRule="exact"/>
        <w:ind w:firstLine="643" w:firstLineChars="200"/>
        <w:rPr>
          <w:rFonts w:ascii="Times New Roman" w:hAnsi="Times New Roman" w:eastAsia="仿宋_GB2312"/>
          <w:bCs/>
          <w:sz w:val="32"/>
          <w:szCs w:val="32"/>
          <w:lang w:val="zh-CN"/>
        </w:rPr>
      </w:pPr>
      <w:r>
        <w:rPr>
          <w:rFonts w:hint="eastAsia" w:ascii="Times New Roman" w:hAnsi="Times New Roman" w:eastAsia="仿宋_GB2312"/>
          <w:b/>
          <w:bCs/>
          <w:sz w:val="32"/>
          <w:szCs w:val="32"/>
          <w:lang w:val="zh-CN"/>
        </w:rPr>
        <w:t>健全</w:t>
      </w:r>
      <w:r>
        <w:rPr>
          <w:rFonts w:ascii="Times New Roman" w:hAnsi="Times New Roman" w:eastAsia="仿宋_GB2312"/>
          <w:b/>
          <w:bCs/>
          <w:sz w:val="32"/>
          <w:szCs w:val="32"/>
          <w:lang w:val="zh-CN" w:eastAsia="zh-CN"/>
        </w:rPr>
        <w:t>人才脱颖而出的</w:t>
      </w:r>
      <w:r>
        <w:rPr>
          <w:rFonts w:hint="eastAsia" w:ascii="Times New Roman" w:hAnsi="Times New Roman" w:eastAsia="仿宋_GB2312"/>
          <w:b/>
          <w:bCs/>
          <w:sz w:val="32"/>
          <w:szCs w:val="32"/>
          <w:lang w:val="zh-CN"/>
        </w:rPr>
        <w:t>机制</w:t>
      </w:r>
      <w:r>
        <w:rPr>
          <w:rFonts w:ascii="Times New Roman" w:hAnsi="Times New Roman" w:eastAsia="仿宋_GB2312"/>
          <w:b/>
          <w:bCs/>
          <w:sz w:val="32"/>
          <w:szCs w:val="32"/>
          <w:lang w:val="zh-CN" w:eastAsia="zh-CN"/>
        </w:rPr>
        <w:t>。</w:t>
      </w:r>
      <w:r>
        <w:rPr>
          <w:rFonts w:ascii="Times New Roman" w:hAnsi="Times New Roman" w:eastAsia="仿宋_GB2312"/>
          <w:bCs/>
          <w:sz w:val="32"/>
          <w:szCs w:val="32"/>
          <w:lang w:val="zh-CN"/>
        </w:rPr>
        <w:t>健全政府宏观管理、市场有效配置、单位自主用人、人才自主择业的人才管理体制。创新人才培养、评价发现、选拔任用、流动配置和激励保障机制。</w:t>
      </w:r>
      <w:r>
        <w:rPr>
          <w:rFonts w:hint="eastAsia" w:ascii="Times New Roman" w:hAnsi="Times New Roman" w:eastAsia="仿宋_GB2312"/>
          <w:bCs/>
          <w:sz w:val="32"/>
          <w:szCs w:val="32"/>
          <w:lang w:val="zh-CN"/>
        </w:rPr>
        <w:t>健全</w:t>
      </w:r>
      <w:r>
        <w:rPr>
          <w:rFonts w:ascii="Times New Roman" w:hAnsi="Times New Roman" w:eastAsia="仿宋_GB2312"/>
          <w:bCs/>
          <w:sz w:val="32"/>
          <w:szCs w:val="32"/>
          <w:lang w:val="zh-CN"/>
        </w:rPr>
        <w:t>公开、公平、公正的人才竞争机制</w:t>
      </w:r>
      <w:r>
        <w:rPr>
          <w:rFonts w:hint="eastAsia" w:ascii="Times New Roman" w:hAnsi="Times New Roman" w:eastAsia="仿宋_GB2312"/>
          <w:bCs/>
          <w:sz w:val="32"/>
          <w:szCs w:val="32"/>
          <w:lang w:val="zh-CN"/>
        </w:rPr>
        <w:t>，</w:t>
      </w:r>
      <w:r>
        <w:rPr>
          <w:rFonts w:ascii="Times New Roman" w:hAnsi="Times New Roman" w:eastAsia="仿宋_GB2312"/>
          <w:bCs/>
          <w:sz w:val="32"/>
          <w:szCs w:val="32"/>
          <w:lang w:val="zh-CN"/>
        </w:rPr>
        <w:t>坚持在创新活动中培养人才，在创新实践中使用人才，在创新事业中凝聚人才，破除论资排辈的陈旧观念，加大对青年人才的使用力度，让优秀人才和团队在实践中脱颖而出。</w:t>
      </w:r>
    </w:p>
    <w:p>
      <w:pPr>
        <w:pStyle w:val="4"/>
        <w:spacing w:before="0" w:after="0" w:line="600" w:lineRule="exact"/>
        <w:jc w:val="center"/>
        <w:rPr>
          <w:rFonts w:ascii="Times New Roman" w:hAnsi="Times New Roman" w:eastAsia="楷体" w:cs="Times New Roman"/>
          <w:kern w:val="0"/>
          <w:lang w:val="zh-CN" w:eastAsia="zh-CN"/>
        </w:rPr>
      </w:pPr>
      <w:bookmarkStart w:id="41" w:name="_Toc439832047"/>
      <w:bookmarkStart w:id="42" w:name="_Toc440536779"/>
      <w:bookmarkStart w:id="43" w:name="_Toc458171785"/>
      <w:r>
        <w:rPr>
          <w:rFonts w:ascii="Times New Roman" w:hAnsi="Times New Roman" w:eastAsia="楷体" w:cs="Times New Roman"/>
          <w:kern w:val="0"/>
          <w:lang w:val="zh-CN" w:eastAsia="zh-CN"/>
        </w:rPr>
        <w:t>第</w:t>
      </w:r>
      <w:r>
        <w:rPr>
          <w:rFonts w:hint="eastAsia" w:ascii="Times New Roman" w:hAnsi="Times New Roman" w:eastAsia="楷体" w:cs="Times New Roman"/>
          <w:kern w:val="0"/>
          <w:lang w:val="zh-CN"/>
        </w:rPr>
        <w:t>六</w:t>
      </w:r>
      <w:r>
        <w:rPr>
          <w:rFonts w:ascii="Times New Roman" w:hAnsi="Times New Roman" w:eastAsia="楷体" w:cs="Times New Roman"/>
          <w:kern w:val="0"/>
          <w:lang w:val="zh-CN" w:eastAsia="zh-CN"/>
        </w:rPr>
        <w:t>节 优化创新创业环境</w:t>
      </w:r>
      <w:bookmarkEnd w:id="41"/>
      <w:bookmarkEnd w:id="42"/>
      <w:bookmarkEnd w:id="43"/>
    </w:p>
    <w:p>
      <w:pPr>
        <w:spacing w:line="600" w:lineRule="exact"/>
        <w:ind w:firstLine="640" w:firstLineChars="200"/>
        <w:rPr>
          <w:rFonts w:ascii="Times New Roman" w:hAnsi="Times New Roman" w:eastAsia="仿宋_GB2312"/>
          <w:bCs/>
          <w:sz w:val="32"/>
          <w:szCs w:val="32"/>
          <w:lang w:val="zh-CN"/>
        </w:rPr>
      </w:pPr>
      <w:r>
        <w:rPr>
          <w:rFonts w:ascii="Times New Roman" w:hAnsi="Times New Roman" w:eastAsia="仿宋_GB2312"/>
          <w:bCs/>
          <w:sz w:val="32"/>
          <w:szCs w:val="32"/>
          <w:lang w:val="zh-CN"/>
        </w:rPr>
        <w:t>探索发展和引领区域协同创新，加强区域科技合作，推动企业、院校、研究机构建立产业技术创新战略联盟和标准联盟，积极建设和引进国家级研发平台，打造区域科技协同创新服务综合体。优化创新创业环境，着力营造良好的政策、法制和市场环境，全面激发大众创业、万众创新的热情。完善科技成果转化激励机制和协同推进机制</w:t>
      </w:r>
      <w:r>
        <w:rPr>
          <w:rFonts w:hint="eastAsia" w:ascii="Times New Roman" w:hAnsi="Times New Roman" w:eastAsia="仿宋_GB2312"/>
          <w:bCs/>
          <w:sz w:val="32"/>
          <w:szCs w:val="32"/>
          <w:lang w:val="zh-CN"/>
        </w:rPr>
        <w:t>，</w:t>
      </w:r>
      <w:r>
        <w:rPr>
          <w:rFonts w:ascii="Times New Roman" w:hAnsi="Times New Roman" w:eastAsia="仿宋_GB2312"/>
          <w:bCs/>
          <w:sz w:val="32"/>
          <w:szCs w:val="32"/>
          <w:lang w:val="zh-CN"/>
        </w:rPr>
        <w:t>鼓励高校、科研院所科技成果落地转化。进一步加大知识产权保护力度</w:t>
      </w:r>
      <w:r>
        <w:rPr>
          <w:rFonts w:hint="eastAsia" w:ascii="Times New Roman" w:hAnsi="Times New Roman" w:eastAsia="仿宋_GB2312"/>
          <w:bCs/>
          <w:sz w:val="32"/>
          <w:szCs w:val="32"/>
          <w:lang w:val="zh-CN"/>
        </w:rPr>
        <w:t>，</w:t>
      </w:r>
      <w:r>
        <w:rPr>
          <w:rFonts w:ascii="Times New Roman" w:hAnsi="Times New Roman" w:eastAsia="仿宋_GB2312"/>
          <w:bCs/>
          <w:sz w:val="32"/>
          <w:szCs w:val="32"/>
          <w:lang w:val="zh-CN"/>
        </w:rPr>
        <w:t>加快完善知识产权中介服务管理，构建多层次知识产权市场交易体系。积极培育创新创业精神，搭建创新创业平台，激励和扶持科技人员、海外留学归国人员、大中专毕业生、返乡农民工等各类群体自主创新创业，加快推进科技孵化器、创业孵化基地、众创空间、农民工创业园建设。</w:t>
      </w:r>
    </w:p>
    <w:p>
      <w:pPr>
        <w:adjustRightInd w:val="0"/>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ascii="Times New Roman" w:hAnsi="Times New Roman" w:eastAsia="楷体" w:cs="Times New Roman"/>
          <w:kern w:val="0"/>
          <w:lang w:val="zh-CN" w:eastAsia="zh-CN"/>
        </w:rPr>
      </w:pPr>
      <w:bookmarkStart w:id="44" w:name="_Toc458171786"/>
      <w:bookmarkStart w:id="45" w:name="_Toc439832048"/>
      <w:bookmarkStart w:id="46" w:name="_Toc440536780"/>
      <w:r>
        <w:rPr>
          <w:rFonts w:ascii="Times New Roman" w:hAnsi="Times New Roman" w:eastAsia="楷体" w:cs="Times New Roman"/>
          <w:kern w:val="0"/>
          <w:lang w:val="zh-CN" w:eastAsia="zh-CN"/>
        </w:rPr>
        <w:t>第</w:t>
      </w:r>
      <w:r>
        <w:rPr>
          <w:rFonts w:hint="eastAsia" w:ascii="Times New Roman" w:hAnsi="Times New Roman" w:eastAsia="楷体" w:cs="Times New Roman"/>
          <w:kern w:val="0"/>
          <w:lang w:val="zh-CN"/>
        </w:rPr>
        <w:t>七</w:t>
      </w:r>
      <w:r>
        <w:rPr>
          <w:rFonts w:ascii="Times New Roman" w:hAnsi="Times New Roman" w:eastAsia="楷体" w:cs="Times New Roman"/>
          <w:kern w:val="0"/>
          <w:lang w:val="zh-CN" w:eastAsia="zh-CN"/>
        </w:rPr>
        <w:t>节 建设全国知名品牌创建示范区</w:t>
      </w:r>
      <w:bookmarkEnd w:id="44"/>
      <w:bookmarkEnd w:id="45"/>
      <w:bookmarkEnd w:id="46"/>
    </w:p>
    <w:p>
      <w:pPr>
        <w:spacing w:line="600" w:lineRule="exact"/>
        <w:ind w:firstLine="640" w:firstLineChars="200"/>
        <w:rPr>
          <w:rFonts w:ascii="Times New Roman" w:hAnsi="Times New Roman" w:eastAsia="仿宋_GB2312"/>
          <w:bCs/>
          <w:sz w:val="32"/>
          <w:szCs w:val="32"/>
          <w:lang w:val="zh-CN"/>
        </w:rPr>
      </w:pPr>
      <w:r>
        <w:rPr>
          <w:rFonts w:ascii="Times New Roman" w:hAnsi="Times New Roman" w:eastAsia="仿宋_GB2312"/>
          <w:bCs/>
          <w:sz w:val="32"/>
          <w:szCs w:val="32"/>
          <w:lang w:val="zh-CN"/>
        </w:rPr>
        <w:t>鼓励自主品牌做大做强，支持企业培育国际品牌</w:t>
      </w:r>
      <w:r>
        <w:rPr>
          <w:rFonts w:hint="eastAsia" w:ascii="Times New Roman" w:hAnsi="Times New Roman" w:eastAsia="仿宋_GB2312"/>
          <w:bCs/>
          <w:sz w:val="32"/>
          <w:szCs w:val="32"/>
          <w:lang w:val="zh-CN"/>
        </w:rPr>
        <w:t>，</w:t>
      </w:r>
      <w:r>
        <w:rPr>
          <w:rFonts w:ascii="Times New Roman" w:hAnsi="Times New Roman" w:eastAsia="仿宋_GB2312"/>
          <w:bCs/>
          <w:sz w:val="32"/>
          <w:szCs w:val="32"/>
          <w:lang w:val="zh-CN"/>
        </w:rPr>
        <w:t>促进技术专利化、专利标准化，培育一批驰名商标、名牌产品和优势品牌产业，力争成为“全国知名品牌创建示范区”。</w:t>
      </w:r>
    </w:p>
    <w:p>
      <w:pPr>
        <w:spacing w:line="600" w:lineRule="exact"/>
        <w:ind w:firstLine="643" w:firstLineChars="200"/>
        <w:rPr>
          <w:rFonts w:ascii="Times New Roman" w:hAnsi="Times New Roman" w:eastAsia="仿宋_GB2312" w:cs="宋体"/>
          <w:bCs/>
          <w:kern w:val="0"/>
          <w:sz w:val="32"/>
          <w:szCs w:val="32"/>
          <w:lang w:val="zh-CN"/>
        </w:rPr>
      </w:pPr>
      <w:r>
        <w:rPr>
          <w:rFonts w:ascii="Times New Roman" w:hAnsi="Times New Roman" w:eastAsia="仿宋_GB2312" w:cs="宋体"/>
          <w:b/>
          <w:bCs/>
          <w:kern w:val="0"/>
          <w:sz w:val="32"/>
          <w:szCs w:val="32"/>
          <w:lang w:val="zh-CN"/>
        </w:rPr>
        <w:t>加快建设质量强</w:t>
      </w:r>
      <w:r>
        <w:rPr>
          <w:rFonts w:hint="eastAsia" w:ascii="Times New Roman" w:hAnsi="Times New Roman" w:eastAsia="仿宋_GB2312" w:cs="宋体"/>
          <w:b/>
          <w:bCs/>
          <w:kern w:val="0"/>
          <w:sz w:val="32"/>
          <w:szCs w:val="32"/>
          <w:lang w:val="zh-CN"/>
        </w:rPr>
        <w:t>区</w:t>
      </w:r>
      <w:r>
        <w:rPr>
          <w:rFonts w:ascii="Times New Roman" w:hAnsi="Times New Roman" w:eastAsia="仿宋_GB2312" w:cs="宋体"/>
          <w:b/>
          <w:bCs/>
          <w:kern w:val="0"/>
          <w:sz w:val="32"/>
          <w:szCs w:val="32"/>
          <w:lang w:val="zh-CN"/>
        </w:rPr>
        <w:t>。</w:t>
      </w:r>
      <w:r>
        <w:rPr>
          <w:rFonts w:ascii="Times New Roman" w:hAnsi="Times New Roman" w:eastAsia="仿宋_GB2312" w:cs="宋体"/>
          <w:bCs/>
          <w:kern w:val="0"/>
          <w:sz w:val="32"/>
          <w:szCs w:val="32"/>
          <w:lang w:val="zh-CN"/>
        </w:rPr>
        <w:t>开展质量强市行动，严格落实企业质量主体责任，完善产品质量安全监测体系。加强标准研制和实施，建立健全服务标准体系，积极主导或参与制定国际标准、国家标准和行业标准，加快建设公共检验检测与认证平台，打造国家检验检测高技术服务业集聚区。</w:t>
      </w:r>
    </w:p>
    <w:p>
      <w:pPr>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夯实质量发展基础。</w:t>
      </w:r>
      <w:r>
        <w:rPr>
          <w:rFonts w:ascii="Times New Roman" w:hAnsi="Times New Roman" w:eastAsia="仿宋_GB2312"/>
          <w:sz w:val="32"/>
          <w:szCs w:val="32"/>
        </w:rPr>
        <w:t>加强计量科技基础及前沿技术研究，建立一批制造业发展急需的高准确度、高稳定性计量标准，完善检验检测技术保障体系，建设一批高水平的工业产品质量控制和技术评价实验室、产品质量监督检验中心。完善认证认可管理模式，提高强制性产品认证的有效性，推动自愿性产品认证健康发展，提升管理体系认证水平。</w:t>
      </w:r>
    </w:p>
    <w:p>
      <w:pPr>
        <w:spacing w:line="600" w:lineRule="exact"/>
        <w:ind w:firstLine="643" w:firstLineChars="200"/>
        <w:rPr>
          <w:rFonts w:hint="eastAsia" w:ascii="Times New Roman" w:hAnsi="Times New Roman" w:eastAsia="仿宋_GB2312"/>
          <w:color w:val="000000" w:themeColor="text1"/>
          <w:sz w:val="32"/>
          <w:szCs w:val="32"/>
          <w14:textFill>
            <w14:solidFill>
              <w14:schemeClr w14:val="tx1"/>
            </w14:solidFill>
          </w14:textFill>
        </w:rPr>
      </w:pPr>
      <w:r>
        <w:rPr>
          <w:rFonts w:ascii="Times New Roman" w:hAnsi="Times New Roman" w:eastAsia="仿宋_GB2312"/>
          <w:b/>
          <w:color w:val="000000" w:themeColor="text1"/>
          <w:sz w:val="32"/>
          <w:szCs w:val="32"/>
          <w14:textFill>
            <w14:solidFill>
              <w14:schemeClr w14:val="tx1"/>
            </w14:solidFill>
          </w14:textFill>
        </w:rPr>
        <w:t>推进制造业品牌建设。</w:t>
      </w:r>
      <w:r>
        <w:rPr>
          <w:rFonts w:ascii="Times New Roman" w:hAnsi="Times New Roman" w:eastAsia="仿宋_GB2312"/>
          <w:color w:val="000000" w:themeColor="text1"/>
          <w:sz w:val="32"/>
          <w:szCs w:val="32"/>
          <w14:textFill>
            <w14:solidFill>
              <w14:schemeClr w14:val="tx1"/>
            </w14:solidFill>
          </w14:textFill>
        </w:rPr>
        <w:t>引导企业制定品牌管理体系，围绕研发创新、生产制造、质量管理和营销服务全过程，提升内在素质，夯实品牌发展基础。扶持一批品牌培育和运营专业服务机构，开展品牌管理咨询、市场推广等服务。打造一批特色鲜明、竞争力强、市场信誉好的产业集群品牌。建设品牌文化，引导企业增强以质量和信誉为核心的品牌意识，树立品牌消费理念，提升品牌附加值和软实力。</w:t>
      </w:r>
    </w:p>
    <w:p>
      <w:pPr>
        <w:spacing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2"/>
        <w:spacing w:before="0" w:after="0" w:line="600" w:lineRule="exact"/>
        <w:jc w:val="center"/>
        <w:rPr>
          <w:rStyle w:val="31"/>
          <w:rFonts w:ascii="Times New Roman" w:hAnsi="Times New Roman" w:eastAsia="黑体" w:cs="Times New Roman"/>
          <w:color w:val="auto"/>
          <w:sz w:val="32"/>
          <w:szCs w:val="32"/>
          <w:u w:val="none"/>
          <w:lang w:val="zh-CN"/>
        </w:rPr>
      </w:pPr>
      <w:bookmarkStart w:id="47" w:name="_Toc458171787"/>
      <w:r>
        <w:rPr>
          <w:rStyle w:val="31"/>
          <w:rFonts w:hint="eastAsia" w:ascii="Times New Roman" w:hAnsi="Times New Roman" w:eastAsia="黑体" w:cs="Times New Roman"/>
          <w:color w:val="auto"/>
          <w:sz w:val="32"/>
          <w:szCs w:val="32"/>
          <w:u w:val="none"/>
          <w:lang w:val="zh-CN" w:eastAsia="zh-CN"/>
        </w:rPr>
        <w:t>第</w:t>
      </w:r>
      <w:r>
        <w:rPr>
          <w:rStyle w:val="31"/>
          <w:rFonts w:hint="eastAsia" w:ascii="Times New Roman" w:hAnsi="Times New Roman" w:eastAsia="黑体" w:cs="Times New Roman"/>
          <w:color w:val="auto"/>
          <w:sz w:val="32"/>
          <w:szCs w:val="32"/>
          <w:u w:val="none"/>
          <w:lang w:val="zh-CN"/>
        </w:rPr>
        <w:t>六</w:t>
      </w:r>
      <w:r>
        <w:rPr>
          <w:rStyle w:val="31"/>
          <w:rFonts w:hint="eastAsia" w:ascii="Times New Roman" w:hAnsi="Times New Roman" w:eastAsia="黑体" w:cs="Times New Roman"/>
          <w:color w:val="auto"/>
          <w:sz w:val="32"/>
          <w:szCs w:val="32"/>
          <w:u w:val="none"/>
          <w:lang w:val="zh-CN" w:eastAsia="zh-CN"/>
        </w:rPr>
        <w:t xml:space="preserve">章 </w:t>
      </w:r>
      <w:r>
        <w:rPr>
          <w:rStyle w:val="31"/>
          <w:rFonts w:hint="eastAsia" w:ascii="Times New Roman" w:hAnsi="Times New Roman" w:eastAsia="黑体" w:cs="Times New Roman"/>
          <w:color w:val="auto"/>
          <w:sz w:val="32"/>
          <w:szCs w:val="32"/>
          <w:u w:val="none"/>
          <w:lang w:val="zh-CN"/>
        </w:rPr>
        <w:t>建设全国</w:t>
      </w:r>
      <w:r>
        <w:rPr>
          <w:rStyle w:val="31"/>
          <w:rFonts w:ascii="Times New Roman" w:hAnsi="Times New Roman" w:eastAsia="黑体" w:cs="Times New Roman"/>
          <w:color w:val="auto"/>
          <w:sz w:val="32"/>
          <w:szCs w:val="32"/>
          <w:u w:val="none"/>
          <w:lang w:val="zh-CN"/>
        </w:rPr>
        <w:t>一流汽车</w:t>
      </w:r>
      <w:r>
        <w:rPr>
          <w:rStyle w:val="31"/>
          <w:rFonts w:hint="eastAsia" w:ascii="Times New Roman" w:hAnsi="Times New Roman" w:eastAsia="黑体" w:cs="Times New Roman"/>
          <w:color w:val="auto"/>
          <w:sz w:val="32"/>
          <w:szCs w:val="32"/>
          <w:u w:val="none"/>
          <w:lang w:val="zh-CN"/>
        </w:rPr>
        <w:t>制造</w:t>
      </w:r>
      <w:r>
        <w:rPr>
          <w:rStyle w:val="31"/>
          <w:rFonts w:ascii="Times New Roman" w:hAnsi="Times New Roman" w:eastAsia="黑体" w:cs="Times New Roman"/>
          <w:color w:val="auto"/>
          <w:sz w:val="32"/>
          <w:szCs w:val="32"/>
          <w:u w:val="none"/>
          <w:lang w:val="zh-CN"/>
        </w:rPr>
        <w:t>基地</w:t>
      </w:r>
      <w:bookmarkEnd w:id="47"/>
    </w:p>
    <w:p>
      <w:pPr>
        <w:pStyle w:val="4"/>
        <w:spacing w:before="0" w:after="0" w:line="600" w:lineRule="exact"/>
        <w:jc w:val="center"/>
        <w:rPr>
          <w:rFonts w:ascii="Times New Roman" w:hAnsi="Times New Roman" w:eastAsia="楷体" w:cs="Times New Roman"/>
          <w:kern w:val="0"/>
          <w:lang w:val="zh-CN" w:eastAsia="zh-CN"/>
        </w:rPr>
      </w:pPr>
      <w:bookmarkStart w:id="48" w:name="_Toc439832050"/>
      <w:bookmarkStart w:id="49" w:name="_Toc440536782"/>
      <w:bookmarkStart w:id="50" w:name="_Toc458171788"/>
      <w:r>
        <w:rPr>
          <w:rFonts w:ascii="Times New Roman" w:hAnsi="Times New Roman" w:eastAsia="楷体" w:cs="Times New Roman"/>
          <w:kern w:val="0"/>
          <w:lang w:val="zh-CN" w:eastAsia="zh-CN"/>
        </w:rPr>
        <w:t xml:space="preserve">第一节 </w:t>
      </w:r>
      <w:bookmarkEnd w:id="48"/>
      <w:bookmarkEnd w:id="49"/>
      <w:r>
        <w:rPr>
          <w:rFonts w:hint="eastAsia" w:ascii="Times New Roman" w:hAnsi="Times New Roman" w:eastAsia="楷体" w:cs="Times New Roman"/>
          <w:kern w:val="0"/>
          <w:lang w:val="zh-CN" w:eastAsia="zh-CN"/>
        </w:rPr>
        <w:t>发展壮大汽车制造产业</w:t>
      </w:r>
      <w:bookmarkEnd w:id="50"/>
    </w:p>
    <w:p>
      <w:pPr>
        <w:spacing w:line="600" w:lineRule="exact"/>
        <w:ind w:firstLine="640" w:firstLineChars="200"/>
        <w:rPr>
          <w:rFonts w:ascii="Times New Roman" w:hAnsi="Times New Roman" w:eastAsia="仿宋_GB2312"/>
          <w:bCs/>
          <w:sz w:val="32"/>
          <w:szCs w:val="32"/>
          <w:lang w:val="zh-CN"/>
        </w:rPr>
      </w:pPr>
      <w:r>
        <w:rPr>
          <w:rFonts w:hint="eastAsia" w:ascii="Times New Roman" w:hAnsi="Times New Roman" w:eastAsia="仿宋_GB2312"/>
          <w:bCs/>
          <w:sz w:val="32"/>
          <w:szCs w:val="32"/>
          <w:lang w:val="zh-CN"/>
        </w:rPr>
        <w:t>以</w:t>
      </w:r>
      <w:r>
        <w:rPr>
          <w:rFonts w:ascii="Times New Roman" w:hAnsi="Times New Roman" w:eastAsia="仿宋_GB2312"/>
          <w:bCs/>
          <w:sz w:val="32"/>
          <w:szCs w:val="32"/>
          <w:lang w:val="zh-CN"/>
        </w:rPr>
        <w:t>打造汽车全产业链</w:t>
      </w:r>
      <w:r>
        <w:rPr>
          <w:rFonts w:hint="eastAsia" w:ascii="Times New Roman" w:hAnsi="Times New Roman" w:eastAsia="仿宋_GB2312"/>
          <w:bCs/>
          <w:sz w:val="32"/>
          <w:szCs w:val="32"/>
          <w:lang w:val="zh-CN"/>
        </w:rPr>
        <w:t>为</w:t>
      </w:r>
      <w:r>
        <w:rPr>
          <w:rFonts w:ascii="Times New Roman" w:hAnsi="Times New Roman" w:eastAsia="仿宋_GB2312"/>
          <w:bCs/>
          <w:sz w:val="32"/>
          <w:szCs w:val="32"/>
          <w:lang w:val="zh-CN"/>
        </w:rPr>
        <w:t>核心</w:t>
      </w:r>
      <w:r>
        <w:rPr>
          <w:rFonts w:hint="eastAsia" w:ascii="Times New Roman" w:hAnsi="Times New Roman" w:eastAsia="仿宋_GB2312"/>
          <w:bCs/>
          <w:sz w:val="32"/>
          <w:szCs w:val="32"/>
          <w:lang w:val="zh-CN"/>
        </w:rPr>
        <w:t>，拓展汽车产业链上下游资源，重点</w:t>
      </w:r>
      <w:r>
        <w:rPr>
          <w:rFonts w:ascii="Times New Roman" w:hAnsi="Times New Roman" w:eastAsia="仿宋_GB2312"/>
          <w:bCs/>
          <w:sz w:val="32"/>
          <w:szCs w:val="32"/>
          <w:lang w:val="zh-CN"/>
        </w:rPr>
        <w:t>发展</w:t>
      </w:r>
      <w:r>
        <w:rPr>
          <w:rFonts w:hint="eastAsia" w:ascii="Times New Roman" w:hAnsi="Times New Roman" w:eastAsia="仿宋_GB2312"/>
          <w:bCs/>
          <w:sz w:val="32"/>
          <w:szCs w:val="32"/>
          <w:lang w:val="zh-CN"/>
        </w:rPr>
        <w:t>汽车整车制造、汽车零部件制造、汽车服务贸易产业，强化汽车</w:t>
      </w:r>
      <w:r>
        <w:rPr>
          <w:rFonts w:ascii="Times New Roman" w:hAnsi="Times New Roman" w:eastAsia="仿宋_GB2312"/>
          <w:bCs/>
          <w:sz w:val="32"/>
          <w:szCs w:val="32"/>
          <w:lang w:val="zh-CN"/>
        </w:rPr>
        <w:t>制造</w:t>
      </w:r>
      <w:r>
        <w:rPr>
          <w:rFonts w:hint="eastAsia" w:ascii="Times New Roman" w:hAnsi="Times New Roman" w:eastAsia="仿宋_GB2312"/>
          <w:bCs/>
          <w:sz w:val="32"/>
          <w:szCs w:val="32"/>
          <w:lang w:val="zh-CN"/>
        </w:rPr>
        <w:t>与服务业的互动发展。</w:t>
      </w:r>
    </w:p>
    <w:p>
      <w:pPr>
        <w:spacing w:line="600" w:lineRule="exact"/>
        <w:ind w:firstLine="643" w:firstLineChars="200"/>
        <w:rPr>
          <w:rFonts w:ascii="Times New Roman" w:hAnsi="Times New Roman" w:eastAsia="仿宋_GB2312"/>
          <w:bCs/>
          <w:sz w:val="32"/>
          <w:szCs w:val="32"/>
          <w:lang w:val="zh-CN"/>
        </w:rPr>
      </w:pPr>
      <w:r>
        <w:rPr>
          <w:rFonts w:hint="eastAsia" w:ascii="Times New Roman" w:hAnsi="Times New Roman" w:eastAsia="仿宋_GB2312"/>
          <w:b/>
          <w:bCs/>
          <w:sz w:val="32"/>
          <w:szCs w:val="32"/>
          <w:lang w:val="zh-CN"/>
        </w:rPr>
        <w:t>汽车整车。</w:t>
      </w:r>
      <w:r>
        <w:rPr>
          <w:rFonts w:hint="eastAsia" w:ascii="Times New Roman" w:hAnsi="Times New Roman" w:eastAsia="仿宋_GB2312"/>
          <w:bCs/>
          <w:sz w:val="32"/>
          <w:szCs w:val="32"/>
          <w:lang w:val="zh-CN"/>
        </w:rPr>
        <w:t>在巩固微型车、载货车市场地位的基础上，重点发展高附加值的乘用车、MPV、SUV、商用车</w:t>
      </w:r>
      <w:r>
        <w:rPr>
          <w:rFonts w:ascii="Times New Roman" w:hAnsi="Times New Roman" w:eastAsia="仿宋_GB2312"/>
          <w:bCs/>
          <w:sz w:val="32"/>
          <w:szCs w:val="32"/>
          <w:lang w:val="zh-CN"/>
        </w:rPr>
        <w:t>、</w:t>
      </w:r>
      <w:r>
        <w:rPr>
          <w:rFonts w:hint="eastAsia" w:ascii="Times New Roman" w:hAnsi="Times New Roman" w:eastAsia="仿宋_GB2312"/>
          <w:bCs/>
          <w:sz w:val="32"/>
          <w:szCs w:val="32"/>
          <w:lang w:val="zh-CN"/>
        </w:rPr>
        <w:t>特种专用车、轻型货车产品，</w:t>
      </w:r>
      <w:r>
        <w:rPr>
          <w:rFonts w:ascii="Times New Roman" w:hAnsi="Times New Roman" w:eastAsia="仿宋_GB2312"/>
          <w:bCs/>
          <w:sz w:val="32"/>
          <w:szCs w:val="32"/>
          <w:lang w:val="zh-CN"/>
        </w:rPr>
        <w:t>推进汽车产业</w:t>
      </w:r>
      <w:r>
        <w:rPr>
          <w:rFonts w:hint="eastAsia" w:ascii="Times New Roman" w:hAnsi="Times New Roman" w:eastAsia="仿宋_GB2312"/>
          <w:bCs/>
          <w:sz w:val="32"/>
          <w:szCs w:val="32"/>
          <w:lang w:val="zh-CN"/>
        </w:rPr>
        <w:t>高档次、高质量、高附加值的多元化产品发展。采取平台发展战略，重点</w:t>
      </w:r>
      <w:r>
        <w:rPr>
          <w:rFonts w:ascii="Times New Roman" w:hAnsi="Times New Roman" w:eastAsia="仿宋_GB2312"/>
          <w:bCs/>
          <w:sz w:val="32"/>
          <w:szCs w:val="32"/>
          <w:lang w:val="zh-CN"/>
        </w:rPr>
        <w:t>开发技术含量高、通用性</w:t>
      </w:r>
      <w:r>
        <w:rPr>
          <w:rFonts w:hint="eastAsia" w:ascii="Times New Roman" w:hAnsi="Times New Roman" w:eastAsia="仿宋_GB2312"/>
          <w:bCs/>
          <w:sz w:val="32"/>
          <w:szCs w:val="32"/>
          <w:lang w:val="zh-CN"/>
        </w:rPr>
        <w:t>强</w:t>
      </w:r>
      <w:r>
        <w:rPr>
          <w:rFonts w:ascii="Times New Roman" w:hAnsi="Times New Roman" w:eastAsia="仿宋_GB2312"/>
          <w:bCs/>
          <w:sz w:val="32"/>
          <w:szCs w:val="32"/>
          <w:lang w:val="zh-CN"/>
        </w:rPr>
        <w:t>的系列车型</w:t>
      </w:r>
      <w:r>
        <w:rPr>
          <w:rFonts w:hint="eastAsia" w:ascii="Times New Roman" w:hAnsi="Times New Roman" w:eastAsia="仿宋_GB2312"/>
          <w:bCs/>
          <w:sz w:val="32"/>
          <w:szCs w:val="32"/>
          <w:lang w:val="zh-CN"/>
        </w:rPr>
        <w:t>，不断提高汽车的经济性、动力性、安全性、稳定性、舒适性。充分</w:t>
      </w:r>
      <w:r>
        <w:rPr>
          <w:rFonts w:ascii="Times New Roman" w:hAnsi="Times New Roman" w:eastAsia="仿宋_GB2312"/>
          <w:bCs/>
          <w:sz w:val="32"/>
          <w:szCs w:val="32"/>
          <w:lang w:val="zh-CN"/>
        </w:rPr>
        <w:t>利用</w:t>
      </w:r>
      <w:r>
        <w:rPr>
          <w:rFonts w:hint="eastAsia" w:ascii="Times New Roman" w:hAnsi="Times New Roman" w:eastAsia="仿宋_GB2312"/>
          <w:bCs/>
          <w:sz w:val="32"/>
          <w:szCs w:val="32"/>
          <w:lang w:val="zh-CN"/>
        </w:rPr>
        <w:t>计算机技术、互联网技术与传统汽车技术融合，加强</w:t>
      </w:r>
      <w:r>
        <w:rPr>
          <w:rFonts w:ascii="Times New Roman" w:hAnsi="Times New Roman" w:eastAsia="仿宋_GB2312"/>
          <w:bCs/>
          <w:sz w:val="32"/>
          <w:szCs w:val="32"/>
          <w:lang w:val="zh-CN"/>
        </w:rPr>
        <w:t>推进汽车</w:t>
      </w:r>
      <w:r>
        <w:rPr>
          <w:rFonts w:hint="eastAsia" w:ascii="Times New Roman" w:hAnsi="Times New Roman" w:eastAsia="仿宋_GB2312"/>
          <w:bCs/>
          <w:sz w:val="32"/>
          <w:szCs w:val="32"/>
          <w:lang w:val="zh-CN"/>
        </w:rPr>
        <w:t>产品电子化、智能化，加快汽车产业转型升级。引导</w:t>
      </w:r>
      <w:r>
        <w:rPr>
          <w:rFonts w:ascii="Times New Roman" w:hAnsi="Times New Roman" w:eastAsia="仿宋_GB2312"/>
          <w:bCs/>
          <w:sz w:val="32"/>
          <w:szCs w:val="32"/>
          <w:lang w:val="zh-CN"/>
        </w:rPr>
        <w:t>整车</w:t>
      </w:r>
      <w:r>
        <w:rPr>
          <w:rFonts w:hint="eastAsia" w:ascii="Times New Roman" w:hAnsi="Times New Roman" w:eastAsia="仿宋_GB2312"/>
          <w:bCs/>
          <w:sz w:val="32"/>
          <w:szCs w:val="32"/>
          <w:lang w:val="zh-CN"/>
        </w:rPr>
        <w:t>企业走出</w:t>
      </w:r>
      <w:r>
        <w:rPr>
          <w:rFonts w:ascii="Times New Roman" w:hAnsi="Times New Roman" w:eastAsia="仿宋_GB2312"/>
          <w:bCs/>
          <w:sz w:val="32"/>
          <w:szCs w:val="32"/>
          <w:lang w:val="zh-CN"/>
        </w:rPr>
        <w:t>去，</w:t>
      </w:r>
      <w:r>
        <w:rPr>
          <w:rFonts w:hint="eastAsia" w:ascii="Times New Roman" w:hAnsi="Times New Roman" w:eastAsia="仿宋_GB2312"/>
          <w:bCs/>
          <w:sz w:val="32"/>
          <w:szCs w:val="32"/>
          <w:lang w:val="zh-CN"/>
        </w:rPr>
        <w:t>在</w:t>
      </w:r>
      <w:r>
        <w:rPr>
          <w:rFonts w:ascii="Times New Roman" w:hAnsi="Times New Roman" w:eastAsia="仿宋_GB2312"/>
          <w:bCs/>
          <w:sz w:val="32"/>
          <w:szCs w:val="32"/>
          <w:lang w:val="zh-CN"/>
        </w:rPr>
        <w:t>东盟</w:t>
      </w:r>
      <w:r>
        <w:rPr>
          <w:rFonts w:hint="eastAsia" w:ascii="Times New Roman" w:hAnsi="Times New Roman" w:eastAsia="仿宋_GB2312"/>
          <w:bCs/>
          <w:sz w:val="32"/>
          <w:szCs w:val="32"/>
          <w:lang w:val="zh-CN"/>
        </w:rPr>
        <w:t>、</w:t>
      </w:r>
      <w:r>
        <w:rPr>
          <w:rFonts w:ascii="Times New Roman" w:hAnsi="Times New Roman" w:eastAsia="仿宋_GB2312"/>
          <w:bCs/>
          <w:sz w:val="32"/>
          <w:szCs w:val="32"/>
          <w:lang w:val="zh-CN"/>
        </w:rPr>
        <w:t>非洲等国家</w:t>
      </w:r>
      <w:r>
        <w:rPr>
          <w:rFonts w:hint="eastAsia" w:ascii="Times New Roman" w:hAnsi="Times New Roman" w:eastAsia="仿宋_GB2312"/>
          <w:bCs/>
          <w:sz w:val="32"/>
          <w:szCs w:val="32"/>
          <w:lang w:val="zh-CN"/>
        </w:rPr>
        <w:t>布局</w:t>
      </w:r>
      <w:r>
        <w:rPr>
          <w:rFonts w:ascii="Times New Roman" w:hAnsi="Times New Roman" w:eastAsia="仿宋_GB2312"/>
          <w:bCs/>
          <w:sz w:val="32"/>
          <w:szCs w:val="32"/>
          <w:lang w:val="zh-CN"/>
        </w:rPr>
        <w:t>汽车产业，</w:t>
      </w:r>
      <w:r>
        <w:rPr>
          <w:rFonts w:hint="eastAsia" w:ascii="Times New Roman" w:hAnsi="Times New Roman" w:eastAsia="仿宋_GB2312"/>
          <w:bCs/>
          <w:sz w:val="32"/>
          <w:szCs w:val="32"/>
          <w:lang w:val="zh-CN"/>
        </w:rPr>
        <w:t>拓展企业发展空间。重点推进上汽通用五菱技术中心试验室建设、东风柳汽乘用车基地搬迁二期、商用车基地搬迁技术改造</w:t>
      </w:r>
      <w:r>
        <w:rPr>
          <w:rFonts w:ascii="Times New Roman" w:hAnsi="Times New Roman" w:eastAsia="仿宋_GB2312"/>
          <w:bCs/>
          <w:sz w:val="32"/>
          <w:szCs w:val="32"/>
          <w:lang w:val="zh-CN"/>
        </w:rPr>
        <w:t>等项目建设</w:t>
      </w:r>
      <w:r>
        <w:rPr>
          <w:rFonts w:hint="eastAsia" w:ascii="Times New Roman" w:hAnsi="Times New Roman" w:eastAsia="仿宋_GB2312"/>
          <w:bCs/>
          <w:sz w:val="32"/>
          <w:szCs w:val="32"/>
          <w:lang w:val="zh-CN"/>
        </w:rPr>
        <w:t>。</w:t>
      </w:r>
    </w:p>
    <w:p>
      <w:pPr>
        <w:spacing w:line="600" w:lineRule="exact"/>
        <w:ind w:firstLine="643" w:firstLineChars="200"/>
        <w:rPr>
          <w:rFonts w:ascii="Times New Roman" w:hAnsi="Times New Roman" w:eastAsia="仿宋_GB2312"/>
          <w:bCs/>
          <w:sz w:val="32"/>
          <w:szCs w:val="32"/>
          <w:lang w:val="zh-CN"/>
        </w:rPr>
      </w:pPr>
      <w:r>
        <w:rPr>
          <w:rFonts w:hint="eastAsia" w:ascii="Times New Roman" w:hAnsi="Times New Roman" w:eastAsia="仿宋_GB2312"/>
          <w:b/>
          <w:bCs/>
          <w:sz w:val="32"/>
          <w:szCs w:val="32"/>
          <w:lang w:val="zh-CN"/>
        </w:rPr>
        <w:t>新能源汽车。</w:t>
      </w:r>
      <w:r>
        <w:rPr>
          <w:rFonts w:hint="eastAsia" w:ascii="Times New Roman" w:hAnsi="Times New Roman" w:eastAsia="仿宋_GB2312"/>
          <w:bCs/>
          <w:sz w:val="32"/>
          <w:szCs w:val="32"/>
          <w:lang w:val="zh-CN"/>
        </w:rPr>
        <w:t>借鉴国外新能源汽车产业发展路径及经验，</w:t>
      </w:r>
      <w:r>
        <w:rPr>
          <w:rFonts w:hint="eastAsia" w:ascii="仿宋_GB2312" w:hAnsi="华文仿宋" w:eastAsia="仿宋_GB2312"/>
          <w:sz w:val="32"/>
          <w:szCs w:val="32"/>
        </w:rPr>
        <w:t>重点发展增程式纯电动汽车、燃料电池汽车、混合动力汽车，积极开发纯电动商用车、小型电动车、专用车、客货车以及观光车等电动汽车系列产品，推进新能源汽车、核心零部件、充电桩等产业发展，逐步建立新能源汽车产业体系。</w:t>
      </w:r>
      <w:r>
        <w:rPr>
          <w:rFonts w:hint="eastAsia" w:ascii="Times New Roman" w:hAnsi="Times New Roman" w:eastAsia="仿宋_GB2312"/>
          <w:bCs/>
          <w:sz w:val="32"/>
          <w:szCs w:val="32"/>
          <w:lang w:val="zh-CN"/>
        </w:rPr>
        <w:t>。</w:t>
      </w:r>
    </w:p>
    <w:p>
      <w:pPr>
        <w:spacing w:line="600" w:lineRule="exact"/>
        <w:ind w:firstLine="640" w:firstLineChars="200"/>
        <w:rPr>
          <w:rFonts w:ascii="Times New Roman" w:hAnsi="Times New Roman" w:eastAsia="仿宋_GB2312"/>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560" w:firstLineChars="200"/>
        <w:rPr>
          <w:rFonts w:ascii="Times New Roman" w:hAnsi="Times New Roman" w:eastAsia="仿宋_GB2312"/>
          <w:b/>
          <w:bCs/>
          <w:sz w:val="32"/>
          <w:szCs w:val="32"/>
          <w:lang w:val="zh-CN"/>
        </w:rPr>
      </w:pPr>
      <w:r>
        <w:rPr>
          <w:rFonts w:asciiTheme="minorEastAsia" w:hAnsiTheme="minorEastAsia"/>
          <w:bCs/>
          <w:szCs w:val="28"/>
        </w:rPr>
        <mc:AlternateContent>
          <mc:Choice Requires="wps">
            <w:drawing>
              <wp:inline distT="0" distB="0" distL="0" distR="0">
                <wp:extent cx="5274310" cy="2505075"/>
                <wp:effectExtent l="0" t="0" r="21590" b="28575"/>
                <wp:docPr id="4" name="Text Box 22"/>
                <wp:cNvGraphicFramePr/>
                <a:graphic xmlns:a="http://schemas.openxmlformats.org/drawingml/2006/main">
                  <a:graphicData uri="http://schemas.microsoft.com/office/word/2010/wordprocessingShape">
                    <wps:wsp>
                      <wps:cNvSpPr txBox="1">
                        <a:spLocks noChangeArrowheads="1"/>
                      </wps:cNvSpPr>
                      <wps:spPr bwMode="auto">
                        <a:xfrm>
                          <a:off x="0" y="0"/>
                          <a:ext cx="5274310" cy="2505075"/>
                        </a:xfrm>
                        <a:prstGeom prst="rect">
                          <a:avLst/>
                        </a:prstGeom>
                        <a:solidFill>
                          <a:schemeClr val="bg1">
                            <a:lumMod val="95000"/>
                            <a:lumOff val="0"/>
                          </a:schemeClr>
                        </a:solidFill>
                        <a:ln w="9525">
                          <a:solidFill>
                            <a:srgbClr val="000000"/>
                          </a:solidFill>
                          <a:miter lim="800000"/>
                        </a:ln>
                      </wps:spPr>
                      <wps:txbx>
                        <w:txbxContent>
                          <w:p>
                            <w:pPr>
                              <w:jc w:val="center"/>
                              <w:rPr>
                                <w:rFonts w:ascii="Times New Roman" w:hAnsi="Times New Roman" w:cs="Times New Roman"/>
                                <w:sz w:val="18"/>
                                <w:szCs w:val="18"/>
                              </w:rPr>
                            </w:pPr>
                            <w:r>
                              <w:drawing>
                                <wp:inline distT="0" distB="0" distL="0" distR="0">
                                  <wp:extent cx="3600450" cy="2097405"/>
                                  <wp:effectExtent l="0" t="0" r="0" b="0"/>
                                  <wp:docPr id="8" name="图片 28"/>
                                  <wp:cNvGraphicFramePr/>
                                  <a:graphic xmlns:a="http://schemas.openxmlformats.org/drawingml/2006/main">
                                    <a:graphicData uri="http://schemas.openxmlformats.org/drawingml/2006/picture">
                                      <pic:pic xmlns:pic="http://schemas.openxmlformats.org/drawingml/2006/picture">
                                        <pic:nvPicPr>
                                          <pic:cNvPr id="8" name="图片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450" cy="2097405"/>
                                          </a:xfrm>
                                          <a:prstGeom prst="rect">
                                            <a:avLst/>
                                          </a:prstGeom>
                                        </pic:spPr>
                                      </pic:pic>
                                    </a:graphicData>
                                  </a:graphic>
                                </wp:inline>
                              </w:drawing>
                            </w:r>
                          </w:p>
                          <w:p>
                            <w:pPr>
                              <w:jc w:val="center"/>
                              <w:rPr>
                                <w:rFonts w:ascii="Times New Roman" w:hAnsi="Times New Roman" w:cs="Times New Roman"/>
                                <w:sz w:val="18"/>
                                <w:szCs w:val="18"/>
                              </w:rPr>
                            </w:pPr>
                            <w:r>
                              <w:rPr>
                                <w:rFonts w:hint="eastAsia" w:ascii="Times New Roman" w:hAnsi="Times New Roman" w:cs="Times New Roman"/>
                                <w:sz w:val="18"/>
                                <w:szCs w:val="18"/>
                              </w:rPr>
                              <w:t>新能源汽车产业链</w:t>
                            </w:r>
                          </w:p>
                        </w:txbxContent>
                      </wps:txbx>
                      <wps:bodyPr rot="0" vert="horz" wrap="square" lIns="91440" tIns="45720" rIns="91440" bIns="45720" anchor="t" anchorCtr="0" upright="1">
                        <a:noAutofit/>
                      </wps:bodyPr>
                    </wps:wsp>
                  </a:graphicData>
                </a:graphic>
              </wp:inline>
            </w:drawing>
          </mc:Choice>
          <mc:Fallback>
            <w:pict>
              <v:shape id="Text Box 22" o:spid="_x0000_s1026" o:spt="202" type="#_x0000_t202" style="height:197.25pt;width:415.3pt;" fillcolor="#F2F2F2 [3212]" filled="t" stroked="t" coordsize="21600,21600" o:gfxdata="UEsDBAoAAAAAAIdO4kAAAAAAAAAAAAAAAAAEAAAAZHJzL1BLAwQUAAAACACHTuJA2e3ls9QAAAAF&#10;AQAADwAAAGRycy9kb3ducmV2LnhtbE2PS0/DMBCE70j8B2uRuCBq90FaQpweQBVH6OvuxksSEa+t&#10;2GnDv2fhApeVRrM7822xHl0nztjH1pOG6USBQKq8banWcNhv7lcgYjJkTecJNXxhhHV5fVWY3PoL&#10;bfG8S7XgEIq50dCkFHIpY9WgM3HiAxJ7H753JrHsa2l7c+Fw18mZUpl0piVuaEzA5warz93gGGN/&#10;DDOpFmn5evf+8rYdj2HINlrf3kzVE4iEY/pbhh98voGSmU5+IBtFp4EfSb+TvdVcZSBOGuaPiweQ&#10;ZSH/05ffUEsDBBQAAAAIAIdO4kC+MjkDTAIAAL0EAAAOAAAAZHJzL2Uyb0RvYy54bWytVNtu2zAM&#10;fR+wfxD0vtrx4rU16hRdgg4DugvQ7gMUWY6FSaImKbG7rx8luVnWYUAfBgOCeNEheUj66nrSihyE&#10;8xJMSxdnJSXCcOik2bX028PtmwtKfGCmYwqMaOmj8PR69frV1WgbUcEAqhOOIIjxzWhbOoRgm6Lw&#10;fBCa+TOwwqCxB6dZQNHtis6xEdG1KqqyfFeM4DrrgAvvUbvJRjojupcAQt9LLjbA91qYkFGdUCxg&#10;SX6Q1tNVyrbvBQ9f+t6LQFRLsdKQTgyC9208i9UVa3aO2UHyOQX2khSe1aSZNBj0CLVhgZG9k39B&#10;ackdeOjDGQdd5EISI1jFonzGzf3ArEi1INXeHkn3/w+Wfz58dUR2LV1SYpjGhj+IKZD3MJGqivSM&#10;1jfodW/RL0yox6FJpXp7B/y7JwbWAzM7ceMcjINgHaa3iC+Lk6cZx0eQ7fgJOozD9gES0NQ7HblD&#10;NgiiY2sej62JuXBU1tX58u0CTRxtVV3W5XmdYrDm6bl1PnwQoEm8tNRh7xM8O9z5ENNhzZNLjOZB&#10;ye5WKpUEt9uulSMHhnNyW8UvvVV7jclm9WVdlvPAoBrHKquTCrF9hkhx/sBWhowtvayrOtP2z7gI&#10;P0eIcKduWgbcOSV1Sy9OnZSZWY7EZorDtJ3mrm2he0S+HeSpx53HywDuJyUjTnxL/Y89c4IS9dFg&#10;zy4Xy2VckSQs6/MKBXdq2Z5amOEI1dJASb6uQ16rvXVyN2CkPCUGbrDPvUwdiAORs5rzxqlOhM0b&#10;GNfmVE5ev/86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7eWz1AAAAAUBAAAPAAAAAAAAAAEA&#10;IAAAACIAAABkcnMvZG93bnJldi54bWxQSwECFAAUAAAACACHTuJAvjI5A0wCAAC9BAAADgAAAAAA&#10;AAABACAAAAAjAQAAZHJzL2Uyb0RvYy54bWxQSwUGAAAAAAYABgBZAQAA4QUAAAAA&#10;">
                <v:fill on="t" focussize="0,0"/>
                <v:stroke color="#000000" miterlimit="8" joinstyle="miter"/>
                <v:imagedata o:title=""/>
                <o:lock v:ext="edit" aspectratio="f"/>
                <v:textbox>
                  <w:txbxContent>
                    <w:p>
                      <w:pPr>
                        <w:jc w:val="center"/>
                        <w:rPr>
                          <w:rFonts w:ascii="Times New Roman" w:hAnsi="Times New Roman" w:cs="Times New Roman"/>
                          <w:sz w:val="18"/>
                          <w:szCs w:val="18"/>
                        </w:rPr>
                      </w:pPr>
                      <w:r>
                        <w:drawing>
                          <wp:inline distT="0" distB="0" distL="0" distR="0">
                            <wp:extent cx="3600450" cy="2097405"/>
                            <wp:effectExtent l="0" t="0" r="0" b="0"/>
                            <wp:docPr id="8" name="图片 28"/>
                            <wp:cNvGraphicFramePr/>
                            <a:graphic xmlns:a="http://schemas.openxmlformats.org/drawingml/2006/main">
                              <a:graphicData uri="http://schemas.openxmlformats.org/drawingml/2006/picture">
                                <pic:pic xmlns:pic="http://schemas.openxmlformats.org/drawingml/2006/picture">
                                  <pic:nvPicPr>
                                    <pic:cNvPr id="8" name="图片 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450" cy="2097405"/>
                                    </a:xfrm>
                                    <a:prstGeom prst="rect">
                                      <a:avLst/>
                                    </a:prstGeom>
                                  </pic:spPr>
                                </pic:pic>
                              </a:graphicData>
                            </a:graphic>
                          </wp:inline>
                        </w:drawing>
                      </w:r>
                    </w:p>
                    <w:p>
                      <w:pPr>
                        <w:jc w:val="center"/>
                        <w:rPr>
                          <w:rFonts w:ascii="Times New Roman" w:hAnsi="Times New Roman" w:cs="Times New Roman"/>
                          <w:sz w:val="18"/>
                          <w:szCs w:val="18"/>
                        </w:rPr>
                      </w:pPr>
                      <w:r>
                        <w:rPr>
                          <w:rFonts w:hint="eastAsia" w:ascii="Times New Roman" w:hAnsi="Times New Roman" w:cs="Times New Roman"/>
                          <w:sz w:val="18"/>
                          <w:szCs w:val="18"/>
                        </w:rPr>
                        <w:t>新能源汽车产业链</w:t>
                      </w:r>
                    </w:p>
                  </w:txbxContent>
                </v:textbox>
                <w10:wrap type="none"/>
                <w10:anchorlock/>
              </v:shape>
            </w:pict>
          </mc:Fallback>
        </mc:AlternateContent>
      </w:r>
    </w:p>
    <w:p>
      <w:pPr>
        <w:spacing w:line="600" w:lineRule="exact"/>
        <w:ind w:firstLine="643" w:firstLineChars="200"/>
        <w:rPr>
          <w:rFonts w:ascii="Times New Roman" w:hAnsi="Times New Roman" w:eastAsia="仿宋_GB2312"/>
          <w:bCs/>
          <w:sz w:val="32"/>
          <w:szCs w:val="32"/>
          <w:lang w:val="zh-CN"/>
        </w:rPr>
      </w:pPr>
      <w:r>
        <w:rPr>
          <w:rFonts w:hint="eastAsia" w:ascii="Times New Roman" w:hAnsi="Times New Roman" w:eastAsia="仿宋_GB2312"/>
          <w:b/>
          <w:bCs/>
          <w:sz w:val="32"/>
          <w:szCs w:val="32"/>
          <w:lang w:val="zh-CN"/>
        </w:rPr>
        <w:t>汽车零部件。</w:t>
      </w:r>
      <w:r>
        <w:rPr>
          <w:rFonts w:hint="eastAsia" w:ascii="Times New Roman" w:hAnsi="Times New Roman" w:eastAsia="仿宋_GB2312"/>
          <w:bCs/>
          <w:sz w:val="32"/>
          <w:szCs w:val="32"/>
          <w:lang w:val="zh-CN"/>
        </w:rPr>
        <w:t>包括汽车发动机、自动变速箱、发动机排放控制装置、充气减震器、空气悬架、汽车电子装置制造、汽车模具、夹具设计制造、汽车轮胎和车灯等零部件研发制造；积极吸引汽车零部件制造商，重点发展高附加值汽车零部件的设计制造。</w:t>
      </w:r>
    </w:p>
    <w:p>
      <w:pPr>
        <w:spacing w:line="600" w:lineRule="exact"/>
        <w:ind w:firstLine="643" w:firstLineChars="200"/>
        <w:rPr>
          <w:rFonts w:ascii="Times New Roman" w:hAnsi="Times New Roman" w:eastAsia="仿宋_GB2312"/>
          <w:bCs/>
          <w:sz w:val="32"/>
          <w:szCs w:val="32"/>
          <w:lang w:val="zh-CN"/>
        </w:rPr>
      </w:pPr>
      <w:r>
        <w:rPr>
          <w:rFonts w:hint="eastAsia" w:ascii="Times New Roman" w:hAnsi="Times New Roman" w:eastAsia="仿宋_GB2312"/>
          <w:b/>
          <w:bCs/>
          <w:sz w:val="32"/>
          <w:szCs w:val="32"/>
          <w:lang w:val="zh-CN"/>
        </w:rPr>
        <w:t>智能汽车。</w:t>
      </w:r>
      <w:r>
        <w:rPr>
          <w:rFonts w:hint="eastAsia" w:ascii="Times New Roman" w:hAnsi="Times New Roman" w:eastAsia="仿宋_GB2312"/>
          <w:bCs/>
          <w:sz w:val="32"/>
          <w:szCs w:val="32"/>
          <w:lang w:val="zh-CN"/>
        </w:rPr>
        <w:t>将传统的汽车整车制造与新一代互联网技术相结合，支持与互联网企业合作，加快对汽车智能硬件和系统的研发，推动车联网的发展，改变汽车传统营销模式和出行模式。</w:t>
      </w:r>
    </w:p>
    <w:p>
      <w:pPr>
        <w:spacing w:line="600" w:lineRule="exact"/>
        <w:ind w:firstLine="640" w:firstLineChars="200"/>
        <w:rPr>
          <w:rFonts w:ascii="Times New Roman" w:hAnsi="Times New Roman" w:eastAsia="仿宋_GB2312"/>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643" w:firstLineChars="200"/>
        <w:rPr>
          <w:rFonts w:ascii="Times New Roman" w:hAnsi="Times New Roman" w:eastAsia="仿宋_GB2312"/>
          <w:b/>
          <w:bCs/>
          <w:sz w:val="32"/>
          <w:szCs w:val="32"/>
          <w:lang w:val="zh-CN"/>
        </w:rPr>
      </w:pPr>
    </w:p>
    <w:p>
      <w:pPr>
        <w:spacing w:line="600" w:lineRule="exact"/>
        <w:ind w:firstLine="560" w:firstLineChars="200"/>
        <w:rPr>
          <w:rFonts w:ascii="Times New Roman" w:hAnsi="Times New Roman" w:eastAsia="仿宋_GB2312"/>
          <w:b/>
          <w:bCs/>
          <w:sz w:val="32"/>
          <w:szCs w:val="32"/>
          <w:lang w:val="zh-CN"/>
        </w:rPr>
      </w:pPr>
      <w:r>
        <w:rPr>
          <w:rFonts w:asciiTheme="minorEastAsia" w:hAnsiTheme="minorEastAsia"/>
          <w:bCs/>
          <w:szCs w:val="28"/>
        </w:rPr>
        <mc:AlternateContent>
          <mc:Choice Requires="wps">
            <w:drawing>
              <wp:inline distT="0" distB="0" distL="0" distR="0">
                <wp:extent cx="5274310" cy="3286125"/>
                <wp:effectExtent l="0" t="0" r="21590" b="28575"/>
                <wp:docPr id="36" name="Text Box 22"/>
                <wp:cNvGraphicFramePr/>
                <a:graphic xmlns:a="http://schemas.openxmlformats.org/drawingml/2006/main">
                  <a:graphicData uri="http://schemas.microsoft.com/office/word/2010/wordprocessingShape">
                    <wps:wsp>
                      <wps:cNvSpPr txBox="1">
                        <a:spLocks noChangeArrowheads="1"/>
                      </wps:cNvSpPr>
                      <wps:spPr bwMode="auto">
                        <a:xfrm>
                          <a:off x="0" y="0"/>
                          <a:ext cx="5274310" cy="3286125"/>
                        </a:xfrm>
                        <a:prstGeom prst="rect">
                          <a:avLst/>
                        </a:prstGeom>
                        <a:solidFill>
                          <a:schemeClr val="bg1">
                            <a:lumMod val="95000"/>
                            <a:lumOff val="0"/>
                          </a:schemeClr>
                        </a:solidFill>
                        <a:ln w="9525">
                          <a:solidFill>
                            <a:srgbClr val="000000"/>
                          </a:solidFill>
                          <a:miter lim="800000"/>
                        </a:ln>
                      </wps:spPr>
                      <wps:txbx>
                        <w:txbxContent>
                          <w:p>
                            <w:pPr>
                              <w:jc w:val="center"/>
                              <w:rPr>
                                <w:rFonts w:ascii="Times New Roman" w:hAnsi="Times New Roman" w:cs="Times New Roman"/>
                                <w:sz w:val="18"/>
                                <w:szCs w:val="18"/>
                              </w:rPr>
                            </w:pPr>
                          </w:p>
                          <w:p>
                            <w:pPr>
                              <w:jc w:val="center"/>
                            </w:pPr>
                            <w:r>
                              <w:drawing>
                                <wp:inline distT="0" distB="0" distL="0" distR="0">
                                  <wp:extent cx="3728720" cy="2684145"/>
                                  <wp:effectExtent l="0" t="0" r="5080" b="1905"/>
                                  <wp:docPr id="9" name="图片 29"/>
                                  <wp:cNvGraphicFramePr/>
                                  <a:graphic xmlns:a="http://schemas.openxmlformats.org/drawingml/2006/main">
                                    <a:graphicData uri="http://schemas.openxmlformats.org/drawingml/2006/picture">
                                      <pic:pic xmlns:pic="http://schemas.openxmlformats.org/drawingml/2006/picture">
                                        <pic:nvPicPr>
                                          <pic:cNvPr id="9" name="图片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8720" cy="2684145"/>
                                          </a:xfrm>
                                          <a:prstGeom prst="rect">
                                            <a:avLst/>
                                          </a:prstGeom>
                                        </pic:spPr>
                                      </pic:pic>
                                    </a:graphicData>
                                  </a:graphic>
                                </wp:inline>
                              </w:drawing>
                            </w:r>
                          </w:p>
                          <w:p>
                            <w:pPr>
                              <w:jc w:val="center"/>
                            </w:pPr>
                            <w:r>
                              <w:rPr>
                                <w:rFonts w:hint="eastAsia" w:ascii="Times New Roman" w:hAnsi="Times New Roman" w:cs="Times New Roman"/>
                                <w:kern w:val="0"/>
                                <w:sz w:val="18"/>
                                <w:szCs w:val="18"/>
                              </w:rPr>
                              <w:t>车联网产业链示意图</w:t>
                            </w:r>
                          </w:p>
                        </w:txbxContent>
                      </wps:txbx>
                      <wps:bodyPr rot="0" vert="horz" wrap="square" lIns="91440" tIns="45720" rIns="91440" bIns="45720" anchor="t" anchorCtr="0" upright="1">
                        <a:noAutofit/>
                      </wps:bodyPr>
                    </wps:wsp>
                  </a:graphicData>
                </a:graphic>
              </wp:inline>
            </w:drawing>
          </mc:Choice>
          <mc:Fallback>
            <w:pict>
              <v:shape id="Text Box 22" o:spid="_x0000_s1026" o:spt="202" type="#_x0000_t202" style="height:258.75pt;width:415.3pt;" fillcolor="#F2F2F2 [3212]" filled="t" stroked="t" coordsize="21600,21600" o:gfxdata="UEsDBAoAAAAAAIdO4kAAAAAAAAAAAAAAAAAEAAAAZHJzL1BLAwQUAAAACACHTuJA5fNPS9QAAAAF&#10;AQAADwAAAGRycy9kb3ducmV2LnhtbE2PQU/DMAyF70j8h8hIXBBLOlg3laY7gCaOsI3ds8a0FY0T&#10;NelW/j2Gy7hYenr2e5/L9eR6ccIhdp40ZDMFAqn2tqNGw8d+c78CEZMha3pPqOEbI6yr66vSFNaf&#10;aYunXWoEh1AsjIY2pVBIGesWnYkzH5DY+/SDM4nl0Eg7mDOHu17OlcqlMx1xQ2sCPrdYf+1Gxxj7&#10;Q5hL9ZiWr3fvL2/b6RDGfKP17U2mnkAknNJlGX7x+QYqZjr6kWwUvQZ+JP1N9lYPKgdx1LDIlguQ&#10;VSn/01c/UEsDBBQAAAAIAIdO4kAqrf6sTQIAAL4EAAAOAAAAZHJzL2Uyb0RvYy54bWytVNtu2zAM&#10;fR+wfxD0vjhxLm2NOEWXosOA7gK0+wBFlmNhkqhJSuzu60dJbpZ1wNCHIYAhktLh4SGZ9fWgFTkK&#10;5yWYms4mU0qE4dBIs6/pt8e7d5eU+MBMwxQYUdMn4en15u2bdW8rUUIHqhGOIIjxVW9r2oVgq6Lw&#10;vBOa+QlYYTDYgtMsoOn2ReNYj+haFeV0uip6cI11wIX36L3NQToiutcAQttKLm6BH7QwIaM6oVjA&#10;knwnraebxLZtBQ9f2taLQFRNsdKQvpgEz7v4LTZrVu0ds53kIwX2GgovatJMGkx6grplgZGDk39B&#10;ackdeGjDhIMuciFJEaxiNn2hzUPHrEi1oNTenkT3/w+Wfz5+dUQ2NZ2vKDFMY8cfxRDIexhIWUZ9&#10;eusrvPZg8WIY0I9Tk2r19h74d08MbDtm9uLGOeg7wRrkN4svi7OnGcdHkF3/CRrMww4BEtDQOh3F&#10;QzkIomNvnk69iVw4OpflxWI+wxDH2Ly8XM3KZcrBqufn1vnwQYAm8VBTh81P8Ox470Okw6rnKzGb&#10;ByWbO6lUMtx+t1WOHBkOyl0Zf+mtOmgkm91Xy+l0nBh041xld3Ihts8QKc8f2MqQvqZXSyT877wI&#10;P2aIcOf0tAy4dErqml6eX1JmVDkKmyUOw24Yu7aD5gn1dpDHHpceDx24n5T0OPI19T8OzAlK1EeD&#10;PbuaLRZxR5KxWF6UaLjzyO48wgxHqJoGSvJxG/JeHayT+w4z5SkxcIN9bmXqQByIzGrkjWOdBBtX&#10;MO7NuZ1u/f7b2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fNPS9QAAAAFAQAADwAAAAAAAAAB&#10;ACAAAAAiAAAAZHJzL2Rvd25yZXYueG1sUEsBAhQAFAAAAAgAh07iQCqt/qxNAgAAvgQAAA4AAAAA&#10;AAAAAQAgAAAAIwEAAGRycy9lMm9Eb2MueG1sUEsFBgAAAAAGAAYAWQEAAOIFAAAAAA==&#10;">
                <v:fill on="t" focussize="0,0"/>
                <v:stroke color="#000000" miterlimit="8" joinstyle="miter"/>
                <v:imagedata o:title=""/>
                <o:lock v:ext="edit" aspectratio="f"/>
                <v:textbox>
                  <w:txbxContent>
                    <w:p>
                      <w:pPr>
                        <w:jc w:val="center"/>
                        <w:rPr>
                          <w:rFonts w:ascii="Times New Roman" w:hAnsi="Times New Roman" w:cs="Times New Roman"/>
                          <w:sz w:val="18"/>
                          <w:szCs w:val="18"/>
                        </w:rPr>
                      </w:pPr>
                    </w:p>
                    <w:p>
                      <w:pPr>
                        <w:jc w:val="center"/>
                      </w:pPr>
                      <w:r>
                        <w:drawing>
                          <wp:inline distT="0" distB="0" distL="0" distR="0">
                            <wp:extent cx="3728720" cy="2684145"/>
                            <wp:effectExtent l="0" t="0" r="5080" b="1905"/>
                            <wp:docPr id="9" name="图片 29"/>
                            <wp:cNvGraphicFramePr/>
                            <a:graphic xmlns:a="http://schemas.openxmlformats.org/drawingml/2006/main">
                              <a:graphicData uri="http://schemas.openxmlformats.org/drawingml/2006/picture">
                                <pic:pic xmlns:pic="http://schemas.openxmlformats.org/drawingml/2006/picture">
                                  <pic:nvPicPr>
                                    <pic:cNvPr id="9" name="图片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8720" cy="2684145"/>
                                    </a:xfrm>
                                    <a:prstGeom prst="rect">
                                      <a:avLst/>
                                    </a:prstGeom>
                                  </pic:spPr>
                                </pic:pic>
                              </a:graphicData>
                            </a:graphic>
                          </wp:inline>
                        </w:drawing>
                      </w:r>
                    </w:p>
                    <w:p>
                      <w:pPr>
                        <w:jc w:val="center"/>
                      </w:pPr>
                      <w:r>
                        <w:rPr>
                          <w:rFonts w:hint="eastAsia" w:ascii="Times New Roman" w:hAnsi="Times New Roman" w:cs="Times New Roman"/>
                          <w:kern w:val="0"/>
                          <w:sz w:val="18"/>
                          <w:szCs w:val="18"/>
                        </w:rPr>
                        <w:t>车联网产业链示意图</w:t>
                      </w:r>
                    </w:p>
                  </w:txbxContent>
                </v:textbox>
                <w10:wrap type="none"/>
                <w10:anchorlock/>
              </v:shape>
            </w:pict>
          </mc:Fallback>
        </mc:AlternateContent>
      </w:r>
    </w:p>
    <w:p>
      <w:pPr>
        <w:spacing w:line="600" w:lineRule="exact"/>
        <w:ind w:firstLine="643" w:firstLineChars="200"/>
        <w:rPr>
          <w:rFonts w:ascii="Times New Roman" w:hAnsi="Times New Roman" w:eastAsia="仿宋_GB2312"/>
          <w:bCs/>
          <w:sz w:val="32"/>
          <w:szCs w:val="32"/>
          <w:lang w:val="zh-CN"/>
        </w:rPr>
      </w:pPr>
      <w:r>
        <w:rPr>
          <w:rFonts w:hint="eastAsia" w:ascii="Times New Roman" w:hAnsi="Times New Roman" w:eastAsia="仿宋_GB2312"/>
          <w:b/>
          <w:bCs/>
          <w:sz w:val="32"/>
          <w:szCs w:val="32"/>
          <w:lang w:val="zh-CN"/>
        </w:rPr>
        <w:t>汽车后市场。</w:t>
      </w:r>
      <w:r>
        <w:rPr>
          <w:rFonts w:hint="eastAsia" w:ascii="Times New Roman" w:hAnsi="Times New Roman" w:eastAsia="仿宋_GB2312"/>
          <w:bCs/>
          <w:sz w:val="32"/>
          <w:szCs w:val="32"/>
          <w:lang w:val="zh-CN"/>
        </w:rPr>
        <w:t>推动汽车产业服务化发展，延伸汽车产业链，围绕汽车售后积极推动汽保、汽车金融、汽车</w:t>
      </w:r>
      <w:r>
        <w:rPr>
          <w:rFonts w:ascii="Times New Roman" w:hAnsi="Times New Roman" w:eastAsia="仿宋_GB2312"/>
          <w:bCs/>
          <w:sz w:val="32"/>
          <w:szCs w:val="32"/>
          <w:lang w:val="zh-CN"/>
        </w:rPr>
        <w:t>IT</w:t>
      </w:r>
      <w:r>
        <w:rPr>
          <w:rFonts w:hint="eastAsia" w:ascii="Times New Roman" w:hAnsi="Times New Roman" w:eastAsia="仿宋_GB2312"/>
          <w:bCs/>
          <w:sz w:val="32"/>
          <w:szCs w:val="32"/>
          <w:lang w:val="zh-CN"/>
        </w:rPr>
        <w:t>、汽车养护、汽车维修及配件、汽车文化、二手车及汽车租赁行业的发展。依托现有汽车</w:t>
      </w:r>
      <w:r>
        <w:rPr>
          <w:rFonts w:ascii="Times New Roman" w:hAnsi="Times New Roman" w:eastAsia="仿宋_GB2312"/>
          <w:bCs/>
          <w:sz w:val="32"/>
          <w:szCs w:val="32"/>
          <w:lang w:val="zh-CN"/>
        </w:rPr>
        <w:t>4S</w:t>
      </w:r>
      <w:r>
        <w:rPr>
          <w:rFonts w:hint="eastAsia" w:ascii="Times New Roman" w:hAnsi="Times New Roman" w:eastAsia="仿宋_GB2312"/>
          <w:bCs/>
          <w:sz w:val="32"/>
          <w:szCs w:val="32"/>
          <w:lang w:val="zh-CN"/>
        </w:rPr>
        <w:t>站、维修点等发展自我服务品牌做强做大，或者引进国际汽车服务知名品牌，携手共同发展。</w:t>
      </w:r>
    </w:p>
    <w:p>
      <w:pPr>
        <w:spacing w:line="600" w:lineRule="exact"/>
        <w:ind w:firstLine="640" w:firstLineChars="200"/>
        <w:rPr>
          <w:rFonts w:ascii="Times New Roman" w:hAnsi="Times New Roman" w:eastAsia="仿宋_GB2312"/>
          <w:bCs/>
          <w:sz w:val="32"/>
          <w:szCs w:val="32"/>
          <w:lang w:val="zh-CN"/>
        </w:rPr>
      </w:pPr>
    </w:p>
    <w:p>
      <w:pPr>
        <w:pStyle w:val="4"/>
        <w:spacing w:before="0" w:after="0" w:line="600" w:lineRule="exact"/>
        <w:jc w:val="center"/>
        <w:rPr>
          <w:rFonts w:ascii="Times New Roman" w:hAnsi="Times New Roman" w:eastAsia="楷体" w:cs="Times New Roman"/>
          <w:kern w:val="0"/>
          <w:lang w:val="zh-CN"/>
        </w:rPr>
      </w:pPr>
      <w:bookmarkStart w:id="51" w:name="_Toc458171789"/>
      <w:r>
        <w:rPr>
          <w:rFonts w:hint="eastAsia" w:ascii="Times New Roman" w:hAnsi="Times New Roman" w:eastAsia="楷体" w:cs="Times New Roman"/>
          <w:kern w:val="0"/>
          <w:lang w:val="zh-CN" w:eastAsia="zh-CN"/>
        </w:rPr>
        <w:t>第二节 积极培育特色及新兴产业</w:t>
      </w:r>
      <w:bookmarkEnd w:id="51"/>
    </w:p>
    <w:p>
      <w:pPr>
        <w:spacing w:line="600" w:lineRule="exact"/>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积极发展培育电子信息类产业发展。</w:t>
      </w:r>
      <w:r>
        <w:rPr>
          <w:rFonts w:ascii="Times New Roman" w:hAnsi="Times New Roman" w:eastAsia="仿宋_GB2312" w:cs="Times New Roman"/>
          <w:b/>
          <w:color w:val="000000" w:themeColor="text1"/>
          <w:sz w:val="32"/>
          <w:szCs w:val="32"/>
          <w14:textFill>
            <w14:solidFill>
              <w14:schemeClr w14:val="tx1"/>
            </w14:solidFill>
          </w14:textFill>
        </w:rPr>
        <w:t>发展新一代信息技术产业，升级传统信息制造业，加快与汽车产业相融合，完善相关产业链，提升产业附加值，建设新兴产业示范区。</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电子器件。</w:t>
      </w:r>
      <w:r>
        <w:rPr>
          <w:rFonts w:hint="eastAsia" w:ascii="Times New Roman" w:hAnsi="Times New Roman" w:eastAsia="仿宋_GB2312" w:cs="Times New Roman"/>
          <w:color w:val="000000" w:themeColor="text1"/>
          <w:sz w:val="32"/>
          <w:szCs w:val="32"/>
          <w14:textFill>
            <w14:solidFill>
              <w14:schemeClr w14:val="tx1"/>
            </w14:solidFill>
          </w14:textFill>
        </w:rPr>
        <w:t>重点支持电子元器件、智能开关综合保护装置、智能仪控设备、自动化控制设备及变频器、直流调速器和软启动器等设备系统的开发和生产，依托大型企业扩大生产规模，提升产品影响力。</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通讯。</w:t>
      </w:r>
      <w:r>
        <w:rPr>
          <w:rFonts w:hint="eastAsia" w:ascii="Times New Roman" w:hAnsi="Times New Roman" w:eastAsia="仿宋_GB2312" w:cs="Times New Roman"/>
          <w:color w:val="000000" w:themeColor="text1"/>
          <w:sz w:val="32"/>
          <w:szCs w:val="32"/>
          <w14:textFill>
            <w14:solidFill>
              <w14:schemeClr w14:val="tx1"/>
            </w14:solidFill>
          </w14:textFill>
        </w:rPr>
        <w:t>基于北斗卫星发展北斗终端相关产品研发，包含汽车</w:t>
      </w:r>
      <w:r>
        <w:rPr>
          <w:rFonts w:ascii="Times New Roman" w:hAnsi="Times New Roman" w:eastAsia="仿宋_GB2312" w:cs="Times New Roman"/>
          <w:color w:val="000000" w:themeColor="text1"/>
          <w:sz w:val="32"/>
          <w:szCs w:val="32"/>
          <w14:textFill>
            <w14:solidFill>
              <w14:schemeClr w14:val="tx1"/>
            </w14:solidFill>
          </w14:textFill>
        </w:rPr>
        <w:t>GPS</w:t>
      </w:r>
      <w:r>
        <w:rPr>
          <w:rFonts w:hint="eastAsia" w:ascii="Times New Roman" w:hAnsi="Times New Roman" w:eastAsia="仿宋_GB2312" w:cs="Times New Roman"/>
          <w:color w:val="000000" w:themeColor="text1"/>
          <w:sz w:val="32"/>
          <w:szCs w:val="32"/>
          <w14:textFill>
            <w14:solidFill>
              <w14:schemeClr w14:val="tx1"/>
            </w14:solidFill>
          </w14:textFill>
        </w:rPr>
        <w:t>导航终端、行驶记录仪、智能导航通讯、物流信息终端、车辆管理系统等与卫星应用相关的多种综合信息服务产品；加快信息网络平台建设，为政府机关及企业等提供专业的行业信息化解决方案与服务，研发与信息化紧密相关的应用系统服务于教育、金融、交通、医疗等各行业领域。</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汽车电子。</w:t>
      </w:r>
      <w:r>
        <w:rPr>
          <w:rFonts w:hint="eastAsia" w:ascii="Times New Roman" w:hAnsi="Times New Roman" w:eastAsia="仿宋_GB2312" w:cs="Times New Roman"/>
          <w:color w:val="000000" w:themeColor="text1"/>
          <w:sz w:val="32"/>
          <w:szCs w:val="32"/>
          <w14:textFill>
            <w14:solidFill>
              <w14:schemeClr w14:val="tx1"/>
            </w14:solidFill>
          </w14:textFill>
        </w:rPr>
        <w:t>结合新区汽车产业，借助信息技术，发展涵盖汽车安全、车载网络、汽车互联、汽车用功率器件、智能功率开关、电池管理及汽车电子测试等创新技术的研发，延伸汽车产业链，发展汽车高附加值产品，促进汽车产业的创新升级。</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计算机。</w:t>
      </w:r>
      <w:r>
        <w:rPr>
          <w:rFonts w:hint="eastAsia" w:ascii="Times New Roman" w:hAnsi="Times New Roman" w:eastAsia="仿宋_GB2312" w:cs="Times New Roman"/>
          <w:color w:val="000000" w:themeColor="text1"/>
          <w:sz w:val="32"/>
          <w:szCs w:val="32"/>
          <w14:textFill>
            <w14:solidFill>
              <w14:schemeClr w14:val="tx1"/>
            </w14:solidFill>
          </w14:textFill>
        </w:rPr>
        <w:t>包括计算机的整机组装，计算机辅助设计、辅助测试、辅助制造、辅助工程系统及其他计算机应用系统的制造，扩大产业规模。</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零件制造。</w:t>
      </w:r>
      <w:r>
        <w:rPr>
          <w:rFonts w:hint="eastAsia" w:ascii="Times New Roman" w:hAnsi="Times New Roman" w:eastAsia="仿宋_GB2312" w:cs="Times New Roman"/>
          <w:color w:val="000000" w:themeColor="text1"/>
          <w:sz w:val="32"/>
          <w:szCs w:val="32"/>
          <w14:textFill>
            <w14:solidFill>
              <w14:schemeClr w14:val="tx1"/>
            </w14:solidFill>
          </w14:textFill>
        </w:rPr>
        <w:t>包括新型平板显示器件、中高分辨率彩色显像管、高清晰度投影管和</w:t>
      </w:r>
      <w:r>
        <w:rPr>
          <w:rFonts w:ascii="Times New Roman" w:hAnsi="Times New Roman" w:eastAsia="仿宋_GB2312" w:cs="Times New Roman"/>
          <w:color w:val="000000" w:themeColor="text1"/>
          <w:sz w:val="32"/>
          <w:szCs w:val="32"/>
          <w14:textFill>
            <w14:solidFill>
              <w14:schemeClr w14:val="tx1"/>
            </w14:solidFill>
          </w14:textFill>
        </w:rPr>
        <w:t>LOCS</w:t>
      </w:r>
      <w:r>
        <w:rPr>
          <w:rFonts w:hint="eastAsia" w:ascii="Times New Roman" w:hAnsi="Times New Roman" w:eastAsia="仿宋_GB2312" w:cs="Times New Roman"/>
          <w:color w:val="000000" w:themeColor="text1"/>
          <w:sz w:val="32"/>
          <w:szCs w:val="32"/>
          <w14:textFill>
            <w14:solidFill>
              <w14:schemeClr w14:val="tx1"/>
            </w14:solidFill>
          </w14:textFill>
        </w:rPr>
        <w:t>模块等关键件的制造，加快相关技术研发及突破，提高生产效率。</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软件研发。</w:t>
      </w:r>
      <w:r>
        <w:rPr>
          <w:rFonts w:hint="eastAsia" w:ascii="Times New Roman" w:hAnsi="Times New Roman" w:eastAsia="仿宋_GB2312" w:cs="Times New Roman"/>
          <w:color w:val="000000" w:themeColor="text1"/>
          <w:sz w:val="32"/>
          <w:szCs w:val="32"/>
          <w14:textFill>
            <w14:solidFill>
              <w14:schemeClr w14:val="tx1"/>
            </w14:solidFill>
          </w14:textFill>
        </w:rPr>
        <w:t>提供软件开发平台，推进软件产品的开发与生产，有针对性的开发与汽车产业相关联的销售、支付、服务等产品；将互联网技术与软件开发相融合，推进电子商务及物联网的发展。</w:t>
      </w:r>
    </w:p>
    <w:p>
      <w:pPr>
        <w:spacing w:line="600" w:lineRule="exact"/>
        <w:ind w:firstLine="643" w:firstLineChars="200"/>
        <w:rPr>
          <w:rFonts w:ascii="Times New Roman" w:hAnsi="Times New Roman" w:eastAsia="仿宋_GB2312" w:cs="Times New Roman"/>
          <w:b/>
          <w:color w:val="FF0000"/>
          <w:sz w:val="32"/>
          <w:szCs w:val="32"/>
        </w:rPr>
      </w:pPr>
      <w:r>
        <w:rPr>
          <w:rFonts w:ascii="Times New Roman" w:hAnsi="Times New Roman" w:eastAsia="仿宋_GB2312" w:cs="Times New Roman"/>
          <w:b/>
          <w:color w:val="000000" w:themeColor="text1"/>
          <w:sz w:val="32"/>
          <w:szCs w:val="32"/>
          <w14:textFill>
            <w14:solidFill>
              <w14:schemeClr w14:val="tx1"/>
            </w14:solidFill>
          </w14:textFill>
        </w:rPr>
        <w:t>重点支持医药行业发展，提高产值，做大规模，争取行业集群式发展，形成较为完善的生物医药产业链。</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现代中医药。</w:t>
      </w:r>
      <w:r>
        <w:rPr>
          <w:rFonts w:hint="eastAsia" w:ascii="Times New Roman" w:hAnsi="Times New Roman" w:eastAsia="仿宋_GB2312" w:cs="Times New Roman"/>
          <w:color w:val="000000" w:themeColor="text1"/>
          <w:sz w:val="32"/>
          <w:szCs w:val="32"/>
          <w14:textFill>
            <w14:solidFill>
              <w14:schemeClr w14:val="tx1"/>
            </w14:solidFill>
          </w14:textFill>
        </w:rPr>
        <w:t>依托丰富的植物资源、少数民族医药资源，重点加工及生产中药饮片、多发病的中药新药、中成药、中药提取物和标准中药材；抓住治病向治未病转变的机遇，发挥中学、中医和传统医学的优势，重视中药保健品的发展（如金嗓子、两面针等）。</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糖食品的深加工。</w:t>
      </w:r>
      <w:r>
        <w:rPr>
          <w:rFonts w:hint="eastAsia" w:ascii="Times New Roman" w:hAnsi="Times New Roman" w:eastAsia="仿宋_GB2312" w:cs="Times New Roman"/>
          <w:color w:val="000000" w:themeColor="text1"/>
          <w:sz w:val="32"/>
          <w:szCs w:val="32"/>
          <w14:textFill>
            <w14:solidFill>
              <w14:schemeClr w14:val="tx1"/>
            </w14:solidFill>
          </w14:textFill>
        </w:rPr>
        <w:t>积极推进制糖加工、农产品开发企业的产业升级，通过医药物流带动上下游相关企业入驻柳东新区。</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新型药物。</w:t>
      </w:r>
      <w:r>
        <w:rPr>
          <w:rFonts w:hint="eastAsia" w:ascii="Times New Roman" w:hAnsi="Times New Roman" w:eastAsia="仿宋_GB2312" w:cs="Times New Roman"/>
          <w:color w:val="000000" w:themeColor="text1"/>
          <w:sz w:val="32"/>
          <w:szCs w:val="32"/>
          <w14:textFill>
            <w14:solidFill>
              <w14:schemeClr w14:val="tx1"/>
            </w14:solidFill>
          </w14:textFill>
        </w:rPr>
        <w:t>生产我国专利或行政保护的原料药及需进口的化学原料药生产，新型抗癌药物及新型心脑血管药生产、采用生物工程技术生产的新型药物生产和基因工程疫苗生产，包括艾滋病疫苗、丙肝疫苗、避孕疫苗等。</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医疗器械。</w:t>
      </w:r>
      <w:r>
        <w:rPr>
          <w:rFonts w:hint="eastAsia" w:ascii="Times New Roman" w:hAnsi="Times New Roman" w:eastAsia="仿宋_GB2312" w:cs="Times New Roman"/>
          <w:color w:val="000000" w:themeColor="text1"/>
          <w:sz w:val="32"/>
          <w:szCs w:val="32"/>
          <w14:textFill>
            <w14:solidFill>
              <w14:schemeClr w14:val="tx1"/>
            </w14:solidFill>
          </w14:textFill>
        </w:rPr>
        <w:t>主要是包含免疫检测和分子检测在内的医用检验检测仪器，可以通过招商引进相关龙头企业，取得快速发展。</w:t>
      </w:r>
    </w:p>
    <w:p>
      <w:pPr>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b/>
          <w:color w:val="000000" w:themeColor="text1"/>
          <w:sz w:val="32"/>
          <w:szCs w:val="32"/>
          <w14:textFill>
            <w14:solidFill>
              <w14:schemeClr w14:val="tx1"/>
            </w14:solidFill>
          </w14:textFill>
        </w:rPr>
        <w:t>医疗服务。</w:t>
      </w:r>
      <w:r>
        <w:rPr>
          <w:rFonts w:hint="eastAsia" w:ascii="Times New Roman" w:hAnsi="Times New Roman" w:eastAsia="仿宋_GB2312" w:cs="Times New Roman"/>
          <w:color w:val="000000" w:themeColor="text1"/>
          <w:sz w:val="32"/>
          <w:szCs w:val="32"/>
          <w14:textFill>
            <w14:solidFill>
              <w14:schemeClr w14:val="tx1"/>
            </w14:solidFill>
          </w14:textFill>
        </w:rPr>
        <w:t>一是委托合同生产（</w:t>
      </w:r>
      <w:r>
        <w:rPr>
          <w:rFonts w:ascii="Times New Roman" w:hAnsi="Times New Roman" w:eastAsia="仿宋_GB2312" w:cs="Times New Roman"/>
          <w:color w:val="000000" w:themeColor="text1"/>
          <w:sz w:val="32"/>
          <w:szCs w:val="32"/>
          <w14:textFill>
            <w14:solidFill>
              <w14:schemeClr w14:val="tx1"/>
            </w14:solidFill>
          </w14:textFill>
        </w:rPr>
        <w:t>CMO</w:t>
      </w:r>
      <w:r>
        <w:rPr>
          <w:rFonts w:hint="eastAsia" w:ascii="Times New Roman" w:hAnsi="Times New Roman" w:eastAsia="仿宋_GB2312" w:cs="Times New Roman"/>
          <w:color w:val="000000" w:themeColor="text1"/>
          <w:sz w:val="32"/>
          <w:szCs w:val="32"/>
          <w14:textFill>
            <w14:solidFill>
              <w14:schemeClr w14:val="tx1"/>
            </w14:solidFill>
          </w14:textFill>
        </w:rPr>
        <w:t>），中国在仿制药生产方面是非常具有吸引力的</w:t>
      </w:r>
      <w:r>
        <w:rPr>
          <w:rFonts w:ascii="Times New Roman" w:hAnsi="Times New Roman" w:eastAsia="仿宋_GB2312" w:cs="Times New Roman"/>
          <w:color w:val="000000" w:themeColor="text1"/>
          <w:sz w:val="32"/>
          <w:szCs w:val="32"/>
          <w14:textFill>
            <w14:solidFill>
              <w14:schemeClr w14:val="tx1"/>
            </w14:solidFill>
          </w14:textFill>
        </w:rPr>
        <w:t>CMO</w:t>
      </w:r>
      <w:r>
        <w:rPr>
          <w:rFonts w:hint="eastAsia" w:ascii="Times New Roman" w:hAnsi="Times New Roman" w:eastAsia="仿宋_GB2312" w:cs="Times New Roman"/>
          <w:color w:val="000000" w:themeColor="text1"/>
          <w:sz w:val="32"/>
          <w:szCs w:val="32"/>
          <w14:textFill>
            <w14:solidFill>
              <w14:schemeClr w14:val="tx1"/>
            </w14:solidFill>
          </w14:textFill>
        </w:rPr>
        <w:t>承接地，未来有很大发展空间。二是医疗管理服务，数字化医疗、远程医疗将逐渐进入医疗服务的主流领域，通过电子信息技术提升医疗管理的效率也是一项新的市场增长点。</w:t>
      </w:r>
    </w:p>
    <w:p>
      <w:pPr>
        <w:spacing w:line="600" w:lineRule="exact"/>
        <w:ind w:firstLine="643" w:firstLineChars="200"/>
        <w:rPr>
          <w:rFonts w:ascii="Times New Roman" w:hAnsi="Times New Roman" w:eastAsia="仿宋_GB2312" w:cs="Times New Roman"/>
          <w:color w:val="FF0000"/>
          <w:sz w:val="32"/>
          <w:szCs w:val="32"/>
        </w:rPr>
      </w:pPr>
      <w:r>
        <w:rPr>
          <w:rFonts w:hint="eastAsia" w:ascii="Times New Roman" w:hAnsi="Times New Roman" w:eastAsia="仿宋_GB2312" w:cs="Times New Roman"/>
          <w:b/>
          <w:color w:val="000000" w:themeColor="text1"/>
          <w:sz w:val="32"/>
          <w:szCs w:val="32"/>
          <w14:textFill>
            <w14:solidFill>
              <w14:schemeClr w14:val="tx1"/>
            </w14:solidFill>
          </w14:textFill>
        </w:rPr>
        <w:t>节能环保。</w:t>
      </w:r>
      <w:r>
        <w:rPr>
          <w:rFonts w:hint="eastAsia" w:ascii="Times New Roman" w:hAnsi="Times New Roman" w:eastAsia="仿宋_GB2312" w:cs="Times New Roman"/>
          <w:color w:val="000000" w:themeColor="text1"/>
          <w:sz w:val="32"/>
          <w:szCs w:val="32"/>
          <w14:textFill>
            <w14:solidFill>
              <w14:schemeClr w14:val="tx1"/>
            </w14:solidFill>
          </w14:textFill>
        </w:rPr>
        <w:t>太阳能光伏、光热。重点发展高效太阳能电池研发及制造，太阳能热发电集热系统、太阳能光伏发电逆变控制系统研发制造，高效晶体硅电池</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组件、薄膜电池组件制造。生物质能。利用生物质能发电，结合太阳能、风能、地热等能源，组建集热、电、冷为一体的新能源利用项目。环保产品及设施。重点发展</w:t>
      </w:r>
      <w:r>
        <w:rPr>
          <w:rFonts w:ascii="Times New Roman" w:hAnsi="Times New Roman" w:eastAsia="仿宋_GB2312" w:cs="Times New Roman"/>
          <w:color w:val="000000" w:themeColor="text1"/>
          <w:sz w:val="32"/>
          <w:szCs w:val="32"/>
          <w14:textFill>
            <w14:solidFill>
              <w14:schemeClr w14:val="tx1"/>
            </w14:solidFill>
          </w14:textFill>
        </w:rPr>
        <w:t>LED</w:t>
      </w:r>
      <w:r>
        <w:rPr>
          <w:rFonts w:hint="eastAsia" w:ascii="Times New Roman" w:hAnsi="Times New Roman" w:eastAsia="仿宋_GB2312" w:cs="Times New Roman"/>
          <w:color w:val="000000" w:themeColor="text1"/>
          <w:sz w:val="32"/>
          <w:szCs w:val="32"/>
          <w14:textFill>
            <w14:solidFill>
              <w14:schemeClr w14:val="tx1"/>
            </w14:solidFill>
          </w14:textFill>
        </w:rPr>
        <w:t>照明灯具、污水处理设施、蒸汽环保洗车机、免拆洗油烟净化器等环保产品及设施；积极研发节能环保新技术、新产品。</w:t>
      </w:r>
    </w:p>
    <w:p>
      <w:pPr>
        <w:pStyle w:val="4"/>
        <w:spacing w:before="0" w:after="0" w:line="600" w:lineRule="exact"/>
        <w:jc w:val="center"/>
        <w:rPr>
          <w:rFonts w:eastAsia="楷体"/>
        </w:rPr>
      </w:pPr>
      <w:bookmarkStart w:id="52" w:name="_Toc458171790"/>
      <w:r>
        <w:rPr>
          <w:rFonts w:eastAsia="楷体"/>
        </w:rPr>
        <w:t>第</w:t>
      </w:r>
      <w:r>
        <w:rPr>
          <w:rFonts w:hint="eastAsia" w:eastAsia="楷体"/>
        </w:rPr>
        <w:t>三</w:t>
      </w:r>
      <w:r>
        <w:rPr>
          <w:rFonts w:eastAsia="楷体"/>
        </w:rPr>
        <w:t xml:space="preserve">节 </w:t>
      </w:r>
      <w:r>
        <w:rPr>
          <w:rFonts w:hint="eastAsia" w:eastAsia="楷体"/>
        </w:rPr>
        <w:t>加快提升传统产业</w:t>
      </w:r>
      <w:bookmarkEnd w:id="52"/>
    </w:p>
    <w:p>
      <w:pPr>
        <w:spacing w:line="600" w:lineRule="exact"/>
        <w:ind w:firstLine="643" w:firstLineChars="200"/>
        <w:rPr>
          <w:rFonts w:asciiTheme="minorEastAsia" w:hAnsiTheme="minorEastAsia"/>
          <w:bCs/>
          <w:szCs w:val="28"/>
        </w:rPr>
      </w:pPr>
      <w:r>
        <w:rPr>
          <w:rFonts w:hint="eastAsia" w:ascii="Times New Roman" w:hAnsi="Times New Roman" w:eastAsia="仿宋_GB2312" w:cs="Times New Roman"/>
          <w:b/>
          <w:sz w:val="32"/>
          <w:szCs w:val="32"/>
        </w:rPr>
        <w:t>机械装备制造业。</w:t>
      </w:r>
      <w:r>
        <w:rPr>
          <w:rFonts w:hint="eastAsia" w:ascii="Times New Roman" w:hAnsi="Times New Roman" w:eastAsia="仿宋_GB2312" w:cs="Times New Roman"/>
          <w:sz w:val="32"/>
          <w:szCs w:val="32"/>
        </w:rPr>
        <w:t>以</w:t>
      </w:r>
      <w:r>
        <w:rPr>
          <w:rFonts w:ascii="Times New Roman" w:hAnsi="Times New Roman" w:eastAsia="仿宋_GB2312" w:cs="Times New Roman"/>
          <w:sz w:val="32"/>
          <w:szCs w:val="32"/>
        </w:rPr>
        <w:t>大型设备、轻工</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设备、农业环卫用设备</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零部件</w:t>
      </w:r>
      <w:r>
        <w:rPr>
          <w:rFonts w:hint="eastAsia" w:ascii="Times New Roman" w:hAnsi="Times New Roman" w:eastAsia="仿宋_GB2312" w:cs="Times New Roman"/>
          <w:sz w:val="32"/>
          <w:szCs w:val="32"/>
        </w:rPr>
        <w:t>及控制系统</w:t>
      </w:r>
      <w:r>
        <w:rPr>
          <w:rFonts w:ascii="Times New Roman" w:hAnsi="Times New Roman" w:eastAsia="仿宋_GB2312" w:cs="Times New Roman"/>
          <w:sz w:val="32"/>
          <w:szCs w:val="32"/>
        </w:rPr>
        <w:t>为主要方向。</w:t>
      </w:r>
      <w:r>
        <w:rPr>
          <w:rFonts w:hint="eastAsia" w:ascii="Times New Roman" w:hAnsi="Times New Roman" w:eastAsia="仿宋_GB2312" w:cs="Times New Roman"/>
          <w:sz w:val="32"/>
          <w:szCs w:val="32"/>
        </w:rPr>
        <w:t>大型设备重点发展大型工程机械、建筑机械、数控机床及伺服等装备制造；精密轴承及各种主机专用轴承制造。轻工用设备：食品行业的高速、无菌灌装设备、贴标机等关键设备制造；新型药品包装材料、容器及先进的制药设备制造。农业、环卫用设备：农业、林业机具新技术设备制造，拖拉机、联合收割机等农用发动机设计与制造；城市园林环卫特种设备制造。零部件及控制系统：精冲模、模具标准件生产和数控系统等智能装备。</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有色金属及新材料。</w:t>
      </w:r>
      <w:r>
        <w:rPr>
          <w:rFonts w:hint="eastAsia" w:ascii="Times New Roman" w:hAnsi="Times New Roman" w:eastAsia="仿宋_GB2312" w:cs="Times New Roman"/>
          <w:sz w:val="32"/>
          <w:szCs w:val="32"/>
        </w:rPr>
        <w:t>以铟锑锡深加工、铝深加工和高分子复合材料为主。铟锑锡深加工积极打造以锡、铟、锑、锌深加工产品为主的新材料产业园，开发生产</w:t>
      </w:r>
      <w:r>
        <w:rPr>
          <w:rFonts w:ascii="Times New Roman" w:hAnsi="Times New Roman" w:eastAsia="仿宋_GB2312" w:cs="Times New Roman"/>
          <w:sz w:val="32"/>
          <w:szCs w:val="32"/>
        </w:rPr>
        <w:t>ITO</w:t>
      </w:r>
      <w:r>
        <w:rPr>
          <w:rFonts w:hint="eastAsia" w:ascii="Times New Roman" w:hAnsi="Times New Roman" w:eastAsia="仿宋_GB2312" w:cs="Times New Roman"/>
          <w:sz w:val="32"/>
          <w:szCs w:val="32"/>
        </w:rPr>
        <w:t>靶材、铟化合物、铟低熔点合金、透明导电膜等铟深加工产业和纳米氧化锌粉末及锡珠等锌锡锑新材料。铝深加工大力发展铝深加工产业，开发、生产铝板带、缸盖、缸体、轮毂等铝件铸件产品。高分子复合材料积极发展高分子复合材料、耐高温耐磨材料等其他新材料产业。</w:t>
      </w:r>
    </w:p>
    <w:p>
      <w:pPr>
        <w:pStyle w:val="4"/>
        <w:spacing w:before="0" w:after="0" w:line="600" w:lineRule="exact"/>
        <w:jc w:val="center"/>
        <w:rPr>
          <w:rFonts w:eastAsia="楷体"/>
        </w:rPr>
      </w:pPr>
      <w:bookmarkStart w:id="53" w:name="_Toc458171791"/>
      <w:r>
        <w:rPr>
          <w:rFonts w:hint="eastAsia" w:eastAsia="楷体"/>
        </w:rPr>
        <w:t>第四节 加快发展智能制造</w:t>
      </w:r>
      <w:bookmarkEnd w:id="53"/>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积极研发工业机器人、智能</w:t>
      </w:r>
      <w:r>
        <w:rPr>
          <w:rFonts w:ascii="Times New Roman" w:hAnsi="Times New Roman" w:eastAsia="仿宋_GB2312" w:cs="Times New Roman"/>
          <w:sz w:val="32"/>
          <w:szCs w:val="32"/>
        </w:rPr>
        <w:t>专用装备、</w:t>
      </w:r>
      <w:r>
        <w:rPr>
          <w:rFonts w:hint="eastAsia" w:ascii="Times New Roman" w:hAnsi="Times New Roman" w:eastAsia="仿宋_GB2312" w:cs="Times New Roman"/>
          <w:sz w:val="32"/>
          <w:szCs w:val="32"/>
        </w:rPr>
        <w:t>智能传感器等智能制造关键装置及部件，建设一批智能制造单元和数字化工厂，着力推进智能装备与现有产业的融合发展。</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工业机器人。</w:t>
      </w:r>
      <w:r>
        <w:rPr>
          <w:rFonts w:hint="eastAsia" w:ascii="Times New Roman" w:hAnsi="Times New Roman" w:eastAsia="仿宋_GB2312" w:cs="Times New Roman"/>
          <w:sz w:val="32"/>
          <w:szCs w:val="32"/>
        </w:rPr>
        <w:t>重点发展焊接机器人、喷涂机器人、搬运机器人、装配机器人、上下料机器人、</w:t>
      </w:r>
      <w:r>
        <w:rPr>
          <w:rFonts w:ascii="Times New Roman" w:hAnsi="Times New Roman" w:eastAsia="仿宋_GB2312" w:cs="Times New Roman"/>
          <w:sz w:val="32"/>
          <w:szCs w:val="32"/>
        </w:rPr>
        <w:t>专用</w:t>
      </w:r>
      <w:r>
        <w:rPr>
          <w:rFonts w:hint="eastAsia" w:ascii="Times New Roman" w:hAnsi="Times New Roman" w:eastAsia="仿宋_GB2312" w:cs="Times New Roman"/>
          <w:sz w:val="32"/>
          <w:szCs w:val="32"/>
        </w:rPr>
        <w:t>机器人。以现有产业应用为切入点，以应用促开发，依托应用企业，加强与科研院所的产学研合作，着力培养一批工业机器人研发、应用和技术服务的专业人才、创新团队和制造企业。加快引进国内外有实力的机器人生产制造企业，建立面向西南、中南地区及东盟国家的机器人生产及应用示范基地。</w:t>
      </w:r>
      <w:r>
        <w:rPr>
          <w:rFonts w:ascii="Times New Roman" w:hAnsi="Times New Roman" w:eastAsia="仿宋_GB2312" w:cs="Times New Roman"/>
          <w:sz w:val="32"/>
          <w:szCs w:val="32"/>
        </w:rPr>
        <w:t xml:space="preserve"> </w:t>
      </w:r>
    </w:p>
    <w:p>
      <w:pPr>
        <w:spacing w:line="600" w:lineRule="exact"/>
        <w:ind w:firstLine="643" w:firstLineChars="200"/>
        <w:rPr>
          <w:rFonts w:ascii="Times New Roman" w:hAnsi="Times New Roman" w:eastAsia="仿宋_GB2312" w:cs="Times New Roman"/>
          <w:sz w:val="32"/>
          <w:szCs w:val="32"/>
        </w:rPr>
      </w:pPr>
      <w:bookmarkStart w:id="54" w:name="_Toc385279828"/>
      <w:bookmarkStart w:id="55" w:name="_Toc384128479"/>
      <w:r>
        <w:rPr>
          <w:rFonts w:hint="eastAsia" w:ascii="Times New Roman" w:hAnsi="Times New Roman" w:eastAsia="仿宋_GB2312" w:cs="Times New Roman"/>
          <w:b/>
          <w:sz w:val="32"/>
          <w:szCs w:val="32"/>
        </w:rPr>
        <w:t>智能专用装备</w:t>
      </w:r>
      <w:bookmarkEnd w:id="54"/>
      <w:bookmarkEnd w:id="55"/>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大力发展以数字化、柔性化及系统集成技术为核心的智能专用装备。重点发展新型传感器、智能测量仪表、伺服电机、驱动器和减速器等智能核心装置，</w:t>
      </w:r>
      <w:r>
        <w:rPr>
          <w:rFonts w:ascii="Times New Roman" w:hAnsi="Times New Roman" w:eastAsia="仿宋_GB2312" w:cs="Times New Roman"/>
          <w:sz w:val="32"/>
          <w:szCs w:val="32"/>
        </w:rPr>
        <w:t>建</w:t>
      </w:r>
      <w:r>
        <w:rPr>
          <w:rFonts w:hint="eastAsia" w:ascii="Times New Roman" w:hAnsi="Times New Roman" w:eastAsia="仿宋_GB2312" w:cs="Times New Roman"/>
          <w:sz w:val="32"/>
          <w:szCs w:val="32"/>
        </w:rPr>
        <w:t>设</w:t>
      </w:r>
      <w:r>
        <w:rPr>
          <w:rFonts w:ascii="Times New Roman" w:hAnsi="Times New Roman" w:eastAsia="仿宋_GB2312" w:cs="Times New Roman"/>
          <w:sz w:val="32"/>
          <w:szCs w:val="32"/>
        </w:rPr>
        <w:t>智能专用装备</w:t>
      </w:r>
      <w:r>
        <w:rPr>
          <w:rFonts w:hint="eastAsia" w:ascii="Times New Roman" w:hAnsi="Times New Roman" w:eastAsia="仿宋_GB2312" w:cs="Times New Roman"/>
          <w:sz w:val="32"/>
          <w:szCs w:val="32"/>
        </w:rPr>
        <w:t>产业园。</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3D打印</w:t>
      </w:r>
      <w:r>
        <w:rPr>
          <w:rFonts w:ascii="Times New Roman" w:hAnsi="Times New Roman" w:eastAsia="仿宋_GB2312" w:cs="Times New Roman"/>
          <w:b/>
          <w:sz w:val="32"/>
          <w:szCs w:val="32"/>
        </w:rPr>
        <w:t>机。</w:t>
      </w:r>
      <w:r>
        <w:rPr>
          <w:rFonts w:hint="eastAsia" w:ascii="Times New Roman" w:hAnsi="Times New Roman" w:eastAsia="仿宋_GB2312" w:cs="Times New Roman"/>
          <w:sz w:val="32"/>
          <w:szCs w:val="32"/>
        </w:rPr>
        <w:t>重点围绕汽车及零部件、智能装备制造、电子电气、文化创意等应用领域，探索建立集“政产学研用”五位一体的3D打印快速制造技术应用研究中心，培育一批3D打印骨干企业，促进产业集聚发展，打造区域性应用、制造基地。</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智能化应用。</w:t>
      </w:r>
      <w:r>
        <w:rPr>
          <w:rFonts w:hint="eastAsia" w:ascii="Times New Roman" w:hAnsi="Times New Roman" w:eastAsia="仿宋_GB2312" w:cs="Times New Roman"/>
          <w:sz w:val="32"/>
          <w:szCs w:val="32"/>
        </w:rPr>
        <w:t>推进制造过程智能化，加快人机智能交互、工业机器人、3D打印等技术和装备在生产过程中的应用，推进制造工艺的仿真优化、数字化控制、状态信息实时监测和自适应控制。推进集团管控、设计与制造、产供销一体、业务和财务衔接等关键环节集成，实现智能管控。</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互联网应用。</w:t>
      </w:r>
      <w:r>
        <w:rPr>
          <w:rFonts w:hint="eastAsia" w:ascii="Times New Roman" w:hAnsi="Times New Roman" w:eastAsia="仿宋_GB2312" w:cs="Times New Roman"/>
          <w:sz w:val="32"/>
          <w:szCs w:val="32"/>
        </w:rPr>
        <w:t>发展基于互联网的个性化定制、云制造等新型制造模式，积极培育智能监测、远程诊断管理、全产业链追溯等工业互联网新应用。探索建立高质量的工业云服务和工业大数据平台。</w:t>
      </w:r>
    </w:p>
    <w:p>
      <w:pPr>
        <w:tabs>
          <w:tab w:val="left" w:pos="720"/>
        </w:tabs>
        <w:spacing w:line="360" w:lineRule="atLeast"/>
        <w:rPr>
          <w:rFonts w:asciiTheme="minorEastAsia" w:hAnsiTheme="minorEastAsia"/>
          <w:bCs/>
          <w:szCs w:val="28"/>
        </w:rPr>
      </w:pPr>
    </w:p>
    <w:p>
      <w:pPr>
        <w:pStyle w:val="2"/>
        <w:spacing w:before="0" w:after="0" w:line="600" w:lineRule="exact"/>
        <w:jc w:val="center"/>
        <w:rPr>
          <w:rStyle w:val="31"/>
          <w:rFonts w:ascii="Times New Roman" w:hAnsi="Times New Roman" w:eastAsia="黑体" w:cs="Times New Roman"/>
          <w:color w:val="auto"/>
          <w:sz w:val="32"/>
          <w:szCs w:val="32"/>
          <w:u w:val="none"/>
          <w:lang w:val="zh-CN"/>
        </w:rPr>
      </w:pPr>
      <w:bookmarkStart w:id="56" w:name="_Toc458171792"/>
      <w:r>
        <w:rPr>
          <w:rStyle w:val="31"/>
          <w:rFonts w:hint="eastAsia" w:ascii="Times New Roman" w:hAnsi="Times New Roman" w:eastAsia="黑体" w:cs="Times New Roman"/>
          <w:color w:val="auto"/>
          <w:sz w:val="32"/>
          <w:szCs w:val="32"/>
          <w:u w:val="none"/>
          <w:lang w:val="zh-CN" w:eastAsia="zh-CN"/>
        </w:rPr>
        <w:t>第七章 提升现代服务业</w:t>
      </w:r>
      <w:bookmarkEnd w:id="56"/>
    </w:p>
    <w:p>
      <w:pPr>
        <w:spacing w:line="600" w:lineRule="exact"/>
        <w:ind w:firstLine="640" w:firstLineChars="200"/>
        <w:rPr>
          <w:rFonts w:ascii="仿宋_GB2312" w:hAnsi="仿宋" w:eastAsia="仿宋_GB2312"/>
          <w:sz w:val="32"/>
          <w:szCs w:val="32"/>
        </w:rPr>
      </w:pPr>
      <w:r>
        <w:rPr>
          <w:rFonts w:hint="eastAsia" w:ascii="仿宋" w:hAnsi="仿宋" w:eastAsia="仿宋_GB2312"/>
          <w:sz w:val="32"/>
          <w:szCs w:val="32"/>
        </w:rPr>
        <w:t>坚持生产性、生活性服务业同步发展，努力构建产业联系紧密、上下游协调、结构合理的现代服务业体系</w:t>
      </w:r>
      <w:r>
        <w:rPr>
          <w:rFonts w:hint="eastAsia" w:ascii="仿宋_GB2312" w:hAnsi="仿宋" w:eastAsia="仿宋_GB2312"/>
          <w:sz w:val="32"/>
          <w:szCs w:val="32"/>
        </w:rPr>
        <w:t>，</w:t>
      </w:r>
      <w:r>
        <w:rPr>
          <w:rFonts w:ascii="仿宋" w:hAnsi="仿宋" w:eastAsia="仿宋_GB2312"/>
          <w:sz w:val="32"/>
          <w:szCs w:val="32"/>
        </w:rPr>
        <w:t>形成先</w:t>
      </w:r>
      <w:r>
        <w:rPr>
          <w:rFonts w:ascii="仿宋_GB2312" w:hAnsi="仿宋" w:eastAsia="仿宋_GB2312"/>
          <w:sz w:val="32"/>
          <w:szCs w:val="32"/>
        </w:rPr>
        <w:t>进制造业与现代服务业双业支撑的发展格局</w:t>
      </w:r>
      <w:r>
        <w:rPr>
          <w:rFonts w:hint="eastAsia" w:ascii="仿宋_GB2312" w:hAnsi="仿宋" w:eastAsia="仿宋_GB2312"/>
          <w:sz w:val="32"/>
          <w:szCs w:val="32"/>
        </w:rPr>
        <w:t>。</w:t>
      </w:r>
    </w:p>
    <w:p/>
    <w:p>
      <w:pPr>
        <w:pStyle w:val="4"/>
        <w:spacing w:before="0" w:after="0" w:line="600" w:lineRule="exact"/>
        <w:jc w:val="center"/>
        <w:rPr>
          <w:rFonts w:eastAsia="楷体"/>
        </w:rPr>
      </w:pPr>
      <w:bookmarkStart w:id="57" w:name="_Toc458171793"/>
      <w:r>
        <w:rPr>
          <w:rFonts w:eastAsia="楷体"/>
        </w:rPr>
        <w:t>第一节 优化</w:t>
      </w:r>
      <w:r>
        <w:rPr>
          <w:rFonts w:hint="eastAsia" w:eastAsia="楷体"/>
        </w:rPr>
        <w:t>服务业</w:t>
      </w:r>
      <w:r>
        <w:rPr>
          <w:rFonts w:eastAsia="楷体"/>
        </w:rPr>
        <w:t>产业布局</w:t>
      </w:r>
      <w:bookmarkEnd w:id="57"/>
    </w:p>
    <w:p>
      <w:pPr>
        <w:pStyle w:val="39"/>
        <w:spacing w:line="360" w:lineRule="auto"/>
        <w:ind w:firstLine="640"/>
        <w:rPr>
          <w:rFonts w:ascii="仿宋_GB2312" w:hAnsi="宋体" w:eastAsia="仿宋_GB2312"/>
          <w:b/>
          <w:sz w:val="32"/>
          <w:szCs w:val="32"/>
        </w:rPr>
      </w:pPr>
      <w:r>
        <w:rPr>
          <w:rFonts w:hint="eastAsia" w:ascii="仿宋_GB2312" w:hAnsi="宋体" w:eastAsia="仿宋_GB2312"/>
          <w:sz w:val="32"/>
          <w:szCs w:val="32"/>
        </w:rPr>
        <w:t>以产业基础、资源条件、区位优势为依托，以交通基础设施、公共服务设施、信息技术为支撑，以需求为导向，沿交通干道和交通枢纽、产业集聚区、人口集聚区、高校密集区等，构筑新区</w:t>
      </w:r>
      <w:r>
        <w:rPr>
          <w:rFonts w:hint="eastAsia" w:ascii="仿宋_GB2312" w:hAnsi="宋体" w:eastAsia="仿宋_GB2312"/>
          <w:b/>
          <w:sz w:val="32"/>
          <w:szCs w:val="32"/>
        </w:rPr>
        <w:t>“一心两轴五板块”</w:t>
      </w:r>
      <w:r>
        <w:rPr>
          <w:rFonts w:hint="eastAsia" w:ascii="仿宋_GB2312" w:hAnsi="宋体" w:eastAsia="仿宋_GB2312"/>
          <w:sz w:val="32"/>
          <w:szCs w:val="32"/>
        </w:rPr>
        <w:t>的服务业发展空间格局。其中，</w:t>
      </w:r>
      <w:r>
        <w:rPr>
          <w:rFonts w:hint="eastAsia" w:ascii="仿宋_GB2312" w:hAnsi="宋体" w:eastAsia="仿宋_GB2312"/>
          <w:b/>
          <w:sz w:val="32"/>
          <w:szCs w:val="32"/>
        </w:rPr>
        <w:t>一心即高端服务业核心区，两轴即官塘大道发展轴和新柳大道发展轴，五板块包括商务会展板块、商贸物流板块、高新科技板块、旅游休闲板块、综合服务板块。</w:t>
      </w:r>
    </w:p>
    <w:p>
      <w:pPr>
        <w:pStyle w:val="39"/>
        <w:spacing w:line="360" w:lineRule="auto"/>
        <w:ind w:firstLine="643"/>
        <w:rPr>
          <w:rFonts w:ascii="仿宋_GB2312" w:hAnsi="宋体" w:eastAsia="仿宋_GB2312"/>
          <w:sz w:val="32"/>
          <w:szCs w:val="32"/>
        </w:rPr>
      </w:pPr>
      <w:r>
        <w:rPr>
          <w:rFonts w:hint="eastAsia" w:ascii="仿宋_GB2312" w:hAnsi="宋体" w:eastAsia="仿宋_GB2312"/>
          <w:b/>
          <w:sz w:val="32"/>
          <w:szCs w:val="32"/>
        </w:rPr>
        <w:t>一心聚合：</w:t>
      </w:r>
      <w:r>
        <w:rPr>
          <w:rFonts w:hint="eastAsia" w:ascii="仿宋_GB2312" w:hAnsi="宋体" w:eastAsia="仿宋_GB2312"/>
          <w:sz w:val="32"/>
          <w:szCs w:val="32"/>
        </w:rPr>
        <w:t>柳东新区主服务中心，充分利用该片区“三大优势”，即门户区位优势、综合环境优势和基础设施优势，构建新区现代服务业核心区，统筹服务业资源、运营资本和技术服务，打造集高端商务、金融服务、国际会展为一体的信息融通中心、区域性总部中心。</w:t>
      </w:r>
    </w:p>
    <w:p>
      <w:pPr>
        <w:pStyle w:val="39"/>
        <w:spacing w:line="360" w:lineRule="auto"/>
        <w:ind w:firstLine="643"/>
        <w:rPr>
          <w:rFonts w:ascii="仿宋_GB2312" w:hAnsi="宋体" w:eastAsia="仿宋_GB2312"/>
          <w:sz w:val="32"/>
          <w:szCs w:val="32"/>
        </w:rPr>
      </w:pPr>
      <w:r>
        <w:rPr>
          <w:rFonts w:hint="eastAsia" w:ascii="仿宋_GB2312" w:hAnsi="宋体" w:eastAsia="仿宋_GB2312"/>
          <w:b/>
          <w:sz w:val="32"/>
          <w:szCs w:val="32"/>
        </w:rPr>
        <w:t>两轴拓展：</w:t>
      </w:r>
      <w:r>
        <w:rPr>
          <w:rFonts w:hint="eastAsia" w:ascii="仿宋_GB2312" w:hAnsi="宋体" w:eastAsia="仿宋_GB2312"/>
          <w:sz w:val="32"/>
          <w:szCs w:val="32"/>
        </w:rPr>
        <w:t>依托官塘大道发展轴与新柳大道发展轴，作为中心城区和周边组团的连接纽带。</w:t>
      </w:r>
    </w:p>
    <w:p>
      <w:pPr>
        <w:pStyle w:val="39"/>
        <w:spacing w:line="360" w:lineRule="auto"/>
        <w:ind w:firstLine="643"/>
        <w:rPr>
          <w:rFonts w:ascii="仿宋_GB2312" w:hAnsi="宋体" w:eastAsia="仿宋_GB2312"/>
          <w:sz w:val="32"/>
          <w:szCs w:val="32"/>
        </w:rPr>
      </w:pPr>
      <w:r>
        <w:rPr>
          <w:rFonts w:hint="eastAsia" w:ascii="仿宋_GB2312" w:hAnsi="宋体" w:eastAsia="仿宋_GB2312"/>
          <w:b/>
          <w:sz w:val="32"/>
          <w:szCs w:val="32"/>
        </w:rPr>
        <w:t>五板块联动：</w:t>
      </w:r>
      <w:r>
        <w:rPr>
          <w:rFonts w:hint="eastAsia" w:ascii="仿宋_GB2312" w:hAnsi="宋体" w:eastAsia="仿宋_GB2312"/>
          <w:sz w:val="32"/>
          <w:szCs w:val="32"/>
        </w:rPr>
        <w:t>打造五大产业功能服务中心，形成柳东新区现代服务业体系。其中，商务会展板块重点发展国内外会展、高端商务、教育服务、科技旅游服务、科技研发服务等；商贸物流板块重点发展现代物流、汽车综合贸易、职业教育、展览销售等；高新科技板块主导发展科技服务、研发检测、质监服务等；旅游休闲板块主导发展旅游观光服务、工业旅游服务、田园山水旅游服务；综合服务板块主导发展艺术传媒设计服务、汽车商务服务、智慧应用服务等。</w:t>
      </w:r>
    </w:p>
    <w:p>
      <w:pPr>
        <w:pStyle w:val="4"/>
        <w:spacing w:before="0" w:after="0" w:line="600" w:lineRule="exact"/>
        <w:jc w:val="center"/>
        <w:rPr>
          <w:rFonts w:eastAsia="楷体"/>
        </w:rPr>
      </w:pPr>
      <w:bookmarkStart w:id="58" w:name="_Toc458171794"/>
      <w:r>
        <w:rPr>
          <w:rFonts w:hint="eastAsia" w:eastAsia="楷体"/>
        </w:rPr>
        <w:t>第二节 大力推进生产性服务业</w:t>
      </w:r>
      <w:bookmarkEnd w:id="58"/>
    </w:p>
    <w:p>
      <w:pPr>
        <w:tabs>
          <w:tab w:val="left" w:pos="720"/>
        </w:tabs>
        <w:spacing w:line="360" w:lineRule="atLeast"/>
        <w:ind w:firstLine="640" w:firstLineChars="200"/>
        <w:rPr>
          <w:rFonts w:ascii="仿宋_GB2312" w:hAnsi="宋体" w:eastAsia="仿宋_GB2312"/>
          <w:sz w:val="32"/>
          <w:szCs w:val="32"/>
        </w:rPr>
      </w:pPr>
      <w:r>
        <w:rPr>
          <w:rFonts w:hint="eastAsia" w:ascii="仿宋_GB2312" w:hAnsi="宋体" w:eastAsia="仿宋_GB2312"/>
          <w:sz w:val="32"/>
          <w:szCs w:val="32"/>
        </w:rPr>
        <w:t>打造生产性服务平台，加强产业联动与产业链的延伸。围绕产业发展的要求，努力构建服务、咨询和投融资体系建设等诸多方面的有机整合和良性互动的现代服务业体系，完善柳东新区的软硬环境，提高生产性服务业对制造业的支撑力度，引领柳东新区汽车产业链绿色、健康、可持续发展。重点培育现代物流业、会展博览业、金融服务业、科技及信息咨询服务业、汽车文化创意产业等生产性服务业。</w:t>
      </w:r>
    </w:p>
    <w:p>
      <w:pPr>
        <w:spacing w:line="600" w:lineRule="exact"/>
        <w:ind w:firstLine="643" w:firstLineChars="200"/>
        <w:rPr>
          <w:rFonts w:ascii="仿宋_GB2312" w:hAnsi="宋体" w:eastAsia="仿宋_GB2312"/>
          <w:sz w:val="32"/>
          <w:szCs w:val="32"/>
        </w:rPr>
      </w:pPr>
      <w:r>
        <w:rPr>
          <w:rFonts w:hint="eastAsia" w:ascii="仿宋_GB2312" w:hAnsi="宋体" w:eastAsia="仿宋_GB2312"/>
          <w:b/>
          <w:sz w:val="32"/>
          <w:szCs w:val="32"/>
        </w:rPr>
        <w:t>率先发展汽车产业服务工程。</w:t>
      </w:r>
      <w:r>
        <w:rPr>
          <w:rFonts w:hint="eastAsia" w:ascii="仿宋_GB2312" w:hAnsi="仿宋" w:eastAsia="仿宋_GB2312"/>
          <w:sz w:val="32"/>
          <w:szCs w:val="32"/>
        </w:rPr>
        <w:t>依托汽车及零部件生产基础和区位交通的优势，促进汽车服务业转型升级，引导汽车服务业集聚发展，打造完整的汽车产业链，规划建设年营业额达千亿元的柳州汽车服务产业园。</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全面建设现代物流服务工程。</w:t>
      </w:r>
      <w:r>
        <w:rPr>
          <w:rFonts w:hint="eastAsia" w:ascii="仿宋_GB2312" w:hAnsi="宋体" w:eastAsia="仿宋_GB2312"/>
          <w:sz w:val="32"/>
          <w:szCs w:val="32"/>
        </w:rPr>
        <w:t>有效整合水陆铁的物流资源，提升枢纽节点的服务能级，构建物流配送核心网络。重点发展整车、新材料、机械制造等具有比较优势的专业物流；着力引进国内外知名物流企业，扶持一批骨干型物流企业，形成以第三方物流、第四方物流以及物流供应链服务企业为主的物流产业群；研发物联网核心技术，建设物联网技术研发中心，加快物流信息网络平台的建设，建立物流电子商务信息系统，实现信息资源共享和物流在线跟踪及过程控制。</w:t>
      </w:r>
    </w:p>
    <w:p>
      <w:pPr>
        <w:spacing w:line="600" w:lineRule="exact"/>
        <w:ind w:firstLine="643" w:firstLineChars="200"/>
        <w:rPr>
          <w:rFonts w:ascii="仿宋_GB2312" w:hAnsi="仿宋" w:eastAsia="仿宋_GB2312"/>
          <w:sz w:val="32"/>
          <w:szCs w:val="32"/>
        </w:rPr>
      </w:pPr>
      <w:r>
        <w:rPr>
          <w:rFonts w:hint="eastAsia" w:ascii="仿宋_GB2312" w:hAnsi="宋体" w:eastAsia="仿宋_GB2312"/>
          <w:b/>
          <w:sz w:val="32"/>
          <w:szCs w:val="32"/>
        </w:rPr>
        <w:t>逐步完善现代商务服务工程。</w:t>
      </w:r>
      <w:r>
        <w:rPr>
          <w:rFonts w:hint="eastAsia" w:ascii="仿宋_GB2312" w:hAnsi="仿宋" w:eastAsia="仿宋_GB2312"/>
          <w:sz w:val="32"/>
          <w:szCs w:val="32"/>
        </w:rPr>
        <w:t>以产业集聚区为主要载体，巩固提升商务服务、策划咨询、技术服务等商务服务水平，加快构建门类齐全、规范诚信、与国际接轨的现代商务服务体系，建成具有重要影响力的国际商务合作交流中心。</w:t>
      </w:r>
    </w:p>
    <w:p>
      <w:pPr>
        <w:tabs>
          <w:tab w:val="left" w:pos="720"/>
        </w:tabs>
        <w:spacing w:line="360" w:lineRule="atLeast"/>
        <w:ind w:firstLine="643" w:firstLineChars="200"/>
        <w:rPr>
          <w:bCs/>
          <w:sz w:val="32"/>
          <w:szCs w:val="32"/>
        </w:rPr>
      </w:pPr>
      <w:r>
        <w:rPr>
          <w:rFonts w:hint="eastAsia" w:ascii="仿宋_GB2312" w:hAnsi="宋体" w:eastAsia="仿宋_GB2312"/>
          <w:b/>
          <w:sz w:val="32"/>
          <w:szCs w:val="32"/>
        </w:rPr>
        <w:t>重视发展会展博览品牌工程。</w:t>
      </w:r>
      <w:r>
        <w:rPr>
          <w:rFonts w:hint="eastAsia" w:ascii="仿宋_GB2312" w:hAnsi="宋体" w:eastAsia="仿宋_GB2312"/>
          <w:sz w:val="32"/>
          <w:szCs w:val="32"/>
        </w:rPr>
        <w:t>以柳东新区会展中心为依托，引入知名会展机构，培育品牌会展，突出会展服务制造业，打造适应区域产业发展需求的专业化、高水平的综合现代会展服务平台。依托新区的汽车制造业提升</w:t>
      </w:r>
      <w:r>
        <w:rPr>
          <w:rFonts w:ascii="仿宋_GB2312" w:hAnsi="宋体" w:eastAsia="仿宋_GB2312"/>
          <w:sz w:val="32"/>
          <w:szCs w:val="32"/>
        </w:rPr>
        <w:t>“</w:t>
      </w:r>
      <w:r>
        <w:rPr>
          <w:rFonts w:hint="eastAsia" w:ascii="仿宋_GB2312" w:hAnsi="宋体" w:eastAsia="仿宋_GB2312"/>
          <w:sz w:val="32"/>
          <w:szCs w:val="32"/>
        </w:rPr>
        <w:t>中国（柳州）</w:t>
      </w:r>
      <w:r>
        <w:rPr>
          <w:rFonts w:ascii="仿宋_GB2312" w:hAnsi="宋体" w:eastAsia="仿宋_GB2312"/>
          <w:sz w:val="32"/>
          <w:szCs w:val="32"/>
        </w:rPr>
        <w:t>-</w:t>
      </w:r>
      <w:r>
        <w:rPr>
          <w:rFonts w:hint="eastAsia" w:ascii="仿宋_GB2312" w:hAnsi="宋体" w:eastAsia="仿宋_GB2312"/>
          <w:sz w:val="32"/>
          <w:szCs w:val="32"/>
        </w:rPr>
        <w:t>东盟汽车及零部件博览会</w:t>
      </w:r>
      <w:r>
        <w:rPr>
          <w:rFonts w:ascii="仿宋_GB2312" w:hAnsi="宋体" w:eastAsia="仿宋_GB2312"/>
          <w:sz w:val="32"/>
          <w:szCs w:val="32"/>
        </w:rPr>
        <w:t>”</w:t>
      </w:r>
      <w:r>
        <w:rPr>
          <w:rFonts w:hint="eastAsia" w:ascii="仿宋_GB2312" w:hAnsi="宋体" w:eastAsia="仿宋_GB2312"/>
          <w:sz w:val="32"/>
          <w:szCs w:val="32"/>
        </w:rPr>
        <w:t>的世界影响力和知名度，开办汽车博览会，发展集汽车展示、汽车科普、汽车体验等于一体的汽车文化体验项目；依托园博园举办具有民族特色的博览会；培育多元化的会展企业，鼓励重点会展企业以资本为纽带，通过联合、合作、参股等方式，联合展装、经纪、咨询、策划、设计等会展服务企业，建立会展品牌，逐步形成以大型会展企业为龙头，各类会展专业服务企业为配套的会展机构体系。</w:t>
      </w:r>
    </w:p>
    <w:p>
      <w:pPr>
        <w:spacing w:line="600" w:lineRule="exact"/>
        <w:ind w:firstLine="630" w:firstLineChars="196"/>
        <w:rPr>
          <w:rFonts w:ascii="Times New Roman" w:hAnsi="Times New Roman" w:eastAsia="仿宋_GB2312"/>
          <w:sz w:val="32"/>
          <w:szCs w:val="32"/>
        </w:rPr>
      </w:pPr>
      <w:r>
        <w:rPr>
          <w:rFonts w:hint="eastAsia" w:ascii="仿宋_GB2312" w:hAnsi="宋体" w:eastAsia="仿宋_GB2312"/>
          <w:b/>
          <w:sz w:val="32"/>
          <w:szCs w:val="32"/>
        </w:rPr>
        <w:t>加快打造工业设计创新工程。</w:t>
      </w:r>
      <w:r>
        <w:rPr>
          <w:rFonts w:hint="eastAsia" w:ascii="仿宋_GB2312" w:hAnsi="仿宋" w:eastAsia="仿宋_GB2312"/>
          <w:sz w:val="32"/>
          <w:szCs w:val="32"/>
        </w:rPr>
        <w:t>围绕产业创新发展能力提升，加快推进广西工业设计城建设，建立和完善一批公益性、基础性、开放性的科技服务机构，加强与国内外著名科研院所、跨国公司开展产业核心技术研究，积极推动公共技术研发平台、重大科技基础设施、技术转移机构、检测试验平台等基础平台建设，打造西南地区先进制造业研发和转化基地。</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完善发展金融服务升级工程。</w:t>
      </w:r>
      <w:r>
        <w:rPr>
          <w:rFonts w:hint="eastAsia" w:ascii="仿宋_GB2312" w:hAnsi="宋体" w:eastAsia="仿宋_GB2312"/>
          <w:sz w:val="32"/>
          <w:szCs w:val="32"/>
        </w:rPr>
        <w:t>以资源集聚和金融创新为抓手，建成多层次、多元化的市场体系和金融综合服务体系，提升金融服务业对产业转型升级的支撑能力。重点建设中央商务区金融集聚区，完善金融总部、汽车供应链金融、科技金融和后台服务等金融服务功能；发展多元化的金融主体，吸引各类金融机构形成种类齐全的金融组织体系；大力推进金融创新，推出贷款、投融资新产品，发展汽车金融公司、电子支付结算机构，开发相关在线支付产品；完善金融办公的配套建设，制定相关优惠政策吸引金融机构区域总部及总部级运营中心进入，建立一个良好的金融投资环境。</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积极发展科技及信息咨询服务业创新工程。</w:t>
      </w:r>
      <w:r>
        <w:rPr>
          <w:rFonts w:hint="eastAsia" w:ascii="仿宋_GB2312" w:hAnsi="宋体" w:eastAsia="仿宋_GB2312"/>
          <w:sz w:val="32"/>
          <w:szCs w:val="32"/>
        </w:rPr>
        <w:t>以科技园的建设为突破口，促进各类社会资源有效融合，构建科技与信息公共服务体系，提升科技开发服务与各类专业咨询服务，实现产业核心及关键技术的突破，创建国家创新型特色园区。建立产业研发检测集聚区，重点推动技术研发中心和公共服务平台的建设，打造汽车研发基地、服务外包中心，重点支持汽车制造、装备制造、生物医药、电子信息等领域的公共检测服务平台的建设；支持行业电子商务应用平台建设，发展信息技术服务业，改善会计税务服务行业的执业环境，培育人力资源服务机构以构建完善的信息与咨询服务功能；最后要推进相关配套服务设施及平台的建设，培育发展行业协会提高行业整体素质，建立信息共享机制及网络安全技术保障的服务体系以营造一个良好的科技及信息咨询服务业的发展环境。</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积极提高职教培训服务工程。</w:t>
      </w:r>
      <w:r>
        <w:rPr>
          <w:rFonts w:hint="eastAsia" w:ascii="仿宋_GB2312" w:hAnsi="宋体" w:eastAsia="仿宋_GB2312"/>
          <w:sz w:val="32"/>
          <w:szCs w:val="32"/>
        </w:rPr>
        <w:t>在提高教育基本公共服务水平的基础上，依托职教园的优势，发展教育培训业，构建多层次、多元化的职业教育培训体系，满足多层次的人才需求。立足新区经济发展，发展汽车、机械、有色金属等具有竞争力的品牌学科，加强电子信息、生物工程、新材料等新兴学科的建设，吸引人才，整合资源，创造优良培训环境；大力完善基础公共教育的投入，尤其是学前教育及义务教育阶段的投入，积极创造区域内完善的教育资源；除公共教育事业之外，发展为产业服务的职业教育培训体系，发展多元化职教培训体系。</w:t>
      </w:r>
    </w:p>
    <w:p>
      <w:pPr>
        <w:pStyle w:val="4"/>
        <w:spacing w:before="0" w:after="0" w:line="600" w:lineRule="exact"/>
        <w:jc w:val="center"/>
        <w:rPr>
          <w:rFonts w:eastAsia="楷体"/>
        </w:rPr>
      </w:pPr>
      <w:bookmarkStart w:id="59" w:name="_Toc458171795"/>
      <w:r>
        <w:rPr>
          <w:rFonts w:hint="eastAsia" w:eastAsia="楷体"/>
        </w:rPr>
        <w:t>第三节 提升发展生活性服务业</w:t>
      </w:r>
      <w:bookmarkEnd w:id="59"/>
    </w:p>
    <w:p>
      <w:pPr>
        <w:tabs>
          <w:tab w:val="left" w:pos="720"/>
        </w:tabs>
        <w:spacing w:line="360" w:lineRule="atLeast"/>
        <w:ind w:firstLine="640" w:firstLineChars="200"/>
        <w:rPr>
          <w:rFonts w:ascii="仿宋_GB2312" w:hAnsi="宋体" w:eastAsia="仿宋_GB2312"/>
          <w:sz w:val="32"/>
          <w:szCs w:val="32"/>
        </w:rPr>
      </w:pPr>
      <w:r>
        <w:rPr>
          <w:rFonts w:hint="eastAsia" w:ascii="仿宋_GB2312" w:hAnsi="宋体" w:eastAsia="仿宋_GB2312"/>
          <w:sz w:val="32"/>
          <w:szCs w:val="32"/>
        </w:rPr>
        <w:t>构建生活、商务、休闲服务网络。随着各企业入驻，员工不断增加，对于人居环境的要求不断提高，顺应新区人员集聚与人居环境不断改善的需要，加强公共设施建设，发展社会保障服务和科、教、卫、体等公共服务事业，积极推进现代商贸业、房地产业、医疗健康产业、文化产业和游业的发展。</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实施现代商贸服务提升工程。</w:t>
      </w:r>
      <w:r>
        <w:rPr>
          <w:rFonts w:hint="eastAsia" w:ascii="仿宋_GB2312" w:hAnsi="宋体" w:eastAsia="仿宋_GB2312"/>
          <w:sz w:val="32"/>
          <w:szCs w:val="32"/>
        </w:rPr>
        <w:t>推动商贸业与制造、旅游、会展等行业的融合创新，建立功能完备、层次清晰、布局合理、特色鲜明的先导商贸服务体系。在多业种、多业态的领域推动餐饮、药品、汽车、建材、农产品等行业的连锁经营发展，推动电子商务快速发展，鼓励企业管理和技术创新，发展新型现代商贸业；构建汽车整车及零配件、工程机械等与新区功能定位相适应的现代商品批发流通体系；结合新区的实际情况，制订与新区特点相符合的商业等级体系和设置规范，并制定各商业等级内商业街区的建设标准，引导各类型商业网点根据设置规范在新区范围内合理布局发展；建设高效的市场监测调控体系，创造安全诚信的消费环境以建设现代商贸业健康发展的环境。</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实施宜居房地产业提升工程。</w:t>
      </w:r>
      <w:r>
        <w:rPr>
          <w:rFonts w:hint="eastAsia" w:ascii="仿宋_GB2312" w:hAnsi="宋体" w:eastAsia="仿宋_GB2312"/>
          <w:sz w:val="32"/>
          <w:szCs w:val="32"/>
        </w:rPr>
        <w:t>以提升新区宜居创业环境为目标，建立和完善市场调节和政府保障相结合的住房供应体系，使居民住房质量和居住水平明显提高。结合新区住房需求和资源能力，加快发展普通商住房，提高配套发展中高档商住房；全面推进经济适用房、廉租房和公租房等保障性住房的建设，解决企业职工及外来务工人员居住问题；充分考虑各行各业需求，有序发展商贸办公、科技服务、旅游休闲、娱乐餐饮等商业地产；顺应国家政策，完善管理体制，引导房地产健康规范发展。</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实施医疗健康服务提升工程。</w:t>
      </w:r>
      <w:r>
        <w:rPr>
          <w:rFonts w:hint="eastAsia" w:ascii="仿宋_GB2312" w:hAnsi="宋体" w:eastAsia="仿宋_GB2312"/>
          <w:sz w:val="32"/>
          <w:szCs w:val="32"/>
        </w:rPr>
        <w:t>在保障基本公共服务的基础上，引导发展市场潜力大、体现差异化服务的医疗保健服务业，把健康服务产业培育成为新的经济增长点，促进居民健康消费需求由单一的治疗型向预防保健型和健康促进型转变。均衡医疗资源配置，全面覆盖基本医疗服务设施；加大对医疗设施、设备的投入力度，引进优秀人才，提高整体医疗技术水平；鼓励引入社会资本发展护理康复、心理咨询等高端医疗服务机构，充分利用药材资源发展中医药馆，积极发展社会化养老服务，培育发展保健产业。</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实施文化产业竞争力提升工程。</w:t>
      </w:r>
      <w:r>
        <w:rPr>
          <w:rFonts w:hint="eastAsia" w:ascii="仿宋_GB2312" w:hAnsi="宋体" w:eastAsia="仿宋_GB2312"/>
          <w:sz w:val="32"/>
          <w:szCs w:val="32"/>
        </w:rPr>
        <w:t>加快推进文化产业及其产业链发展，增强新区的软实力及综合竞争力，打造文化创意体系。发展汽车博物馆、汽车影院等汽车衍生文化和地方特色文艺演出等；积极为新区文化创意产业的发展搭建展示交易、研发设计、文化产品物流仓储等公共服务平台；增加各类功能性文化设施的建设，建立健全公共文化服务设施网络。</w:t>
      </w:r>
    </w:p>
    <w:p>
      <w:pPr>
        <w:tabs>
          <w:tab w:val="left" w:pos="720"/>
        </w:tabs>
        <w:spacing w:line="360" w:lineRule="atLeast"/>
        <w:ind w:firstLine="643" w:firstLineChars="200"/>
        <w:rPr>
          <w:rFonts w:asciiTheme="minorEastAsia" w:hAnsiTheme="minorEastAsia"/>
          <w:bCs/>
          <w:sz w:val="32"/>
          <w:szCs w:val="32"/>
        </w:rPr>
      </w:pPr>
      <w:r>
        <w:rPr>
          <w:rFonts w:hint="eastAsia" w:ascii="仿宋_GB2312" w:hAnsi="宋体" w:eastAsia="仿宋_GB2312"/>
          <w:b/>
          <w:sz w:val="32"/>
          <w:szCs w:val="32"/>
        </w:rPr>
        <w:t>实施旅游休闲服务提升工程。</w:t>
      </w:r>
      <w:r>
        <w:rPr>
          <w:rFonts w:hint="eastAsia" w:ascii="仿宋_GB2312" w:hAnsi="宋体" w:eastAsia="仿宋_GB2312"/>
          <w:sz w:val="32"/>
          <w:szCs w:val="32"/>
        </w:rPr>
        <w:t>积极发展旅游产业，不断推进旅游产业市场化进程，培育一批特色鲜明、有竞争力的旅游骨干。加强旅游营销，进一步拓展市场，充分发挥出旅游产业的综合性优势。活化历史人文资源，以雒容古镇、洛埠镇为基础，挖掘历史文化资源，打造文化旅游精品。大力发展生态旅游，依托柳江及周边山水资源，构建城市周边生态休闲带。优化发展现有精品板块，发展园博园、汽车博览园、华侨城等特色旅游区，并结合汽车产业，发展工业旅游产品体系。突出文化旅游和商务旅游的特色，开发旅游基础设施，整合旅游资源，建立旅游服务体系，推动旅游与休闲业、商贸业的结合。整合新区旅游资源，打造园博园公园、汽车文化之旅、历史文化街区、文化产业遗产和山水生态旅游等路线；完善住宿、生活配套等功能设施，完善各类型酒店建设；支持旅行社发展，加强从业人员培养，推动旅行社行业的经营创新。</w:t>
      </w:r>
    </w:p>
    <w:p>
      <w:pPr>
        <w:keepNext/>
        <w:keepLines/>
        <w:spacing w:line="600" w:lineRule="exact"/>
        <w:jc w:val="center"/>
        <w:outlineLvl w:val="2"/>
        <w:rPr>
          <w:rFonts w:ascii="楷体" w:hAnsi="楷体" w:eastAsia="楷体"/>
          <w:b/>
          <w:bCs/>
          <w:kern w:val="0"/>
          <w:sz w:val="32"/>
          <w:szCs w:val="32"/>
        </w:rPr>
      </w:pPr>
      <w:bookmarkStart w:id="60" w:name="_Toc440536798"/>
      <w:bookmarkStart w:id="61" w:name="_Toc458171796"/>
      <w:r>
        <w:rPr>
          <w:rFonts w:hint="eastAsia" w:ascii="楷体" w:hAnsi="楷体" w:eastAsia="楷体"/>
          <w:b/>
          <w:bCs/>
          <w:kern w:val="0"/>
          <w:sz w:val="32"/>
          <w:szCs w:val="32"/>
        </w:rPr>
        <w:t>第四节  拓展服务业发展空间</w:t>
      </w:r>
      <w:bookmarkEnd w:id="60"/>
      <w:bookmarkEnd w:id="61"/>
    </w:p>
    <w:p>
      <w:pPr>
        <w:spacing w:line="600" w:lineRule="exact"/>
        <w:ind w:firstLine="624" w:firstLineChars="200"/>
        <w:jc w:val="left"/>
        <w:rPr>
          <w:rFonts w:ascii="仿宋_GB2312" w:hAnsi="仿宋" w:eastAsia="仿宋_GB2312"/>
          <w:spacing w:val="-4"/>
          <w:sz w:val="32"/>
          <w:szCs w:val="32"/>
        </w:rPr>
      </w:pPr>
      <w:r>
        <w:rPr>
          <w:rFonts w:hint="eastAsia" w:ascii="仿宋_GB2312" w:hAnsi="仿宋" w:eastAsia="仿宋_GB2312"/>
          <w:spacing w:val="-4"/>
          <w:sz w:val="32"/>
          <w:szCs w:val="32"/>
        </w:rPr>
        <w:t>加大政策和资金支持力度，加快打造港口物流、汽车服务、专业市场、电子商务等四个服务业千亿产业，加快形成服务业发展的新高地，城市功能的新亮点，拓展服务业发展空间。</w:t>
      </w:r>
    </w:p>
    <w:p>
      <w:pPr>
        <w:spacing w:line="600" w:lineRule="exact"/>
        <w:ind w:firstLine="643" w:firstLineChars="200"/>
        <w:jc w:val="left"/>
        <w:rPr>
          <w:rFonts w:ascii="仿宋_GB2312" w:hAnsi="仿宋" w:eastAsia="仿宋_GB2312"/>
          <w:sz w:val="32"/>
          <w:szCs w:val="32"/>
        </w:rPr>
      </w:pPr>
      <w:r>
        <w:rPr>
          <w:rFonts w:hint="eastAsia" w:ascii="仿宋_GB2312" w:hAnsi="仿宋" w:eastAsia="仿宋_GB2312"/>
          <w:b/>
          <w:sz w:val="32"/>
          <w:szCs w:val="32"/>
        </w:rPr>
        <w:t>重点打造六大服务业集聚区。</w:t>
      </w:r>
      <w:r>
        <w:rPr>
          <w:rFonts w:hint="eastAsia" w:ascii="仿宋_GB2312" w:hAnsi="仿宋" w:eastAsia="仿宋_GB2312"/>
          <w:sz w:val="32"/>
          <w:szCs w:val="32"/>
        </w:rPr>
        <w:t>以产业集聚、企业集中、功能集成为主要路径，突出集约化、规模化、体系化和特色化发展，加强资源整合。重点建设12个产业竞争力强、要素利用效率高、创新能力提升快、产城融合成效好、生态环境建设美的现代服务业集聚区。至2020年，集聚区增加值占新区服务业增加值65%左右，成为新区服务业拉动投资、增加总量、优化结构、提升质量、增多税收、吸纳就业、跨越转型、创新发展的在主战场、生力军、引领区和示范区；形成符合新区实际且具有鲜明地方特色的集聚区发展体系，推动生产性服务业高端化发展、生活性服务业优质化发展、新兴服务业集聚化发展；加快打造柳州市先进生产性服务业中心、高端生活性服务业基地，为柳州市打造“一中心一基地两城市”提供强大支撑。</w:t>
      </w:r>
    </w:p>
    <w:p>
      <w:pPr>
        <w:spacing w:line="60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努力形成营业收入500亿元以上集聚区1-2个、，超</w:t>
      </w:r>
      <w:r>
        <w:rPr>
          <w:rFonts w:ascii="仿宋_GB2312" w:hAnsi="仿宋" w:eastAsia="仿宋_GB2312"/>
          <w:sz w:val="32"/>
          <w:szCs w:val="32"/>
        </w:rPr>
        <w:t xml:space="preserve">10 </w:t>
      </w:r>
      <w:r>
        <w:rPr>
          <w:rFonts w:hint="eastAsia" w:ascii="仿宋_GB2312" w:hAnsi="仿宋" w:eastAsia="仿宋_GB2312"/>
          <w:sz w:val="32"/>
          <w:szCs w:val="32"/>
        </w:rPr>
        <w:t>亿元的</w:t>
      </w:r>
      <w:r>
        <w:rPr>
          <w:rFonts w:ascii="仿宋_GB2312" w:hAnsi="仿宋" w:eastAsia="仿宋_GB2312"/>
          <w:sz w:val="32"/>
          <w:szCs w:val="32"/>
        </w:rPr>
        <w:t xml:space="preserve">3-5 </w:t>
      </w:r>
      <w:r>
        <w:rPr>
          <w:rFonts w:hint="eastAsia" w:ascii="仿宋_GB2312" w:hAnsi="仿宋" w:eastAsia="仿宋_GB2312"/>
          <w:sz w:val="32"/>
          <w:szCs w:val="32"/>
        </w:rPr>
        <w:t>家，超</w:t>
      </w:r>
      <w:r>
        <w:rPr>
          <w:rFonts w:ascii="仿宋_GB2312" w:hAnsi="仿宋" w:eastAsia="仿宋_GB2312"/>
          <w:sz w:val="32"/>
          <w:szCs w:val="32"/>
        </w:rPr>
        <w:t xml:space="preserve">5 </w:t>
      </w:r>
      <w:r>
        <w:rPr>
          <w:rFonts w:hint="eastAsia" w:ascii="仿宋_GB2312" w:hAnsi="仿宋" w:eastAsia="仿宋_GB2312"/>
          <w:sz w:val="32"/>
          <w:szCs w:val="32"/>
        </w:rPr>
        <w:t>亿元的</w:t>
      </w:r>
      <w:r>
        <w:rPr>
          <w:rFonts w:ascii="仿宋_GB2312" w:hAnsi="仿宋" w:eastAsia="仿宋_GB2312"/>
          <w:sz w:val="32"/>
          <w:szCs w:val="32"/>
        </w:rPr>
        <w:t xml:space="preserve">5-8 </w:t>
      </w:r>
      <w:r>
        <w:rPr>
          <w:rFonts w:hint="eastAsia" w:ascii="仿宋_GB2312" w:hAnsi="仿宋" w:eastAsia="仿宋_GB2312"/>
          <w:sz w:val="32"/>
          <w:szCs w:val="32"/>
        </w:rPr>
        <w:t>家；新增中国服务业</w:t>
      </w:r>
      <w:r>
        <w:rPr>
          <w:rFonts w:ascii="仿宋_GB2312" w:hAnsi="仿宋" w:eastAsia="仿宋_GB2312"/>
          <w:sz w:val="32"/>
          <w:szCs w:val="32"/>
        </w:rPr>
        <w:t>500</w:t>
      </w:r>
      <w:r>
        <w:rPr>
          <w:rFonts w:hint="eastAsia" w:ascii="仿宋_GB2312" w:hAnsi="仿宋" w:eastAsia="仿宋_GB2312"/>
          <w:sz w:val="32"/>
          <w:szCs w:val="32"/>
        </w:rPr>
        <w:t>强企业设立的分支机构超过</w:t>
      </w:r>
      <w:r>
        <w:rPr>
          <w:rFonts w:ascii="仿宋_GB2312" w:hAnsi="仿宋" w:eastAsia="仿宋_GB2312"/>
          <w:sz w:val="32"/>
          <w:szCs w:val="32"/>
        </w:rPr>
        <w:t xml:space="preserve">20 </w:t>
      </w:r>
      <w:r>
        <w:rPr>
          <w:rFonts w:hint="eastAsia" w:ascii="仿宋_GB2312" w:hAnsi="仿宋" w:eastAsia="仿宋_GB2312"/>
          <w:sz w:val="32"/>
          <w:szCs w:val="32"/>
        </w:rPr>
        <w:t>家；力争</w:t>
      </w:r>
      <w:r>
        <w:rPr>
          <w:rFonts w:ascii="仿宋_GB2312" w:hAnsi="仿宋" w:eastAsia="仿宋_GB2312"/>
          <w:sz w:val="32"/>
          <w:szCs w:val="32"/>
        </w:rPr>
        <w:t xml:space="preserve">1-2 </w:t>
      </w:r>
      <w:r>
        <w:rPr>
          <w:rFonts w:hint="eastAsia" w:ascii="仿宋_GB2312" w:hAnsi="仿宋" w:eastAsia="仿宋_GB2312"/>
          <w:sz w:val="32"/>
          <w:szCs w:val="32"/>
        </w:rPr>
        <w:t>家企业进入全国服务业</w:t>
      </w:r>
      <w:r>
        <w:rPr>
          <w:rFonts w:ascii="仿宋_GB2312" w:hAnsi="仿宋" w:eastAsia="仿宋_GB2312"/>
          <w:sz w:val="32"/>
          <w:szCs w:val="32"/>
        </w:rPr>
        <w:t xml:space="preserve">500 </w:t>
      </w:r>
      <w:r>
        <w:rPr>
          <w:rFonts w:hint="eastAsia" w:ascii="仿宋_GB2312" w:hAnsi="仿宋" w:eastAsia="仿宋_GB2312"/>
          <w:sz w:val="32"/>
          <w:szCs w:val="32"/>
        </w:rPr>
        <w:t>强行列；力争品牌对服务业产品销售收入的贡献率超过</w:t>
      </w:r>
      <w:r>
        <w:rPr>
          <w:rFonts w:ascii="仿宋_GB2312" w:hAnsi="仿宋" w:eastAsia="仿宋_GB2312"/>
          <w:sz w:val="32"/>
          <w:szCs w:val="32"/>
        </w:rPr>
        <w:t>25%</w:t>
      </w:r>
      <w:r>
        <w:rPr>
          <w:rFonts w:hint="eastAsia" w:ascii="仿宋_GB2312" w:hAnsi="仿宋" w:eastAsia="仿宋_GB2312"/>
          <w:sz w:val="32"/>
          <w:szCs w:val="32"/>
        </w:rPr>
        <w:t>，培育形成</w:t>
      </w:r>
      <w:r>
        <w:rPr>
          <w:rFonts w:ascii="仿宋_GB2312" w:hAnsi="仿宋" w:eastAsia="仿宋_GB2312"/>
          <w:sz w:val="32"/>
          <w:szCs w:val="32"/>
        </w:rPr>
        <w:t xml:space="preserve">1-2 </w:t>
      </w:r>
      <w:r>
        <w:rPr>
          <w:rFonts w:hint="eastAsia" w:ascii="仿宋_GB2312" w:hAnsi="仿宋" w:eastAsia="仿宋_GB2312"/>
          <w:sz w:val="32"/>
          <w:szCs w:val="32"/>
        </w:rPr>
        <w:t>个自治区服务业品牌。</w:t>
      </w:r>
    </w:p>
    <w:tbl>
      <w:tblPr>
        <w:tblStyle w:val="27"/>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fixed"/>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662" w:hRule="atLeast"/>
          <w:jc w:val="center"/>
        </w:trPr>
        <w:tc>
          <w:tcPr>
            <w:tcW w:w="8318" w:type="dxa"/>
            <w:shd w:val="clear" w:color="auto" w:fill="F1F1F1" w:themeFill="background1" w:themeFillShade="F2"/>
          </w:tcPr>
          <w:p>
            <w:pPr>
              <w:spacing w:line="600" w:lineRule="exact"/>
              <w:jc w:val="center"/>
              <w:rPr>
                <w:rFonts w:ascii="Times New Roman" w:hAnsi="Times New Roman" w:eastAsia="仿宋_GB2312"/>
                <w:b/>
                <w:szCs w:val="28"/>
              </w:rPr>
            </w:pPr>
            <w:r>
              <w:rPr>
                <w:rFonts w:ascii="Times New Roman" w:hAnsi="Times New Roman" w:eastAsia="仿宋_GB2312"/>
                <w:b/>
                <w:szCs w:val="28"/>
              </w:rPr>
              <w:t>专栏5</w:t>
            </w:r>
            <w:r>
              <w:rPr>
                <w:rFonts w:ascii="Times New Roman" w:hAnsi="Times New Roman" w:eastAsia="仿宋_GB2312"/>
                <w:b/>
                <w:kern w:val="0"/>
                <w:szCs w:val="28"/>
              </w:rPr>
              <w:t>：</w:t>
            </w:r>
            <w:r>
              <w:rPr>
                <w:rFonts w:ascii="Times New Roman" w:hAnsi="Times New Roman" w:eastAsia="仿宋_GB2312"/>
                <w:b/>
                <w:szCs w:val="28"/>
              </w:rPr>
              <w:t>六大集聚区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8" w:type="dxa"/>
            <w:shd w:val="clear" w:color="auto" w:fill="F1F1F1" w:themeFill="background1" w:themeFillShade="F2"/>
          </w:tcPr>
          <w:p>
            <w:pPr>
              <w:spacing w:line="600" w:lineRule="exact"/>
              <w:ind w:firstLine="562" w:firstLineChars="200"/>
              <w:rPr>
                <w:rFonts w:ascii="Times New Roman" w:hAnsi="Times New Roman" w:eastAsia="仿宋_GB2312"/>
                <w:kern w:val="0"/>
                <w:szCs w:val="28"/>
              </w:rPr>
            </w:pPr>
            <w:r>
              <w:rPr>
                <w:rFonts w:ascii="Times New Roman" w:hAnsi="Times New Roman" w:eastAsia="仿宋_GB2312"/>
                <w:b/>
                <w:kern w:val="0"/>
                <w:szCs w:val="28"/>
              </w:rPr>
              <w:t>1.现代物流园区</w:t>
            </w:r>
            <w:r>
              <w:rPr>
                <w:rFonts w:ascii="Times New Roman" w:hAnsi="Times New Roman" w:eastAsia="仿宋_GB2312"/>
                <w:kern w:val="0"/>
                <w:szCs w:val="28"/>
              </w:rPr>
              <w:t>。重点推进广西现代医药物流集聚区、柳州汽车城国际物流城</w:t>
            </w:r>
            <w:r>
              <w:rPr>
                <w:rFonts w:hint="eastAsia" w:ascii="Times New Roman" w:hAnsi="Times New Roman" w:eastAsia="仿宋_GB2312"/>
                <w:kern w:val="0"/>
                <w:szCs w:val="28"/>
              </w:rPr>
              <w:t>等</w:t>
            </w:r>
            <w:r>
              <w:rPr>
                <w:rFonts w:ascii="Times New Roman" w:hAnsi="Times New Roman" w:eastAsia="仿宋_GB2312"/>
                <w:kern w:val="0"/>
                <w:szCs w:val="28"/>
              </w:rPr>
              <w:t>集聚区建设。</w:t>
            </w:r>
          </w:p>
          <w:p>
            <w:pPr>
              <w:spacing w:line="600" w:lineRule="exact"/>
              <w:ind w:firstLine="562" w:firstLineChars="200"/>
              <w:rPr>
                <w:rFonts w:ascii="Times New Roman" w:hAnsi="Times New Roman" w:eastAsia="仿宋_GB2312"/>
                <w:kern w:val="0"/>
                <w:szCs w:val="28"/>
              </w:rPr>
            </w:pPr>
            <w:r>
              <w:rPr>
                <w:rFonts w:ascii="Times New Roman" w:hAnsi="Times New Roman" w:eastAsia="仿宋_GB2312"/>
                <w:b/>
                <w:kern w:val="0"/>
                <w:szCs w:val="28"/>
              </w:rPr>
              <w:t>2.商贸功能区。</w:t>
            </w:r>
            <w:r>
              <w:rPr>
                <w:rFonts w:ascii="Times New Roman" w:hAnsi="Times New Roman" w:eastAsia="仿宋_GB2312"/>
                <w:kern w:val="0"/>
                <w:szCs w:val="28"/>
              </w:rPr>
              <w:t>重点推进柳州区域性汽车综合贸易集聚区、柳州电子商务应用集聚区建设。</w:t>
            </w:r>
          </w:p>
          <w:p>
            <w:pPr>
              <w:spacing w:line="600" w:lineRule="exact"/>
              <w:ind w:firstLine="562" w:firstLineChars="200"/>
              <w:rPr>
                <w:rFonts w:ascii="Times New Roman" w:hAnsi="Times New Roman" w:eastAsia="仿宋_GB2312"/>
                <w:kern w:val="0"/>
                <w:szCs w:val="28"/>
              </w:rPr>
            </w:pPr>
            <w:r>
              <w:rPr>
                <w:rFonts w:ascii="Times New Roman" w:hAnsi="Times New Roman" w:eastAsia="仿宋_GB2312"/>
                <w:b/>
                <w:kern w:val="0"/>
                <w:szCs w:val="28"/>
              </w:rPr>
              <w:t>3.旅游休闲区。</w:t>
            </w:r>
            <w:r>
              <w:rPr>
                <w:rFonts w:ascii="Times New Roman" w:hAnsi="Times New Roman" w:eastAsia="仿宋_GB2312"/>
                <w:kern w:val="0"/>
                <w:szCs w:val="28"/>
              </w:rPr>
              <w:t>重点推进华侨城</w:t>
            </w:r>
            <w:r>
              <w:rPr>
                <w:rFonts w:hint="eastAsia" w:ascii="Times New Roman" w:hAnsi="Times New Roman" w:eastAsia="仿宋_GB2312"/>
                <w:kern w:val="0"/>
                <w:szCs w:val="28"/>
              </w:rPr>
              <w:t>文化科技旅游集聚区、碧柳田园农业旅游集聚区</w:t>
            </w:r>
            <w:r>
              <w:rPr>
                <w:rFonts w:ascii="Times New Roman" w:hAnsi="Times New Roman" w:eastAsia="仿宋_GB2312"/>
                <w:kern w:val="0"/>
                <w:szCs w:val="28"/>
              </w:rPr>
              <w:t>建设。</w:t>
            </w:r>
          </w:p>
          <w:p>
            <w:pPr>
              <w:spacing w:line="600" w:lineRule="exact"/>
              <w:ind w:firstLine="562" w:firstLineChars="200"/>
              <w:rPr>
                <w:rFonts w:ascii="Times New Roman" w:hAnsi="Times New Roman" w:eastAsia="仿宋_GB2312"/>
                <w:kern w:val="0"/>
                <w:szCs w:val="28"/>
              </w:rPr>
            </w:pPr>
            <w:r>
              <w:rPr>
                <w:rFonts w:ascii="Times New Roman" w:hAnsi="Times New Roman" w:eastAsia="仿宋_GB2312"/>
                <w:b/>
                <w:kern w:val="0"/>
                <w:szCs w:val="28"/>
              </w:rPr>
              <w:t>4.中央商务区。</w:t>
            </w:r>
            <w:r>
              <w:rPr>
                <w:rFonts w:ascii="Times New Roman" w:hAnsi="Times New Roman" w:eastAsia="仿宋_GB2312"/>
                <w:kern w:val="0"/>
                <w:szCs w:val="28"/>
              </w:rPr>
              <w:t>重点推进柳东中央商务区、柳州会展商务集聚区建设。</w:t>
            </w:r>
          </w:p>
          <w:p>
            <w:pPr>
              <w:spacing w:line="600" w:lineRule="exact"/>
              <w:ind w:firstLine="562" w:firstLineChars="200"/>
              <w:rPr>
                <w:rFonts w:ascii="Times New Roman" w:hAnsi="Times New Roman" w:eastAsia="仿宋_GB2312"/>
                <w:kern w:val="0"/>
                <w:szCs w:val="28"/>
              </w:rPr>
            </w:pPr>
            <w:r>
              <w:rPr>
                <w:rFonts w:ascii="Times New Roman" w:hAnsi="Times New Roman" w:eastAsia="仿宋_GB2312"/>
                <w:b/>
                <w:kern w:val="0"/>
                <w:szCs w:val="28"/>
              </w:rPr>
              <w:t>5.科技创业园区</w:t>
            </w:r>
            <w:r>
              <w:rPr>
                <w:rFonts w:ascii="Times New Roman" w:hAnsi="Times New Roman" w:eastAsia="仿宋_GB2312"/>
                <w:kern w:val="0"/>
                <w:szCs w:val="28"/>
              </w:rPr>
              <w:t>。重点推进柳州高新科技园、柳州汽车研发检测集聚区建设。</w:t>
            </w:r>
          </w:p>
          <w:p>
            <w:pPr>
              <w:spacing w:line="600" w:lineRule="exact"/>
              <w:ind w:firstLine="562" w:firstLineChars="200"/>
              <w:rPr>
                <w:rFonts w:ascii="Times New Roman" w:hAnsi="Times New Roman" w:eastAsia="仿宋_GB2312"/>
                <w:snapToGrid w:val="0"/>
                <w:kern w:val="0"/>
                <w:szCs w:val="28"/>
              </w:rPr>
            </w:pPr>
            <w:r>
              <w:rPr>
                <w:rFonts w:ascii="Times New Roman" w:hAnsi="Times New Roman" w:eastAsia="仿宋_GB2312"/>
                <w:b/>
                <w:kern w:val="0"/>
                <w:szCs w:val="28"/>
              </w:rPr>
              <w:t>6.文化创意产业园区</w:t>
            </w:r>
            <w:r>
              <w:rPr>
                <w:rFonts w:ascii="Times New Roman" w:hAnsi="Times New Roman" w:eastAsia="仿宋_GB2312"/>
                <w:kern w:val="0"/>
                <w:szCs w:val="28"/>
              </w:rPr>
              <w:t>。重点推进柳州工业设计产业园建设。</w:t>
            </w:r>
          </w:p>
        </w:tc>
      </w:tr>
    </w:tbl>
    <w:p>
      <w:pPr>
        <w:spacing w:line="600" w:lineRule="exact"/>
        <w:ind w:firstLine="643" w:firstLineChars="200"/>
        <w:jc w:val="left"/>
        <w:rPr>
          <w:rFonts w:ascii="仿宋_GB2312" w:hAnsi="仿宋" w:eastAsia="仿宋_GB2312"/>
          <w:sz w:val="32"/>
          <w:szCs w:val="32"/>
        </w:rPr>
      </w:pPr>
      <w:r>
        <w:rPr>
          <w:rFonts w:hint="eastAsia" w:ascii="仿宋_GB2312" w:hAnsi="仿宋" w:eastAsia="仿宋_GB2312"/>
          <w:b/>
          <w:sz w:val="32"/>
          <w:szCs w:val="32"/>
        </w:rPr>
        <w:t>积极培育“互联网+”服务工程。</w:t>
      </w:r>
      <w:r>
        <w:rPr>
          <w:rFonts w:hint="eastAsia" w:ascii="仿宋_GB2312" w:hAnsi="华文仿宋" w:eastAsia="仿宋_GB2312"/>
          <w:sz w:val="32"/>
          <w:szCs w:val="32"/>
        </w:rPr>
        <w:t>推进服务业业态创新，加快拓展新领域、发展新业态、形成新热点，以服务消费为重点带动消费结构升级，扩大居民消费。</w:t>
      </w:r>
      <w:r>
        <w:rPr>
          <w:rFonts w:hint="eastAsia" w:ascii="仿宋_GB2312" w:hAnsi="仿宋" w:eastAsia="仿宋_GB2312"/>
          <w:sz w:val="32"/>
          <w:szCs w:val="32"/>
        </w:rPr>
        <w:t>促进移动互联网、云计算、大数据、物联网等新一代信息技术与现代制造业、生产性服务业融合创新。加快推进互联网经济发展，培育战略性新兴产业，促进经济转型升级，鼓励大众创业、万众创新，成为新常态下柳东经济发展的新引擎。</w:t>
      </w:r>
    </w:p>
    <w:p>
      <w:pPr>
        <w:keepNext/>
        <w:keepLines/>
        <w:spacing w:line="600" w:lineRule="exact"/>
        <w:jc w:val="center"/>
        <w:outlineLvl w:val="2"/>
        <w:rPr>
          <w:rFonts w:ascii="楷体" w:hAnsi="楷体" w:eastAsia="楷体"/>
          <w:b/>
          <w:bCs/>
          <w:kern w:val="0"/>
          <w:sz w:val="32"/>
          <w:szCs w:val="32"/>
        </w:rPr>
      </w:pPr>
      <w:bookmarkStart w:id="62" w:name="_Toc440536799"/>
      <w:bookmarkStart w:id="63" w:name="_Toc458171797"/>
      <w:r>
        <w:rPr>
          <w:rFonts w:hint="eastAsia" w:ascii="楷体" w:hAnsi="楷体" w:eastAsia="楷体"/>
          <w:b/>
          <w:bCs/>
          <w:kern w:val="0"/>
          <w:sz w:val="32"/>
          <w:szCs w:val="32"/>
        </w:rPr>
        <w:t>第五节  打造区域性产业金融服务中心</w:t>
      </w:r>
      <w:bookmarkEnd w:id="62"/>
      <w:bookmarkEnd w:id="63"/>
    </w:p>
    <w:p>
      <w:pPr>
        <w:spacing w:line="600" w:lineRule="exact"/>
        <w:ind w:firstLine="640" w:firstLineChars="200"/>
        <w:rPr>
          <w:rFonts w:ascii="仿宋_GB2312" w:hAnsi="仿宋" w:eastAsia="仿宋_GB2312"/>
          <w:sz w:val="32"/>
          <w:szCs w:val="32"/>
        </w:rPr>
      </w:pPr>
      <w:r>
        <w:rPr>
          <w:rFonts w:hint="eastAsia" w:ascii="仿宋_GB2312" w:hAnsi="仿宋" w:eastAsia="仿宋_GB2312"/>
          <w:bCs/>
          <w:sz w:val="32"/>
          <w:szCs w:val="32"/>
        </w:rPr>
        <w:t>科学规划金融发展区域布局，加速完善创新金融服务，引导形成金融机构服务中心，加快创建金融生态模范城市和金融产品创新区，打造区域性产业金融服务中心。</w:t>
      </w:r>
    </w:p>
    <w:p>
      <w:pPr>
        <w:spacing w:line="600" w:lineRule="exact"/>
        <w:ind w:firstLine="643" w:firstLineChars="200"/>
        <w:rPr>
          <w:rFonts w:ascii="仿宋_GB2312" w:hAnsi="仿宋" w:eastAsia="仿宋_GB2312"/>
          <w:sz w:val="32"/>
          <w:szCs w:val="32"/>
        </w:rPr>
      </w:pPr>
      <w:r>
        <w:rPr>
          <w:rFonts w:hint="eastAsia" w:ascii="仿宋_GB2312" w:hAnsi="仿宋" w:eastAsia="仿宋_GB2312"/>
          <w:b/>
          <w:sz w:val="32"/>
          <w:szCs w:val="32"/>
        </w:rPr>
        <w:t>构建</w:t>
      </w:r>
      <w:r>
        <w:rPr>
          <w:rFonts w:ascii="仿宋_GB2312" w:hAnsi="仿宋" w:eastAsia="仿宋_GB2312"/>
          <w:b/>
          <w:sz w:val="32"/>
          <w:szCs w:val="32"/>
        </w:rPr>
        <w:t>现代金融</w:t>
      </w:r>
      <w:r>
        <w:rPr>
          <w:rFonts w:hint="eastAsia" w:ascii="仿宋_GB2312" w:hAnsi="仿宋" w:eastAsia="仿宋_GB2312"/>
          <w:b/>
          <w:sz w:val="32"/>
          <w:szCs w:val="32"/>
        </w:rPr>
        <w:t>产</w:t>
      </w:r>
      <w:r>
        <w:rPr>
          <w:rFonts w:ascii="仿宋_GB2312" w:hAnsi="仿宋" w:eastAsia="仿宋_GB2312"/>
          <w:b/>
          <w:sz w:val="32"/>
          <w:szCs w:val="32"/>
        </w:rPr>
        <w:t>业体系</w:t>
      </w:r>
      <w:r>
        <w:rPr>
          <w:rFonts w:hint="eastAsia" w:ascii="仿宋_GB2312" w:hAnsi="仿宋" w:eastAsia="仿宋_GB2312"/>
          <w:b/>
          <w:sz w:val="32"/>
          <w:szCs w:val="32"/>
        </w:rPr>
        <w:t>。</w:t>
      </w:r>
      <w:r>
        <w:rPr>
          <w:rFonts w:hint="eastAsia" w:ascii="仿宋_GB2312" w:hAnsi="仿宋" w:eastAsia="仿宋_GB2312"/>
          <w:sz w:val="32"/>
          <w:szCs w:val="32"/>
        </w:rPr>
        <w:t>优先集聚</w:t>
      </w:r>
      <w:r>
        <w:rPr>
          <w:rFonts w:ascii="仿宋_GB2312" w:hAnsi="仿宋" w:eastAsia="仿宋_GB2312"/>
          <w:sz w:val="32"/>
          <w:szCs w:val="32"/>
        </w:rPr>
        <w:t>金融</w:t>
      </w:r>
      <w:r>
        <w:rPr>
          <w:rFonts w:hint="eastAsia" w:ascii="仿宋_GB2312" w:hAnsi="仿宋" w:eastAsia="仿宋_GB2312"/>
          <w:sz w:val="32"/>
          <w:szCs w:val="32"/>
        </w:rPr>
        <w:t>服务机构，提升发展银行、证券、保险业金融机构。鼓励在柳银行创新发展，支持组建民营银行。积极发展天使投资基金、创业投资基金、产业投资基金和股权投资基金，引导一批优质企业上市。加快实施新兴金融业培育计划，着力发展融资租赁、互联网金融、股权投资等新兴金融产业。创新</w:t>
      </w:r>
      <w:r>
        <w:rPr>
          <w:rFonts w:ascii="仿宋_GB2312" w:hAnsi="仿宋" w:eastAsia="仿宋_GB2312"/>
          <w:sz w:val="32"/>
          <w:szCs w:val="32"/>
        </w:rPr>
        <w:t>发展</w:t>
      </w:r>
      <w:r>
        <w:rPr>
          <w:rFonts w:hint="eastAsia" w:ascii="仿宋_GB2312" w:hAnsi="仿宋" w:eastAsia="仿宋_GB2312"/>
          <w:sz w:val="32"/>
          <w:szCs w:val="32"/>
        </w:rPr>
        <w:t>特色新型金融机构，推动金融业多元化集聚发展。</w:t>
      </w:r>
    </w:p>
    <w:p>
      <w:pPr>
        <w:spacing w:line="600" w:lineRule="exact"/>
        <w:ind w:firstLine="643" w:firstLineChars="200"/>
        <w:rPr>
          <w:rFonts w:ascii="仿宋_GB2312" w:hAnsi="仿宋" w:eastAsia="仿宋_GB2312"/>
          <w:sz w:val="32"/>
          <w:szCs w:val="32"/>
        </w:rPr>
      </w:pPr>
      <w:r>
        <w:rPr>
          <w:rFonts w:ascii="仿宋_GB2312" w:hAnsi="仿宋" w:eastAsia="仿宋_GB2312"/>
          <w:b/>
          <w:sz w:val="32"/>
          <w:szCs w:val="32"/>
        </w:rPr>
        <w:t>构建</w:t>
      </w:r>
      <w:r>
        <w:rPr>
          <w:rFonts w:hint="eastAsia" w:ascii="仿宋_GB2312" w:hAnsi="仿宋" w:eastAsia="仿宋_GB2312"/>
          <w:b/>
          <w:sz w:val="32"/>
          <w:szCs w:val="32"/>
        </w:rPr>
        <w:t>普惠</w:t>
      </w:r>
      <w:r>
        <w:rPr>
          <w:rFonts w:ascii="仿宋_GB2312" w:hAnsi="仿宋" w:eastAsia="仿宋_GB2312"/>
          <w:b/>
          <w:sz w:val="32"/>
          <w:szCs w:val="32"/>
        </w:rPr>
        <w:t>金融</w:t>
      </w:r>
      <w:r>
        <w:rPr>
          <w:rFonts w:hint="eastAsia" w:ascii="仿宋_GB2312" w:hAnsi="仿宋" w:eastAsia="仿宋_GB2312"/>
          <w:b/>
          <w:sz w:val="32"/>
          <w:szCs w:val="32"/>
        </w:rPr>
        <w:t>服务</w:t>
      </w:r>
      <w:r>
        <w:rPr>
          <w:rFonts w:ascii="仿宋_GB2312" w:hAnsi="仿宋" w:eastAsia="仿宋_GB2312"/>
          <w:b/>
          <w:sz w:val="32"/>
          <w:szCs w:val="32"/>
        </w:rPr>
        <w:t>体系</w:t>
      </w:r>
      <w:r>
        <w:rPr>
          <w:rFonts w:hint="eastAsia" w:ascii="仿宋_GB2312" w:hAnsi="仿宋" w:eastAsia="仿宋_GB2312"/>
          <w:b/>
          <w:sz w:val="32"/>
          <w:szCs w:val="32"/>
        </w:rPr>
        <w:t>。</w:t>
      </w:r>
      <w:r>
        <w:rPr>
          <w:rFonts w:hint="eastAsia" w:ascii="仿宋_GB2312" w:hAnsi="仿宋" w:eastAsia="仿宋_GB2312"/>
          <w:sz w:val="32"/>
          <w:szCs w:val="32"/>
        </w:rPr>
        <w:t>充分发挥金融对农村发展、城市建设、社会管理、民生改善与生态环保的促进作用，健全完善</w:t>
      </w:r>
      <w:r>
        <w:rPr>
          <w:rFonts w:ascii="仿宋_GB2312" w:hAnsi="仿宋" w:eastAsia="仿宋_GB2312"/>
          <w:sz w:val="32"/>
          <w:szCs w:val="32"/>
        </w:rPr>
        <w:t>科技金融</w:t>
      </w:r>
      <w:r>
        <w:rPr>
          <w:rFonts w:hint="eastAsia" w:ascii="仿宋_GB2312" w:hAnsi="仿宋" w:eastAsia="仿宋_GB2312"/>
          <w:sz w:val="32"/>
          <w:szCs w:val="32"/>
        </w:rPr>
        <w:t>、农村金融、小微金融服务体系，加强对公共服务、绿色发展、家庭发展的融资支持，推动实现基本金融服务普惠化，为率先形成支撑经济社会发展新常态提供有力保障。</w:t>
      </w:r>
    </w:p>
    <w:p>
      <w:pPr>
        <w:spacing w:line="600" w:lineRule="exact"/>
        <w:ind w:firstLine="643" w:firstLineChars="200"/>
        <w:rPr>
          <w:rFonts w:ascii="仿宋_GB2312" w:hAnsi="仿宋" w:eastAsia="仿宋_GB2312"/>
          <w:sz w:val="32"/>
          <w:szCs w:val="32"/>
        </w:rPr>
      </w:pPr>
      <w:r>
        <w:rPr>
          <w:rFonts w:hint="eastAsia" w:ascii="仿宋_GB2312" w:hAnsi="仿宋" w:eastAsia="仿宋_GB2312"/>
          <w:b/>
          <w:sz w:val="32"/>
          <w:szCs w:val="32"/>
        </w:rPr>
        <w:t>创新构建金融保障服务工程。</w:t>
      </w:r>
      <w:r>
        <w:rPr>
          <w:rFonts w:hint="eastAsia" w:ascii="仿宋_GB2312" w:hAnsi="仿宋" w:eastAsia="仿宋_GB2312"/>
          <w:sz w:val="32"/>
          <w:szCs w:val="32"/>
        </w:rPr>
        <w:t>鼓励金融创新，丰富金融市场层次和产品，大力发展保险、理财及金融电子商务、第三方支付等金融中介服务。盘活存量资产，加大金融对创新产业、文化产业等支持力度。积极推动股权市场融资，提高直接融资比重，大力发展债券市场融资。</w:t>
      </w:r>
    </w:p>
    <w:p>
      <w:pPr>
        <w:spacing w:line="600" w:lineRule="exact"/>
        <w:ind w:firstLine="630" w:firstLineChars="196"/>
        <w:rPr>
          <w:rFonts w:ascii="仿宋_GB2312" w:hAnsi="仿宋" w:eastAsia="仿宋_GB2312"/>
          <w:sz w:val="32"/>
          <w:szCs w:val="32"/>
        </w:rPr>
      </w:pPr>
      <w:r>
        <w:rPr>
          <w:rFonts w:hint="eastAsia" w:ascii="仿宋_GB2312" w:hAnsi="仿宋" w:eastAsia="仿宋_GB2312"/>
          <w:b/>
          <w:sz w:val="32"/>
          <w:szCs w:val="32"/>
        </w:rPr>
        <w:t>打造</w:t>
      </w:r>
      <w:r>
        <w:rPr>
          <w:rFonts w:ascii="仿宋_GB2312" w:hAnsi="仿宋" w:eastAsia="仿宋_GB2312"/>
          <w:b/>
          <w:sz w:val="32"/>
          <w:szCs w:val="32"/>
        </w:rPr>
        <w:t>金融</w:t>
      </w:r>
      <w:r>
        <w:rPr>
          <w:rFonts w:hint="eastAsia" w:ascii="仿宋_GB2312" w:hAnsi="仿宋" w:eastAsia="仿宋_GB2312"/>
          <w:b/>
          <w:sz w:val="32"/>
          <w:szCs w:val="32"/>
        </w:rPr>
        <w:t>资源集聚载体。</w:t>
      </w:r>
      <w:r>
        <w:rPr>
          <w:rFonts w:hint="eastAsia" w:ascii="仿宋_GB2312" w:hAnsi="仿宋" w:eastAsia="仿宋_GB2312"/>
          <w:sz w:val="32"/>
          <w:szCs w:val="32"/>
        </w:rPr>
        <w:t>高标准建设柳东金融商务集聚区。依托柳州智慧城市平台和产业优势，建设第三方支付创新、</w:t>
      </w:r>
      <w:r>
        <w:rPr>
          <w:rFonts w:ascii="仿宋_GB2312" w:hAnsi="仿宋" w:eastAsia="仿宋_GB2312"/>
          <w:sz w:val="32"/>
          <w:szCs w:val="32"/>
        </w:rPr>
        <w:t>金融</w:t>
      </w:r>
      <w:r>
        <w:rPr>
          <w:rFonts w:hint="eastAsia" w:ascii="仿宋_GB2312" w:hAnsi="仿宋" w:eastAsia="仿宋_GB2312"/>
          <w:sz w:val="32"/>
          <w:szCs w:val="32"/>
        </w:rPr>
        <w:t>后台与</w:t>
      </w:r>
      <w:r>
        <w:rPr>
          <w:rFonts w:ascii="仿宋_GB2312" w:hAnsi="仿宋" w:eastAsia="仿宋_GB2312"/>
          <w:sz w:val="32"/>
          <w:szCs w:val="32"/>
        </w:rPr>
        <w:t>服务外包</w:t>
      </w:r>
      <w:r>
        <w:rPr>
          <w:rFonts w:hint="eastAsia" w:ascii="仿宋_GB2312" w:hAnsi="仿宋" w:eastAsia="仿宋_GB2312"/>
          <w:sz w:val="32"/>
          <w:szCs w:val="32"/>
        </w:rPr>
        <w:t>、中小企业创业投资和辐射西江流域的</w:t>
      </w:r>
      <w:r>
        <w:rPr>
          <w:rFonts w:ascii="仿宋_GB2312" w:hAnsi="仿宋" w:eastAsia="仿宋_GB2312"/>
          <w:sz w:val="32"/>
          <w:szCs w:val="32"/>
        </w:rPr>
        <w:t>财富管理</w:t>
      </w:r>
      <w:r>
        <w:rPr>
          <w:rFonts w:hint="eastAsia" w:ascii="仿宋_GB2312" w:hAnsi="仿宋" w:eastAsia="仿宋_GB2312"/>
          <w:sz w:val="32"/>
          <w:szCs w:val="32"/>
        </w:rPr>
        <w:t>基地，打造金融资源整合、金融资产交易、农村金融公共服务、投资基金引导平台。形成核心功能区机构聚集、新兴金融产业基地独具特色、金融公共服务平台功能完备的金融资源集聚架构。</w:t>
      </w:r>
    </w:p>
    <w:p>
      <w:pPr>
        <w:spacing w:line="600" w:lineRule="exact"/>
        <w:ind w:firstLine="630" w:firstLineChars="196"/>
      </w:pPr>
      <w:r>
        <w:rPr>
          <w:rFonts w:hint="eastAsia" w:ascii="仿宋_GB2312" w:hAnsi="仿宋" w:eastAsia="仿宋_GB2312"/>
          <w:b/>
          <w:sz w:val="32"/>
          <w:szCs w:val="32"/>
        </w:rPr>
        <w:t>推动金融服务便利化。</w:t>
      </w:r>
      <w:r>
        <w:rPr>
          <w:rFonts w:hint="eastAsia" w:ascii="仿宋_GB2312" w:hAnsi="仿宋" w:eastAsia="仿宋_GB2312"/>
          <w:sz w:val="32"/>
          <w:szCs w:val="32"/>
        </w:rPr>
        <w:t>支持引导符合条件的企业上市融资，鼓励中小企业积极到主板、新三板、Q版、E版股权市场挂牌上市。支持符合条件的金融机构到县域设立分支机构，积极培育发展地方金融机构，鼓励民间资本设立面向农村的金融机构。</w:t>
      </w:r>
    </w:p>
    <w:p>
      <w:pPr>
        <w:keepNext/>
        <w:keepLines/>
        <w:spacing w:line="600" w:lineRule="exact"/>
        <w:jc w:val="center"/>
        <w:outlineLvl w:val="2"/>
        <w:rPr>
          <w:rFonts w:ascii="楷体" w:hAnsi="楷体" w:eastAsia="楷体"/>
          <w:b/>
          <w:bCs/>
          <w:kern w:val="0"/>
          <w:sz w:val="32"/>
          <w:szCs w:val="32"/>
        </w:rPr>
      </w:pPr>
      <w:bookmarkStart w:id="64" w:name="_Toc440536800"/>
      <w:bookmarkStart w:id="65" w:name="_Toc458171798"/>
      <w:r>
        <w:rPr>
          <w:rFonts w:hint="eastAsia" w:ascii="楷体" w:hAnsi="楷体" w:eastAsia="楷体"/>
          <w:b/>
          <w:bCs/>
          <w:kern w:val="0"/>
          <w:sz w:val="32"/>
          <w:szCs w:val="32"/>
        </w:rPr>
        <w:t>第六节  创建现代物流创新发展试点</w:t>
      </w:r>
      <w:bookmarkEnd w:id="64"/>
      <w:r>
        <w:rPr>
          <w:rFonts w:hint="eastAsia" w:ascii="楷体" w:hAnsi="楷体" w:eastAsia="楷体"/>
          <w:b/>
          <w:bCs/>
          <w:kern w:val="0"/>
          <w:sz w:val="32"/>
          <w:szCs w:val="32"/>
        </w:rPr>
        <w:t>区</w:t>
      </w:r>
      <w:bookmarkEnd w:id="65"/>
      <w:r>
        <w:rPr>
          <w:rFonts w:hint="eastAsia" w:ascii="楷体" w:hAnsi="楷体" w:eastAsia="楷体"/>
          <w:b/>
          <w:bCs/>
          <w:kern w:val="0"/>
          <w:sz w:val="32"/>
          <w:szCs w:val="32"/>
        </w:rPr>
        <w:t xml:space="preserve"> </w:t>
      </w:r>
    </w:p>
    <w:p>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按照布局合理、技术先进、便捷高效、绿色环保、安全有序的现代物流服务体系的要求，适应“互联网+高效物流”的发展需要，建立和完善辐射带动区域物流协同发展的现代物流服务体系。</w:t>
      </w:r>
    </w:p>
    <w:p>
      <w:pPr>
        <w:spacing w:line="600" w:lineRule="exact"/>
        <w:ind w:firstLine="643" w:firstLineChars="200"/>
        <w:rPr>
          <w:rFonts w:ascii="仿宋_GB2312" w:hAnsi="仿宋" w:eastAsia="仿宋_GB2312"/>
          <w:sz w:val="32"/>
          <w:szCs w:val="32"/>
        </w:rPr>
      </w:pPr>
      <w:r>
        <w:rPr>
          <w:rFonts w:hint="eastAsia" w:ascii="仿宋_GB2312" w:hAnsi="仿宋" w:eastAsia="仿宋_GB2312"/>
          <w:b/>
          <w:sz w:val="32"/>
          <w:szCs w:val="32"/>
        </w:rPr>
        <w:t>完善城市重要物流基础设施建设</w:t>
      </w:r>
      <w:r>
        <w:rPr>
          <w:rFonts w:hint="eastAsia" w:ascii="仿宋_GB2312" w:hAnsi="仿宋" w:eastAsia="仿宋_GB2312"/>
          <w:sz w:val="32"/>
          <w:szCs w:val="32"/>
        </w:rPr>
        <w:t>。进一步优化城市重要物流基础设施布局，因地制宜整合和新建物流园区，加快铁路、公路、港口物流枢纽建设，加强与中欧铁路大通道、珠江—西江黄金水道等跨区域物流大通道无缝对接。完善基于满足居民消费需求和城市运行保障的物流基础设施，加强电子商务、应急、冷链、快递等物流基础设施建设，优化最后一公里城市配送设施网络。研究建立城市托盘共同系统，推广标准化托盘的循环利用，提高物流运作效率。</w:t>
      </w:r>
    </w:p>
    <w:p>
      <w:pPr>
        <w:spacing w:line="600" w:lineRule="exact"/>
        <w:ind w:firstLine="643" w:firstLineChars="200"/>
        <w:rPr>
          <w:rFonts w:ascii="仿宋_GB2312" w:hAnsi="仿宋" w:eastAsia="仿宋_GB2312"/>
          <w:sz w:val="32"/>
          <w:szCs w:val="32"/>
        </w:rPr>
      </w:pPr>
      <w:r>
        <w:rPr>
          <w:rFonts w:hint="eastAsia" w:ascii="仿宋_GB2312" w:hAnsi="仿宋" w:eastAsia="仿宋_GB2312"/>
          <w:b/>
          <w:sz w:val="32"/>
          <w:szCs w:val="32"/>
        </w:rPr>
        <w:t>形成现代化的区域物流服务网络。</w:t>
      </w:r>
      <w:r>
        <w:rPr>
          <w:rFonts w:hint="eastAsia" w:ascii="仿宋_GB2312" w:hAnsi="仿宋" w:eastAsia="仿宋_GB2312"/>
          <w:sz w:val="32"/>
          <w:szCs w:val="32"/>
        </w:rPr>
        <w:t>努力提升物流服务水平，发挥物流业集聚效益和带动作用，形成以城市为中心、辐射周边、具有较强竞争力的现代物流产业服务体系。提高配送的规模化和协同化水平，建立快速便捷、绿色高效的城乡共同配送体系。</w:t>
      </w:r>
      <w:r>
        <w:rPr>
          <w:rFonts w:hint="eastAsia" w:ascii="仿宋_GB2312" w:hAnsi="华文仿宋" w:eastAsia="仿宋_GB2312"/>
          <w:sz w:val="32"/>
          <w:szCs w:val="32"/>
        </w:rPr>
        <w:t>建立健全农村现代服务体系，推进现代服务业与现代农业融合发展。</w:t>
      </w:r>
      <w:r>
        <w:rPr>
          <w:rFonts w:hint="eastAsia" w:ascii="仿宋_GB2312" w:hAnsi="仿宋" w:eastAsia="仿宋_GB2312"/>
          <w:sz w:val="32"/>
          <w:szCs w:val="32"/>
        </w:rPr>
        <w:t>提高物流信息监控和调度水平，提高物流信息分析预警能力。建立粤桂黔物流合作机制，加快区域物流一体化进程，促进物流基础设施互联互通和信息资源共享。进一步提升面向东盟的国际物流服务能力，积极探索国际国内物流一体化运作。</w:t>
      </w:r>
    </w:p>
    <w:p>
      <w:pPr>
        <w:spacing w:line="600" w:lineRule="exact"/>
        <w:ind w:firstLine="643" w:firstLineChars="200"/>
        <w:rPr>
          <w:rFonts w:ascii="仿宋_GB2312" w:hAnsi="仿宋" w:eastAsia="仿宋_GB2312"/>
          <w:sz w:val="32"/>
          <w:szCs w:val="32"/>
        </w:rPr>
      </w:pPr>
      <w:r>
        <w:rPr>
          <w:rFonts w:hint="eastAsia" w:ascii="仿宋_GB2312" w:hAnsi="仿宋" w:eastAsia="仿宋_GB2312"/>
          <w:b/>
          <w:sz w:val="32"/>
          <w:szCs w:val="32"/>
        </w:rPr>
        <w:t>培育具有国际竞争力的物流企业。</w:t>
      </w:r>
      <w:r>
        <w:rPr>
          <w:rFonts w:hint="eastAsia" w:ascii="仿宋_GB2312" w:hAnsi="仿宋" w:eastAsia="仿宋_GB2312"/>
          <w:sz w:val="32"/>
          <w:szCs w:val="32"/>
        </w:rPr>
        <w:t>结合产业发展要求，加快培育1—2家具有国际竞争力的大型现代物流企业集团。鼓励物流企业加强大数据、云计算、物联网、移动互联网等先进信息技术的应用，开展技术应用和经营模式创新。引导运输、仓储等传统物流企业向上下游延伸服务，支持骨干物流企业与其他产业“多业联动、融合发展”。培育和支持大型快递企业发展，促进电子商务物流发展。鼓励物流企业与上汽通用五菱、柳工等企业深化战略合作，建立与新型工业化发展相适应的制造业物流服务体系，发展具有全球采购、全球配送能力的供应链服务商。</w:t>
      </w:r>
    </w:p>
    <w:p>
      <w:pPr>
        <w:spacing w:line="600" w:lineRule="exact"/>
        <w:ind w:firstLine="640" w:firstLineChars="200"/>
        <w:rPr>
          <w:rFonts w:ascii="仿宋_GB2312" w:hAnsi="仿宋" w:eastAsia="仿宋_GB2312"/>
          <w:sz w:val="32"/>
          <w:szCs w:val="32"/>
        </w:rPr>
      </w:pPr>
    </w:p>
    <w:p>
      <w:pPr>
        <w:keepNext/>
        <w:keepLines/>
        <w:spacing w:line="600" w:lineRule="exact"/>
        <w:jc w:val="center"/>
        <w:outlineLvl w:val="2"/>
        <w:rPr>
          <w:rFonts w:ascii="楷体" w:hAnsi="楷体" w:eastAsia="楷体"/>
          <w:b/>
          <w:bCs/>
          <w:kern w:val="0"/>
          <w:sz w:val="32"/>
          <w:szCs w:val="32"/>
        </w:rPr>
      </w:pPr>
      <w:bookmarkStart w:id="66" w:name="_Toc440536801"/>
      <w:bookmarkStart w:id="67" w:name="_Toc458171799"/>
      <w:r>
        <w:rPr>
          <w:rFonts w:hint="eastAsia" w:ascii="楷体" w:hAnsi="楷体" w:eastAsia="楷体"/>
          <w:b/>
          <w:bCs/>
          <w:kern w:val="0"/>
          <w:sz w:val="32"/>
          <w:szCs w:val="32"/>
        </w:rPr>
        <w:t>第七节  深入推进旅游新区建设</w:t>
      </w:r>
      <w:bookmarkEnd w:id="66"/>
      <w:bookmarkEnd w:id="67"/>
    </w:p>
    <w:p>
      <w:pPr>
        <w:tabs>
          <w:tab w:val="left" w:pos="720"/>
        </w:tabs>
        <w:spacing w:line="360" w:lineRule="atLeast"/>
        <w:ind w:firstLine="640" w:firstLineChars="200"/>
        <w:rPr>
          <w:rFonts w:ascii="仿宋_GB2312" w:hAnsi="仿宋" w:eastAsia="仿宋_GB2312"/>
          <w:sz w:val="32"/>
          <w:szCs w:val="32"/>
        </w:rPr>
      </w:pPr>
      <w:r>
        <w:rPr>
          <w:rFonts w:hint="eastAsia" w:ascii="仿宋_GB2312" w:hAnsi="仿宋" w:eastAsia="仿宋_GB2312"/>
          <w:sz w:val="32"/>
          <w:szCs w:val="32"/>
        </w:rPr>
        <w:t>深入推进旅游新区建设，挖掘山水自然资源、民俗风情、历史文化等旅游资源的潜在价值，着力打造园博园、会展中心、华侨城、三江民俗文化、雒容古镇风情等精品旅游品牌。加快推进园博园-华侨城文化科技旅游集聚区、柳州市旅游服务集散中心、雒容-洛埠古镇旅游、马步水库休闲旅游、碧柳田园农业旅游集聚区、柳东中央商务区、柳州工业设计产业园、柳州会展商务集聚区重大项目/集聚区建设。</w:t>
      </w:r>
    </w:p>
    <w:p>
      <w:pPr>
        <w:tabs>
          <w:tab w:val="left" w:pos="720"/>
        </w:tabs>
        <w:spacing w:line="360" w:lineRule="atLeast"/>
        <w:ind w:firstLine="640" w:firstLineChars="200"/>
        <w:rPr>
          <w:rFonts w:ascii="仿宋_GB2312" w:hAnsi="宋体" w:eastAsia="仿宋_GB2312"/>
          <w:sz w:val="30"/>
          <w:szCs w:val="30"/>
        </w:rPr>
      </w:pPr>
      <w:r>
        <w:rPr>
          <w:rFonts w:hint="eastAsia" w:ascii="仿宋_GB2312" w:hAnsi="仿宋" w:eastAsia="仿宋_GB2312"/>
          <w:sz w:val="32"/>
          <w:szCs w:val="32"/>
        </w:rPr>
        <w:t>加快对城乡旅游景点服务设施的建设和改造，完善交通、住宿、餐饮、休闲购物等旅游基础设施和服务体系。加快发展旅游新业态，推进旅游、休闲、观光农业、会展和汽车文化产业及运动休闲融合发展，构建现代大旅游产业。加大旅游新区宣传推广力度，树立“乐山乐水乐民俗、休闲自在游柳东”旅游新形象。依托</w:t>
      </w:r>
      <w:r>
        <w:rPr>
          <w:rFonts w:hint="eastAsia" w:ascii="仿宋_GB2312" w:hAnsi="仿宋" w:eastAsia="仿宋_GB2312"/>
          <w:sz w:val="32"/>
          <w:szCs w:val="32"/>
          <w:lang w:eastAsia="zh-CN"/>
        </w:rPr>
        <w:t>“一带一路”倡议</w:t>
      </w:r>
      <w:r>
        <w:rPr>
          <w:rFonts w:hint="eastAsia" w:ascii="仿宋_GB2312" w:hAnsi="仿宋" w:eastAsia="仿宋_GB2312"/>
          <w:sz w:val="32"/>
          <w:szCs w:val="32"/>
        </w:rPr>
        <w:t>，以面向东盟为载体，把柳东建成广西及港澳台、泛珠三角地区重要旅游目的地。</w:t>
      </w:r>
    </w:p>
    <w:p>
      <w:pPr>
        <w:pStyle w:val="2"/>
        <w:spacing w:before="0" w:after="0" w:line="600" w:lineRule="exact"/>
        <w:jc w:val="center"/>
        <w:rPr>
          <w:rStyle w:val="31"/>
          <w:rFonts w:ascii="Times New Roman" w:hAnsi="Times New Roman" w:eastAsia="黑体" w:cs="Times New Roman"/>
          <w:color w:val="auto"/>
          <w:sz w:val="32"/>
          <w:szCs w:val="32"/>
          <w:u w:val="none"/>
          <w:lang w:val="zh-CN" w:eastAsia="zh-CN"/>
        </w:rPr>
      </w:pPr>
      <w:bookmarkStart w:id="68" w:name="_Toc458171800"/>
      <w:r>
        <w:rPr>
          <w:rStyle w:val="31"/>
          <w:rFonts w:hint="eastAsia" w:ascii="Times New Roman" w:hAnsi="Times New Roman" w:eastAsia="黑体" w:cs="Times New Roman"/>
          <w:color w:val="auto"/>
          <w:sz w:val="32"/>
          <w:szCs w:val="32"/>
          <w:u w:val="none"/>
          <w:lang w:val="zh-CN" w:eastAsia="zh-CN"/>
        </w:rPr>
        <w:t>第八章 大力发展现代农业</w:t>
      </w:r>
      <w:bookmarkEnd w:id="68"/>
    </w:p>
    <w:p>
      <w:pPr>
        <w:tabs>
          <w:tab w:val="left" w:pos="720"/>
        </w:tabs>
        <w:spacing w:line="360" w:lineRule="atLeast"/>
        <w:ind w:firstLine="640" w:firstLineChars="200"/>
        <w:rPr>
          <w:rFonts w:ascii="仿宋_GB2312" w:hAnsi="宋体" w:eastAsia="仿宋_GB2312"/>
          <w:sz w:val="32"/>
          <w:szCs w:val="32"/>
        </w:rPr>
      </w:pPr>
      <w:r>
        <w:rPr>
          <w:rFonts w:hint="eastAsia" w:ascii="仿宋_GB2312" w:hAnsi="宋体" w:eastAsia="仿宋_GB2312"/>
          <w:sz w:val="32"/>
          <w:szCs w:val="32"/>
        </w:rPr>
        <w:t>努力实现农业的多种功能不断释放，进一步促进综合效益增加，保证产业水平明显提升，城乡互动、产业融合的活力充分彰显，进一步富裕农民，加快推进都市型现代农业。</w:t>
      </w:r>
    </w:p>
    <w:p>
      <w:pPr>
        <w:pStyle w:val="4"/>
        <w:spacing w:before="0" w:after="0" w:line="600" w:lineRule="exact"/>
        <w:jc w:val="center"/>
        <w:rPr>
          <w:rFonts w:eastAsia="楷体"/>
        </w:rPr>
      </w:pPr>
      <w:bookmarkStart w:id="69" w:name="_Toc458171801"/>
      <w:bookmarkStart w:id="70" w:name="_Toc440536789"/>
      <w:r>
        <w:rPr>
          <w:rFonts w:eastAsia="楷体"/>
        </w:rPr>
        <w:t>第一节 构建现代特色农业发展</w:t>
      </w:r>
      <w:r>
        <w:rPr>
          <w:rFonts w:hint="eastAsia" w:eastAsia="楷体"/>
        </w:rPr>
        <w:t>格局</w:t>
      </w:r>
      <w:bookmarkEnd w:id="69"/>
      <w:bookmarkEnd w:id="70"/>
    </w:p>
    <w:p>
      <w:pPr>
        <w:tabs>
          <w:tab w:val="left" w:pos="720"/>
        </w:tabs>
        <w:spacing w:line="360" w:lineRule="atLeast"/>
        <w:ind w:firstLine="640" w:firstLineChars="200"/>
        <w:rPr>
          <w:rFonts w:ascii="仿宋_GB2312" w:hAnsi="宋体" w:eastAsia="仿宋_GB2312"/>
          <w:sz w:val="32"/>
          <w:szCs w:val="32"/>
        </w:rPr>
      </w:pPr>
      <w:r>
        <w:rPr>
          <w:rFonts w:hint="eastAsia" w:ascii="仿宋_GB2312" w:hAnsi="宋体" w:eastAsia="仿宋_GB2312"/>
          <w:sz w:val="32"/>
          <w:szCs w:val="32"/>
        </w:rPr>
        <w:t>强化农地保护，推动土地整理，促进农地规模化、标准化建设。严格建设用地管控，优化整合农村居民点，保护农村田园景观。</w:t>
      </w:r>
    </w:p>
    <w:p>
      <w:pPr>
        <w:tabs>
          <w:tab w:val="left" w:pos="720"/>
        </w:tabs>
        <w:spacing w:line="360" w:lineRule="atLeast"/>
        <w:ind w:firstLine="640" w:firstLineChars="200"/>
        <w:rPr>
          <w:rFonts w:ascii="仿宋_GB2312" w:hAnsi="宋体" w:eastAsia="仿宋_GB2312"/>
          <w:sz w:val="32"/>
          <w:szCs w:val="32"/>
        </w:rPr>
      </w:pPr>
      <w:r>
        <w:rPr>
          <w:rFonts w:hint="eastAsia" w:ascii="仿宋_GB2312" w:hAnsi="宋体" w:eastAsia="仿宋_GB2312"/>
          <w:sz w:val="32"/>
          <w:szCs w:val="32"/>
        </w:rPr>
        <w:t>充分发挥示范区的示范引领作用，推进农业标准化，不断强化园区功能，打造一批样板示范园区。加强示范区在组织形式、经营模式、管理机制、营销理念等方面的示范带头作用，努力将示范区发展成为现代农业的展示窗口、农业科技成果转化的“孵化器”、农产品市场行情及农业资讯的“信息港”和现代农业技术、设备、品种的“博览园”。</w:t>
      </w:r>
    </w:p>
    <w:p>
      <w:pPr>
        <w:pStyle w:val="4"/>
        <w:spacing w:before="0" w:after="0" w:line="600" w:lineRule="exact"/>
        <w:jc w:val="center"/>
        <w:rPr>
          <w:rFonts w:eastAsia="楷体"/>
        </w:rPr>
      </w:pPr>
      <w:bookmarkStart w:id="71" w:name="_Toc458171802"/>
      <w:r>
        <w:rPr>
          <w:rFonts w:hint="eastAsia" w:eastAsia="楷体"/>
        </w:rPr>
        <w:t>第二节 加快农业优势产业基地建设</w:t>
      </w:r>
      <w:bookmarkEnd w:id="71"/>
    </w:p>
    <w:p>
      <w:pPr>
        <w:tabs>
          <w:tab w:val="left" w:pos="720"/>
        </w:tabs>
        <w:spacing w:line="360" w:lineRule="atLeast"/>
        <w:ind w:firstLine="640" w:firstLineChars="200"/>
        <w:rPr>
          <w:rFonts w:ascii="仿宋_GB2312" w:hAnsi="宋体" w:eastAsia="仿宋_GB2312"/>
          <w:sz w:val="32"/>
          <w:szCs w:val="32"/>
        </w:rPr>
      </w:pPr>
      <w:r>
        <w:rPr>
          <w:rFonts w:hint="eastAsia" w:ascii="仿宋_GB2312" w:hAnsi="宋体" w:eastAsia="仿宋_GB2312"/>
          <w:sz w:val="32"/>
          <w:szCs w:val="32"/>
        </w:rPr>
        <w:t>按照专业化、规模化、标准化、集约化的发展思路，加快建设一批规模大、标准化程度高、产业优势集聚、经营理念先进的现代农业基地，努力为现代农业发展奠定坚实基础。农业特色产业和主导农产品基本实现区域化布局、板块式发展。提高农产品的科技含量，坚持走高端发展路子，加强地理标志产品保护，并建设农副产品交易中心，促进农产品流通。</w:t>
      </w:r>
    </w:p>
    <w:p>
      <w:pPr>
        <w:pStyle w:val="4"/>
        <w:spacing w:before="0" w:after="0" w:line="600" w:lineRule="exact"/>
        <w:jc w:val="center"/>
        <w:rPr>
          <w:rFonts w:eastAsia="楷体"/>
        </w:rPr>
      </w:pPr>
      <w:bookmarkStart w:id="72" w:name="_Toc458171803"/>
      <w:r>
        <w:rPr>
          <w:rFonts w:hint="eastAsia" w:eastAsia="楷体"/>
        </w:rPr>
        <w:t>第三节 加快建设完善农村基础设施</w:t>
      </w:r>
      <w:bookmarkEnd w:id="72"/>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加快农村道路建设。</w:t>
      </w:r>
      <w:r>
        <w:rPr>
          <w:rFonts w:hint="eastAsia" w:ascii="仿宋_GB2312" w:hAnsi="宋体" w:eastAsia="仿宋_GB2312"/>
          <w:sz w:val="32"/>
          <w:szCs w:val="32"/>
        </w:rPr>
        <w:t>全面提升农村道路建设水平，完成公路网建设任务。到2020年，完成周边农村公路改造，实现村村通油路，并实现与新区城市路网高标准有效对接。</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大力推进水利设施建设。</w:t>
      </w:r>
      <w:r>
        <w:rPr>
          <w:rFonts w:hint="eastAsia" w:ascii="仿宋_GB2312" w:hAnsi="宋体" w:eastAsia="仿宋_GB2312"/>
          <w:sz w:val="32"/>
          <w:szCs w:val="32"/>
        </w:rPr>
        <w:t>把水利基础设施建设放在突出位置，大力发展高效节水灌溉。加快农村饮水安全工程建设，全面解决农村饮水安全问题，大力推进农村集中式供水。完善城乡供水、防洪和水生态环境保障体系，初步建立起城乡一体的水资源管理新机制。</w:t>
      </w:r>
    </w:p>
    <w:p>
      <w:pPr>
        <w:tabs>
          <w:tab w:val="left" w:pos="720"/>
        </w:tabs>
        <w:spacing w:line="360" w:lineRule="atLeast"/>
        <w:ind w:firstLine="643" w:firstLineChars="200"/>
        <w:rPr>
          <w:rFonts w:ascii="仿宋_GB2312" w:hAnsi="宋体" w:eastAsia="仿宋_GB2312"/>
          <w:sz w:val="32"/>
          <w:szCs w:val="32"/>
        </w:rPr>
      </w:pPr>
      <w:r>
        <w:rPr>
          <w:rFonts w:hint="eastAsia" w:ascii="仿宋_GB2312" w:hAnsi="宋体" w:eastAsia="仿宋_GB2312"/>
          <w:b/>
          <w:sz w:val="32"/>
          <w:szCs w:val="32"/>
        </w:rPr>
        <w:t>提高农村用电和信息化。</w:t>
      </w:r>
      <w:r>
        <w:rPr>
          <w:rFonts w:hint="eastAsia" w:ascii="仿宋_GB2312" w:hAnsi="宋体" w:eastAsia="仿宋_GB2312"/>
          <w:sz w:val="32"/>
          <w:szCs w:val="32"/>
        </w:rPr>
        <w:t>建设水平实施农村电网改造升级工程，提升农网供电可靠性和供电能力。推进农村信息化，积极支持农村电信和互联网基础设施建设，健全农村综合信息服务体系。建设便民信息服务中心，所有行政村建有信息服务点，实现城乡资源共享。</w:t>
      </w:r>
    </w:p>
    <w:p>
      <w:pPr>
        <w:pStyle w:val="4"/>
        <w:spacing w:before="0" w:after="0" w:line="600" w:lineRule="exact"/>
        <w:jc w:val="center"/>
        <w:rPr>
          <w:rFonts w:eastAsia="楷体"/>
        </w:rPr>
      </w:pPr>
      <w:bookmarkStart w:id="73" w:name="_Toc440536792"/>
      <w:bookmarkStart w:id="74" w:name="_Toc458171804"/>
      <w:r>
        <w:rPr>
          <w:rFonts w:eastAsia="楷体"/>
        </w:rPr>
        <w:t>第四节  着力健全农业综合服务体系</w:t>
      </w:r>
      <w:bookmarkEnd w:id="73"/>
      <w:bookmarkEnd w:id="74"/>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改善政府对农业的指导方式和服务方式，整合涉农资金、项目，加大基础设施投入。扶持农机合作组织，加快推进农业机械化，加强机耕道路、排灌及抗旱设施建设，提高农机装备水平和作业水平。继续完善农产品批发交易、农资配送、金融服务、信息服务等支撑体系，提高农业发展支撑能力。完善化肥与重要农产品淡季储备体系，提高农业综合保障功能。大力推进农作物专业化统防统治，加强动植物保护与检疫工作，加强动物疫病防控应急管理体系建设。推行农业标准化生产和农产品市场准入制度，建立健全农业标准体系、农产品质量检测体系、农产品质量认证体系，建立一套从农田到餐桌的农产品质量安全全过程监管机制，建立农产品质量可追溯制度。强化企业质量安全责任，建立农产品和食品生产经营质量安全征信体系</w:t>
      </w:r>
      <w:r>
        <w:rPr>
          <w:rFonts w:hint="eastAsia" w:ascii="Times New Roman" w:hAnsi="Times New Roman" w:eastAsia="仿宋_GB2312"/>
          <w:sz w:val="32"/>
          <w:szCs w:val="32"/>
        </w:rPr>
        <w:t>，</w:t>
      </w:r>
      <w:r>
        <w:rPr>
          <w:rFonts w:ascii="Times New Roman" w:hAnsi="Times New Roman" w:eastAsia="仿宋_GB2312"/>
          <w:sz w:val="32"/>
          <w:szCs w:val="32"/>
        </w:rPr>
        <w:t>探索建立农产品和食品生产企业信用档案制度和质量保障赔偿机制。大力支持无公害农产品、绿色食品、有机食品认证，依法保护农产品注册商标、地理标志和知名品牌。加大农业科技创新力度，加快农业生产的田园化、水利化、良种化、信息化和机械化，全面提高农业综合生产能力、抗风险能力和市场竞争力。</w:t>
      </w:r>
    </w:p>
    <w:p>
      <w:pPr>
        <w:tabs>
          <w:tab w:val="left" w:pos="720"/>
        </w:tabs>
        <w:spacing w:line="360" w:lineRule="atLeast"/>
        <w:ind w:firstLine="640" w:firstLineChars="200"/>
        <w:rPr>
          <w:rFonts w:ascii="仿宋_GB2312" w:hAnsi="宋体" w:eastAsia="仿宋_GB2312"/>
          <w:sz w:val="32"/>
          <w:szCs w:val="32"/>
        </w:rPr>
      </w:pPr>
    </w:p>
    <w:p>
      <w:pPr>
        <w:pStyle w:val="2"/>
        <w:spacing w:before="0" w:after="0" w:line="600" w:lineRule="exact"/>
        <w:jc w:val="center"/>
        <w:rPr>
          <w:rFonts w:ascii="Times New Roman" w:hAnsi="Times New Roman" w:eastAsia="华文中宋" w:cs="Times New Roman"/>
          <w:lang w:val="zh-CN" w:eastAsia="zh-CN"/>
        </w:rPr>
      </w:pPr>
      <w:bookmarkStart w:id="75" w:name="_Toc458171805"/>
      <w:r>
        <w:rPr>
          <w:rFonts w:hint="eastAsia" w:ascii="Times New Roman" w:hAnsi="Times New Roman" w:eastAsia="华文中宋" w:cs="Times New Roman"/>
          <w:lang w:val="zh-CN" w:eastAsia="zh-CN"/>
        </w:rPr>
        <w:t>第三篇 实施开放</w:t>
      </w:r>
      <w:r>
        <w:rPr>
          <w:rFonts w:ascii="Times New Roman" w:hAnsi="Times New Roman" w:eastAsia="华文中宋" w:cs="Times New Roman"/>
          <w:lang w:val="zh-CN" w:eastAsia="zh-CN"/>
        </w:rPr>
        <w:t>发展策略</w:t>
      </w:r>
      <w:r>
        <w:rPr>
          <w:rFonts w:hint="eastAsia" w:ascii="Times New Roman" w:hAnsi="Times New Roman" w:eastAsia="华文中宋" w:cs="Times New Roman"/>
          <w:lang w:val="zh-CN" w:eastAsia="zh-CN"/>
        </w:rPr>
        <w:t xml:space="preserve"> 推进</w:t>
      </w:r>
      <w:r>
        <w:rPr>
          <w:rFonts w:ascii="Times New Roman" w:hAnsi="Times New Roman" w:eastAsia="华文中宋" w:cs="Times New Roman"/>
          <w:lang w:val="zh-CN" w:eastAsia="zh-CN"/>
        </w:rPr>
        <w:t>柳东</w:t>
      </w:r>
      <w:r>
        <w:rPr>
          <w:rFonts w:hint="eastAsia" w:ascii="Times New Roman" w:hAnsi="Times New Roman" w:eastAsia="华文中宋" w:cs="Times New Roman"/>
          <w:lang w:val="zh-CN" w:eastAsia="zh-CN"/>
        </w:rPr>
        <w:t>全面开放</w:t>
      </w:r>
      <w:bookmarkEnd w:id="75"/>
    </w:p>
    <w:p>
      <w:pPr>
        <w:pStyle w:val="2"/>
        <w:spacing w:before="0" w:after="0" w:line="600" w:lineRule="exact"/>
        <w:jc w:val="center"/>
        <w:rPr>
          <w:rStyle w:val="31"/>
          <w:rFonts w:ascii="Times New Roman" w:hAnsi="Times New Roman" w:cs="Times New Roman"/>
          <w:color w:val="auto"/>
          <w:sz w:val="32"/>
          <w:szCs w:val="32"/>
          <w:u w:val="none"/>
          <w:lang w:val="zh-CN"/>
        </w:rPr>
      </w:pPr>
      <w:bookmarkStart w:id="76" w:name="_Toc458171806"/>
      <w:r>
        <w:rPr>
          <w:rStyle w:val="31"/>
          <w:rFonts w:hint="eastAsia" w:ascii="Times New Roman" w:hAnsi="Times New Roman" w:cs="Times New Roman"/>
          <w:color w:val="auto"/>
          <w:sz w:val="32"/>
          <w:szCs w:val="32"/>
          <w:u w:val="none"/>
          <w:lang w:val="zh-CN" w:eastAsia="zh-CN"/>
        </w:rPr>
        <w:t xml:space="preserve">第九章 </w:t>
      </w:r>
      <w:r>
        <w:rPr>
          <w:rStyle w:val="31"/>
          <w:rFonts w:ascii="Times New Roman" w:hAnsi="Times New Roman" w:cs="Times New Roman"/>
          <w:color w:val="auto"/>
          <w:sz w:val="32"/>
          <w:szCs w:val="32"/>
          <w:u w:val="none"/>
          <w:lang w:val="zh-CN" w:eastAsia="zh-CN"/>
        </w:rPr>
        <w:t>建设</w:t>
      </w:r>
      <w:r>
        <w:rPr>
          <w:rStyle w:val="31"/>
          <w:rFonts w:hint="eastAsia" w:ascii="Times New Roman" w:hAnsi="Times New Roman" w:cs="Times New Roman"/>
          <w:color w:val="auto"/>
          <w:sz w:val="32"/>
          <w:szCs w:val="32"/>
          <w:u w:val="none"/>
          <w:lang w:val="zh-CN" w:eastAsia="zh-CN"/>
        </w:rPr>
        <w:t>柳州东部重要</w:t>
      </w:r>
      <w:r>
        <w:rPr>
          <w:rStyle w:val="31"/>
          <w:rFonts w:ascii="Times New Roman" w:hAnsi="Times New Roman" w:cs="Times New Roman"/>
          <w:color w:val="auto"/>
          <w:sz w:val="32"/>
          <w:szCs w:val="32"/>
          <w:u w:val="none"/>
          <w:lang w:val="zh-CN" w:eastAsia="zh-CN"/>
        </w:rPr>
        <w:t>的对外交通运输枢纽</w:t>
      </w:r>
      <w:bookmarkEnd w:id="76"/>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拓展对外交通新格局</w:t>
      </w:r>
      <w:r>
        <w:rPr>
          <w:rFonts w:hint="eastAsia" w:ascii="Times New Roman" w:hAnsi="Times New Roman" w:eastAsia="仿宋_GB2312"/>
          <w:sz w:val="32"/>
          <w:szCs w:val="32"/>
        </w:rPr>
        <w:t>，</w:t>
      </w:r>
      <w:r>
        <w:rPr>
          <w:rFonts w:ascii="Times New Roman" w:hAnsi="Times New Roman" w:eastAsia="仿宋_GB2312"/>
          <w:sz w:val="32"/>
          <w:szCs w:val="32"/>
        </w:rPr>
        <w:t>构筑城际交通、城市交通与</w:t>
      </w:r>
      <w:r>
        <w:rPr>
          <w:rFonts w:hint="eastAsia" w:ascii="Times New Roman" w:hAnsi="Times New Roman" w:eastAsia="仿宋_GB2312"/>
          <w:sz w:val="32"/>
          <w:szCs w:val="32"/>
        </w:rPr>
        <w:t>区</w:t>
      </w:r>
      <w:r>
        <w:rPr>
          <w:rFonts w:ascii="Times New Roman" w:hAnsi="Times New Roman" w:eastAsia="仿宋_GB2312"/>
          <w:sz w:val="32"/>
          <w:szCs w:val="32"/>
        </w:rPr>
        <w:t>域交通有机衔接、高效运转的现代化快速交通网络体系，形成内通外畅的大交通格局，全力提升交通枢纽地位，</w:t>
      </w:r>
      <w:r>
        <w:rPr>
          <w:rFonts w:hint="eastAsia" w:ascii="Times New Roman" w:hAnsi="Times New Roman" w:eastAsia="仿宋_GB2312"/>
          <w:sz w:val="32"/>
          <w:szCs w:val="32"/>
        </w:rPr>
        <w:t>建设</w:t>
      </w:r>
      <w:r>
        <w:rPr>
          <w:rFonts w:ascii="Times New Roman" w:hAnsi="Times New Roman" w:eastAsia="仿宋_GB2312"/>
          <w:sz w:val="32"/>
          <w:szCs w:val="32"/>
        </w:rPr>
        <w:t>全国重要的综合交通</w:t>
      </w:r>
      <w:r>
        <w:rPr>
          <w:rFonts w:hint="eastAsia" w:ascii="Times New Roman" w:hAnsi="Times New Roman" w:eastAsia="仿宋_GB2312"/>
          <w:sz w:val="32"/>
          <w:szCs w:val="32"/>
        </w:rPr>
        <w:t>运输</w:t>
      </w:r>
      <w:r>
        <w:rPr>
          <w:rFonts w:ascii="Times New Roman" w:hAnsi="Times New Roman" w:eastAsia="仿宋_GB2312"/>
          <w:sz w:val="32"/>
          <w:szCs w:val="32"/>
        </w:rPr>
        <w:t>枢纽。</w:t>
      </w:r>
    </w:p>
    <w:p>
      <w:pPr>
        <w:pStyle w:val="4"/>
        <w:spacing w:before="0" w:after="0" w:line="600" w:lineRule="exact"/>
        <w:jc w:val="center"/>
        <w:rPr>
          <w:rFonts w:ascii="Times New Roman" w:hAnsi="Times New Roman" w:eastAsia="楷体_GB2312"/>
        </w:rPr>
      </w:pPr>
      <w:bookmarkStart w:id="77" w:name="_Toc458171807"/>
      <w:r>
        <w:rPr>
          <w:rFonts w:hint="eastAsia" w:ascii="Times New Roman" w:hAnsi="Times New Roman" w:eastAsia="楷体_GB2312"/>
        </w:rPr>
        <w:t>第一节 构筑高效便捷的对外综合交通体系</w:t>
      </w:r>
      <w:bookmarkEnd w:id="77"/>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以综合运输通道建设为重点，加快推进干线铁路和城际轨道交通建设，加快构建网络化、高标准、大运力的铁路运输通道；加快港口航道、疏港公路等基础设施建设，建成通畅的集疏运系统；加快推进功能性、枢纽型重大交通基础设施建设，大力发展公铁水联运、空陆联运等多式联运，推进多种运输方式高效连接，建成由铁路、公路、水运构成的快速、高效的综合交通运输网络，打通柳州衔接泛珠三角、北部湾、长三角以及黔、湘、川、渝、云等地区之间高效便捷的综合运输通道</w:t>
      </w:r>
      <w:r>
        <w:rPr>
          <w:rFonts w:hint="eastAsia" w:ascii="Times New Roman" w:hAnsi="Times New Roman" w:eastAsia="仿宋_GB2312"/>
          <w:sz w:val="32"/>
          <w:szCs w:val="32"/>
        </w:rPr>
        <w:t>。</w:t>
      </w:r>
      <w:r>
        <w:rPr>
          <w:rFonts w:ascii="Times New Roman" w:hAnsi="Times New Roman" w:eastAsia="仿宋_GB2312"/>
          <w:sz w:val="32"/>
          <w:szCs w:val="32"/>
        </w:rPr>
        <w:t>强化多种运输方式与产业园区、商贸市场的有效衔接，积极打造综合物流基地和信息平台，形成层次分明、功能完善的综合货运体系；加强城市内外交通紧密衔接和有机结合。构建一批换乘便捷、运转高效的一体化综合客运枢纽，努力实现无缝对接和零距离换乘。进一步完善干线公路、城市道路、农村公路布局建设，逐步形成多种运输方式布局合理、通达性高、覆盖率大</w:t>
      </w:r>
      <w:r>
        <w:rPr>
          <w:rFonts w:hint="eastAsia" w:ascii="Times New Roman" w:hAnsi="Times New Roman" w:eastAsia="仿宋_GB2312"/>
          <w:sz w:val="32"/>
          <w:szCs w:val="32"/>
        </w:rPr>
        <w:t>、高效便捷的现代综合交通体系</w:t>
      </w:r>
      <w:r>
        <w:rPr>
          <w:rFonts w:ascii="Times New Roman" w:hAnsi="Times New Roman" w:eastAsia="仿宋_GB2312"/>
          <w:sz w:val="32"/>
          <w:szCs w:val="32"/>
        </w:rPr>
        <w:t>。</w:t>
      </w:r>
    </w:p>
    <w:p>
      <w:pPr>
        <w:autoSpaceDE w:val="0"/>
        <w:autoSpaceDN w:val="0"/>
        <w:adjustRightInd w:val="0"/>
        <w:spacing w:line="600" w:lineRule="exact"/>
        <w:ind w:right="2" w:firstLine="674"/>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加快雒容站铁路站场的升级。</w:t>
      </w:r>
      <w:r>
        <w:rPr>
          <w:rFonts w:hint="eastAsia" w:ascii="Times New Roman" w:hAnsi="Times New Roman" w:eastAsia="仿宋_GB2312" w:cs="Times New Roman"/>
          <w:kern w:val="0"/>
          <w:sz w:val="32"/>
          <w:szCs w:val="32"/>
        </w:rPr>
        <w:t>为新区快速增长的汽车产业的对外物流做准备，形成容量大、便捷、快速的铁路交通。</w:t>
      </w:r>
    </w:p>
    <w:p>
      <w:pPr>
        <w:autoSpaceDE w:val="0"/>
        <w:autoSpaceDN w:val="0"/>
        <w:adjustRightInd w:val="0"/>
        <w:spacing w:line="600" w:lineRule="exact"/>
        <w:ind w:right="2" w:firstLine="674"/>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加强新区对外公路网络建设。</w:t>
      </w:r>
      <w:r>
        <w:rPr>
          <w:rFonts w:hint="eastAsia" w:ascii="Times New Roman" w:hAnsi="Times New Roman" w:eastAsia="仿宋_GB2312" w:cs="Times New Roman"/>
          <w:kern w:val="0"/>
          <w:sz w:val="32"/>
          <w:szCs w:val="32"/>
        </w:rPr>
        <w:t>推进柳东大道（G322）东部延长线雒容镇部分的建设。加快推进新区综合交通枢纽站场建设，实现与各种运输方式的有效连接。</w:t>
      </w:r>
    </w:p>
    <w:p>
      <w:pPr>
        <w:autoSpaceDE w:val="0"/>
        <w:autoSpaceDN w:val="0"/>
        <w:adjustRightInd w:val="0"/>
        <w:spacing w:line="600" w:lineRule="exact"/>
        <w:ind w:right="2" w:firstLine="674"/>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提升水路运输能力。</w:t>
      </w:r>
      <w:r>
        <w:rPr>
          <w:rFonts w:hint="eastAsia" w:ascii="Times New Roman" w:hAnsi="Times New Roman" w:eastAsia="仿宋_GB2312" w:cs="Times New Roman"/>
          <w:kern w:val="0"/>
          <w:sz w:val="32"/>
          <w:szCs w:val="32"/>
        </w:rPr>
        <w:t>加快官塘物流港口建设，充分发挥柳江黄金水道作用，通过官塘港口向东直达广州香港，向西入海可联系东盟自由贸易区，便捷的水运交通成为汽车产业发展的一个重要推动因素。</w:t>
      </w:r>
    </w:p>
    <w:p>
      <w:pPr>
        <w:tabs>
          <w:tab w:val="left" w:pos="720"/>
        </w:tabs>
        <w:spacing w:line="360" w:lineRule="atLeast"/>
        <w:rPr>
          <w:rFonts w:asciiTheme="minorEastAsia" w:hAnsiTheme="minorEastAsia"/>
          <w:bCs/>
          <w:szCs w:val="28"/>
        </w:rPr>
      </w:pPr>
      <w:r>
        <w:rPr>
          <w:rFonts w:asciiTheme="minorEastAsia" w:hAnsiTheme="minorEastAsia"/>
          <w:bCs/>
          <w:szCs w:val="28"/>
        </w:rPr>
        <mc:AlternateContent>
          <mc:Choice Requires="wps">
            <w:drawing>
              <wp:inline distT="0" distB="0" distL="0" distR="0">
                <wp:extent cx="5274310" cy="4181475"/>
                <wp:effectExtent l="0" t="0" r="21590" b="28575"/>
                <wp:docPr id="29" name="Text Box 15"/>
                <wp:cNvGraphicFramePr/>
                <a:graphic xmlns:a="http://schemas.openxmlformats.org/drawingml/2006/main">
                  <a:graphicData uri="http://schemas.microsoft.com/office/word/2010/wordprocessingShape">
                    <wps:wsp>
                      <wps:cNvSpPr txBox="1">
                        <a:spLocks noChangeArrowheads="1"/>
                      </wps:cNvSpPr>
                      <wps:spPr bwMode="auto">
                        <a:xfrm>
                          <a:off x="0" y="0"/>
                          <a:ext cx="5274310" cy="4181475"/>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5082540" cy="36804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2540" cy="3681007"/>
                                          </a:xfrm>
                                          <a:prstGeom prst="rect">
                                            <a:avLst/>
                                          </a:prstGeom>
                                        </pic:spPr>
                                      </pic:pic>
                                    </a:graphicData>
                                  </a:graphic>
                                </wp:inline>
                              </w:drawing>
                            </w:r>
                          </w:p>
                          <w:p>
                            <w:pPr>
                              <w:jc w:val="center"/>
                            </w:pPr>
                            <w:r>
                              <w:rPr>
                                <w:rFonts w:hint="eastAsia"/>
                              </w:rPr>
                              <w:t>柳东新区区域交通示意图</w:t>
                            </w:r>
                          </w:p>
                        </w:txbxContent>
                      </wps:txbx>
                      <wps:bodyPr rot="0" vert="horz" wrap="square" lIns="91440" tIns="45720" rIns="91440" bIns="45720" anchor="t" anchorCtr="0" upright="1">
                        <a:noAutofit/>
                      </wps:bodyPr>
                    </wps:wsp>
                  </a:graphicData>
                </a:graphic>
              </wp:inline>
            </w:drawing>
          </mc:Choice>
          <mc:Fallback>
            <w:pict>
              <v:shape id="Text Box 15" o:spid="_x0000_s1026" o:spt="202" type="#_x0000_t202" style="height:329.25pt;width:415.3pt;" fillcolor="#F2F2F2 [3212]" filled="t" stroked="t" coordsize="21600,21600" o:gfxdata="UEsDBAoAAAAAAIdO4kAAAAAAAAAAAAAAAAAEAAAAZHJzL1BLAwQUAAAACACHTuJAPypRHNQAAAAF&#10;AQAADwAAAGRycy9kb3ducmV2LnhtbE2PQU/DMAyF70j8h8hIXBBLNlhXlaY7gCaOsI3ds8ZrKxon&#10;atKt/HsMF7hYenr2e5/L9eR6ccYhdp40zGcKBFLtbUeNho/95j4HEZMha3pPqOELI6yr66vSFNZf&#10;aIvnXWoEh1AsjIY2pVBIGesWnYkzH5DYO/nBmcRyaKQdzIXDXS8XSmXSmY64oTUBn1usP3ejY4z9&#10;ISykekyr17v3l7ftdAhjttH69maunkAknNLfMvzg8w1UzHT0I9koeg38SPqd7OUPKgNx1JAt8yXI&#10;qpT/6atvUEsDBBQAAAAIAIdO4kD+ehA3TgIAAL4EAAAOAAAAZHJzL2Uyb0RvYy54bWytVNtu2zAM&#10;fR+wfxD0vjr2kjUx6hRdgwwDugvQ7gMUWY6FSaImKbG7rx8luVnWYUAfhgCGRFKHh4dkrq5HrchR&#10;OC/BNLS8mFEiDIdWmn1Dvz1s3ywp8YGZlikwoqGPwtPr9etXV4OtRQU9qFY4giDG14NtaB+CrYvC&#10;815o5i/ACoPODpxmAa9uX7SODYiuVVHNZu+KAVxrHXDhPVo32UknRPcSQOg6ycUG+EELEzKqE4oF&#10;LMn30nq6Tmy7TvDwpeu8CEQ1FCsN6YtJ8LyL32J9xeq9Y7aXfKLAXkLhWU2aSYNJT1AbFhg5OPkX&#10;lJbcgYcuXHDQRS4kKYJVlLNn2tz3zIpUC0rt7Ul0//9g+efjV0dk29BqRYlhGjv+IMZA3sNIykXU&#10;Z7C+xrB7i4FhRDtOTarV2zvg3z0xcNszsxc3zsHQC9YivzK+LM6eZhwfQXbDJ2gxDzsESEBj53QU&#10;D+UgiI69eTz1JnLhaFxUl/O3Jbo4+ublspxfJnYFq5+eW+fDBwGaxENDHTY/wbPjnQ+RDqufQmI2&#10;D0q2W6lUurj97lY5cmQ4KNsq/tJbddBINptXi9lsmhg041xlczIhts8QKc8f2MqQoaGrRbXIsv0z&#10;L8JPGSLceZiWAZdOSd3Q5XmQMpPKUdgscRh349S1HbSPqLeDPPa49Hjowf2kZMCRb6j/cWBOUKI+&#10;GuzZqpzP446ky3xxWeHFnXt25x5mOEI1NFCSj7ch79XBOrnvMVOeEgM32OdOpg7EgcisJt441kmw&#10;aQXj3pzfU9Tvv53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8qURzUAAAABQEAAA8AAAAAAAAA&#10;AQAgAAAAIgAAAGRycy9kb3ducmV2LnhtbFBLAQIUABQAAAAIAIdO4kD+ehA3TgIAAL4EAAAOAAAA&#10;AAAAAAEAIAAAACMBAABkcnMvZTJvRG9jLnhtbFBLBQYAAAAABgAGAFkBAADjBQAAAAA=&#10;">
                <v:fill on="t" focussize="0,0"/>
                <v:stroke color="#000000" miterlimit="8" joinstyle="miter"/>
                <v:imagedata o:title=""/>
                <o:lock v:ext="edit" aspectratio="f"/>
                <v:textbox>
                  <w:txbxContent>
                    <w:p>
                      <w:pPr>
                        <w:jc w:val="center"/>
                      </w:pPr>
                      <w:r>
                        <w:rPr>
                          <w:rFonts w:hint="eastAsia"/>
                        </w:rPr>
                        <w:drawing>
                          <wp:inline distT="0" distB="0" distL="0" distR="0">
                            <wp:extent cx="5082540" cy="368046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2540" cy="3681007"/>
                                    </a:xfrm>
                                    <a:prstGeom prst="rect">
                                      <a:avLst/>
                                    </a:prstGeom>
                                  </pic:spPr>
                                </pic:pic>
                              </a:graphicData>
                            </a:graphic>
                          </wp:inline>
                        </w:drawing>
                      </w:r>
                    </w:p>
                    <w:p>
                      <w:pPr>
                        <w:jc w:val="center"/>
                      </w:pPr>
                      <w:r>
                        <w:rPr>
                          <w:rFonts w:hint="eastAsia"/>
                        </w:rPr>
                        <w:t>柳东新区区域交通示意图</w:t>
                      </w:r>
                    </w:p>
                  </w:txbxContent>
                </v:textbox>
                <w10:wrap type="none"/>
                <w10:anchorlock/>
              </v:shape>
            </w:pict>
          </mc:Fallback>
        </mc:AlternateContent>
      </w:r>
    </w:p>
    <w:tbl>
      <w:tblPr>
        <w:tblStyle w:val="27"/>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8" w:type="dxa"/>
            <w:shd w:val="clear" w:color="auto" w:fill="D8D8D8" w:themeFill="background1" w:themeFillShade="D9"/>
          </w:tcPr>
          <w:p>
            <w:pPr>
              <w:spacing w:line="600" w:lineRule="exact"/>
              <w:jc w:val="center"/>
              <w:rPr>
                <w:rFonts w:ascii="Times New Roman" w:hAnsi="Times New Roman" w:eastAsia="仿宋_GB2312"/>
                <w:kern w:val="0"/>
                <w:szCs w:val="28"/>
              </w:rPr>
            </w:pPr>
            <w:r>
              <w:rPr>
                <w:rFonts w:ascii="Times New Roman" w:hAnsi="Times New Roman" w:eastAsia="仿宋_GB2312"/>
                <w:b/>
                <w:szCs w:val="28"/>
              </w:rPr>
              <w:t>专栏</w:t>
            </w:r>
            <w:r>
              <w:rPr>
                <w:rFonts w:ascii="Times New Roman" w:hAnsi="Times New Roman" w:eastAsia="仿宋_GB2312"/>
                <w:b/>
                <w:kern w:val="0"/>
                <w:szCs w:val="28"/>
              </w:rPr>
              <w:t>：城市综合交通重点工程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8" w:type="dxa"/>
            <w:shd w:val="clear" w:color="auto" w:fill="D8D8D8" w:themeFill="background1" w:themeFillShade="D9"/>
          </w:tcPr>
          <w:p>
            <w:pPr>
              <w:autoSpaceDE w:val="0"/>
              <w:autoSpaceDN w:val="0"/>
              <w:adjustRightInd w:val="0"/>
              <w:spacing w:line="600" w:lineRule="exact"/>
              <w:ind w:firstLine="562" w:firstLineChars="200"/>
              <w:rPr>
                <w:rFonts w:ascii="仿宋_GB2312" w:hAnsi="Times New Roman" w:eastAsia="仿宋_GB2312"/>
                <w:b/>
                <w:szCs w:val="28"/>
                <w:lang w:val="zh-CN"/>
              </w:rPr>
            </w:pPr>
            <w:r>
              <w:rPr>
                <w:rFonts w:hint="eastAsia" w:ascii="仿宋_GB2312" w:hAnsi="Times New Roman" w:eastAsia="仿宋_GB2312"/>
                <w:b/>
                <w:szCs w:val="28"/>
                <w:lang w:val="zh-CN"/>
              </w:rPr>
              <w:t>1.铁路项目。</w:t>
            </w:r>
            <w:r>
              <w:rPr>
                <w:rFonts w:hint="eastAsia" w:ascii="仿宋_GB2312" w:hAnsi="Times New Roman" w:eastAsia="仿宋_GB2312"/>
                <w:szCs w:val="28"/>
              </w:rPr>
              <w:t>柳州官塘公铁水联运物流园铁路专用线项目、</w:t>
            </w:r>
            <w:r>
              <w:rPr>
                <w:rFonts w:hint="eastAsia" w:ascii="仿宋_GB2312" w:hAnsi="Times New Roman" w:eastAsia="仿宋_GB2312"/>
                <w:szCs w:val="28"/>
                <w:lang w:val="zh-CN"/>
              </w:rPr>
              <w:t>柳州官塘物流港铁路货运枢纽项目。</w:t>
            </w:r>
          </w:p>
          <w:p>
            <w:pPr>
              <w:autoSpaceDE w:val="0"/>
              <w:autoSpaceDN w:val="0"/>
              <w:adjustRightInd w:val="0"/>
              <w:spacing w:line="600" w:lineRule="exact"/>
              <w:ind w:firstLine="562" w:firstLineChars="200"/>
              <w:rPr>
                <w:rFonts w:ascii="仿宋_GB2312" w:hAnsi="Times New Roman" w:eastAsia="仿宋_GB2312"/>
                <w:szCs w:val="28"/>
                <w:lang w:val="zh-CN"/>
              </w:rPr>
            </w:pPr>
            <w:r>
              <w:rPr>
                <w:rFonts w:hint="eastAsia" w:ascii="仿宋_GB2312" w:hAnsi="Times New Roman" w:eastAsia="仿宋_GB2312"/>
                <w:b/>
                <w:szCs w:val="28"/>
                <w:lang w:val="zh-CN"/>
              </w:rPr>
              <w:t>2.公路项目。</w:t>
            </w:r>
            <w:r>
              <w:rPr>
                <w:rFonts w:hint="eastAsia" w:ascii="仿宋_GB2312" w:hAnsi="Times New Roman" w:eastAsia="仿宋_GB2312"/>
                <w:szCs w:val="28"/>
                <w:lang w:val="zh-CN"/>
              </w:rPr>
              <w:t>雒容至东泉段一级公路、江口至导江工程(柳东段）；规划建设官塘综合交通枢纽、柳东公路运输枢纽。</w:t>
            </w:r>
          </w:p>
          <w:p>
            <w:pPr>
              <w:autoSpaceDE w:val="0"/>
              <w:autoSpaceDN w:val="0"/>
              <w:adjustRightInd w:val="0"/>
              <w:spacing w:line="600" w:lineRule="exact"/>
              <w:ind w:firstLine="562" w:firstLineChars="200"/>
              <w:rPr>
                <w:rFonts w:ascii="Times New Roman" w:hAnsi="Times New Roman" w:eastAsia="仿宋_GB2312"/>
                <w:snapToGrid w:val="0"/>
                <w:kern w:val="0"/>
                <w:szCs w:val="28"/>
              </w:rPr>
            </w:pPr>
            <w:r>
              <w:rPr>
                <w:rFonts w:hint="eastAsia" w:ascii="仿宋_GB2312" w:hAnsi="Times New Roman" w:eastAsia="仿宋_GB2312"/>
                <w:b/>
                <w:szCs w:val="28"/>
                <w:lang w:val="zh-CN"/>
              </w:rPr>
              <w:t>3.航运项目。</w:t>
            </w:r>
            <w:r>
              <w:rPr>
                <w:rFonts w:hint="eastAsia" w:ascii="仿宋_GB2312" w:hAnsi="Times New Roman" w:eastAsia="仿宋_GB2312"/>
                <w:szCs w:val="28"/>
              </w:rPr>
              <w:t>柳州港官塘作业区5个2000吨级多用途泊位、2个800车位汽车滚装泊位、7个2000吨级的件杂货和集装箱泊位。</w:t>
            </w:r>
          </w:p>
        </w:tc>
      </w:tr>
    </w:tbl>
    <w:p>
      <w:pPr>
        <w:pStyle w:val="4"/>
        <w:spacing w:before="0" w:after="0" w:line="600" w:lineRule="exact"/>
        <w:jc w:val="center"/>
        <w:rPr>
          <w:rFonts w:ascii="Times New Roman" w:hAnsi="Times New Roman" w:eastAsia="楷体_GB2312"/>
        </w:rPr>
      </w:pPr>
      <w:bookmarkStart w:id="78" w:name="_Toc458171808"/>
      <w:r>
        <w:rPr>
          <w:rFonts w:hint="eastAsia" w:ascii="Times New Roman" w:hAnsi="Times New Roman" w:eastAsia="楷体_GB2312"/>
        </w:rPr>
        <w:t>第二节 构筑智能化城市公共交通体系</w:t>
      </w:r>
      <w:bookmarkEnd w:id="78"/>
    </w:p>
    <w:p>
      <w:pPr>
        <w:spacing w:line="60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color w:val="000000" w:themeColor="text1"/>
          <w:kern w:val="0"/>
          <w:sz w:val="32"/>
          <w:szCs w:val="32"/>
          <w14:textFill>
            <w14:solidFill>
              <w14:schemeClr w14:val="tx1"/>
            </w14:solidFill>
          </w14:textFill>
        </w:rPr>
        <w:t>实施公交优先战略。</w:t>
      </w:r>
      <w:r>
        <w:rPr>
          <w:rFonts w:hint="eastAsia" w:ascii="Times New Roman" w:hAnsi="Times New Roman" w:eastAsia="仿宋_GB2312"/>
          <w:color w:val="000000" w:themeColor="text1"/>
          <w:kern w:val="0"/>
          <w:sz w:val="32"/>
          <w:szCs w:val="32"/>
          <w14:textFill>
            <w14:solidFill>
              <w14:schemeClr w14:val="tx1"/>
            </w14:solidFill>
          </w14:textFill>
        </w:rPr>
        <w:t>加快全区公交系统建设，努力形成以城市公共汽车为主体、公交优先通道为骨干、出租车为辅助的城市公共交通体系，构筑一个“与土地利用协调发展、公共交通引导城市发展”的一体化综合交通系统，以“高效、便捷、安全、低碳”的交通服务系统满足未来的出行需求，打造节能、生态、宜居的以汽车工业为主导的新城，确立公共交通在城市交通系统中的主体地位，基本建立城乡一体化协调发展的公共交通网络。合理规划公交网络布局，开辟公交优先通道，修建公交停车港湾，提高公共交通的运输能力，适度增加出租车数量。</w:t>
      </w:r>
    </w:p>
    <w:p>
      <w:pPr>
        <w:spacing w:line="60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color w:val="000000" w:themeColor="text1"/>
          <w:kern w:val="0"/>
          <w:sz w:val="32"/>
          <w:szCs w:val="32"/>
          <w14:textFill>
            <w14:solidFill>
              <w14:schemeClr w14:val="tx1"/>
            </w14:solidFill>
          </w14:textFill>
        </w:rPr>
        <w:t>完善新区物流运输体系。</w:t>
      </w:r>
      <w:r>
        <w:rPr>
          <w:rFonts w:hint="eastAsia" w:ascii="Times New Roman" w:hAnsi="Times New Roman" w:eastAsia="仿宋_GB2312"/>
          <w:color w:val="000000" w:themeColor="text1"/>
          <w:kern w:val="0"/>
          <w:sz w:val="32"/>
          <w:szCs w:val="32"/>
          <w14:textFill>
            <w14:solidFill>
              <w14:schemeClr w14:val="tx1"/>
            </w14:solidFill>
          </w14:textFill>
        </w:rPr>
        <w:t>新区物流枢纽包括物流园区、物流中心、配送中心等。至2020年，规划完成3个配送中心，1个物流中心，1个物流园区，形成新区货运枢纽系统。</w:t>
      </w:r>
    </w:p>
    <w:p>
      <w:pPr>
        <w:spacing w:line="60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hint="eastAsia" w:ascii="Times New Roman" w:hAnsi="Times New Roman" w:eastAsia="仿宋_GB2312"/>
          <w:b/>
          <w:color w:val="000000" w:themeColor="text1"/>
          <w:kern w:val="0"/>
          <w:sz w:val="32"/>
          <w:szCs w:val="32"/>
          <w14:textFill>
            <w14:solidFill>
              <w14:schemeClr w14:val="tx1"/>
            </w14:solidFill>
          </w14:textFill>
        </w:rPr>
        <w:t>完善城市静态交通。</w:t>
      </w:r>
      <w:r>
        <w:rPr>
          <w:rFonts w:hint="eastAsia" w:ascii="Times New Roman" w:hAnsi="Times New Roman" w:eastAsia="仿宋_GB2312"/>
          <w:color w:val="000000" w:themeColor="text1"/>
          <w:kern w:val="0"/>
          <w:sz w:val="32"/>
          <w:szCs w:val="32"/>
          <w14:textFill>
            <w14:solidFill>
              <w14:schemeClr w14:val="tx1"/>
            </w14:solidFill>
          </w14:textFill>
        </w:rPr>
        <w:t>建成一批布局合理的社会公共停车场（楼），改善城市停车状况；在新区主要交通走廊，规划建设一批“停车——换乘”枢纽设施。</w:t>
      </w:r>
    </w:p>
    <w:p>
      <w:pPr>
        <w:pStyle w:val="2"/>
        <w:spacing w:before="0" w:after="0" w:line="600" w:lineRule="exact"/>
        <w:jc w:val="center"/>
        <w:rPr>
          <w:rStyle w:val="31"/>
          <w:rFonts w:ascii="Times New Roman" w:hAnsi="Times New Roman" w:cs="Times New Roman"/>
          <w:color w:val="auto"/>
          <w:sz w:val="32"/>
          <w:szCs w:val="32"/>
          <w:u w:val="none"/>
          <w:lang w:val="zh-CN" w:eastAsia="zh-CN"/>
        </w:rPr>
      </w:pPr>
      <w:bookmarkStart w:id="79" w:name="_Toc458171809"/>
      <w:r>
        <w:rPr>
          <w:rStyle w:val="31"/>
          <w:rFonts w:hint="eastAsia" w:ascii="Times New Roman" w:hAnsi="Times New Roman" w:cs="Times New Roman"/>
          <w:color w:val="auto"/>
          <w:sz w:val="32"/>
          <w:szCs w:val="32"/>
          <w:u w:val="none"/>
          <w:lang w:val="zh-CN" w:eastAsia="zh-CN"/>
        </w:rPr>
        <w:t>第十章 构建多层次的区域合作体系</w:t>
      </w:r>
      <w:bookmarkEnd w:id="79"/>
    </w:p>
    <w:p>
      <w:pPr>
        <w:spacing w:line="60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深入贯彻国家</w:t>
      </w:r>
      <w:r>
        <w:rPr>
          <w:rFonts w:hint="eastAsia" w:ascii="Times New Roman" w:hAnsi="Times New Roman" w:eastAsia="仿宋_GB2312"/>
          <w:color w:val="000000" w:themeColor="text1"/>
          <w:kern w:val="0"/>
          <w:sz w:val="32"/>
          <w:szCs w:val="32"/>
          <w:lang w:eastAsia="zh-CN"/>
          <w14:textFill>
            <w14:solidFill>
              <w14:schemeClr w14:val="tx1"/>
            </w14:solidFill>
          </w14:textFill>
        </w:rPr>
        <w:t>“一带一路”倡议</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广西“双核驱动”战略，</w:t>
      </w:r>
      <w:r>
        <w:rPr>
          <w:rFonts w:hint="eastAsia" w:ascii="Times New Roman" w:hAnsi="Times New Roman" w:eastAsia="仿宋_GB2312"/>
          <w:color w:val="000000" w:themeColor="text1"/>
          <w:kern w:val="0"/>
          <w:sz w:val="32"/>
          <w:szCs w:val="32"/>
          <w14:textFill>
            <w14:solidFill>
              <w14:schemeClr w14:val="tx1"/>
            </w14:solidFill>
          </w14:textFill>
        </w:rPr>
        <w:t>落实“</w:t>
      </w:r>
      <w:r>
        <w:rPr>
          <w:rFonts w:ascii="Times New Roman" w:hAnsi="Times New Roman" w:eastAsia="仿宋_GB2312"/>
          <w:color w:val="000000" w:themeColor="text1"/>
          <w:kern w:val="0"/>
          <w:sz w:val="32"/>
          <w:szCs w:val="32"/>
          <w14:textFill>
            <w14:solidFill>
              <w14:schemeClr w14:val="tx1"/>
            </w14:solidFill>
          </w14:textFill>
        </w:rPr>
        <w:t>实业兴市，开放强柳”战略，进一步做大</w:t>
      </w:r>
      <w:r>
        <w:rPr>
          <w:rFonts w:hint="eastAsia" w:ascii="Times New Roman" w:hAnsi="Times New Roman" w:eastAsia="仿宋_GB2312"/>
          <w:color w:val="000000" w:themeColor="text1"/>
          <w:kern w:val="0"/>
          <w:sz w:val="32"/>
          <w:szCs w:val="32"/>
          <w14:textFill>
            <w14:solidFill>
              <w14:schemeClr w14:val="tx1"/>
            </w14:solidFill>
          </w14:textFill>
        </w:rPr>
        <w:t>柳东新区</w:t>
      </w:r>
      <w:r>
        <w:rPr>
          <w:rFonts w:ascii="Times New Roman" w:hAnsi="Times New Roman" w:eastAsia="仿宋_GB2312"/>
          <w:color w:val="000000" w:themeColor="text1"/>
          <w:kern w:val="0"/>
          <w:sz w:val="32"/>
          <w:szCs w:val="32"/>
          <w14:textFill>
            <w14:solidFill>
              <w14:schemeClr w14:val="tx1"/>
            </w14:solidFill>
          </w14:textFill>
        </w:rPr>
        <w:t>经济总量，</w:t>
      </w:r>
      <w:r>
        <w:rPr>
          <w:rFonts w:hint="eastAsia" w:ascii="Times New Roman" w:hAnsi="Times New Roman" w:eastAsia="仿宋_GB2312"/>
          <w:color w:val="000000" w:themeColor="text1"/>
          <w:kern w:val="0"/>
          <w:sz w:val="32"/>
          <w:szCs w:val="32"/>
          <w14:textFill>
            <w14:solidFill>
              <w14:schemeClr w14:val="tx1"/>
            </w14:solidFill>
          </w14:textFill>
        </w:rPr>
        <w:t>推进新区城市建设</w:t>
      </w:r>
      <w:r>
        <w:rPr>
          <w:rFonts w:ascii="Times New Roman" w:hAnsi="Times New Roman" w:eastAsia="仿宋_GB2312"/>
          <w:color w:val="000000" w:themeColor="text1"/>
          <w:kern w:val="0"/>
          <w:sz w:val="32"/>
          <w:szCs w:val="32"/>
          <w14:textFill>
            <w14:solidFill>
              <w14:schemeClr w14:val="tx1"/>
            </w14:solidFill>
          </w14:textFill>
        </w:rPr>
        <w:t>，全面提升</w:t>
      </w:r>
      <w:r>
        <w:rPr>
          <w:rFonts w:hint="eastAsia" w:ascii="Times New Roman" w:hAnsi="Times New Roman" w:eastAsia="仿宋_GB2312"/>
          <w:color w:val="000000" w:themeColor="text1"/>
          <w:kern w:val="0"/>
          <w:sz w:val="32"/>
          <w:szCs w:val="32"/>
          <w14:textFill>
            <w14:solidFill>
              <w14:schemeClr w14:val="tx1"/>
            </w14:solidFill>
          </w14:textFill>
        </w:rPr>
        <w:t>柳东新区综合</w:t>
      </w:r>
      <w:r>
        <w:rPr>
          <w:rFonts w:ascii="Times New Roman" w:hAnsi="Times New Roman" w:eastAsia="仿宋_GB2312"/>
          <w:color w:val="000000" w:themeColor="text1"/>
          <w:kern w:val="0"/>
          <w:sz w:val="32"/>
          <w:szCs w:val="32"/>
          <w14:textFill>
            <w14:solidFill>
              <w14:schemeClr w14:val="tx1"/>
            </w14:solidFill>
          </w14:textFill>
        </w:rPr>
        <w:t>竞争力，把柳</w:t>
      </w:r>
      <w:r>
        <w:rPr>
          <w:rFonts w:hint="eastAsia" w:ascii="Times New Roman" w:hAnsi="Times New Roman" w:eastAsia="仿宋_GB2312"/>
          <w:color w:val="000000" w:themeColor="text1"/>
          <w:kern w:val="0"/>
          <w:sz w:val="32"/>
          <w:szCs w:val="32"/>
          <w14:textFill>
            <w14:solidFill>
              <w14:schemeClr w14:val="tx1"/>
            </w14:solidFill>
          </w14:textFill>
        </w:rPr>
        <w:t>东新区</w:t>
      </w:r>
      <w:r>
        <w:rPr>
          <w:rFonts w:ascii="Times New Roman" w:hAnsi="Times New Roman" w:eastAsia="仿宋_GB2312"/>
          <w:color w:val="000000" w:themeColor="text1"/>
          <w:kern w:val="0"/>
          <w:sz w:val="32"/>
          <w:szCs w:val="32"/>
          <w14:textFill>
            <w14:solidFill>
              <w14:schemeClr w14:val="tx1"/>
            </w14:solidFill>
          </w14:textFill>
        </w:rPr>
        <w:t>打造成建成全国汽车产业发展新高地</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国家产城融合示范区</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国家高新区建设先进区。</w:t>
      </w:r>
    </w:p>
    <w:p>
      <w:pPr>
        <w:pStyle w:val="4"/>
        <w:spacing w:before="0" w:after="0" w:line="600" w:lineRule="exact"/>
        <w:jc w:val="center"/>
        <w:rPr>
          <w:rFonts w:ascii="Times New Roman" w:hAnsi="Times New Roman" w:eastAsia="楷体_GB2312"/>
        </w:rPr>
      </w:pPr>
      <w:bookmarkStart w:id="80" w:name="_Toc458171810"/>
      <w:r>
        <w:rPr>
          <w:rFonts w:ascii="Times New Roman" w:hAnsi="Times New Roman" w:eastAsia="楷体_GB2312"/>
        </w:rPr>
        <w:t>第一节 积极</w:t>
      </w:r>
      <w:r>
        <w:rPr>
          <w:rFonts w:hint="eastAsia" w:ascii="Times New Roman" w:hAnsi="Times New Roman" w:eastAsia="楷体_GB2312"/>
        </w:rPr>
        <w:t>投入</w:t>
      </w:r>
      <w:r>
        <w:rPr>
          <w:rFonts w:ascii="Times New Roman" w:hAnsi="Times New Roman" w:eastAsia="楷体_GB2312"/>
        </w:rPr>
        <w:t>珠江</w:t>
      </w:r>
      <w:r>
        <w:rPr>
          <w:rFonts w:hint="eastAsia" w:ascii="Times New Roman" w:hAnsi="Times New Roman" w:eastAsia="楷体_GB2312"/>
        </w:rPr>
        <w:t>—</w:t>
      </w:r>
      <w:r>
        <w:rPr>
          <w:rFonts w:ascii="Times New Roman" w:hAnsi="Times New Roman" w:eastAsia="楷体_GB2312"/>
        </w:rPr>
        <w:t>西江经济带开放开发</w:t>
      </w:r>
      <w:bookmarkEnd w:id="80"/>
    </w:p>
    <w:p>
      <w:pPr>
        <w:widowControl/>
        <w:spacing w:line="600" w:lineRule="exact"/>
        <w:ind w:firstLine="627" w:firstLineChars="196"/>
        <w:rPr>
          <w:rFonts w:ascii="Times New Roman" w:hAnsi="Times New Roman" w:eastAsia="仿宋_GB2312"/>
          <w:color w:val="000000" w:themeColor="text1"/>
          <w:kern w:val="0"/>
          <w:sz w:val="32"/>
          <w:szCs w:val="32"/>
          <w14:textFill>
            <w14:solidFill>
              <w14:schemeClr w14:val="tx1"/>
            </w14:solidFill>
          </w14:textFill>
        </w:rPr>
      </w:pPr>
      <w:r>
        <w:rPr>
          <w:rFonts w:hint="eastAsia" w:ascii="仿宋_GB2312" w:hAnsi="Times New Roman" w:eastAsia="仿宋_GB2312" w:cs="Times New Roman"/>
          <w:color w:val="000000" w:themeColor="text1"/>
          <w:sz w:val="32"/>
          <w:szCs w:val="32"/>
          <w14:textFill>
            <w14:solidFill>
              <w14:schemeClr w14:val="tx1"/>
            </w14:solidFill>
          </w14:textFill>
        </w:rPr>
        <w:t>依托柳州市西江经济带龙头城市的地位和作用，以项目为抓手，在工业、旅游、科技、人才、资本等重点领域，全面参与粤桂黔三省区深度合作，主动对接珠三角、港澳地区，深化与北部湾合作和对东盟地区的开放，为柳东新区在“十三五”乃至更长时期的经济社会发展提供新的动力和支撑。</w:t>
      </w:r>
      <w:r>
        <w:rPr>
          <w:rFonts w:ascii="Times New Roman" w:hAnsi="Times New Roman" w:eastAsia="仿宋_GB2312"/>
          <w:color w:val="000000" w:themeColor="text1"/>
          <w:kern w:val="0"/>
          <w:sz w:val="32"/>
          <w:szCs w:val="32"/>
          <w14:textFill>
            <w14:solidFill>
              <w14:schemeClr w14:val="tx1"/>
            </w14:solidFill>
          </w14:textFill>
        </w:rPr>
        <w:t>广泛参与泛珠三角经济区合作，积极学习借鉴中国（广东）自由贸易试验区建设管理经验，加快承接产业转移。加强与港澳地区在金融、保险、贸易、中介、文化、旅游、会展等高附加值产业上的接触与合作，推进产业升级，加快结构调整。</w:t>
      </w:r>
    </w:p>
    <w:p>
      <w:pPr>
        <w:pStyle w:val="4"/>
        <w:spacing w:before="0" w:after="0" w:line="600" w:lineRule="exact"/>
        <w:jc w:val="center"/>
        <w:rPr>
          <w:rFonts w:ascii="Times New Roman" w:hAnsi="Times New Roman" w:eastAsia="楷体_GB2312"/>
        </w:rPr>
      </w:pPr>
      <w:bookmarkStart w:id="81" w:name="_Toc458171811"/>
      <w:bookmarkStart w:id="82" w:name="_Toc440536808"/>
      <w:r>
        <w:rPr>
          <w:rFonts w:ascii="Times New Roman" w:hAnsi="Times New Roman" w:eastAsia="楷体_GB2312"/>
        </w:rPr>
        <w:t>第二节 大力推进粤桂黔高铁经济带合作</w:t>
      </w:r>
      <w:bookmarkEnd w:id="81"/>
      <w:bookmarkEnd w:id="82"/>
    </w:p>
    <w:p>
      <w:pPr>
        <w:spacing w:line="560" w:lineRule="exact"/>
        <w:ind w:firstLine="656" w:firstLineChars="200"/>
        <w:rPr>
          <w:rFonts w:eastAsia="仿宋_GB2312"/>
          <w:spacing w:val="4"/>
          <w:sz w:val="32"/>
          <w:szCs w:val="32"/>
        </w:rPr>
      </w:pPr>
      <w:r>
        <w:rPr>
          <w:rFonts w:hint="eastAsia" w:ascii="仿宋_GB2312" w:hAnsi="仿宋_GB2312" w:eastAsia="仿宋_GB2312" w:cs="仿宋_GB2312"/>
          <w:spacing w:val="4"/>
          <w:sz w:val="32"/>
          <w:szCs w:val="32"/>
        </w:rPr>
        <w:t>重点</w:t>
      </w:r>
      <w:r>
        <w:rPr>
          <w:rFonts w:hint="eastAsia" w:eastAsia="仿宋_GB2312"/>
          <w:spacing w:val="4"/>
          <w:sz w:val="32"/>
          <w:szCs w:val="32"/>
        </w:rPr>
        <w:t>建设粤桂黔高铁经济带合作试验区(广西园)</w:t>
      </w:r>
      <w:r>
        <w:rPr>
          <w:rFonts w:eastAsia="仿宋_GB2312"/>
          <w:spacing w:val="4"/>
          <w:sz w:val="32"/>
          <w:szCs w:val="32"/>
        </w:rPr>
        <w:t>。</w:t>
      </w:r>
      <w:r>
        <w:rPr>
          <w:rFonts w:hint="eastAsia" w:eastAsia="仿宋_GB2312"/>
          <w:spacing w:val="4"/>
          <w:sz w:val="32"/>
          <w:szCs w:val="32"/>
        </w:rPr>
        <w:t>集聚资源和力量，全面建设粤桂黔高铁经济带合作试验区(广西园)，开辟柳东新区开发建设</w:t>
      </w:r>
      <w:r>
        <w:rPr>
          <w:rFonts w:hint="eastAsia" w:eastAsia="仿宋_GB2312"/>
          <w:b/>
          <w:spacing w:val="4"/>
          <w:sz w:val="32"/>
          <w:szCs w:val="32"/>
        </w:rPr>
        <w:t>“第二战场”</w:t>
      </w:r>
      <w:r>
        <w:rPr>
          <w:rFonts w:hint="eastAsia" w:eastAsia="仿宋_GB2312"/>
          <w:spacing w:val="4"/>
          <w:sz w:val="32"/>
          <w:szCs w:val="32"/>
        </w:rPr>
        <w:t>。</w:t>
      </w:r>
    </w:p>
    <w:p>
      <w:pPr>
        <w:spacing w:line="560" w:lineRule="exact"/>
        <w:ind w:firstLine="640" w:firstLineChars="200"/>
        <w:rPr>
          <w:rFonts w:ascii="仿宋_GB2312" w:hAnsi="宋体" w:eastAsia="仿宋_GB2312"/>
          <w:b/>
          <w:bCs/>
          <w:sz w:val="32"/>
          <w:szCs w:val="32"/>
        </w:rPr>
      </w:pPr>
      <w:r>
        <w:rPr>
          <w:rFonts w:hint="eastAsia" w:ascii="仿宋_GB2312" w:hAnsi="宋体" w:eastAsia="仿宋_GB2312"/>
          <w:bCs/>
          <w:sz w:val="32"/>
          <w:szCs w:val="32"/>
        </w:rPr>
        <w:t>重点把握柳东新区在粤桂黔高铁经济带合作试验区（广西园）中的地位与作用，积极寻求发展，并在</w:t>
      </w:r>
      <w:r>
        <w:rPr>
          <w:rFonts w:hint="eastAsia" w:ascii="仿宋_GB2312" w:hAnsi="宋体" w:eastAsia="仿宋_GB2312"/>
          <w:b/>
          <w:bCs/>
          <w:sz w:val="32"/>
          <w:szCs w:val="32"/>
        </w:rPr>
        <w:t>一轴引领、两带协同，双心联动、四点辐射的广西园</w:t>
      </w:r>
      <w:r>
        <w:rPr>
          <w:rFonts w:hint="eastAsia" w:ascii="仿宋_GB2312" w:hAnsi="宋体" w:eastAsia="仿宋_GB2312"/>
          <w:bCs/>
          <w:sz w:val="32"/>
          <w:szCs w:val="32"/>
        </w:rPr>
        <w:t>空间结构中大放异彩。</w:t>
      </w:r>
    </w:p>
    <w:p>
      <w:pPr>
        <w:spacing w:before="62" w:beforeLines="20" w:after="156" w:afterLines="50" w:line="360" w:lineRule="auto"/>
        <w:ind w:firstLine="643" w:firstLineChars="200"/>
        <w:rPr>
          <w:rFonts w:eastAsia="仿宋_GB2312"/>
          <w:spacing w:val="4"/>
          <w:sz w:val="32"/>
          <w:szCs w:val="32"/>
        </w:rPr>
      </w:pPr>
      <w:r>
        <w:rPr>
          <w:rFonts w:hint="eastAsia" w:ascii="仿宋_GB2312" w:hAnsi="宋体" w:eastAsia="仿宋_GB2312"/>
          <w:b/>
          <w:bCs/>
          <w:sz w:val="32"/>
          <w:szCs w:val="32"/>
        </w:rPr>
        <w:t>一轴引领——</w:t>
      </w:r>
      <w:r>
        <w:rPr>
          <w:rFonts w:hint="eastAsia" w:ascii="仿宋_GB2312" w:hAnsi="宋体" w:eastAsia="仿宋_GB2312"/>
          <w:bCs/>
          <w:sz w:val="32"/>
          <w:szCs w:val="32"/>
        </w:rPr>
        <w:t>明确柳东新区一轴引领中主体地位。以柳州汽车城组团主体区为基础。顺应城市发展向东向北拓展的战略，依托规划高铁柳州北站，拓展新区战略后备空间。</w:t>
      </w:r>
      <w:r>
        <w:rPr>
          <w:rFonts w:hint="eastAsia" w:ascii="仿宋_GB2312" w:hAnsi="宋体" w:eastAsia="仿宋_GB2312"/>
          <w:b/>
          <w:bCs/>
          <w:sz w:val="32"/>
          <w:szCs w:val="32"/>
        </w:rPr>
        <w:t>两带协同——</w:t>
      </w:r>
      <w:r>
        <w:rPr>
          <w:rFonts w:hint="eastAsia" w:ascii="仿宋_GB2312" w:hAnsi="宋体" w:eastAsia="仿宋_GB2312"/>
          <w:bCs/>
          <w:sz w:val="32"/>
          <w:szCs w:val="32"/>
        </w:rPr>
        <w:t>柳东新区西连中心城区，东接鹿寨组团拓展区，成为南部城市发展带发展重心和重要连接点。</w:t>
      </w:r>
      <w:r>
        <w:rPr>
          <w:rFonts w:hint="eastAsia" w:ascii="仿宋_GB2312" w:hAnsi="宋体" w:eastAsia="仿宋_GB2312"/>
          <w:b/>
          <w:bCs/>
          <w:sz w:val="32"/>
          <w:szCs w:val="32"/>
        </w:rPr>
        <w:t>双心联动——</w:t>
      </w:r>
      <w:r>
        <w:rPr>
          <w:rFonts w:hint="eastAsia" w:ascii="仿宋_GB2312" w:hAnsi="宋体" w:eastAsia="仿宋_GB2312"/>
          <w:bCs/>
          <w:sz w:val="32"/>
          <w:szCs w:val="32"/>
        </w:rPr>
        <w:t>北部以高铁商贸区为核心，南部以柳州汽车城为核心，双心联动，引爆区域经济发展。以高铁经济发展轴为纽带，引领全区，实现产业升级、经济腾飞。</w:t>
      </w:r>
      <w:r>
        <w:rPr>
          <w:rFonts w:hint="eastAsia" w:ascii="仿宋_GB2312" w:hAnsi="宋体" w:eastAsia="仿宋_GB2312"/>
          <w:b/>
          <w:bCs/>
          <w:sz w:val="32"/>
          <w:szCs w:val="32"/>
        </w:rPr>
        <w:t>四点辐射——</w:t>
      </w:r>
      <w:r>
        <w:rPr>
          <w:rFonts w:hint="eastAsia" w:ascii="仿宋_GB2312" w:hAnsi="宋体" w:eastAsia="仿宋_GB2312"/>
          <w:bCs/>
          <w:sz w:val="32"/>
          <w:szCs w:val="32"/>
        </w:rPr>
        <w:t>以试验区广西园主体区为核心，向鹿寨组团、中渡组团、鹧鸪江组团和第三城组团等发展要素辐射，形成四条辐射线。两个主体区积极引领和培育四个拓展区，共同进步；拓展区主动承接和把握主体区外溢的发展机遇和要素，实现全区同步发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360" w:lineRule="auto"/>
              <w:jc w:val="center"/>
              <w:rPr>
                <w:rFonts w:asciiTheme="minorEastAsia" w:hAnsiTheme="minorEastAsia" w:eastAsiaTheme="minorEastAsia"/>
                <w:spacing w:val="4"/>
                <w:sz w:val="32"/>
                <w:szCs w:val="32"/>
              </w:rPr>
            </w:pPr>
            <w:r>
              <w:rPr>
                <w:rFonts w:eastAsia="仿宋_GB2312"/>
                <w:spacing w:val="4"/>
                <w:sz w:val="32"/>
                <w:szCs w:val="32"/>
              </w:rPr>
              <w:drawing>
                <wp:anchor distT="0" distB="0" distL="114300" distR="114300" simplePos="0" relativeHeight="251662336" behindDoc="0" locked="0" layoutInCell="1" allowOverlap="1">
                  <wp:simplePos x="0" y="0"/>
                  <wp:positionH relativeFrom="column">
                    <wp:posOffset>556260</wp:posOffset>
                  </wp:positionH>
                  <wp:positionV relativeFrom="paragraph">
                    <wp:posOffset>-2748280</wp:posOffset>
                  </wp:positionV>
                  <wp:extent cx="3596640" cy="2315845"/>
                  <wp:effectExtent l="0" t="0" r="381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96640" cy="2315845"/>
                          </a:xfrm>
                          <a:prstGeom prst="rect">
                            <a:avLst/>
                          </a:prstGeom>
                          <a:noFill/>
                        </pic:spPr>
                      </pic:pic>
                    </a:graphicData>
                  </a:graphic>
                </wp:anchor>
              </w:drawing>
            </w:r>
            <w:r>
              <w:rPr>
                <w:rFonts w:hint="eastAsia" w:asciiTheme="minorEastAsia" w:hAnsiTheme="minorEastAsia" w:eastAsiaTheme="minorEastAsia"/>
                <w:sz w:val="24"/>
                <w:szCs w:val="24"/>
              </w:rPr>
              <w:t>广西园空间结构</w:t>
            </w:r>
          </w:p>
        </w:tc>
      </w:tr>
    </w:tbl>
    <w:p>
      <w:pPr>
        <w:spacing w:before="62" w:beforeLines="20" w:after="156" w:afterLines="50" w:line="360" w:lineRule="auto"/>
        <w:ind w:firstLine="643" w:firstLineChars="200"/>
        <w:rPr>
          <w:rFonts w:hint="eastAsia" w:ascii="仿宋_GB2312" w:hAnsi="宋体" w:eastAsia="仿宋_GB2312"/>
          <w:bCs/>
          <w:sz w:val="32"/>
          <w:szCs w:val="32"/>
        </w:rPr>
      </w:pPr>
      <w:r>
        <w:rPr>
          <w:rFonts w:hint="eastAsia" w:ascii="仿宋_GB2312" w:hAnsi="宋体" w:eastAsia="仿宋_GB2312"/>
          <w:b/>
          <w:bCs/>
          <w:sz w:val="32"/>
          <w:szCs w:val="32"/>
        </w:rPr>
        <w:t>重点发展柳州汽车城组团主体区。</w:t>
      </w:r>
      <w:r>
        <w:rPr>
          <w:rFonts w:hint="eastAsia" w:ascii="仿宋_GB2312" w:hAnsi="宋体" w:eastAsia="仿宋_GB2312"/>
          <w:bCs/>
          <w:sz w:val="32"/>
          <w:szCs w:val="32"/>
        </w:rPr>
        <w:t>汽车城组团主体区主要包括两个城市主中心、两个城市次中心、七个片区中心、三大城市分区、三片城市风景区。</w:t>
      </w:r>
    </w:p>
    <w:p>
      <w:pPr>
        <w:spacing w:before="62" w:beforeLines="20" w:after="156" w:afterLines="50" w:line="360" w:lineRule="auto"/>
        <w:ind w:firstLine="640" w:firstLineChars="200"/>
        <w:rPr>
          <w:rFonts w:hint="eastAsia" w:ascii="仿宋_GB2312" w:hAnsi="宋体" w:eastAsia="仿宋_GB2312"/>
          <w:bCs/>
          <w:sz w:val="32"/>
          <w:szCs w:val="32"/>
        </w:rPr>
      </w:pPr>
    </w:p>
    <w:p>
      <w:pPr>
        <w:spacing w:before="62" w:beforeLines="20" w:after="156" w:afterLines="50" w:line="360" w:lineRule="auto"/>
        <w:ind w:firstLine="640" w:firstLineChars="200"/>
        <w:rPr>
          <w:rFonts w:hint="eastAsia" w:ascii="仿宋_GB2312" w:hAnsi="宋体" w:eastAsia="仿宋_GB2312"/>
          <w:bCs/>
          <w:sz w:val="32"/>
          <w:szCs w:val="32"/>
        </w:rPr>
      </w:pPr>
    </w:p>
    <w:p>
      <w:pPr>
        <w:spacing w:before="62" w:beforeLines="20" w:after="156" w:afterLines="50" w:line="360" w:lineRule="auto"/>
        <w:ind w:firstLine="640" w:firstLineChars="200"/>
        <w:rPr>
          <w:rFonts w:ascii="仿宋_GB2312" w:hAnsi="宋体" w:eastAsia="仿宋_GB2312"/>
          <w:bCs/>
          <w:sz w:val="32"/>
          <w:szCs w:val="32"/>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416" w:hRule="atLeast"/>
        </w:trPr>
        <w:tc>
          <w:tcPr>
            <w:tcW w:w="8522" w:type="dxa"/>
            <w:shd w:val="clear" w:color="auto" w:fill="F1F1F1" w:themeFill="background1" w:themeFillShade="F2"/>
          </w:tcPr>
          <w:p>
            <w:pPr>
              <w:spacing w:before="62" w:beforeLines="20" w:after="156" w:afterLines="50" w:line="360" w:lineRule="auto"/>
              <w:ind w:firstLine="562" w:firstLineChars="200"/>
              <w:jc w:val="center"/>
              <w:rPr>
                <w:rFonts w:hint="eastAsia" w:ascii="仿宋_GB2312" w:hAnsi="宋体" w:eastAsia="仿宋_GB2312"/>
                <w:b/>
                <w:bCs/>
                <w:szCs w:val="28"/>
              </w:rPr>
            </w:pPr>
            <w:r>
              <w:rPr>
                <w:rFonts w:hint="eastAsia" w:ascii="仿宋_GB2312" w:hAnsi="宋体" w:eastAsia="仿宋_GB2312"/>
                <w:b/>
                <w:bCs/>
                <w:szCs w:val="28"/>
              </w:rPr>
              <w:t>专栏：柳州汽车城组团主体区构成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1F1F1" w:themeFill="background1" w:themeFillShade="F2"/>
          <w:tblCellMar>
            <w:top w:w="0" w:type="dxa"/>
            <w:left w:w="108" w:type="dxa"/>
            <w:bottom w:w="0" w:type="dxa"/>
            <w:right w:w="108" w:type="dxa"/>
          </w:tblCellMar>
        </w:tblPrEx>
        <w:trPr>
          <w:trHeight w:val="1125" w:hRule="atLeast"/>
        </w:trPr>
        <w:tc>
          <w:tcPr>
            <w:tcW w:w="8522" w:type="dxa"/>
            <w:shd w:val="clear" w:color="auto" w:fill="F1F1F1" w:themeFill="background1" w:themeFillShade="F2"/>
          </w:tcPr>
          <w:p>
            <w:pPr>
              <w:spacing w:before="62" w:beforeLines="20" w:after="156" w:afterLines="50" w:line="360" w:lineRule="auto"/>
              <w:ind w:firstLine="560" w:firstLineChars="200"/>
              <w:rPr>
                <w:rFonts w:hint="eastAsia" w:ascii="仿宋_GB2312" w:hAnsi="宋体" w:eastAsia="仿宋_GB2312"/>
                <w:bCs/>
                <w:szCs w:val="28"/>
              </w:rPr>
            </w:pPr>
            <w:r>
              <w:rPr>
                <w:rFonts w:hint="eastAsia" w:ascii="仿宋_GB2312" w:hAnsi="宋体" w:eastAsia="仿宋_GB2312"/>
                <w:bCs/>
                <w:szCs w:val="28"/>
              </w:rPr>
              <w:t>两个城市主中心：一个位于柳东大道中段东侧的官塘中心区，另一个位于北环北部新区地理中心。规划主要在该级中心布置行政办公、总部办公、文化娱乐、科技展览、酒店宾馆等功能。</w:t>
            </w:r>
          </w:p>
          <w:p>
            <w:pPr>
              <w:spacing w:before="62" w:beforeLines="20" w:after="156" w:afterLines="50" w:line="360" w:lineRule="auto"/>
              <w:ind w:firstLine="560" w:firstLineChars="200"/>
              <w:rPr>
                <w:rFonts w:hint="eastAsia" w:ascii="仿宋_GB2312" w:hAnsi="宋体" w:eastAsia="仿宋_GB2312"/>
                <w:bCs/>
                <w:szCs w:val="28"/>
              </w:rPr>
            </w:pPr>
            <w:r>
              <w:rPr>
                <w:rFonts w:hint="eastAsia" w:ascii="仿宋_GB2312" w:hAnsi="宋体" w:eastAsia="仿宋_GB2312"/>
                <w:bCs/>
                <w:szCs w:val="28"/>
              </w:rPr>
              <w:t>两个城市次中心：一个位于北环北部新区北侧，集中布置城市商务商贸设施，分担城市主中心的部分职能，主要对地块内部的居住及工业进行配套，功能主要为生活性配套服务；另一个位于古亭大道与会展南路交叉口处，是汽车城南部片区的会展中心，与南部主中心以及科教园区联系便捷，同时又有一定的分离，分解了主中心的功能及交通压力，同时形成良好的城市入口景观。</w:t>
            </w:r>
          </w:p>
          <w:p>
            <w:pPr>
              <w:spacing w:before="62" w:beforeLines="20" w:after="156" w:afterLines="50" w:line="360" w:lineRule="auto"/>
              <w:ind w:firstLine="560" w:firstLineChars="200"/>
              <w:rPr>
                <w:rFonts w:hint="eastAsia" w:ascii="仿宋_GB2312" w:hAnsi="宋体" w:eastAsia="仿宋_GB2312"/>
                <w:bCs/>
                <w:szCs w:val="28"/>
              </w:rPr>
            </w:pPr>
            <w:r>
              <w:rPr>
                <w:rFonts w:hint="eastAsia" w:ascii="仿宋_GB2312" w:hAnsi="宋体" w:eastAsia="仿宋_GB2312"/>
                <w:bCs/>
                <w:szCs w:val="28"/>
              </w:rPr>
              <w:t>七个片区（新镇）中心：在原北外环高速公路以北布局三个片区中心，在北外环高速公路以南布局四个片区中心，规划有零售商业、餐饮休闲、文化娱乐、酒店旅馆等设施。</w:t>
            </w:r>
          </w:p>
          <w:p>
            <w:pPr>
              <w:spacing w:before="62" w:beforeLines="20" w:after="156" w:afterLines="50" w:line="360" w:lineRule="auto"/>
              <w:ind w:firstLine="560" w:firstLineChars="200"/>
              <w:rPr>
                <w:rFonts w:hint="eastAsia" w:ascii="仿宋_GB2312" w:hAnsi="宋体" w:eastAsia="仿宋_GB2312"/>
                <w:bCs/>
                <w:szCs w:val="28"/>
              </w:rPr>
            </w:pPr>
            <w:r>
              <w:rPr>
                <w:rFonts w:hint="eastAsia" w:ascii="仿宋_GB2312" w:hAnsi="宋体" w:eastAsia="仿宋_GB2312"/>
                <w:bCs/>
                <w:szCs w:val="28"/>
              </w:rPr>
              <w:t>三大城市分区：官塘中心片在北环高速公路与桂柳高速公路之间，以居住、商业、工业为主的综合城区、城市的中心片区；北环片在北环高速公路以北部分，综合型城市新区，汽车城新的中心，合理的规划，高品位、高档次建设，严格的建设管理；雒容片在强容路以东，大朝岭以南。以生产性区域为主，配以为其服务的生活区，以整治、整合为主。</w:t>
            </w:r>
          </w:p>
          <w:p>
            <w:pPr>
              <w:spacing w:before="62" w:beforeLines="20" w:after="156" w:afterLines="50" w:line="360" w:lineRule="auto"/>
              <w:ind w:firstLine="560" w:firstLineChars="200"/>
              <w:rPr>
                <w:rFonts w:hint="eastAsia" w:ascii="仿宋_GB2312" w:hAnsi="宋体" w:eastAsia="仿宋_GB2312"/>
                <w:bCs/>
                <w:szCs w:val="28"/>
              </w:rPr>
            </w:pPr>
            <w:r>
              <w:rPr>
                <w:rFonts w:hint="eastAsia" w:ascii="仿宋_GB2312" w:hAnsi="宋体" w:eastAsia="仿宋_GB2312"/>
                <w:bCs/>
                <w:szCs w:val="28"/>
              </w:rPr>
              <w:t>三片城市风景区：汽车文化主题公园，突出汽车文化、旅游、运动的主题，可少量布置旅游度假设施。汽车城植物园，结合汽车城南面的商务中心，以九子岭为主体，形成汽车城中心区的北面的“绿肺”。汽车城门户公园，结合老虎岭等山体，整合周边景点，统一纳入风景区范围，进行整体环境的控制协调，丰富游览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22" w:type="dxa"/>
            <w:shd w:val="clear" w:color="auto" w:fill="auto"/>
          </w:tcPr>
          <w:p>
            <w:pPr>
              <w:spacing w:line="560" w:lineRule="exact"/>
              <w:rPr>
                <w:rFonts w:hint="eastAsia" w:eastAsia="仿宋_GB2312"/>
                <w:spacing w:val="4"/>
                <w:sz w:val="32"/>
                <w:szCs w:val="32"/>
              </w:rPr>
            </w:pPr>
          </w:p>
          <w:p>
            <w:pPr>
              <w:spacing w:line="560" w:lineRule="exact"/>
              <w:rPr>
                <w:rFonts w:hint="eastAsia" w:eastAsia="仿宋_GB2312"/>
                <w:spacing w:val="4"/>
                <w:sz w:val="32"/>
                <w:szCs w:val="32"/>
              </w:rPr>
            </w:pPr>
          </w:p>
          <w:p>
            <w:pPr>
              <w:spacing w:line="560" w:lineRule="exact"/>
              <w:rPr>
                <w:rFonts w:hint="eastAsia" w:eastAsia="仿宋_GB2312"/>
                <w:spacing w:val="4"/>
                <w:sz w:val="32"/>
                <w:szCs w:val="32"/>
              </w:rPr>
            </w:pPr>
          </w:p>
          <w:p>
            <w:pPr>
              <w:spacing w:line="560" w:lineRule="exact"/>
              <w:rPr>
                <w:rFonts w:hint="eastAsia"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560" w:lineRule="exact"/>
              <w:rPr>
                <w:rFonts w:eastAsia="仿宋_GB2312"/>
                <w:spacing w:val="4"/>
                <w:sz w:val="32"/>
                <w:szCs w:val="32"/>
              </w:rPr>
            </w:pPr>
          </w:p>
          <w:p>
            <w:pPr>
              <w:spacing w:line="360" w:lineRule="auto"/>
              <w:jc w:val="center"/>
              <w:rPr>
                <w:rFonts w:asciiTheme="minorEastAsia" w:hAnsiTheme="minorEastAsia" w:eastAsiaTheme="minorEastAsia"/>
                <w:spacing w:val="4"/>
                <w:sz w:val="32"/>
                <w:szCs w:val="32"/>
              </w:rPr>
            </w:pPr>
            <w:r>
              <w:rPr>
                <w:rFonts w:eastAsia="仿宋_GB2312"/>
                <w:spacing w:val="4"/>
                <w:sz w:val="32"/>
                <w:szCs w:val="32"/>
              </w:rPr>
              <w:drawing>
                <wp:anchor distT="0" distB="0" distL="114300" distR="114300" simplePos="0" relativeHeight="251661312" behindDoc="0" locked="0" layoutInCell="1" allowOverlap="1">
                  <wp:simplePos x="0" y="0"/>
                  <wp:positionH relativeFrom="column">
                    <wp:posOffset>1133475</wp:posOffset>
                  </wp:positionH>
                  <wp:positionV relativeFrom="paragraph">
                    <wp:posOffset>-2757170</wp:posOffset>
                  </wp:positionV>
                  <wp:extent cx="2725420" cy="275018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35010" t="33550" r="41719" b="29968"/>
                          <a:stretch>
                            <a:fillRect/>
                          </a:stretch>
                        </pic:blipFill>
                        <pic:spPr>
                          <a:xfrm>
                            <a:off x="0" y="0"/>
                            <a:ext cx="2725420" cy="2750185"/>
                          </a:xfrm>
                          <a:prstGeom prst="rect">
                            <a:avLst/>
                          </a:prstGeom>
                          <a:noFill/>
                          <a:ln>
                            <a:noFill/>
                          </a:ln>
                        </pic:spPr>
                      </pic:pic>
                    </a:graphicData>
                  </a:graphic>
                </wp:anchor>
              </w:drawing>
            </w:r>
            <w:r>
              <w:rPr>
                <w:rFonts w:hint="eastAsia" w:asciiTheme="minorEastAsia" w:hAnsiTheme="minorEastAsia" w:eastAsiaTheme="minorEastAsia"/>
                <w:sz w:val="24"/>
                <w:szCs w:val="24"/>
              </w:rPr>
              <w:t>广西园柳东新区部分功能分区</w:t>
            </w:r>
          </w:p>
        </w:tc>
      </w:tr>
    </w:tbl>
    <w:p>
      <w:pPr>
        <w:spacing w:line="560" w:lineRule="exact"/>
        <w:ind w:firstLine="656" w:firstLineChars="200"/>
        <w:rPr>
          <w:rFonts w:eastAsia="仿宋_GB2312"/>
          <w:spacing w:val="4"/>
          <w:sz w:val="32"/>
          <w:szCs w:val="32"/>
        </w:rPr>
      </w:pPr>
    </w:p>
    <w:p>
      <w:pPr>
        <w:spacing w:line="560" w:lineRule="exact"/>
        <w:ind w:firstLine="656" w:firstLineChars="200"/>
        <w:rPr>
          <w:rFonts w:eastAsia="仿宋_GB2312"/>
          <w:spacing w:val="4"/>
          <w:sz w:val="32"/>
          <w:szCs w:val="32"/>
        </w:rPr>
      </w:pPr>
      <w:r>
        <w:rPr>
          <w:rFonts w:hint="eastAsia" w:eastAsia="仿宋_GB2312"/>
          <w:spacing w:val="4"/>
          <w:sz w:val="32"/>
          <w:szCs w:val="32"/>
        </w:rPr>
        <w:t>着重以粤桂黔—东盟先进制造业开放合作先行示范区、西南中南地区开放发展新的战略支点核心区、面向东盟国际大通道的区域性重要节点、珠江—西江经济带联动发展战略枢纽为战略定位，打造中国制造2025试点市的产业发展总体定位，强化新区汽车支柱产业地位，推进装备制造业转型升级，发展壮大战略性新兴产业，提升现代服务业发展水平，加快构建区域特色鲜明、竞争力强的现代产业体系。</w:t>
      </w:r>
    </w:p>
    <w:p>
      <w:pPr>
        <w:pStyle w:val="4"/>
        <w:spacing w:before="0" w:after="0" w:line="600" w:lineRule="exact"/>
        <w:jc w:val="center"/>
        <w:rPr>
          <w:rFonts w:ascii="Times New Roman" w:hAnsi="Times New Roman" w:eastAsia="楷体_GB2312"/>
        </w:rPr>
      </w:pPr>
      <w:bookmarkStart w:id="83" w:name="_Toc440536809"/>
      <w:bookmarkStart w:id="84" w:name="_Toc458171812"/>
      <w:r>
        <w:rPr>
          <w:rFonts w:ascii="Times New Roman" w:hAnsi="Times New Roman" w:eastAsia="楷体_GB2312"/>
        </w:rPr>
        <w:t xml:space="preserve">第三节 </w:t>
      </w:r>
      <w:r>
        <w:rPr>
          <w:rFonts w:hint="eastAsia" w:ascii="Times New Roman" w:hAnsi="Times New Roman" w:eastAsia="楷体_GB2312"/>
        </w:rPr>
        <w:t>积极</w:t>
      </w:r>
      <w:r>
        <w:rPr>
          <w:rFonts w:ascii="Times New Roman" w:hAnsi="Times New Roman" w:eastAsia="楷体_GB2312"/>
        </w:rPr>
        <w:t>主导柳来河区域一体化联动发展</w:t>
      </w:r>
      <w:bookmarkEnd w:id="83"/>
      <w:bookmarkEnd w:id="84"/>
    </w:p>
    <w:p>
      <w:pPr>
        <w:ind w:firstLine="640" w:firstLineChars="200"/>
        <w:rPr>
          <w:color w:val="000000" w:themeColor="text1"/>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着力推动交通、产业、市场、科教、人才等领域一体化发展，打造柳来河产业互动城市圈。加强城市路网的全面对接，加快铁路、公路、水运等基础设施建设，规划建设城际轨道交通。依托</w:t>
      </w:r>
      <w:r>
        <w:rPr>
          <w:rFonts w:hint="eastAsia" w:ascii="Times New Roman" w:hAnsi="Times New Roman" w:eastAsia="仿宋_GB2312"/>
          <w:color w:val="000000" w:themeColor="text1"/>
          <w:kern w:val="0"/>
          <w:sz w:val="32"/>
          <w:szCs w:val="32"/>
          <w14:textFill>
            <w14:solidFill>
              <w14:schemeClr w14:val="tx1"/>
            </w14:solidFill>
          </w14:textFill>
        </w:rPr>
        <w:t>柳东新区</w:t>
      </w:r>
      <w:r>
        <w:rPr>
          <w:rFonts w:ascii="Times New Roman" w:hAnsi="Times New Roman" w:eastAsia="仿宋_GB2312"/>
          <w:color w:val="000000" w:themeColor="text1"/>
          <w:kern w:val="0"/>
          <w:sz w:val="32"/>
          <w:szCs w:val="32"/>
          <w14:textFill>
            <w14:solidFill>
              <w14:schemeClr w14:val="tx1"/>
            </w14:solidFill>
          </w14:textFill>
        </w:rPr>
        <w:t>强大的工业基础，发挥来宾、河池市特色产业优势，加强产业配套协作，共同培育联系紧密、相互配套、带动力强、跨区域发展的产业集群。以保障和改善民生为重点，逐步</w:t>
      </w:r>
      <w:r>
        <w:rPr>
          <w:rFonts w:hint="eastAsia" w:ascii="Times New Roman" w:hAnsi="Times New Roman" w:eastAsia="仿宋_GB2312"/>
          <w:color w:val="000000" w:themeColor="text1"/>
          <w:kern w:val="0"/>
          <w:sz w:val="32"/>
          <w:szCs w:val="32"/>
          <w14:textFill>
            <w14:solidFill>
              <w14:schemeClr w14:val="tx1"/>
            </w14:solidFill>
          </w14:textFill>
        </w:rPr>
        <w:t>推进</w:t>
      </w:r>
      <w:r>
        <w:rPr>
          <w:rFonts w:ascii="Times New Roman" w:hAnsi="Times New Roman" w:eastAsia="仿宋_GB2312"/>
          <w:color w:val="000000" w:themeColor="text1"/>
          <w:kern w:val="0"/>
          <w:sz w:val="32"/>
          <w:szCs w:val="32"/>
          <w14:textFill>
            <w14:solidFill>
              <w14:schemeClr w14:val="tx1"/>
            </w14:solidFill>
          </w14:textFill>
        </w:rPr>
        <w:t>基本公共服务一体化，发挥柳</w:t>
      </w:r>
      <w:r>
        <w:rPr>
          <w:rFonts w:hint="eastAsia" w:ascii="Times New Roman" w:hAnsi="Times New Roman" w:eastAsia="仿宋_GB2312"/>
          <w:color w:val="000000" w:themeColor="text1"/>
          <w:kern w:val="0"/>
          <w:sz w:val="32"/>
          <w:szCs w:val="32"/>
          <w14:textFill>
            <w14:solidFill>
              <w14:schemeClr w14:val="tx1"/>
            </w14:solidFill>
          </w14:textFill>
        </w:rPr>
        <w:t>东新区</w:t>
      </w:r>
      <w:r>
        <w:rPr>
          <w:rFonts w:ascii="Times New Roman" w:hAnsi="Times New Roman" w:eastAsia="仿宋_GB2312"/>
          <w:color w:val="000000" w:themeColor="text1"/>
          <w:kern w:val="0"/>
          <w:sz w:val="32"/>
          <w:szCs w:val="32"/>
          <w14:textFill>
            <w14:solidFill>
              <w14:schemeClr w14:val="tx1"/>
            </w14:solidFill>
          </w14:textFill>
        </w:rPr>
        <w:t>职业教育的优势，整合区域高、中等职业教育资源，建立适应一体化发展的现代职业教育体系；建立大型医院优质医疗资源共享制度，创建覆盖城乡的区域数字医疗服务和公共卫生信息平台。</w:t>
      </w:r>
    </w:p>
    <w:p>
      <w:pPr>
        <w:pStyle w:val="2"/>
        <w:spacing w:before="0" w:after="0" w:line="600" w:lineRule="exact"/>
        <w:jc w:val="center"/>
        <w:rPr>
          <w:rStyle w:val="31"/>
          <w:rFonts w:ascii="Times New Roman" w:hAnsi="Times New Roman" w:cs="Times New Roman"/>
          <w:color w:val="auto"/>
          <w:sz w:val="32"/>
          <w:szCs w:val="32"/>
          <w:u w:val="none"/>
          <w:lang w:val="zh-CN" w:eastAsia="zh-CN"/>
        </w:rPr>
      </w:pPr>
      <w:bookmarkStart w:id="85" w:name="_Toc458171813"/>
      <w:r>
        <w:rPr>
          <w:rStyle w:val="31"/>
          <w:rFonts w:hint="eastAsia" w:ascii="Times New Roman" w:hAnsi="Times New Roman" w:cs="Times New Roman"/>
          <w:color w:val="auto"/>
          <w:sz w:val="32"/>
          <w:szCs w:val="32"/>
          <w:u w:val="none"/>
          <w:lang w:val="zh-CN" w:eastAsia="zh-CN"/>
        </w:rPr>
        <w:t>第十一章 深度融入“</w:t>
      </w:r>
      <w:r>
        <w:rPr>
          <w:rStyle w:val="31"/>
          <w:rFonts w:ascii="Times New Roman" w:hAnsi="Times New Roman" w:cs="Times New Roman"/>
          <w:color w:val="auto"/>
          <w:sz w:val="32"/>
          <w:szCs w:val="32"/>
          <w:u w:val="none"/>
          <w:lang w:val="zh-CN" w:eastAsia="zh-CN"/>
        </w:rPr>
        <w:t>一带一路</w:t>
      </w:r>
      <w:r>
        <w:rPr>
          <w:rStyle w:val="31"/>
          <w:rFonts w:hint="eastAsia" w:ascii="Times New Roman" w:hAnsi="Times New Roman" w:cs="Times New Roman"/>
          <w:color w:val="auto"/>
          <w:sz w:val="32"/>
          <w:szCs w:val="32"/>
          <w:u w:val="none"/>
          <w:lang w:val="zh-CN" w:eastAsia="zh-CN"/>
        </w:rPr>
        <w:t>”</w:t>
      </w:r>
      <w:bookmarkEnd w:id="85"/>
      <w:r>
        <w:rPr>
          <w:rStyle w:val="31"/>
          <w:rFonts w:hint="eastAsia" w:ascii="Times New Roman" w:hAnsi="Times New Roman" w:cs="Times New Roman"/>
          <w:color w:val="auto"/>
          <w:sz w:val="32"/>
          <w:szCs w:val="32"/>
          <w:u w:val="none"/>
          <w:lang w:val="zh-CN" w:eastAsia="zh-CN"/>
        </w:rPr>
        <w:t>倡议</w:t>
      </w:r>
    </w:p>
    <w:p>
      <w:pPr>
        <w:spacing w:line="560" w:lineRule="exact"/>
        <w:ind w:firstLine="656" w:firstLineChars="200"/>
        <w:rPr>
          <w:rFonts w:eastAsia="仿宋_GB2312"/>
          <w:b/>
          <w:color w:val="000000" w:themeColor="text1"/>
          <w:spacing w:val="4"/>
          <w:sz w:val="32"/>
          <w:szCs w:val="32"/>
          <w14:textFill>
            <w14:solidFill>
              <w14:schemeClr w14:val="tx1"/>
            </w14:solidFill>
          </w14:textFill>
        </w:rPr>
      </w:pPr>
      <w:r>
        <w:rPr>
          <w:rFonts w:eastAsia="仿宋_GB2312"/>
          <w:color w:val="000000" w:themeColor="text1"/>
          <w:spacing w:val="4"/>
          <w:sz w:val="32"/>
          <w:szCs w:val="32"/>
          <w14:textFill>
            <w14:solidFill>
              <w14:schemeClr w14:val="tx1"/>
            </w14:solidFill>
          </w14:textFill>
        </w:rPr>
        <w:t>在“一带一路”门户区</w:t>
      </w:r>
      <w:r>
        <w:rPr>
          <w:rFonts w:hint="eastAsia" w:eastAsia="仿宋_GB2312"/>
          <w:color w:val="000000" w:themeColor="text1"/>
          <w:spacing w:val="4"/>
          <w:sz w:val="32"/>
          <w:szCs w:val="32"/>
          <w14:textFill>
            <w14:solidFill>
              <w14:schemeClr w14:val="tx1"/>
            </w14:solidFill>
          </w14:textFill>
        </w:rPr>
        <w:t>、西南出海大通道</w:t>
      </w:r>
      <w:r>
        <w:rPr>
          <w:rFonts w:eastAsia="仿宋_GB2312"/>
          <w:color w:val="000000" w:themeColor="text1"/>
          <w:spacing w:val="4"/>
          <w:sz w:val="32"/>
          <w:szCs w:val="32"/>
          <w14:textFill>
            <w14:solidFill>
              <w14:schemeClr w14:val="tx1"/>
            </w14:solidFill>
          </w14:textFill>
        </w:rPr>
        <w:t>和西江经济带基础设施建设大会战中，围绕交通提升、信息畅通和城镇化三大基础，做好重大项目谋划，争取纳入自治区布局。</w:t>
      </w:r>
      <w:r>
        <w:rPr>
          <w:rFonts w:hint="eastAsia" w:ascii="仿宋_GB2312" w:eastAsia="仿宋_GB2312"/>
          <w:color w:val="000000" w:themeColor="text1"/>
          <w:sz w:val="32"/>
          <w:szCs w:val="32"/>
          <w14:textFill>
            <w14:solidFill>
              <w14:schemeClr w14:val="tx1"/>
            </w14:solidFill>
          </w14:textFill>
        </w:rPr>
        <w:t>全力打造交通枢纽，</w:t>
      </w:r>
      <w:r>
        <w:rPr>
          <w:rFonts w:eastAsia="仿宋_GB2312"/>
          <w:color w:val="000000" w:themeColor="text1"/>
          <w:spacing w:val="4"/>
          <w:sz w:val="32"/>
          <w:szCs w:val="32"/>
          <w14:textFill>
            <w14:solidFill>
              <w14:schemeClr w14:val="tx1"/>
            </w14:solidFill>
          </w14:textFill>
        </w:rPr>
        <w:t>持续推进官塘综合保税区等软硬件建设，确立比较优势，创造发展条件；加快布局柳州港官塘作业区、国家公路货运枢纽柳东物流中心等开放口岸和交通设施，有效改善新区对外开放基础环境；打造广西柳州汽车城产业转型升级，以突出的综合实力和发展特色，赢得竞争主动权</w:t>
      </w:r>
      <w:r>
        <w:rPr>
          <w:rFonts w:hint="eastAsia" w:eastAsia="仿宋_GB2312"/>
          <w:color w:val="000000" w:themeColor="text1"/>
          <w:spacing w:val="4"/>
          <w:sz w:val="32"/>
          <w:szCs w:val="32"/>
          <w14:textFill>
            <w14:solidFill>
              <w14:schemeClr w14:val="tx1"/>
            </w14:solidFill>
          </w14:textFill>
        </w:rPr>
        <w:t>。推动“</w:t>
      </w:r>
      <w:r>
        <w:rPr>
          <w:rFonts w:hint="eastAsia" w:ascii="仿宋_GB2312" w:eastAsia="仿宋_GB2312"/>
          <w:color w:val="000000" w:themeColor="text1"/>
          <w:sz w:val="32"/>
          <w:szCs w:val="32"/>
          <w14:textFill>
            <w14:solidFill>
              <w14:schemeClr w14:val="tx1"/>
            </w14:solidFill>
          </w14:textFill>
        </w:rPr>
        <w:t>引进来”与“走出去”，</w:t>
      </w:r>
      <w:r>
        <w:rPr>
          <w:rFonts w:eastAsia="仿宋_GB2312"/>
          <w:color w:val="000000" w:themeColor="text1"/>
          <w:spacing w:val="4"/>
          <w:sz w:val="32"/>
          <w:szCs w:val="32"/>
          <w14:textFill>
            <w14:solidFill>
              <w14:schemeClr w14:val="tx1"/>
            </w14:solidFill>
          </w14:textFill>
        </w:rPr>
        <w:t>内引外联发展外向型经济，</w:t>
      </w:r>
      <w:r>
        <w:rPr>
          <w:rFonts w:hint="eastAsia" w:eastAsia="仿宋_GB2312"/>
          <w:color w:val="000000" w:themeColor="text1"/>
          <w:spacing w:val="4"/>
          <w:sz w:val="32"/>
          <w:szCs w:val="32"/>
          <w14:textFill>
            <w14:solidFill>
              <w14:schemeClr w14:val="tx1"/>
            </w14:solidFill>
          </w14:textFill>
        </w:rPr>
        <w:t>促进</w:t>
      </w:r>
      <w:r>
        <w:rPr>
          <w:rFonts w:eastAsia="仿宋_GB2312"/>
          <w:color w:val="000000" w:themeColor="text1"/>
          <w:spacing w:val="4"/>
          <w:sz w:val="32"/>
          <w:szCs w:val="32"/>
          <w14:textFill>
            <w14:solidFill>
              <w14:schemeClr w14:val="tx1"/>
            </w14:solidFill>
          </w14:textFill>
        </w:rPr>
        <w:t>产业集聚、要素集聚、人</w:t>
      </w:r>
      <w:r>
        <w:rPr>
          <w:rFonts w:hint="eastAsia" w:eastAsia="仿宋_GB2312"/>
          <w:color w:val="000000" w:themeColor="text1"/>
          <w:spacing w:val="4"/>
          <w:sz w:val="32"/>
          <w:szCs w:val="32"/>
          <w14:textFill>
            <w14:solidFill>
              <w14:schemeClr w14:val="tx1"/>
            </w14:solidFill>
          </w14:textFill>
        </w:rPr>
        <w:t>才</w:t>
      </w:r>
      <w:r>
        <w:rPr>
          <w:rFonts w:eastAsia="仿宋_GB2312"/>
          <w:color w:val="000000" w:themeColor="text1"/>
          <w:spacing w:val="4"/>
          <w:sz w:val="32"/>
          <w:szCs w:val="32"/>
          <w14:textFill>
            <w14:solidFill>
              <w14:schemeClr w14:val="tx1"/>
            </w14:solidFill>
          </w14:textFill>
        </w:rPr>
        <w:t>集聚</w:t>
      </w:r>
      <w:r>
        <w:rPr>
          <w:rFonts w:hint="eastAsia" w:eastAsia="仿宋_GB2312"/>
          <w:color w:val="000000" w:themeColor="text1"/>
          <w:spacing w:val="4"/>
          <w:sz w:val="32"/>
          <w:szCs w:val="32"/>
          <w14:textFill>
            <w14:solidFill>
              <w14:schemeClr w14:val="tx1"/>
            </w14:solidFill>
          </w14:textFill>
        </w:rPr>
        <w:t>，</w:t>
      </w:r>
      <w:r>
        <w:rPr>
          <w:rFonts w:eastAsia="仿宋_GB2312"/>
          <w:color w:val="000000" w:themeColor="text1"/>
          <w:spacing w:val="4"/>
          <w:sz w:val="32"/>
          <w:szCs w:val="32"/>
          <w14:textFill>
            <w14:solidFill>
              <w14:schemeClr w14:val="tx1"/>
            </w14:solidFill>
          </w14:textFill>
        </w:rPr>
        <w:t>鼓励扶持新区企业走出去释放产能，提升全方位开放水平。</w:t>
      </w:r>
    </w:p>
    <w:p>
      <w:pPr>
        <w:spacing w:line="60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p>
    <w:p>
      <w:pPr>
        <w:pStyle w:val="4"/>
        <w:spacing w:before="0" w:after="0" w:line="600" w:lineRule="exact"/>
        <w:jc w:val="center"/>
        <w:rPr>
          <w:rFonts w:ascii="Times New Roman" w:hAnsi="Times New Roman" w:eastAsia="楷体_GB2312"/>
          <w:color w:val="000000" w:themeColor="text1"/>
          <w14:textFill>
            <w14:solidFill>
              <w14:schemeClr w14:val="tx1"/>
            </w14:solidFill>
          </w14:textFill>
        </w:rPr>
      </w:pPr>
      <w:bookmarkStart w:id="86" w:name="_Toc440536811"/>
      <w:bookmarkStart w:id="87" w:name="_Toc458171814"/>
      <w:r>
        <w:rPr>
          <w:rFonts w:hint="eastAsia" w:ascii="Times New Roman" w:hAnsi="Times New Roman" w:eastAsia="楷体_GB2312"/>
          <w:color w:val="000000" w:themeColor="text1"/>
          <w14:textFill>
            <w14:solidFill>
              <w14:schemeClr w14:val="tx1"/>
            </w14:solidFill>
          </w14:textFill>
        </w:rPr>
        <w:t xml:space="preserve">第一节 </w:t>
      </w:r>
      <w:r>
        <w:rPr>
          <w:rFonts w:ascii="Times New Roman" w:hAnsi="Times New Roman" w:eastAsia="楷体_GB2312"/>
          <w:color w:val="000000" w:themeColor="text1"/>
          <w14:textFill>
            <w14:solidFill>
              <w14:schemeClr w14:val="tx1"/>
            </w14:solidFill>
          </w14:textFill>
        </w:rPr>
        <w:t>加快</w:t>
      </w:r>
      <w:r>
        <w:rPr>
          <w:rFonts w:hint="eastAsia" w:ascii="Times New Roman" w:hAnsi="Times New Roman" w:eastAsia="楷体_GB2312"/>
          <w:color w:val="000000" w:themeColor="text1"/>
          <w14:textFill>
            <w14:solidFill>
              <w14:schemeClr w14:val="tx1"/>
            </w14:solidFill>
          </w14:textFill>
        </w:rPr>
        <w:t>“</w:t>
      </w:r>
      <w:r>
        <w:rPr>
          <w:rFonts w:ascii="Times New Roman" w:hAnsi="Times New Roman" w:eastAsia="楷体_GB2312"/>
          <w:color w:val="000000" w:themeColor="text1"/>
          <w14:textFill>
            <w14:solidFill>
              <w14:schemeClr w14:val="tx1"/>
            </w14:solidFill>
          </w14:textFill>
        </w:rPr>
        <w:t>走出去</w:t>
      </w:r>
      <w:r>
        <w:rPr>
          <w:rFonts w:hint="eastAsia" w:ascii="Times New Roman" w:hAnsi="Times New Roman" w:eastAsia="楷体_GB2312"/>
          <w:color w:val="000000" w:themeColor="text1"/>
          <w14:textFill>
            <w14:solidFill>
              <w14:schemeClr w14:val="tx1"/>
            </w14:solidFill>
          </w14:textFill>
        </w:rPr>
        <w:t>”</w:t>
      </w:r>
      <w:r>
        <w:rPr>
          <w:rFonts w:ascii="Times New Roman" w:hAnsi="Times New Roman" w:eastAsia="楷体_GB2312"/>
          <w:color w:val="000000" w:themeColor="text1"/>
          <w14:textFill>
            <w14:solidFill>
              <w14:schemeClr w14:val="tx1"/>
            </w14:solidFill>
          </w14:textFill>
        </w:rPr>
        <w:t>步伐</w:t>
      </w:r>
      <w:bookmarkEnd w:id="86"/>
      <w:bookmarkEnd w:id="87"/>
    </w:p>
    <w:p>
      <w:pPr>
        <w:spacing w:line="60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积极支持汽车</w:t>
      </w:r>
      <w:r>
        <w:rPr>
          <w:rFonts w:hint="eastAsia" w:ascii="Times New Roman" w:hAnsi="Times New Roman" w:eastAsia="仿宋_GB2312"/>
          <w:color w:val="000000" w:themeColor="text1"/>
          <w:kern w:val="0"/>
          <w:sz w:val="32"/>
          <w:szCs w:val="32"/>
          <w14:textFill>
            <w14:solidFill>
              <w14:schemeClr w14:val="tx1"/>
            </w14:solidFill>
          </w14:textFill>
        </w:rPr>
        <w:t>整车及零部件</w:t>
      </w:r>
      <w:r>
        <w:rPr>
          <w:rFonts w:ascii="Times New Roman" w:hAnsi="Times New Roman" w:eastAsia="仿宋_GB2312"/>
          <w:color w:val="000000" w:themeColor="text1"/>
          <w:kern w:val="0"/>
          <w:sz w:val="32"/>
          <w:szCs w:val="32"/>
          <w14:textFill>
            <w14:solidFill>
              <w14:schemeClr w14:val="tx1"/>
            </w14:solidFill>
          </w14:textFill>
        </w:rPr>
        <w:t>、</w:t>
      </w:r>
      <w:r>
        <w:rPr>
          <w:rFonts w:hint="eastAsia" w:ascii="Times New Roman" w:hAnsi="Times New Roman" w:eastAsia="仿宋_GB2312"/>
          <w:color w:val="000000" w:themeColor="text1"/>
          <w:kern w:val="0"/>
          <w:sz w:val="32"/>
          <w:szCs w:val="32"/>
          <w14:textFill>
            <w14:solidFill>
              <w14:schemeClr w14:val="tx1"/>
            </w14:solidFill>
          </w14:textFill>
        </w:rPr>
        <w:t>机械装备</w:t>
      </w:r>
      <w:r>
        <w:rPr>
          <w:rFonts w:ascii="Times New Roman" w:hAnsi="Times New Roman" w:eastAsia="仿宋_GB2312"/>
          <w:color w:val="000000" w:themeColor="text1"/>
          <w:kern w:val="0"/>
          <w:sz w:val="32"/>
          <w:szCs w:val="32"/>
          <w14:textFill>
            <w14:solidFill>
              <w14:schemeClr w14:val="tx1"/>
            </w14:solidFill>
          </w14:textFill>
        </w:rPr>
        <w:t>等优势产能对外开展合作，推进企业与“一带一路”沿线国家和地区共建生产制造基地、经贸合作区、营销中心，推动装备、技术、标准和服务走出去，深度融入全球产业链、价值链、物流链。</w:t>
      </w:r>
    </w:p>
    <w:p>
      <w:pPr>
        <w:pStyle w:val="24"/>
        <w:shd w:val="clear" w:color="auto" w:fill="FFFFFF"/>
        <w:spacing w:before="0" w:beforeAutospacing="0" w:after="0" w:afterAutospacing="0" w:line="600" w:lineRule="exact"/>
        <w:ind w:firstLine="639" w:firstLineChars="199"/>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壮大</w:t>
      </w:r>
      <w:r>
        <w:rPr>
          <w:rFonts w:hint="eastAsia"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走出去</w:t>
      </w:r>
      <w:r>
        <w:rPr>
          <w:rFonts w:hint="eastAsia"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主体。</w:t>
      </w:r>
      <w:r>
        <w:rPr>
          <w:rFonts w:ascii="Times New Roman" w:hAnsi="Times New Roman" w:eastAsia="仿宋_GB2312" w:cs="Times New Roman"/>
          <w:color w:val="000000" w:themeColor="text1"/>
          <w:sz w:val="32"/>
          <w:szCs w:val="32"/>
          <w14:textFill>
            <w14:solidFill>
              <w14:schemeClr w14:val="tx1"/>
            </w14:solidFill>
          </w14:textFill>
        </w:rPr>
        <w:t>发挥大型龙头企业在境外投资中的主导作用，加快“走出去”步伐。坚持突出重点、有序推进，以汽车、工程机械领域为重点，通过整合优势资源，引导和推动更多企业加大国际市场开拓和对外投资，开展国际产能合作，推动产业产品产能输出。力推具有核心竞争力的出口企业集团积极拓展国际营销网络、开展自主创新和研发，实现转型升级，扩大国际市场份额，加快形成具有国际知名度和影响力的跨国公司和国际国内知名品牌。</w:t>
      </w:r>
    </w:p>
    <w:p>
      <w:pPr>
        <w:spacing w:line="60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b/>
          <w:color w:val="000000" w:themeColor="text1"/>
          <w:kern w:val="0"/>
          <w:sz w:val="32"/>
          <w:szCs w:val="32"/>
          <w14:textFill>
            <w14:solidFill>
              <w14:schemeClr w14:val="tx1"/>
            </w14:solidFill>
          </w14:textFill>
        </w:rPr>
        <w:t>创新</w:t>
      </w:r>
      <w:r>
        <w:rPr>
          <w:rFonts w:hint="eastAsia" w:ascii="Times New Roman" w:hAnsi="Times New Roman" w:eastAsia="仿宋_GB2312"/>
          <w:b/>
          <w:color w:val="000000" w:themeColor="text1"/>
          <w:kern w:val="0"/>
          <w:sz w:val="32"/>
          <w:szCs w:val="32"/>
          <w14:textFill>
            <w14:solidFill>
              <w14:schemeClr w14:val="tx1"/>
            </w14:solidFill>
          </w14:textFill>
        </w:rPr>
        <w:t>“</w:t>
      </w:r>
      <w:r>
        <w:rPr>
          <w:rFonts w:ascii="Times New Roman" w:hAnsi="Times New Roman" w:eastAsia="仿宋_GB2312"/>
          <w:b/>
          <w:color w:val="000000" w:themeColor="text1"/>
          <w:kern w:val="0"/>
          <w:sz w:val="32"/>
          <w:szCs w:val="32"/>
          <w14:textFill>
            <w14:solidFill>
              <w14:schemeClr w14:val="tx1"/>
            </w14:solidFill>
          </w14:textFill>
        </w:rPr>
        <w:t>走出去</w:t>
      </w:r>
      <w:r>
        <w:rPr>
          <w:rFonts w:hint="eastAsia" w:ascii="Times New Roman" w:hAnsi="Times New Roman" w:eastAsia="仿宋_GB2312"/>
          <w:b/>
          <w:color w:val="000000" w:themeColor="text1"/>
          <w:kern w:val="0"/>
          <w:sz w:val="32"/>
          <w:szCs w:val="32"/>
          <w14:textFill>
            <w14:solidFill>
              <w14:schemeClr w14:val="tx1"/>
            </w14:solidFill>
          </w14:textFill>
        </w:rPr>
        <w:t>”</w:t>
      </w:r>
      <w:r>
        <w:rPr>
          <w:rFonts w:ascii="Times New Roman" w:hAnsi="Times New Roman" w:eastAsia="仿宋_GB2312"/>
          <w:b/>
          <w:color w:val="000000" w:themeColor="text1"/>
          <w:kern w:val="0"/>
          <w:sz w:val="32"/>
          <w:szCs w:val="32"/>
          <w14:textFill>
            <w14:solidFill>
              <w14:schemeClr w14:val="tx1"/>
            </w14:solidFill>
          </w14:textFill>
        </w:rPr>
        <w:t>方式。</w:t>
      </w:r>
      <w:r>
        <w:rPr>
          <w:rFonts w:ascii="Times New Roman" w:hAnsi="Times New Roman" w:eastAsia="仿宋_GB2312"/>
          <w:color w:val="000000" w:themeColor="text1"/>
          <w:kern w:val="0"/>
          <w:sz w:val="32"/>
          <w:szCs w:val="32"/>
          <w14:textFill>
            <w14:solidFill>
              <w14:schemeClr w14:val="tx1"/>
            </w14:solidFill>
          </w14:textFill>
        </w:rPr>
        <w:t>积极引导企业不断创新对外投资方式，灵活采取贸易、投资、园区建设、技术合作等多种方式，提高对外合作水平，逐步提高自主品牌的国际影响力。支持企业同具有品牌、技术和市场优势的国外企业合作，利用海外国家智力资源，提高汽车、工程机械制造等企业产品的品牌影响力和技术水平，促进形成国际产能和装备制造合作优进优出的合作格局。支持企业以境外工业园区和营销基地为主平台，加速建立境外工贸联盟，搭建境外产、供、销集群中心，形成海外优势产业链。推动企业提高全球经营能力，引导企业积极开展境外并购、参股、换股等资本运作。鼓励企业通过</w:t>
      </w:r>
      <w:r>
        <w:fldChar w:fldCharType="begin"/>
      </w:r>
      <w:r>
        <w:instrText xml:space="preserve"> HYPERLINK "http://baike.baidu.com/subview/1131493/1131493.htm" \t "_blank" </w:instrText>
      </w:r>
      <w:r>
        <w:fldChar w:fldCharType="separate"/>
      </w:r>
      <w:r>
        <w:rPr>
          <w:rStyle w:val="31"/>
          <w:rFonts w:ascii="Times New Roman" w:hAnsi="Times New Roman" w:eastAsia="仿宋_GB2312"/>
          <w:color w:val="000000" w:themeColor="text1"/>
          <w:kern w:val="0"/>
          <w:sz w:val="32"/>
          <w:szCs w:val="32"/>
          <w:u w:val="none"/>
          <w14:textFill>
            <w14:solidFill>
              <w14:schemeClr w14:val="tx1"/>
            </w14:solidFill>
          </w14:textFill>
        </w:rPr>
        <w:t>境外投资项目</w:t>
      </w:r>
      <w:r>
        <w:rPr>
          <w:rStyle w:val="31"/>
          <w:rFonts w:ascii="Times New Roman" w:hAnsi="Times New Roman" w:eastAsia="仿宋_GB2312"/>
          <w:color w:val="000000" w:themeColor="text1"/>
          <w:kern w:val="0"/>
          <w:sz w:val="32"/>
          <w:szCs w:val="32"/>
          <w:u w:val="none"/>
          <w14:textFill>
            <w14:solidFill>
              <w14:schemeClr w14:val="tx1"/>
            </w14:solidFill>
          </w14:textFill>
        </w:rPr>
        <w:fldChar w:fldCharType="end"/>
      </w:r>
      <w:r>
        <w:rPr>
          <w:rFonts w:ascii="Times New Roman" w:hAnsi="Times New Roman" w:eastAsia="仿宋_GB2312"/>
          <w:color w:val="000000" w:themeColor="text1"/>
          <w:kern w:val="0"/>
          <w:sz w:val="32"/>
          <w:szCs w:val="32"/>
          <w14:textFill>
            <w14:solidFill>
              <w14:schemeClr w14:val="tx1"/>
            </w14:solidFill>
          </w14:textFill>
        </w:rPr>
        <w:t>带动柳州具有比较优势的产品、设备、技术、服务出口和</w:t>
      </w:r>
      <w:r>
        <w:fldChar w:fldCharType="begin"/>
      </w:r>
      <w:r>
        <w:instrText xml:space="preserve"> HYPERLINK "http://baike.baidu.com/subview/167357/167357.htm" \t "_blank" </w:instrText>
      </w:r>
      <w:r>
        <w:fldChar w:fldCharType="separate"/>
      </w:r>
      <w:r>
        <w:rPr>
          <w:rStyle w:val="31"/>
          <w:rFonts w:ascii="Times New Roman" w:hAnsi="Times New Roman" w:eastAsia="仿宋_GB2312"/>
          <w:color w:val="000000" w:themeColor="text1"/>
          <w:kern w:val="0"/>
          <w:sz w:val="32"/>
          <w:szCs w:val="32"/>
          <w:u w:val="none"/>
          <w14:textFill>
            <w14:solidFill>
              <w14:schemeClr w14:val="tx1"/>
            </w14:solidFill>
          </w14:textFill>
        </w:rPr>
        <w:t>劳务输出</w:t>
      </w:r>
      <w:r>
        <w:rPr>
          <w:rStyle w:val="31"/>
          <w:rFonts w:ascii="Times New Roman" w:hAnsi="Times New Roman" w:eastAsia="仿宋_GB2312"/>
          <w:color w:val="000000" w:themeColor="text1"/>
          <w:kern w:val="0"/>
          <w:sz w:val="32"/>
          <w:szCs w:val="32"/>
          <w:u w:val="none"/>
          <w14:textFill>
            <w14:solidFill>
              <w14:schemeClr w14:val="tx1"/>
            </w14:solidFill>
          </w14:textFill>
        </w:rPr>
        <w:fldChar w:fldCharType="end"/>
      </w:r>
      <w:r>
        <w:rPr>
          <w:rFonts w:ascii="Times New Roman" w:hAnsi="Times New Roman" w:eastAsia="仿宋_GB2312"/>
          <w:color w:val="000000" w:themeColor="text1"/>
          <w:kern w:val="0"/>
          <w:sz w:val="32"/>
          <w:szCs w:val="32"/>
          <w14:textFill>
            <w14:solidFill>
              <w14:schemeClr w14:val="tx1"/>
            </w14:solidFill>
          </w14:textFill>
        </w:rPr>
        <w:t>，拓展企业国际发展空间。制定境外投资扶持政策，完善风险防范预警机制，维护“走出去”企业权益。</w:t>
      </w:r>
    </w:p>
    <w:p>
      <w:pPr>
        <w:spacing w:line="600" w:lineRule="exact"/>
        <w:ind w:firstLine="643" w:firstLineChars="200"/>
        <w:rPr>
          <w:rFonts w:ascii="Times New Roman" w:hAnsi="Times New Roman" w:eastAsia="华文仿宋"/>
          <w:b/>
          <w:color w:val="000000" w:themeColor="text1"/>
          <w:sz w:val="32"/>
          <w:szCs w:val="32"/>
          <w14:textFill>
            <w14:solidFill>
              <w14:schemeClr w14:val="tx1"/>
            </w14:solidFill>
          </w14:textFill>
        </w:rPr>
      </w:pPr>
    </w:p>
    <w:p>
      <w:pPr>
        <w:pStyle w:val="4"/>
        <w:spacing w:before="0" w:after="0" w:line="600" w:lineRule="exact"/>
        <w:jc w:val="center"/>
        <w:rPr>
          <w:rFonts w:ascii="Times New Roman" w:hAnsi="Times New Roman" w:eastAsia="楷体_GB2312"/>
          <w:color w:val="000000" w:themeColor="text1"/>
          <w14:textFill>
            <w14:solidFill>
              <w14:schemeClr w14:val="tx1"/>
            </w14:solidFill>
          </w14:textFill>
        </w:rPr>
      </w:pPr>
      <w:bookmarkStart w:id="88" w:name="_Toc440536812"/>
      <w:bookmarkStart w:id="89" w:name="_Toc458171815"/>
      <w:r>
        <w:rPr>
          <w:rFonts w:ascii="Times New Roman" w:hAnsi="Times New Roman" w:eastAsia="楷体_GB2312"/>
          <w:color w:val="000000" w:themeColor="text1"/>
          <w14:textFill>
            <w14:solidFill>
              <w14:schemeClr w14:val="tx1"/>
            </w14:solidFill>
          </w14:textFill>
        </w:rPr>
        <w:t>第二节 提升</w:t>
      </w:r>
      <w:r>
        <w:rPr>
          <w:rFonts w:hint="eastAsia" w:ascii="Times New Roman" w:hAnsi="Times New Roman" w:eastAsia="楷体_GB2312"/>
          <w:color w:val="000000" w:themeColor="text1"/>
          <w14:textFill>
            <w14:solidFill>
              <w14:schemeClr w14:val="tx1"/>
            </w14:solidFill>
          </w14:textFill>
        </w:rPr>
        <w:t>“</w:t>
      </w:r>
      <w:r>
        <w:rPr>
          <w:rFonts w:ascii="Times New Roman" w:hAnsi="Times New Roman" w:eastAsia="楷体_GB2312"/>
          <w:color w:val="000000" w:themeColor="text1"/>
          <w14:textFill>
            <w14:solidFill>
              <w14:schemeClr w14:val="tx1"/>
            </w14:solidFill>
          </w14:textFill>
        </w:rPr>
        <w:t>引进来</w:t>
      </w:r>
      <w:r>
        <w:rPr>
          <w:rFonts w:hint="eastAsia" w:ascii="Times New Roman" w:hAnsi="Times New Roman" w:eastAsia="楷体_GB2312"/>
          <w:color w:val="000000" w:themeColor="text1"/>
          <w14:textFill>
            <w14:solidFill>
              <w14:schemeClr w14:val="tx1"/>
            </w14:solidFill>
          </w14:textFill>
        </w:rPr>
        <w:t>”</w:t>
      </w:r>
      <w:r>
        <w:rPr>
          <w:rFonts w:ascii="Times New Roman" w:hAnsi="Times New Roman" w:eastAsia="楷体_GB2312"/>
          <w:color w:val="000000" w:themeColor="text1"/>
          <w14:textFill>
            <w14:solidFill>
              <w14:schemeClr w14:val="tx1"/>
            </w14:solidFill>
          </w14:textFill>
        </w:rPr>
        <w:t>能力</w:t>
      </w:r>
      <w:bookmarkEnd w:id="88"/>
      <w:bookmarkEnd w:id="89"/>
    </w:p>
    <w:p>
      <w:pPr>
        <w:spacing w:line="60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 xml:space="preserve">坚持高端取向和内外资并举，突出战略性新兴产业、现代服务业的招商，着力招大引强、招新引优、招才引智，全面提升“引进来”的能力。 </w:t>
      </w:r>
    </w:p>
    <w:p>
      <w:pPr>
        <w:spacing w:line="60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b/>
          <w:color w:val="000000" w:themeColor="text1"/>
          <w:kern w:val="0"/>
          <w:sz w:val="32"/>
          <w:szCs w:val="32"/>
          <w14:textFill>
            <w14:solidFill>
              <w14:schemeClr w14:val="tx1"/>
            </w14:solidFill>
          </w14:textFill>
        </w:rPr>
        <w:t>推动产业园区转型升级。</w:t>
      </w:r>
      <w:r>
        <w:rPr>
          <w:rFonts w:ascii="Times New Roman" w:hAnsi="Times New Roman" w:eastAsia="仿宋_GB2312"/>
          <w:color w:val="000000" w:themeColor="text1"/>
          <w:kern w:val="0"/>
          <w:sz w:val="32"/>
          <w:szCs w:val="32"/>
          <w14:textFill>
            <w14:solidFill>
              <w14:schemeClr w14:val="tx1"/>
            </w14:solidFill>
          </w14:textFill>
        </w:rPr>
        <w:t>全面加快柳东新区开发建设，发挥广西柳州汽车城集聚效应</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加快产业集群集约发展，打造全国汽车产业发展新高地、产城融合示范区和国家高新区建设先进区，形成新的增长极；进一步完善工业布局，促进各类要素资源向园区集中，打造一批特色产业园区，建设自治区级高新区。推动产业园区再造新优势，提升创新、集聚和服务功能，成为科技创新先导区、新兴产业集聚区和集约发展示范区。以增强自主创新能力作为</w:t>
      </w:r>
      <w:r>
        <w:rPr>
          <w:rFonts w:ascii="Times New Roman" w:hAnsi="Times New Roman" w:eastAsia="华文仿宋"/>
          <w:color w:val="000000" w:themeColor="text1"/>
          <w:sz w:val="32"/>
          <w:szCs w:val="32"/>
          <w14:textFill>
            <w14:solidFill>
              <w14:schemeClr w14:val="tx1"/>
            </w14:solidFill>
          </w14:textFill>
        </w:rPr>
        <w:t>产业园区</w:t>
      </w:r>
      <w:r>
        <w:rPr>
          <w:rFonts w:ascii="Times New Roman" w:hAnsi="Times New Roman" w:eastAsia="仿宋_GB2312"/>
          <w:color w:val="000000" w:themeColor="text1"/>
          <w:kern w:val="0"/>
          <w:sz w:val="32"/>
          <w:szCs w:val="32"/>
          <w14:textFill>
            <w14:solidFill>
              <w14:schemeClr w14:val="tx1"/>
            </w14:solidFill>
          </w14:textFill>
        </w:rPr>
        <w:t>转型升级的核心战略，加快科技创新功能建设，推动产业集群向创新集群转变。进一步促进</w:t>
      </w:r>
      <w:r>
        <w:rPr>
          <w:rFonts w:ascii="Times New Roman" w:hAnsi="Times New Roman" w:eastAsia="华文仿宋"/>
          <w:color w:val="000000" w:themeColor="text1"/>
          <w:sz w:val="32"/>
          <w:szCs w:val="32"/>
          <w14:textFill>
            <w14:solidFill>
              <w14:schemeClr w14:val="tx1"/>
            </w14:solidFill>
          </w14:textFill>
        </w:rPr>
        <w:t>产业园</w:t>
      </w:r>
      <w:r>
        <w:rPr>
          <w:rFonts w:ascii="Times New Roman" w:hAnsi="Times New Roman" w:eastAsia="仿宋_GB2312"/>
          <w:color w:val="000000" w:themeColor="text1"/>
          <w:kern w:val="0"/>
          <w:sz w:val="32"/>
          <w:szCs w:val="32"/>
          <w14:textFill>
            <w14:solidFill>
              <w14:schemeClr w14:val="tx1"/>
            </w14:solidFill>
          </w14:textFill>
        </w:rPr>
        <w:t>区产业集聚、企业集群、资源集约利用。</w:t>
      </w:r>
    </w:p>
    <w:p>
      <w:pPr>
        <w:spacing w:line="600" w:lineRule="exact"/>
        <w:ind w:firstLine="643" w:firstLineChars="200"/>
        <w:rPr>
          <w:rFonts w:ascii="Times New Roman" w:hAnsi="Times New Roman" w:eastAsia="华文仿宋"/>
          <w:color w:val="000000" w:themeColor="text1"/>
          <w:sz w:val="32"/>
          <w:szCs w:val="32"/>
          <w14:textFill>
            <w14:solidFill>
              <w14:schemeClr w14:val="tx1"/>
            </w14:solidFill>
          </w14:textFill>
        </w:rPr>
      </w:pPr>
      <w:r>
        <w:rPr>
          <w:rFonts w:ascii="Times New Roman" w:hAnsi="Times New Roman" w:eastAsia="仿宋_GB2312"/>
          <w:b/>
          <w:color w:val="000000" w:themeColor="text1"/>
          <w:kern w:val="0"/>
          <w:sz w:val="32"/>
          <w:szCs w:val="32"/>
          <w14:textFill>
            <w14:solidFill>
              <w14:schemeClr w14:val="tx1"/>
            </w14:solidFill>
          </w14:textFill>
        </w:rPr>
        <w:t>加大招商引资力度。</w:t>
      </w:r>
      <w:r>
        <w:rPr>
          <w:rFonts w:ascii="Times New Roman" w:hAnsi="Times New Roman" w:eastAsia="仿宋_GB2312"/>
          <w:color w:val="000000" w:themeColor="text1"/>
          <w:kern w:val="0"/>
          <w:sz w:val="32"/>
          <w:szCs w:val="32"/>
          <w14:textFill>
            <w14:solidFill>
              <w14:schemeClr w14:val="tx1"/>
            </w14:solidFill>
          </w14:textFill>
        </w:rPr>
        <w:t>准确把握国际投资新趋势，坚持以存量引增量，强化产业链招商，构建“项目</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引资</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引智</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基地”四位一体的招商新模式。加大招商选资、引智引技力度，加快引进国外先进技术成果和高层次创新人才，重点引进优势产业、国内外知名大型企业以及高端项目，引导外资投向高端制造、新能源、新材料、新一代信息技术等重点领域，助推产业转型升级。优化投资结构，提高策划包装项目水准，推动一批国内外知名企业、金融机构入柳，补强原有产业链，培育发展新产业链。密切联系海外侨胞和侨商，加大侨务招才引智力度，用好海外柳州籍社团、华人社团资源和力量，打造海外华人华商参与</w:t>
      </w:r>
      <w:r>
        <w:rPr>
          <w:rFonts w:hint="eastAsia" w:ascii="Times New Roman" w:hAnsi="Times New Roman" w:eastAsia="仿宋_GB2312"/>
          <w:color w:val="000000" w:themeColor="text1"/>
          <w:kern w:val="0"/>
          <w:sz w:val="32"/>
          <w:szCs w:val="32"/>
          <w14:textFill>
            <w14:solidFill>
              <w14:schemeClr w14:val="tx1"/>
            </w14:solidFill>
          </w14:textFill>
        </w:rPr>
        <w:t>柳州</w:t>
      </w:r>
      <w:r>
        <w:rPr>
          <w:rFonts w:ascii="Times New Roman" w:hAnsi="Times New Roman" w:eastAsia="仿宋_GB2312"/>
          <w:color w:val="000000" w:themeColor="text1"/>
          <w:kern w:val="0"/>
          <w:sz w:val="32"/>
          <w:szCs w:val="32"/>
          <w14:textFill>
            <w14:solidFill>
              <w14:schemeClr w14:val="tx1"/>
            </w14:solidFill>
          </w14:textFill>
        </w:rPr>
        <w:t>建设的合作平台。</w:t>
      </w:r>
    </w:p>
    <w:p>
      <w:pPr>
        <w:adjustRightInd w:val="0"/>
        <w:spacing w:line="60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b/>
          <w:color w:val="000000" w:themeColor="text1"/>
          <w:kern w:val="0"/>
          <w:sz w:val="32"/>
          <w:szCs w:val="32"/>
          <w14:textFill>
            <w14:solidFill>
              <w14:schemeClr w14:val="tx1"/>
            </w14:solidFill>
          </w14:textFill>
        </w:rPr>
        <w:t>提升利用外资规模和水平。</w:t>
      </w:r>
      <w:r>
        <w:rPr>
          <w:rFonts w:ascii="Times New Roman" w:hAnsi="Times New Roman" w:eastAsia="仿宋_GB2312"/>
          <w:color w:val="000000" w:themeColor="text1"/>
          <w:kern w:val="0"/>
          <w:sz w:val="32"/>
          <w:szCs w:val="32"/>
          <w14:textFill>
            <w14:solidFill>
              <w14:schemeClr w14:val="tx1"/>
            </w14:solidFill>
          </w14:textFill>
        </w:rPr>
        <w:t>进一步优化利用外资结构、创新利用外资方式，全面提升利用外资的核心竞争力。优化外资产业结构，着重引进产业关联性强、价值链高端的工业、战略性新兴产业和现代服务业项目。加大外商投资与境外投资促进力度，探索产业合作园和境外经贸合作区建设机制，积极推进中欧（柳州）合作产业园建设，加快园区招大引强步伐，促进产业集聚。创新利用外资方式，有效利用国外优惠贷款，支持生态建设、职业教育、医疗卫生、社会保障等民生领域项目建设；鼓励外资以并购、参股、融资租赁、再投资等多种形式参与企业的兼并重组与混合所有制改造，以特许经营等PPP模式参与公共产品和公共服务领域建设；引导符合条件的企业境外上市引资，积极推动企业与外资开展投资、品牌和技术合作</w:t>
      </w:r>
    </w:p>
    <w:p>
      <w:pPr>
        <w:pStyle w:val="4"/>
        <w:spacing w:before="0" w:after="0" w:line="600" w:lineRule="exact"/>
        <w:jc w:val="center"/>
        <w:rPr>
          <w:rFonts w:ascii="Times New Roman" w:hAnsi="Times New Roman" w:eastAsia="楷体_GB2312"/>
          <w:color w:val="000000" w:themeColor="text1"/>
          <w14:textFill>
            <w14:solidFill>
              <w14:schemeClr w14:val="tx1"/>
            </w14:solidFill>
          </w14:textFill>
        </w:rPr>
      </w:pPr>
      <w:bookmarkStart w:id="90" w:name="_Toc440536813"/>
      <w:bookmarkStart w:id="91" w:name="_Toc458171816"/>
      <w:r>
        <w:rPr>
          <w:rFonts w:ascii="Times New Roman" w:hAnsi="Times New Roman" w:eastAsia="楷体_GB2312"/>
          <w:color w:val="000000" w:themeColor="text1"/>
          <w14:textFill>
            <w14:solidFill>
              <w14:schemeClr w14:val="tx1"/>
            </w14:solidFill>
          </w14:textFill>
        </w:rPr>
        <w:t>第三节 增强对外贸易实力</w:t>
      </w:r>
      <w:bookmarkEnd w:id="90"/>
      <w:bookmarkEnd w:id="91"/>
    </w:p>
    <w:p>
      <w:pPr>
        <w:spacing w:line="600" w:lineRule="exact"/>
        <w:ind w:firstLine="640"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color w:val="000000" w:themeColor="text1"/>
          <w:kern w:val="0"/>
          <w:sz w:val="32"/>
          <w:szCs w:val="32"/>
          <w14:textFill>
            <w14:solidFill>
              <w14:schemeClr w14:val="tx1"/>
            </w14:solidFill>
          </w14:textFill>
        </w:rPr>
        <w:t>坚持稳定和拓展外需，优化外贸结构，加快技术创新升级，提升产业国际竞争力，建设外贸出口平台升级版，增强对外贸易后劲。</w:t>
      </w:r>
    </w:p>
    <w:p>
      <w:pPr>
        <w:spacing w:line="600" w:lineRule="exact"/>
        <w:ind w:firstLine="643" w:firstLineChars="200"/>
        <w:rPr>
          <w:rFonts w:ascii="Times New Roman" w:hAnsi="Times New Roman" w:eastAsia="仿宋_GB2312"/>
          <w:color w:val="000000" w:themeColor="text1"/>
          <w:kern w:val="0"/>
          <w:sz w:val="32"/>
          <w:szCs w:val="32"/>
          <w14:textFill>
            <w14:solidFill>
              <w14:schemeClr w14:val="tx1"/>
            </w14:solidFill>
          </w14:textFill>
        </w:rPr>
      </w:pPr>
      <w:r>
        <w:rPr>
          <w:rFonts w:ascii="Times New Roman" w:hAnsi="Times New Roman" w:eastAsia="仿宋_GB2312"/>
          <w:b/>
          <w:color w:val="000000" w:themeColor="text1"/>
          <w:kern w:val="0"/>
          <w:sz w:val="32"/>
          <w:szCs w:val="32"/>
          <w14:textFill>
            <w14:solidFill>
              <w14:schemeClr w14:val="tx1"/>
            </w14:solidFill>
          </w14:textFill>
        </w:rPr>
        <w:t>增强产业国际竞争力。</w:t>
      </w:r>
      <w:r>
        <w:rPr>
          <w:rFonts w:ascii="Times New Roman" w:hAnsi="Times New Roman" w:eastAsia="仿宋_GB2312"/>
          <w:color w:val="000000" w:themeColor="text1"/>
          <w:kern w:val="0"/>
          <w:sz w:val="32"/>
          <w:szCs w:val="32"/>
          <w14:textFill>
            <w14:solidFill>
              <w14:schemeClr w14:val="tx1"/>
            </w14:solidFill>
          </w14:textFill>
        </w:rPr>
        <w:t>深度挖掘具有国际竞争优势的产业能力，加快提升以技术、品牌、质量、服务为核心的国际竞争力。优化外贸结构，扩大汽车及零部件等优势产品出口，推动</w:t>
      </w:r>
      <w:r>
        <w:rPr>
          <w:rFonts w:hint="eastAsia" w:ascii="Times New Roman" w:hAnsi="Times New Roman" w:eastAsia="仿宋_GB2312"/>
          <w:color w:val="000000" w:themeColor="text1"/>
          <w:kern w:val="0"/>
          <w:sz w:val="32"/>
          <w:szCs w:val="32"/>
          <w14:textFill>
            <w14:solidFill>
              <w14:schemeClr w14:val="tx1"/>
            </w14:solidFill>
          </w14:textFill>
        </w:rPr>
        <w:t>机械装备</w:t>
      </w:r>
      <w:r>
        <w:rPr>
          <w:rFonts w:ascii="Times New Roman" w:hAnsi="Times New Roman" w:eastAsia="仿宋_GB2312"/>
          <w:color w:val="000000" w:themeColor="text1"/>
          <w:kern w:val="0"/>
          <w:sz w:val="32"/>
          <w:szCs w:val="32"/>
          <w14:textFill>
            <w14:solidFill>
              <w14:schemeClr w14:val="tx1"/>
            </w14:solidFill>
          </w14:textFill>
        </w:rPr>
        <w:t>等优势出口产品向产业链中的高附加值、高技术含量环节延伸拓展，增强外贸发展后劲。鼓励上汽通用五菱、柳汽等柳州品牌企业加强中高端新产品开发，参与国际国内中高端产品竞争，提升制造业国际竞争优势。在节能环保和新能源汽车、有色金属新材料、新一代信息技术、生物</w:t>
      </w:r>
      <w:r>
        <w:rPr>
          <w:rFonts w:hint="eastAsia" w:ascii="Times New Roman" w:hAnsi="Times New Roman" w:eastAsia="仿宋_GB2312"/>
          <w:color w:val="000000" w:themeColor="text1"/>
          <w:kern w:val="0"/>
          <w:sz w:val="32"/>
          <w:szCs w:val="32"/>
          <w14:textFill>
            <w14:solidFill>
              <w14:schemeClr w14:val="tx1"/>
            </w14:solidFill>
          </w14:textFill>
        </w:rPr>
        <w:t>医药</w:t>
      </w:r>
      <w:r>
        <w:rPr>
          <w:rFonts w:ascii="Times New Roman" w:hAnsi="Times New Roman" w:eastAsia="仿宋_GB2312"/>
          <w:color w:val="000000" w:themeColor="text1"/>
          <w:kern w:val="0"/>
          <w:sz w:val="32"/>
          <w:szCs w:val="32"/>
          <w14:textFill>
            <w14:solidFill>
              <w14:schemeClr w14:val="tx1"/>
            </w14:solidFill>
          </w14:textFill>
        </w:rPr>
        <w:t>、高端装备制造等产业重点领域及关键环节，着力引进一批重点企业、重大项目和关键技术，加快形成先导性产业，推动战略性新兴产业突破发展。</w:t>
      </w:r>
    </w:p>
    <w:p>
      <w:pPr>
        <w:spacing w:line="600" w:lineRule="exact"/>
        <w:ind w:firstLine="643" w:firstLineChars="200"/>
        <w:rPr>
          <w:rFonts w:ascii="仿宋" w:hAnsi="仿宋" w:eastAsia="仿宋_GB2312" w:cs="Arial"/>
          <w:color w:val="000000" w:themeColor="text1"/>
          <w:kern w:val="0"/>
          <w:sz w:val="32"/>
          <w:szCs w:val="32"/>
          <w14:textFill>
            <w14:solidFill>
              <w14:schemeClr w14:val="tx1"/>
            </w14:solidFill>
          </w14:textFill>
        </w:rPr>
      </w:pPr>
      <w:r>
        <w:rPr>
          <w:rFonts w:ascii="Times New Roman" w:hAnsi="Times New Roman" w:eastAsia="仿宋_GB2312"/>
          <w:b/>
          <w:color w:val="000000" w:themeColor="text1"/>
          <w:kern w:val="0"/>
          <w:sz w:val="32"/>
          <w:szCs w:val="32"/>
          <w14:textFill>
            <w14:solidFill>
              <w14:schemeClr w14:val="tx1"/>
            </w14:solidFill>
          </w14:textFill>
        </w:rPr>
        <w:t>加强对外贸易平台建设。</w:t>
      </w:r>
      <w:r>
        <w:rPr>
          <w:rFonts w:ascii="Times New Roman" w:hAnsi="Times New Roman" w:eastAsia="仿宋_GB2312"/>
          <w:color w:val="000000" w:themeColor="text1"/>
          <w:kern w:val="0"/>
          <w:sz w:val="32"/>
          <w:szCs w:val="32"/>
          <w14:textFill>
            <w14:solidFill>
              <w14:schemeClr w14:val="tx1"/>
            </w14:solidFill>
          </w14:textFill>
        </w:rPr>
        <w:t>借助中国</w:t>
      </w:r>
      <w:r>
        <w:rPr>
          <w:rFonts w:hint="eastAsia" w:ascii="Times New Roman" w:hAnsi="Times New Roman" w:eastAsia="仿宋_GB2312"/>
          <w:color w:val="000000" w:themeColor="text1"/>
          <w:kern w:val="0"/>
          <w:sz w:val="32"/>
          <w:szCs w:val="32"/>
          <w14:textFill>
            <w14:solidFill>
              <w14:schemeClr w14:val="tx1"/>
            </w14:solidFill>
          </w14:textFill>
        </w:rPr>
        <w:t>—</w:t>
      </w:r>
      <w:r>
        <w:rPr>
          <w:rFonts w:ascii="Times New Roman" w:hAnsi="Times New Roman" w:eastAsia="仿宋_GB2312"/>
          <w:color w:val="000000" w:themeColor="text1"/>
          <w:kern w:val="0"/>
          <w:sz w:val="32"/>
          <w:szCs w:val="32"/>
          <w14:textFill>
            <w14:solidFill>
              <w14:schemeClr w14:val="tx1"/>
            </w14:solidFill>
          </w14:textFill>
        </w:rPr>
        <w:t>东盟博览会、信息港、电子商务产业园等综合平台，深入推进“加工贸易倍增计划”，进一步扩大贸易范围和份额，努力打造面向东盟的生产资料交易中心和物流基地。建设外贸出口平台，支持柳州国家汽车及零部件出口基地加快发展，扩大汽车及零部件、工程机械零部件出口，增强引领示范作用，打造国内一流的外贸基地。</w:t>
      </w:r>
      <w:r>
        <w:rPr>
          <w:rFonts w:hint="eastAsia" w:ascii="仿宋" w:hAnsi="仿宋" w:eastAsia="仿宋_GB2312" w:cs="Arial"/>
          <w:color w:val="000000" w:themeColor="text1"/>
          <w:kern w:val="0"/>
          <w:sz w:val="32"/>
          <w:szCs w:val="32"/>
          <w14:textFill>
            <w14:solidFill>
              <w14:schemeClr w14:val="tx1"/>
            </w14:solidFill>
          </w14:textFill>
        </w:rPr>
        <w:t>全面加强口岸建设发展，加快柳州综合保税区申报建设，打造陆运、水运和航空“三位一体”的口岸经济，拓展保税、通关、物流、商品展示、贸易服务等综合功能。</w:t>
      </w:r>
    </w:p>
    <w:p>
      <w:pPr>
        <w:spacing w:line="600" w:lineRule="exact"/>
        <w:ind w:firstLine="640" w:firstLineChars="200"/>
        <w:rPr>
          <w:rFonts w:ascii="仿宋" w:hAnsi="仿宋" w:eastAsia="仿宋_GB2312" w:cs="Arial"/>
          <w:color w:val="000000" w:themeColor="text1"/>
          <w:kern w:val="0"/>
          <w:sz w:val="32"/>
          <w:szCs w:val="32"/>
          <w14:textFill>
            <w14:solidFill>
              <w14:schemeClr w14:val="tx1"/>
            </w14:solidFill>
          </w14:textFill>
        </w:rPr>
      </w:pPr>
    </w:p>
    <w:p>
      <w:pPr>
        <w:pStyle w:val="2"/>
        <w:spacing w:before="0" w:after="0" w:line="600" w:lineRule="exact"/>
        <w:jc w:val="center"/>
        <w:rPr>
          <w:rFonts w:ascii="Times New Roman" w:hAnsi="Times New Roman" w:eastAsia="华文中宋" w:cs="Times New Roman"/>
          <w:lang w:val="zh-CN" w:eastAsia="zh-CN"/>
        </w:rPr>
      </w:pPr>
      <w:bookmarkStart w:id="92" w:name="_Toc458171817"/>
      <w:r>
        <w:rPr>
          <w:rFonts w:hint="eastAsia" w:ascii="Times New Roman" w:hAnsi="Times New Roman" w:eastAsia="华文中宋" w:cs="Times New Roman"/>
          <w:lang w:val="zh-CN" w:eastAsia="zh-CN"/>
        </w:rPr>
        <w:t>第四篇 实施协调</w:t>
      </w:r>
      <w:r>
        <w:rPr>
          <w:rFonts w:ascii="Times New Roman" w:hAnsi="Times New Roman" w:eastAsia="华文中宋" w:cs="Times New Roman"/>
          <w:lang w:val="zh-CN" w:eastAsia="zh-CN"/>
        </w:rPr>
        <w:t>发展</w:t>
      </w:r>
      <w:r>
        <w:rPr>
          <w:rFonts w:hint="eastAsia" w:ascii="Times New Roman" w:hAnsi="Times New Roman" w:eastAsia="华文中宋" w:cs="Times New Roman"/>
          <w:lang w:val="zh-CN" w:eastAsia="zh-CN"/>
        </w:rPr>
        <w:t>战略 全面</w:t>
      </w:r>
      <w:r>
        <w:rPr>
          <w:rFonts w:ascii="Times New Roman" w:hAnsi="Times New Roman" w:eastAsia="华文中宋" w:cs="Times New Roman"/>
          <w:lang w:val="zh-CN" w:eastAsia="zh-CN"/>
        </w:rPr>
        <w:t>推进</w:t>
      </w:r>
      <w:r>
        <w:rPr>
          <w:rFonts w:hint="eastAsia" w:ascii="Times New Roman" w:hAnsi="Times New Roman" w:eastAsia="华文中宋" w:cs="Times New Roman"/>
          <w:lang w:val="zh-CN" w:eastAsia="zh-CN"/>
        </w:rPr>
        <w:t>新型</w:t>
      </w:r>
      <w:r>
        <w:rPr>
          <w:rFonts w:ascii="Times New Roman" w:hAnsi="Times New Roman" w:eastAsia="华文中宋" w:cs="Times New Roman"/>
          <w:lang w:val="zh-CN" w:eastAsia="zh-CN"/>
        </w:rPr>
        <w:t>城镇化</w:t>
      </w:r>
      <w:bookmarkEnd w:id="92"/>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围绕新型城镇化建设要求，顺应现代城镇发展新理念新趋势，以统筹协调提高发展质量</w:t>
      </w:r>
      <w:r>
        <w:rPr>
          <w:rFonts w:hint="eastAsia" w:ascii="Times New Roman" w:hAnsi="Times New Roman" w:eastAsia="仿宋_GB2312"/>
          <w:sz w:val="32"/>
          <w:szCs w:val="32"/>
        </w:rPr>
        <w:t>，</w:t>
      </w:r>
      <w:r>
        <w:rPr>
          <w:rFonts w:ascii="Times New Roman" w:hAnsi="Times New Roman" w:eastAsia="仿宋_GB2312"/>
          <w:sz w:val="32"/>
          <w:szCs w:val="32"/>
        </w:rPr>
        <w:t>统筹新型城镇化和新农村建设，促进城乡协调。坚持走以人为本、“四化”同步、布局优化、生态文明、文化传承的具有柳东特色的新型城镇化道路，进一步优化城镇发展格局，全面增强城市承载能力。</w:t>
      </w:r>
    </w:p>
    <w:p>
      <w:pPr>
        <w:pStyle w:val="2"/>
        <w:spacing w:before="0" w:after="0" w:line="600" w:lineRule="exact"/>
        <w:contextualSpacing/>
        <w:jc w:val="center"/>
        <w:rPr>
          <w:rFonts w:eastAsia="黑体"/>
          <w:sz w:val="32"/>
          <w:szCs w:val="32"/>
        </w:rPr>
      </w:pPr>
      <w:bookmarkStart w:id="93" w:name="_Toc439832083"/>
      <w:bookmarkStart w:id="94" w:name="_Toc440536815"/>
      <w:bookmarkStart w:id="95" w:name="_Toc458171818"/>
      <w:r>
        <w:rPr>
          <w:rFonts w:eastAsia="黑体"/>
          <w:sz w:val="32"/>
          <w:szCs w:val="32"/>
        </w:rPr>
        <w:t>第十二章 加快新型城镇化进程</w:t>
      </w:r>
      <w:bookmarkEnd w:id="93"/>
      <w:bookmarkEnd w:id="94"/>
      <w:bookmarkEnd w:id="95"/>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以国家新型城镇化综合试点为契机，加快推进以人为核心的新型城镇化，优化城镇布局</w:t>
      </w:r>
      <w:r>
        <w:rPr>
          <w:rFonts w:hint="eastAsia" w:ascii="Times New Roman" w:hAnsi="Times New Roman" w:eastAsia="仿宋_GB2312"/>
          <w:sz w:val="32"/>
          <w:szCs w:val="32"/>
        </w:rPr>
        <w:t>，</w:t>
      </w:r>
      <w:r>
        <w:rPr>
          <w:rFonts w:ascii="Times New Roman" w:hAnsi="Times New Roman" w:eastAsia="仿宋_GB2312"/>
          <w:sz w:val="32"/>
          <w:szCs w:val="32"/>
        </w:rPr>
        <w:t>提升城镇建设品质。到2020年，常住人口城镇化率达到70％。</w:t>
      </w:r>
    </w:p>
    <w:p>
      <w:pPr>
        <w:pStyle w:val="4"/>
        <w:spacing w:before="0" w:after="0" w:line="600" w:lineRule="exact"/>
        <w:jc w:val="center"/>
        <w:rPr>
          <w:rFonts w:eastAsia="楷体"/>
        </w:rPr>
      </w:pPr>
      <w:bookmarkStart w:id="96" w:name="_Toc439832084"/>
      <w:bookmarkStart w:id="97" w:name="_Toc440536816"/>
      <w:bookmarkStart w:id="98" w:name="_Toc458171819"/>
      <w:r>
        <w:rPr>
          <w:rFonts w:eastAsia="楷体"/>
        </w:rPr>
        <w:t>第一节 优化城镇化空间发展格局</w:t>
      </w:r>
      <w:bookmarkEnd w:id="96"/>
      <w:bookmarkEnd w:id="97"/>
      <w:bookmarkEnd w:id="98"/>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认真贯彻实施上级政策，充分落实《广西壮族自治区新型城镇化规划（2014-2020年）》中各项目标与任务，努力推进国家新型城镇化综合试点工程，着力实施城镇和新型农村社区建设、产业园区建设和农村基层组织和公共服务体系建设，促进农民向城镇和新型农村社区转移、土地向园区和经营大户转移、劳动力向非农产业转移、社会保障和公共服务向农村转移，努力实现在发展规划、产业布局、城乡建设、社会事业和改革五个方面的统筹，推进城乡资源配臵、经济发展、基础设施、公共事业和体制机制一体化。</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落实城镇发展空间调控</w:t>
      </w:r>
      <w:r>
        <w:rPr>
          <w:rFonts w:hint="eastAsia" w:ascii="Times New Roman" w:hAnsi="Times New Roman" w:eastAsia="仿宋_GB2312" w:cs="Times New Roman"/>
          <w:sz w:val="32"/>
          <w:szCs w:val="32"/>
        </w:rPr>
        <w:t>。着力提高土地集约利用水平，提升单位国土面积的投资强度和产出效率。控制各类开发用地比例，促进产城融合和低效建设用地再开发。进一步优化城镇空间，控制开发强度，着力促进存量空间的优化调整。</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b/>
          <w:sz w:val="32"/>
          <w:szCs w:val="32"/>
        </w:rPr>
        <w:t>推进小城镇建设。</w:t>
      </w:r>
      <w:r>
        <w:rPr>
          <w:rFonts w:ascii="Times New Roman" w:hAnsi="Times New Roman" w:eastAsia="仿宋_GB2312"/>
          <w:sz w:val="32"/>
          <w:szCs w:val="32"/>
        </w:rPr>
        <w:t>坚持统筹规划、合理布局、分工协作的发展原则，着力构建以</w:t>
      </w:r>
      <w:r>
        <w:rPr>
          <w:rFonts w:hint="eastAsia" w:ascii="Times New Roman" w:hAnsi="Times New Roman" w:eastAsia="仿宋_GB2312"/>
          <w:sz w:val="32"/>
          <w:szCs w:val="32"/>
        </w:rPr>
        <w:t>柳东特色小</w:t>
      </w:r>
      <w:r>
        <w:rPr>
          <w:rFonts w:ascii="Times New Roman" w:hAnsi="Times New Roman" w:eastAsia="仿宋_GB2312"/>
          <w:sz w:val="32"/>
          <w:szCs w:val="32"/>
        </w:rPr>
        <w:t>城镇为主体形态的城镇化空间格局，促进城镇资源要素合理配置。推进以人为本、“四化”同步、布局优化、生态文明的新型城镇化进程。</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到2020年，努力实现柳东新区作为柳州新型城镇化“一圈一带二廊四轴”中“柳州—雒容—鹿寨城镇发展轴”中地位，形成中心层圈、次层圈和第三圈层的梯度化、差异化建设发展，逐步实现和谐城镇化。</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CellMar>
            <w:top w:w="0" w:type="dxa"/>
            <w:left w:w="108" w:type="dxa"/>
            <w:bottom w:w="0" w:type="dxa"/>
            <w:right w:w="108" w:type="dxa"/>
          </w:tblCellMar>
        </w:tblPrEx>
        <w:trPr>
          <w:jc w:val="center"/>
        </w:trPr>
        <w:tc>
          <w:tcPr>
            <w:tcW w:w="8296" w:type="dxa"/>
            <w:shd w:val="clear" w:color="auto" w:fill="D8D8D8" w:themeFill="background1" w:themeFillShade="D9"/>
          </w:tcPr>
          <w:p>
            <w:pPr>
              <w:spacing w:line="600" w:lineRule="exact"/>
              <w:jc w:val="center"/>
              <w:rPr>
                <w:rFonts w:ascii="Times New Roman" w:hAnsi="Times New Roman" w:eastAsia="仿宋_GB2312"/>
                <w:b/>
                <w:kern w:val="0"/>
                <w:szCs w:val="28"/>
              </w:rPr>
            </w:pPr>
            <w:r>
              <w:rPr>
                <w:rFonts w:ascii="Times New Roman" w:hAnsi="Times New Roman" w:eastAsia="仿宋_GB2312"/>
                <w:b/>
                <w:szCs w:val="28"/>
              </w:rPr>
              <w:t>专栏</w:t>
            </w:r>
            <w:r>
              <w:rPr>
                <w:rFonts w:ascii="Times New Roman" w:hAnsi="Times New Roman" w:eastAsia="仿宋_GB2312"/>
                <w:b/>
                <w:kern w:val="0"/>
                <w:szCs w:val="28"/>
              </w:rPr>
              <w:t>：</w:t>
            </w:r>
            <w:r>
              <w:rPr>
                <w:rFonts w:ascii="Times New Roman" w:hAnsi="Times New Roman" w:eastAsia="仿宋_GB2312"/>
                <w:b/>
                <w:szCs w:val="28"/>
              </w:rPr>
              <w:t>新型城镇化空间发展格局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D8D8D8" w:themeFill="background1" w:themeFillShade="D9"/>
          </w:tcPr>
          <w:p>
            <w:pPr>
              <w:spacing w:line="600" w:lineRule="exact"/>
              <w:ind w:firstLine="562" w:firstLineChars="200"/>
              <w:rPr>
                <w:rFonts w:ascii="Times New Roman" w:hAnsi="Times New Roman" w:eastAsia="仿宋_GB2312"/>
                <w:szCs w:val="28"/>
              </w:rPr>
            </w:pPr>
            <w:r>
              <w:rPr>
                <w:rFonts w:ascii="Times New Roman" w:hAnsi="Times New Roman" w:eastAsia="仿宋_GB2312"/>
                <w:b/>
                <w:szCs w:val="28"/>
              </w:rPr>
              <w:t>“</w:t>
            </w:r>
            <w:r>
              <w:rPr>
                <w:rFonts w:hint="eastAsia" w:ascii="Times New Roman" w:hAnsi="Times New Roman" w:eastAsia="仿宋_GB2312"/>
                <w:b/>
                <w:szCs w:val="28"/>
              </w:rPr>
              <w:t>城镇化中心圈层</w:t>
            </w:r>
            <w:r>
              <w:rPr>
                <w:rFonts w:ascii="Times New Roman" w:hAnsi="Times New Roman" w:eastAsia="仿宋_GB2312"/>
                <w:b/>
                <w:szCs w:val="28"/>
              </w:rPr>
              <w:t>”</w:t>
            </w:r>
            <w:r>
              <w:rPr>
                <w:rFonts w:ascii="Times New Roman" w:hAnsi="Times New Roman" w:eastAsia="仿宋_GB2312"/>
                <w:szCs w:val="28"/>
              </w:rPr>
              <w:t>：</w:t>
            </w:r>
            <w:r>
              <w:rPr>
                <w:rFonts w:hint="eastAsia" w:ascii="Times New Roman" w:hAnsi="Times New Roman" w:eastAsia="仿宋_GB2312"/>
                <w:szCs w:val="28"/>
              </w:rPr>
              <w:t xml:space="preserve"> 以服务中心为核心，外围居住区辐射为依托，加快人口的集聚，打造宜居宜业中心圈层为新型城镇化的着力点，形成人口吸纳洼地</w:t>
            </w:r>
            <w:bookmarkStart w:id="99" w:name="_Toc343790210"/>
            <w:bookmarkStart w:id="100" w:name="_Toc343790453"/>
            <w:r>
              <w:rPr>
                <w:rFonts w:hint="eastAsia" w:ascii="Times New Roman" w:hAnsi="Times New Roman" w:eastAsia="仿宋_GB2312"/>
                <w:szCs w:val="28"/>
              </w:rPr>
              <w:t>。</w:t>
            </w:r>
          </w:p>
          <w:p>
            <w:pPr>
              <w:spacing w:line="600" w:lineRule="exact"/>
              <w:ind w:firstLine="562" w:firstLineChars="200"/>
              <w:rPr>
                <w:rFonts w:ascii="Times New Roman" w:hAnsi="Times New Roman" w:eastAsia="仿宋_GB2312"/>
                <w:szCs w:val="28"/>
              </w:rPr>
            </w:pPr>
            <w:r>
              <w:rPr>
                <w:rFonts w:ascii="Times New Roman" w:hAnsi="Times New Roman" w:eastAsia="仿宋_GB2312"/>
                <w:b/>
                <w:szCs w:val="28"/>
              </w:rPr>
              <w:t xml:space="preserve"> “</w:t>
            </w:r>
            <w:r>
              <w:rPr>
                <w:rFonts w:hint="eastAsia" w:ascii="Times New Roman" w:hAnsi="Times New Roman" w:eastAsia="仿宋_GB2312"/>
                <w:b/>
                <w:szCs w:val="28"/>
              </w:rPr>
              <w:t>城镇化次圈层</w:t>
            </w:r>
            <w:r>
              <w:rPr>
                <w:rFonts w:ascii="Times New Roman" w:hAnsi="Times New Roman" w:eastAsia="仿宋_GB2312"/>
                <w:b/>
                <w:szCs w:val="28"/>
              </w:rPr>
              <w:t>”</w:t>
            </w:r>
            <w:r>
              <w:rPr>
                <w:rFonts w:ascii="Times New Roman" w:hAnsi="Times New Roman" w:eastAsia="仿宋_GB2312"/>
                <w:szCs w:val="28"/>
              </w:rPr>
              <w:t>：</w:t>
            </w:r>
            <w:bookmarkEnd w:id="99"/>
            <w:bookmarkEnd w:id="100"/>
            <w:bookmarkStart w:id="101" w:name="_Toc343790211"/>
            <w:bookmarkStart w:id="102" w:name="_Toc343790454"/>
            <w:r>
              <w:rPr>
                <w:rFonts w:hint="eastAsia" w:ascii="Times New Roman" w:hAnsi="Times New Roman" w:eastAsia="仿宋_GB2312" w:cs="Times New Roman"/>
                <w:sz w:val="32"/>
                <w:szCs w:val="32"/>
              </w:rPr>
              <w:t xml:space="preserve"> 以发展汽车商贸、现代物流和大型农副产品批发、房地产开发等第三产业，通过就业促进农民城镇化，形成城镇化次圈层。</w:t>
            </w:r>
          </w:p>
          <w:p>
            <w:pPr>
              <w:spacing w:line="600" w:lineRule="exact"/>
              <w:ind w:firstLine="562" w:firstLineChars="200"/>
              <w:rPr>
                <w:rFonts w:ascii="Times New Roman" w:hAnsi="Times New Roman" w:eastAsia="仿宋_GB2312"/>
                <w:sz w:val="32"/>
                <w:szCs w:val="32"/>
              </w:rPr>
            </w:pPr>
            <w:r>
              <w:rPr>
                <w:rFonts w:ascii="Times New Roman" w:hAnsi="Times New Roman" w:eastAsia="仿宋_GB2312"/>
                <w:b/>
                <w:szCs w:val="28"/>
              </w:rPr>
              <w:t xml:space="preserve"> “</w:t>
            </w:r>
            <w:r>
              <w:rPr>
                <w:rFonts w:hint="eastAsia" w:ascii="Times New Roman" w:hAnsi="Times New Roman" w:eastAsia="仿宋_GB2312"/>
                <w:b/>
                <w:szCs w:val="28"/>
              </w:rPr>
              <w:t>城镇化外围圈层</w:t>
            </w:r>
            <w:r>
              <w:rPr>
                <w:rFonts w:ascii="Times New Roman" w:hAnsi="Times New Roman" w:eastAsia="仿宋_GB2312"/>
                <w:b/>
                <w:szCs w:val="28"/>
              </w:rPr>
              <w:t>”</w:t>
            </w:r>
            <w:bookmarkEnd w:id="101"/>
            <w:bookmarkEnd w:id="102"/>
            <w:r>
              <w:rPr>
                <w:rFonts w:ascii="Times New Roman" w:hAnsi="Times New Roman" w:eastAsia="仿宋_GB2312"/>
                <w:szCs w:val="28"/>
              </w:rPr>
              <w:t>：</w:t>
            </w:r>
            <w:r>
              <w:rPr>
                <w:rFonts w:hint="eastAsia" w:ascii="Times New Roman" w:hAnsi="Times New Roman" w:eastAsia="仿宋_GB2312" w:cs="Times New Roman"/>
                <w:sz w:val="32"/>
                <w:szCs w:val="32"/>
              </w:rPr>
              <w:t>重点打造雒容镇工贸型特色名镇和洛埠镇现代物流及生态文化旅游休闲中心；以现代农业、生态观光旅游、休闲度假发展为推动力，加大水利、道路、通讯、生态的建设，推动村屯集中，建设特色小镇，变农民为居民，形成支撑城镇化的第三圈层。</w:t>
            </w:r>
          </w:p>
        </w:tc>
      </w:tr>
    </w:tbl>
    <w:p>
      <w:pPr>
        <w:rPr>
          <w:rFonts w:asciiTheme="minorEastAsia" w:hAnsiTheme="minorEastAsia"/>
          <w:szCs w:val="28"/>
        </w:rPr>
      </w:pPr>
      <w:r>
        <w:rPr>
          <w:rFonts w:asciiTheme="minorEastAsia" w:hAnsiTheme="minorEastAsia"/>
          <w:bCs/>
          <w:szCs w:val="28"/>
        </w:rPr>
        <mc:AlternateContent>
          <mc:Choice Requires="wps">
            <w:drawing>
              <wp:inline distT="0" distB="0" distL="0" distR="0">
                <wp:extent cx="4916805" cy="3981450"/>
                <wp:effectExtent l="0" t="0" r="17145" b="19050"/>
                <wp:docPr id="13" name="Text Box 5"/>
                <wp:cNvGraphicFramePr/>
                <a:graphic xmlns:a="http://schemas.openxmlformats.org/drawingml/2006/main">
                  <a:graphicData uri="http://schemas.microsoft.com/office/word/2010/wordprocessingShape">
                    <wps:wsp>
                      <wps:cNvSpPr txBox="1">
                        <a:spLocks noChangeArrowheads="1"/>
                      </wps:cNvSpPr>
                      <wps:spPr bwMode="auto">
                        <a:xfrm>
                          <a:off x="0" y="0"/>
                          <a:ext cx="4917056" cy="3981450"/>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2638425" cy="35090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219" cy="3511761"/>
                                          </a:xfrm>
                                          <a:prstGeom prst="rect">
                                            <a:avLst/>
                                          </a:prstGeom>
                                        </pic:spPr>
                                      </pic:pic>
                                    </a:graphicData>
                                  </a:graphic>
                                </wp:inline>
                              </w:drawing>
                            </w:r>
                          </w:p>
                          <w:p>
                            <w:pPr>
                              <w:jc w:val="center"/>
                            </w:pPr>
                            <w:r>
                              <w:rPr>
                                <w:rFonts w:hint="eastAsia"/>
                              </w:rPr>
                              <w:t>柳东新区“十三五”城镇化格局示意图</w:t>
                            </w:r>
                          </w:p>
                        </w:txbxContent>
                      </wps:txbx>
                      <wps:bodyPr rot="0" vert="horz" wrap="square" lIns="91440" tIns="45720" rIns="91440" bIns="45720" anchor="t" anchorCtr="0" upright="1">
                        <a:noAutofit/>
                      </wps:bodyPr>
                    </wps:wsp>
                  </a:graphicData>
                </a:graphic>
              </wp:inline>
            </w:drawing>
          </mc:Choice>
          <mc:Fallback>
            <w:pict>
              <v:shape id="Text Box 5" o:spid="_x0000_s1026" o:spt="202" type="#_x0000_t202" style="height:313.5pt;width:387.15pt;" fillcolor="#F2F2F2 [3212]" filled="t" stroked="t" coordsize="21600,21600" o:gfxdata="UEsDBAoAAAAAAIdO4kAAAAAAAAAAAAAAAAAEAAAAZHJzL1BLAwQUAAAACACHTuJA22qkydQAAAAF&#10;AQAADwAAAGRycy9kb3ducmV2LnhtbE2PQU/DMAyF70j8h8hIXBBLVqYWlaY7gCaOsI3ds8a0FY0T&#10;NelW/j2GC7tYenr2e5+r9ewGccIx9p40LBcKBFLjbU+tho/95v4RREyGrBk8oYZvjLCur68qU1p/&#10;pi2edqkVHEKxNBq6lEIpZWw6dCYufEBi79OPziSWYyvtaM4c7gaZKZVLZ3rihs4EfO6w+dpNjjH2&#10;h5BJtUrF6937y9t2PoQp32h9e7NUTyASzul/GX7x+QZqZjr6iWwUgwZ+JP1N9opi9QDiqCHPCgWy&#10;ruQlff0DUEsDBBQAAAAIAIdO4kCfPQZ4TQIAAL0EAAAOAAAAZHJzL2Uyb0RvYy54bWytVMFu2zAM&#10;vQ/YPwi6r3bSuG2MOkWXoMOArhvQ7gMUWY6FSaImKbG7rx8luV3aYUAPQwBDpKjHx0cyl1ejVuQg&#10;nJdgGjo7KSkRhkMrza6h3x9uPlxQ4gMzLVNgREMfhadXq/fvLgdbizn0oFrhCIIYXw+2oX0Iti4K&#10;z3uhmT8BKwxeduA0C2i6XdE6NiC6VsW8LM+KAVxrHXDhPXo3+ZJOiO4tgNB1kosN8L0WJmRUJxQL&#10;WJLvpfV0ldh2neDha9d5EYhqKFYa0heT4Hkbv8XqktU7x2wv+USBvYXCq5o0kwaTPkNtWGBk7+Rf&#10;UFpyBx66cMJBF7mQpAhWMStfaXPfMytSLSi1t8+i+/8Hy+8O3xyRLU7CKSWGaez4gxgD+QgjqaI8&#10;g/U1Rt1bjAsjujE0lertLfAfnhhY98zsxLVzMPSCtUhvFl8WR08zjo8g2+ELtJiG7QMkoLFzOmqH&#10;ahBEx9Y8PrcmUuHoXCxn52V1RgnHu9PlxWxRpeYVrH56bp0PnwRoEg8Nddj7BM8Otz5EOqx+ConZ&#10;PCjZ3kilkuF227Vy5MBwTm7m8Zfeqr1Gstm9rMpyGhh041hl9xMNnyFSnhfYypChoctqXmXZ/pkX&#10;4acMSPUFhJYBd05J3dCL4yBlJpWjsFniMG7HqWtbaB9Rbwd56nHn8dCD+0XJgBPfUP9zz5ygRH02&#10;2LPlbLGIK5KMRXU+R8Md32yPb5jhCNXQQEk+rkNeq711ctdjpjwlBq6xz51MHYgDkVlNvHGqk2DT&#10;Bsa1ObZT1J9/nd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2qkydQAAAAFAQAADwAAAAAAAAAB&#10;ACAAAAAiAAAAZHJzL2Rvd25yZXYueG1sUEsBAhQAFAAAAAgAh07iQJ89BnhNAgAAvQQAAA4AAAAA&#10;AAAAAQAgAAAAIwEAAGRycy9lMm9Eb2MueG1sUEsFBgAAAAAGAAYAWQEAAOIFAAAAAA==&#10;">
                <v:fill on="t" focussize="0,0"/>
                <v:stroke color="#000000" miterlimit="8" joinstyle="miter"/>
                <v:imagedata o:title=""/>
                <o:lock v:ext="edit" aspectratio="f"/>
                <v:textbox>
                  <w:txbxContent>
                    <w:p>
                      <w:pPr>
                        <w:jc w:val="center"/>
                      </w:pPr>
                      <w:r>
                        <w:rPr>
                          <w:rFonts w:hint="eastAsia"/>
                        </w:rPr>
                        <w:drawing>
                          <wp:inline distT="0" distB="0" distL="0" distR="0">
                            <wp:extent cx="2638425" cy="35090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0219" cy="3511761"/>
                                    </a:xfrm>
                                    <a:prstGeom prst="rect">
                                      <a:avLst/>
                                    </a:prstGeom>
                                  </pic:spPr>
                                </pic:pic>
                              </a:graphicData>
                            </a:graphic>
                          </wp:inline>
                        </w:drawing>
                      </w:r>
                    </w:p>
                    <w:p>
                      <w:pPr>
                        <w:jc w:val="center"/>
                      </w:pPr>
                      <w:r>
                        <w:rPr>
                          <w:rFonts w:hint="eastAsia"/>
                        </w:rPr>
                        <w:t>柳东新区“十三五”城镇化格局示意图</w:t>
                      </w:r>
                    </w:p>
                  </w:txbxContent>
                </v:textbox>
                <w10:wrap type="none"/>
                <w10:anchorlock/>
              </v:shape>
            </w:pict>
          </mc:Fallback>
        </mc:AlternateContent>
      </w:r>
    </w:p>
    <w:p>
      <w:pPr>
        <w:pStyle w:val="4"/>
        <w:spacing w:before="0" w:after="0" w:line="600" w:lineRule="exact"/>
        <w:jc w:val="center"/>
        <w:rPr>
          <w:rFonts w:eastAsia="楷体"/>
        </w:rPr>
      </w:pPr>
      <w:bookmarkStart w:id="103" w:name="_Toc458171820"/>
      <w:bookmarkStart w:id="104" w:name="_Toc439832087"/>
      <w:bookmarkStart w:id="105" w:name="_Toc440536819"/>
      <w:r>
        <w:rPr>
          <w:rFonts w:hint="eastAsia" w:eastAsia="楷体"/>
        </w:rPr>
        <w:t>第二节 促进新区与新市镇的协调发展</w:t>
      </w:r>
      <w:bookmarkEnd w:id="103"/>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构筑科学合理城镇发展体系。</w:t>
      </w:r>
      <w:r>
        <w:rPr>
          <w:rFonts w:ascii="Times New Roman" w:hAnsi="Times New Roman" w:eastAsia="仿宋_GB2312"/>
          <w:sz w:val="32"/>
          <w:szCs w:val="32"/>
        </w:rPr>
        <w:t>以增加承载农村转移人口、提升</w:t>
      </w:r>
      <w:r>
        <w:rPr>
          <w:rFonts w:hint="eastAsia" w:ascii="Times New Roman" w:hAnsi="Times New Roman" w:eastAsia="仿宋_GB2312"/>
          <w:sz w:val="32"/>
          <w:szCs w:val="32"/>
        </w:rPr>
        <w:t>新区</w:t>
      </w:r>
      <w:r>
        <w:rPr>
          <w:rFonts w:ascii="Times New Roman" w:hAnsi="Times New Roman" w:eastAsia="仿宋_GB2312"/>
          <w:sz w:val="32"/>
          <w:szCs w:val="32"/>
        </w:rPr>
        <w:t>综合承载力为重点，着力打造</w:t>
      </w:r>
      <w:r>
        <w:rPr>
          <w:rFonts w:hint="eastAsia" w:ascii="Times New Roman" w:hAnsi="Times New Roman" w:eastAsia="仿宋_GB2312"/>
          <w:sz w:val="32"/>
          <w:szCs w:val="32"/>
        </w:rPr>
        <w:t>新区中心服务区。</w:t>
      </w:r>
      <w:r>
        <w:rPr>
          <w:rFonts w:ascii="Times New Roman" w:hAnsi="Times New Roman" w:eastAsia="仿宋_GB2312"/>
          <w:sz w:val="32"/>
          <w:szCs w:val="32"/>
        </w:rPr>
        <w:t>以新型城镇化国家建制镇试点为典</w:t>
      </w:r>
      <w:r>
        <w:rPr>
          <w:rFonts w:hint="eastAsia" w:ascii="Times New Roman" w:hAnsi="Times New Roman" w:eastAsia="仿宋_GB2312"/>
          <w:sz w:val="32"/>
          <w:szCs w:val="32"/>
        </w:rPr>
        <w:t>范</w:t>
      </w:r>
      <w:r>
        <w:rPr>
          <w:rFonts w:ascii="Times New Roman" w:hAnsi="Times New Roman" w:eastAsia="仿宋_GB2312"/>
          <w:sz w:val="32"/>
          <w:szCs w:val="32"/>
        </w:rPr>
        <w:t>，</w:t>
      </w:r>
      <w:r>
        <w:rPr>
          <w:rFonts w:hint="eastAsia" w:ascii="Times New Roman" w:hAnsi="Times New Roman" w:eastAsia="仿宋_GB2312"/>
          <w:sz w:val="32"/>
          <w:szCs w:val="32"/>
        </w:rPr>
        <w:t>把雒容和洛埠</w:t>
      </w:r>
      <w:r>
        <w:rPr>
          <w:rFonts w:ascii="Times New Roman" w:hAnsi="Times New Roman" w:eastAsia="仿宋_GB2312"/>
          <w:sz w:val="32"/>
          <w:szCs w:val="32"/>
        </w:rPr>
        <w:t>建设</w:t>
      </w:r>
      <w:r>
        <w:rPr>
          <w:rFonts w:hint="eastAsia" w:ascii="Times New Roman" w:hAnsi="Times New Roman" w:eastAsia="仿宋_GB2312"/>
          <w:sz w:val="32"/>
          <w:szCs w:val="32"/>
        </w:rPr>
        <w:t>成为</w:t>
      </w:r>
      <w:r>
        <w:rPr>
          <w:rFonts w:ascii="Times New Roman" w:hAnsi="Times New Roman" w:eastAsia="仿宋_GB2312"/>
          <w:sz w:val="32"/>
          <w:szCs w:val="32"/>
        </w:rPr>
        <w:t>特色鲜明、协同发展的小城镇，逐步形成分工明确、优势互补、开放互动的区域间功能布局，推动城镇结构由城乡二元结构向</w:t>
      </w:r>
      <w:r>
        <w:rPr>
          <w:rFonts w:hint="eastAsia" w:ascii="Times New Roman" w:hAnsi="Times New Roman" w:eastAsia="仿宋_GB2312"/>
          <w:sz w:val="32"/>
          <w:szCs w:val="32"/>
        </w:rPr>
        <w:t>全区</w:t>
      </w:r>
      <w:r>
        <w:rPr>
          <w:rFonts w:ascii="Times New Roman" w:hAnsi="Times New Roman" w:eastAsia="仿宋_GB2312"/>
          <w:sz w:val="32"/>
          <w:szCs w:val="32"/>
        </w:rPr>
        <w:t>一体化、由单中心向多中心多片区转变。</w:t>
      </w:r>
    </w:p>
    <w:p>
      <w:pPr>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增强</w:t>
      </w:r>
      <w:r>
        <w:rPr>
          <w:rFonts w:hint="eastAsia" w:ascii="Times New Roman" w:hAnsi="Times New Roman" w:eastAsia="仿宋_GB2312"/>
          <w:b/>
          <w:sz w:val="32"/>
          <w:szCs w:val="32"/>
        </w:rPr>
        <w:t>新区</w:t>
      </w:r>
      <w:r>
        <w:rPr>
          <w:rFonts w:ascii="Times New Roman" w:hAnsi="Times New Roman" w:eastAsia="仿宋_GB2312"/>
          <w:b/>
          <w:sz w:val="32"/>
          <w:szCs w:val="32"/>
        </w:rPr>
        <w:t>辐射功能。</w:t>
      </w:r>
      <w:r>
        <w:rPr>
          <w:rFonts w:ascii="Times New Roman" w:hAnsi="Times New Roman" w:eastAsia="仿宋_GB2312"/>
          <w:sz w:val="32"/>
          <w:szCs w:val="32"/>
        </w:rPr>
        <w:t>按照特色和宜居</w:t>
      </w:r>
      <w:r>
        <w:rPr>
          <w:rFonts w:hint="eastAsia" w:ascii="Times New Roman" w:hAnsi="Times New Roman" w:eastAsia="仿宋_GB2312"/>
          <w:sz w:val="32"/>
          <w:szCs w:val="32"/>
        </w:rPr>
        <w:t>为</w:t>
      </w:r>
      <w:r>
        <w:rPr>
          <w:rFonts w:ascii="Times New Roman" w:hAnsi="Times New Roman" w:eastAsia="仿宋_GB2312"/>
          <w:sz w:val="32"/>
          <w:szCs w:val="32"/>
        </w:rPr>
        <w:t>方向，推动</w:t>
      </w:r>
      <w:r>
        <w:rPr>
          <w:rFonts w:hint="eastAsia" w:ascii="Times New Roman" w:hAnsi="Times New Roman" w:eastAsia="仿宋_GB2312"/>
          <w:sz w:val="32"/>
          <w:szCs w:val="32"/>
        </w:rPr>
        <w:t>新区</w:t>
      </w:r>
      <w:r>
        <w:rPr>
          <w:rFonts w:ascii="Times New Roman" w:hAnsi="Times New Roman" w:eastAsia="仿宋_GB2312"/>
          <w:sz w:val="32"/>
          <w:szCs w:val="32"/>
        </w:rPr>
        <w:t>向生产空间集约高效、生活空间宜居适度、生态空间山清水秀发展。彰显山水城市特色，改造提升</w:t>
      </w:r>
      <w:r>
        <w:rPr>
          <w:rFonts w:hint="eastAsia" w:ascii="Times New Roman" w:hAnsi="Times New Roman" w:eastAsia="仿宋_GB2312"/>
          <w:sz w:val="32"/>
          <w:szCs w:val="32"/>
        </w:rPr>
        <w:t>新区</w:t>
      </w:r>
      <w:r>
        <w:rPr>
          <w:rFonts w:ascii="Times New Roman" w:hAnsi="Times New Roman" w:eastAsia="仿宋_GB2312"/>
          <w:sz w:val="32"/>
          <w:szCs w:val="32"/>
        </w:rPr>
        <w:t>功能品质，统筹规划地上地下空间开发，推动商业、办公、居住、生态空间与交通站点的合理布局与综合利用开发。不断完善基础设施配套，调整优化城市功能布局，进一步完善城市功能，提升城市品位和内涵，提高城市承载能力，强化</w:t>
      </w:r>
      <w:r>
        <w:rPr>
          <w:rFonts w:hint="eastAsia" w:ascii="Times New Roman" w:hAnsi="Times New Roman" w:eastAsia="仿宋_GB2312"/>
          <w:sz w:val="32"/>
          <w:szCs w:val="32"/>
        </w:rPr>
        <w:t>新区</w:t>
      </w:r>
      <w:r>
        <w:rPr>
          <w:rFonts w:ascii="Times New Roman" w:hAnsi="Times New Roman" w:eastAsia="仿宋_GB2312"/>
          <w:sz w:val="32"/>
          <w:szCs w:val="32"/>
        </w:rPr>
        <w:t>综合服务功能，不断增强</w:t>
      </w:r>
      <w:r>
        <w:rPr>
          <w:rFonts w:hint="eastAsia" w:ascii="Times New Roman" w:hAnsi="Times New Roman" w:eastAsia="仿宋_GB2312"/>
          <w:sz w:val="32"/>
          <w:szCs w:val="32"/>
        </w:rPr>
        <w:t>新区</w:t>
      </w:r>
      <w:r>
        <w:rPr>
          <w:rFonts w:ascii="Times New Roman" w:hAnsi="Times New Roman" w:eastAsia="仿宋_GB2312"/>
          <w:sz w:val="32"/>
          <w:szCs w:val="32"/>
        </w:rPr>
        <w:t>辐射带动作用。全力加快新区建设，打造综合性国家级汽车城，增强城市的产业集聚和辐射作用，充分发挥</w:t>
      </w:r>
      <w:r>
        <w:rPr>
          <w:rFonts w:hint="eastAsia" w:ascii="Times New Roman" w:hAnsi="Times New Roman" w:eastAsia="仿宋_GB2312"/>
          <w:sz w:val="32"/>
          <w:szCs w:val="32"/>
        </w:rPr>
        <w:t>新区</w:t>
      </w:r>
      <w:r>
        <w:rPr>
          <w:rFonts w:ascii="Times New Roman" w:hAnsi="Times New Roman" w:eastAsia="仿宋_GB2312"/>
          <w:sz w:val="32"/>
          <w:szCs w:val="32"/>
        </w:rPr>
        <w:t>在全市经济社会发展中的带动作用。</w:t>
      </w:r>
    </w:p>
    <w:p>
      <w:pPr>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积极发展特色小城镇。</w:t>
      </w:r>
      <w:r>
        <w:rPr>
          <w:rFonts w:ascii="Times New Roman" w:hAnsi="Times New Roman" w:eastAsia="仿宋_GB2312"/>
          <w:sz w:val="32"/>
          <w:szCs w:val="32"/>
        </w:rPr>
        <w:t>加大特色镇产业培育力度，大力发展“一镇一品”特色产业，增强综合实力。统筹有序推进</w:t>
      </w:r>
      <w:r>
        <w:rPr>
          <w:rFonts w:hint="eastAsia" w:ascii="Times New Roman" w:hAnsi="Times New Roman" w:eastAsia="仿宋_GB2312"/>
          <w:sz w:val="32"/>
          <w:szCs w:val="32"/>
        </w:rPr>
        <w:t>雒容、洛埠</w:t>
      </w:r>
      <w:r>
        <w:rPr>
          <w:rFonts w:ascii="Times New Roman" w:hAnsi="Times New Roman" w:eastAsia="仿宋_GB2312"/>
          <w:sz w:val="32"/>
          <w:szCs w:val="32"/>
        </w:rPr>
        <w:t>的规划建设，依托三江</w:t>
      </w:r>
      <w:r>
        <w:rPr>
          <w:rFonts w:hint="eastAsia" w:ascii="Times New Roman" w:hAnsi="Times New Roman" w:eastAsia="仿宋_GB2312"/>
          <w:sz w:val="32"/>
          <w:szCs w:val="32"/>
        </w:rPr>
        <w:t>—</w:t>
      </w:r>
      <w:r>
        <w:rPr>
          <w:rFonts w:ascii="Times New Roman" w:hAnsi="Times New Roman" w:eastAsia="仿宋_GB2312"/>
          <w:sz w:val="32"/>
          <w:szCs w:val="32"/>
        </w:rPr>
        <w:t>柳州、柳州</w:t>
      </w:r>
      <w:r>
        <w:rPr>
          <w:rFonts w:hint="eastAsia" w:ascii="Times New Roman" w:hAnsi="Times New Roman" w:eastAsia="仿宋_GB2312"/>
          <w:sz w:val="32"/>
          <w:szCs w:val="32"/>
        </w:rPr>
        <w:t>—</w:t>
      </w:r>
      <w:r>
        <w:rPr>
          <w:rFonts w:ascii="Times New Roman" w:hAnsi="Times New Roman" w:eastAsia="仿宋_GB2312"/>
          <w:sz w:val="32"/>
          <w:szCs w:val="32"/>
        </w:rPr>
        <w:t>梧州等多条高速公路和西江黄金水道项目全面建设的交通新格局，大力扶持沿路、沿江交通枢纽</w:t>
      </w:r>
      <w:r>
        <w:rPr>
          <w:rFonts w:hint="eastAsia" w:ascii="Times New Roman" w:hAnsi="Times New Roman" w:eastAsia="仿宋_GB2312"/>
          <w:sz w:val="32"/>
          <w:szCs w:val="32"/>
        </w:rPr>
        <w:t>洛埠镇</w:t>
      </w:r>
      <w:r>
        <w:rPr>
          <w:rFonts w:ascii="Times New Roman" w:hAnsi="Times New Roman" w:eastAsia="仿宋_GB2312"/>
          <w:sz w:val="32"/>
          <w:szCs w:val="32"/>
        </w:rPr>
        <w:t>的发展；重点支持雒容、洛埠打造成为特色城镇，依托区位、交通、资源及现有产业基础等优势，全面提升城镇</w:t>
      </w:r>
      <w:r>
        <w:rPr>
          <w:rFonts w:hint="eastAsia" w:ascii="Times New Roman" w:hAnsi="Times New Roman" w:eastAsia="仿宋_GB2312"/>
          <w:sz w:val="32"/>
          <w:szCs w:val="32"/>
        </w:rPr>
        <w:t>承载能力</w:t>
      </w:r>
      <w:r>
        <w:rPr>
          <w:rFonts w:ascii="Times New Roman" w:hAnsi="Times New Roman" w:eastAsia="仿宋_GB2312"/>
          <w:sz w:val="32"/>
          <w:szCs w:val="32"/>
        </w:rPr>
        <w:t>，增强人口吸纳能力。</w:t>
      </w:r>
    </w:p>
    <w:p>
      <w:pPr>
        <w:pStyle w:val="4"/>
        <w:spacing w:before="0" w:after="0" w:line="600" w:lineRule="exact"/>
        <w:jc w:val="center"/>
        <w:rPr>
          <w:rFonts w:eastAsia="楷体"/>
        </w:rPr>
      </w:pPr>
      <w:bookmarkStart w:id="106" w:name="_Toc439832086"/>
      <w:bookmarkStart w:id="107" w:name="_Toc440536818"/>
      <w:bookmarkStart w:id="108" w:name="_Toc458171821"/>
      <w:r>
        <w:rPr>
          <w:rFonts w:eastAsia="楷体"/>
        </w:rPr>
        <w:t>第三节</w:t>
      </w:r>
      <w:r>
        <w:rPr>
          <w:rFonts w:hint="eastAsia" w:eastAsia="楷体"/>
        </w:rPr>
        <w:t xml:space="preserve"> </w:t>
      </w:r>
      <w:r>
        <w:rPr>
          <w:rFonts w:eastAsia="楷体"/>
        </w:rPr>
        <w:t>着力提升城镇化品质</w:t>
      </w:r>
      <w:bookmarkEnd w:id="106"/>
      <w:bookmarkEnd w:id="107"/>
      <w:bookmarkEnd w:id="108"/>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将绿色、人文、宜居等理念全面融入城镇建设，全面提升城镇内在品质和形象，打造绿色城镇、人文城镇和特色城镇。</w:t>
      </w:r>
    </w:p>
    <w:p>
      <w:pPr>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打造绿色城镇。</w:t>
      </w:r>
      <w:r>
        <w:rPr>
          <w:rFonts w:ascii="Times New Roman" w:hAnsi="Times New Roman" w:eastAsia="仿宋_GB2312"/>
          <w:sz w:val="32"/>
          <w:szCs w:val="32"/>
        </w:rPr>
        <w:t>合理布局城镇绿地生态空间，严格保护城市规划区范围内的自然保护区、风景名胜区、森林公园、湿地、水源地等重要生态功能区，打造集自然山水、历史文化、现代化建设于一体的综合城市景观特色。结合城乡环境整治、城中村改造、废弃地生态修复，加大社区公园、郊野公园、街道绿地、绿色廊道建设，推动城镇绿化美化，建设生态园林城镇。实施城镇空气、水、重金属污染防治计划，加强城镇环境综合整治，提高环境质量。</w:t>
      </w:r>
    </w:p>
    <w:p>
      <w:pPr>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打造人文城镇</w:t>
      </w:r>
      <w:r>
        <w:rPr>
          <w:rFonts w:ascii="Times New Roman" w:hAnsi="Times New Roman" w:eastAsia="仿宋_GB2312"/>
          <w:sz w:val="32"/>
          <w:szCs w:val="32"/>
        </w:rPr>
        <w:t>。实施历史文化街区保护，进一步发掘城市历史文化内涵。挖掘丰富的民族文化、山水文化、历史文化、福寿文化、饮食文化、节庆文化等人文资源，把优秀文化遗产和现代文化元素与城镇建设有机结合，推进一批历史文化名镇、名村和街区建设，保护有历史、人文和科学价值的传统村落、少数民族特色村寨和民居，保留乡村风貌和地域文化特色，建设历史底蕴厚重、时代特色鲜明的人文城镇，提升文化品位，塑造文化品牌。</w:t>
      </w:r>
    </w:p>
    <w:p>
      <w:pPr>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打造特色城镇</w:t>
      </w:r>
      <w:r>
        <w:rPr>
          <w:rFonts w:ascii="Times New Roman" w:hAnsi="Times New Roman" w:eastAsia="仿宋_GB2312"/>
          <w:sz w:val="32"/>
          <w:szCs w:val="32"/>
        </w:rPr>
        <w:t>。结合当地资源和产业特色，打造生态环境优美、个性特色鲜明的城镇特色。重视特色村庄建设，采取保留改建、局部重建、整体改造等多种手段相结合的方式，因地制宜地推进村庄风貌改造和农村新型社区建设。重点保护乡村特色，合理保护和利用传统民居文化资源，保护三江侗族古民居等建筑文化，形成一批各具特色的乡村田园村寨、民族文化村寨。</w:t>
      </w:r>
    </w:p>
    <w:p>
      <w:pPr>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eastAsia="楷体"/>
        </w:rPr>
      </w:pPr>
      <w:bookmarkStart w:id="109" w:name="_Toc458171822"/>
      <w:r>
        <w:rPr>
          <w:rFonts w:eastAsia="楷体"/>
        </w:rPr>
        <w:t>第</w:t>
      </w:r>
      <w:r>
        <w:rPr>
          <w:rFonts w:hint="eastAsia" w:eastAsia="楷体"/>
        </w:rPr>
        <w:t>四</w:t>
      </w:r>
      <w:r>
        <w:rPr>
          <w:rFonts w:eastAsia="楷体"/>
        </w:rPr>
        <w:t>节 有序推进农业转移人口市民化</w:t>
      </w:r>
      <w:bookmarkEnd w:id="104"/>
      <w:bookmarkEnd w:id="105"/>
      <w:bookmarkEnd w:id="109"/>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推进以人为核心的新型城镇化，建立健全城乡一体化的规划、建设、管理体制机制，推进城乡产业、基础设施、公共服务统筹发展。</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积极推进就地城镇化。</w:t>
      </w:r>
      <w:r>
        <w:rPr>
          <w:rFonts w:hint="eastAsia" w:ascii="仿宋_GB2312" w:hAnsi="Times New Roman" w:eastAsia="仿宋_GB2312"/>
          <w:sz w:val="32"/>
          <w:szCs w:val="32"/>
        </w:rPr>
        <w:t>以增强乡镇要素集聚能力为核心，进一步提升城镇经济发展水平和人口集聚能力。结合城镇中心村建设、城乡建设用地增减挂钩、农村土地综合治理和农居点布局建设等工作，加大人口集聚、资金集聚和技术集聚力度，促进现有农村人口向中心镇集聚。</w:t>
      </w:r>
    </w:p>
    <w:p>
      <w:pPr>
        <w:spacing w:line="600" w:lineRule="exact"/>
        <w:ind w:firstLine="643" w:firstLineChars="200"/>
        <w:rPr>
          <w:rFonts w:ascii="仿宋_GB2312" w:hAnsi="Times New Roman" w:eastAsia="仿宋_GB2312"/>
          <w:szCs w:val="32"/>
        </w:rPr>
      </w:pPr>
      <w:r>
        <w:rPr>
          <w:rFonts w:hint="eastAsia" w:ascii="仿宋_GB2312" w:hAnsi="Times New Roman" w:eastAsia="仿宋_GB2312"/>
          <w:b/>
          <w:sz w:val="32"/>
          <w:szCs w:val="32"/>
        </w:rPr>
        <w:t>加快推动户籍制度改革。</w:t>
      </w:r>
      <w:r>
        <w:rPr>
          <w:rFonts w:hint="eastAsia" w:ascii="仿宋_GB2312" w:hAnsi="Times New Roman" w:eastAsia="仿宋_GB2312"/>
          <w:sz w:val="32"/>
          <w:szCs w:val="32"/>
        </w:rPr>
        <w:t>建立完善与居住年限等条件挂钩的积分落户制度，</w:t>
      </w:r>
      <w:r>
        <w:rPr>
          <w:rFonts w:hint="eastAsia" w:ascii="仿宋_GB2312" w:hAnsi="Times New Roman" w:eastAsia="仿宋_GB2312"/>
          <w:kern w:val="0"/>
          <w:sz w:val="32"/>
          <w:szCs w:val="32"/>
        </w:rPr>
        <w:t>建立城乡统一的居住登记制度，逐步由户籍人口登记向常住人口登记转变，有序放开城镇户口落户限制，放宽城区落户条件，引导农业人口向城镇逐步转移，并平等享受公共服务。到202</w:t>
      </w:r>
      <w:r>
        <w:rPr>
          <w:rFonts w:hint="eastAsia" w:ascii="仿宋_GB2312" w:hAnsi="Times New Roman" w:eastAsia="仿宋_GB2312"/>
          <w:sz w:val="32"/>
          <w:szCs w:val="32"/>
        </w:rPr>
        <w:t>0年，基本形成以合法稳定住所和合法稳定职业为户口迁移条件、以常住登记户口为基本形式，城乡统一、规范有序的新型户籍制度。</w:t>
      </w:r>
    </w:p>
    <w:p>
      <w:pPr>
        <w:spacing w:line="600" w:lineRule="exact"/>
        <w:ind w:firstLine="630" w:firstLineChars="196"/>
        <w:rPr>
          <w:rFonts w:ascii="仿宋_GB2312" w:hAnsi="Times New Roman" w:eastAsia="仿宋_GB2312"/>
          <w:sz w:val="32"/>
          <w:szCs w:val="32"/>
        </w:rPr>
      </w:pPr>
      <w:r>
        <w:rPr>
          <w:rFonts w:hint="eastAsia" w:ascii="仿宋_GB2312" w:hAnsi="Times New Roman" w:eastAsia="仿宋_GB2312"/>
          <w:b/>
          <w:sz w:val="32"/>
          <w:szCs w:val="32"/>
        </w:rPr>
        <w:t>促进公共服务均等化。</w:t>
      </w:r>
      <w:r>
        <w:rPr>
          <w:rFonts w:hint="eastAsia" w:ascii="仿宋_GB2312" w:hAnsi="Times New Roman" w:eastAsia="仿宋_GB2312"/>
          <w:bCs/>
          <w:sz w:val="32"/>
          <w:szCs w:val="32"/>
        </w:rPr>
        <w:t>推进社会事业全面发展，大力推进公共服务基础设施建设，继续加大教育投入，优化教</w:t>
      </w:r>
      <w:r>
        <w:rPr>
          <w:rFonts w:hint="eastAsia" w:ascii="仿宋_GB2312" w:hAnsi="Times New Roman" w:eastAsia="仿宋_GB2312"/>
          <w:sz w:val="32"/>
          <w:szCs w:val="32"/>
        </w:rPr>
        <w:t>育资源布局，</w:t>
      </w:r>
      <w:r>
        <w:rPr>
          <w:rFonts w:hint="eastAsia" w:ascii="仿宋_GB2312" w:hAnsi="Times New Roman" w:eastAsia="仿宋_GB2312"/>
          <w:bCs/>
          <w:sz w:val="32"/>
          <w:szCs w:val="32"/>
        </w:rPr>
        <w:t>完善公共卫生和医疗服务体系，提高疾病防治和卫生应急保障能力，</w:t>
      </w:r>
      <w:r>
        <w:rPr>
          <w:rFonts w:hint="eastAsia" w:ascii="仿宋_GB2312" w:hAnsi="Times New Roman" w:eastAsia="仿宋_GB2312"/>
          <w:sz w:val="32"/>
          <w:szCs w:val="32"/>
          <w:lang w:val="zh-CN"/>
        </w:rPr>
        <w:t>加快完善覆盖城乡的基本公共服务、社会保障和社会救助体系，</w:t>
      </w:r>
      <w:r>
        <w:rPr>
          <w:rFonts w:hint="eastAsia" w:ascii="仿宋_GB2312" w:hAnsi="Times New Roman" w:eastAsia="仿宋_GB2312"/>
          <w:sz w:val="32"/>
          <w:szCs w:val="32"/>
        </w:rPr>
        <w:t>加快发展文化体育事业，逐步实现城镇基本公共服务向城镇常住人口全覆盖。推动城市优质公共服务资源向城镇延伸，探索采取集团化、标准化规范运营模式，通过</w:t>
      </w:r>
      <w:r>
        <w:rPr>
          <w:rFonts w:hint="eastAsia" w:ascii="仿宋_GB2312" w:hAnsi="Times New Roman" w:eastAsia="仿宋_GB2312"/>
          <w:kern w:val="0"/>
          <w:sz w:val="32"/>
          <w:szCs w:val="32"/>
        </w:rPr>
        <w:t>联合办校、办医等方式，</w:t>
      </w:r>
      <w:r>
        <w:rPr>
          <w:rFonts w:hint="eastAsia" w:ascii="仿宋_GB2312" w:hAnsi="Times New Roman" w:eastAsia="仿宋_GB2312"/>
          <w:sz w:val="32"/>
          <w:szCs w:val="32"/>
        </w:rPr>
        <w:t>提升服务水平，实现</w:t>
      </w:r>
      <w:r>
        <w:rPr>
          <w:rFonts w:hint="eastAsia" w:ascii="仿宋_GB2312" w:hAnsi="Times New Roman" w:eastAsia="仿宋_GB2312"/>
          <w:kern w:val="0"/>
          <w:sz w:val="32"/>
          <w:szCs w:val="32"/>
        </w:rPr>
        <w:t>大城市与小城镇优质资源共享，</w:t>
      </w:r>
      <w:r>
        <w:rPr>
          <w:rFonts w:hint="eastAsia" w:ascii="仿宋_GB2312" w:hAnsi="Times New Roman" w:eastAsia="仿宋_GB2312"/>
          <w:sz w:val="32"/>
          <w:szCs w:val="32"/>
        </w:rPr>
        <w:t>缩小城乡公共服务差别。到2020年，实现凡在城镇有合法稳定住所、合法稳定职业的农业转移人口，在公共教育、医疗卫生、就业服务、社会保障、保障性住房等领域依法享有与城镇户籍人口平等的权利。</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kern w:val="0"/>
          <w:sz w:val="32"/>
          <w:szCs w:val="32"/>
        </w:rPr>
        <w:t>提高农民工融入城镇的素质和能力</w:t>
      </w:r>
      <w:r>
        <w:rPr>
          <w:rFonts w:hint="eastAsia" w:ascii="仿宋_GB2312" w:hAnsi="Times New Roman" w:eastAsia="仿宋_GB2312"/>
          <w:b/>
          <w:sz w:val="32"/>
          <w:szCs w:val="32"/>
        </w:rPr>
        <w:t>。</w:t>
      </w:r>
      <w:r>
        <w:rPr>
          <w:rFonts w:hint="eastAsia" w:ascii="仿宋_GB2312" w:hAnsi="Times New Roman" w:eastAsia="仿宋_GB2312"/>
          <w:sz w:val="32"/>
          <w:szCs w:val="32"/>
        </w:rPr>
        <w:t>建立城乡统一的就业失业登记管理制度，逐步统一失业保险待遇标准，依法保护城乡居民平等就业和自主择业的权利，允许农村居民带产权、持股进城居住、就业。</w:t>
      </w:r>
      <w:r>
        <w:rPr>
          <w:rFonts w:hint="eastAsia" w:ascii="仿宋_GB2312" w:hAnsi="Times New Roman" w:eastAsia="仿宋_GB2312"/>
          <w:kern w:val="0"/>
          <w:sz w:val="32"/>
          <w:szCs w:val="32"/>
        </w:rPr>
        <w:t>加强农民工转移就业职业技能培训，建设农民工服务和管理平台。加快促进农民工的转移就业，</w:t>
      </w:r>
      <w:r>
        <w:rPr>
          <w:rFonts w:hint="eastAsia" w:ascii="仿宋_GB2312" w:hAnsi="Times New Roman" w:eastAsia="仿宋_GB2312"/>
          <w:sz w:val="32"/>
          <w:szCs w:val="32"/>
        </w:rPr>
        <w:t>加强农民工有序转移就业的组织化程度，</w:t>
      </w:r>
      <w:r>
        <w:rPr>
          <w:rFonts w:hint="eastAsia" w:ascii="仿宋_GB2312" w:hAnsi="Times New Roman" w:eastAsia="仿宋_GB2312"/>
          <w:kern w:val="0"/>
          <w:sz w:val="32"/>
          <w:szCs w:val="32"/>
        </w:rPr>
        <w:t>拓展劳务向</w:t>
      </w:r>
      <w:r>
        <w:rPr>
          <w:rFonts w:hint="eastAsia" w:ascii="仿宋_GB2312" w:hAnsi="Times New Roman" w:eastAsia="仿宋_GB2312"/>
          <w:sz w:val="32"/>
          <w:szCs w:val="32"/>
        </w:rPr>
        <w:t>用工环境优良地区企业输出。开展创业培训，引导农村信用社、柳银村镇银行等金融机构简化小额担保贷款的发放手续，促进农民工创业。</w:t>
      </w:r>
    </w:p>
    <w:p>
      <w:pPr>
        <w:spacing w:line="600" w:lineRule="exact"/>
        <w:ind w:firstLine="643" w:firstLineChars="200"/>
        <w:rPr>
          <w:rFonts w:ascii="Times New Roman" w:hAnsi="Times New Roman" w:eastAsia="仿宋_GB2312" w:cs="Times New Roman"/>
          <w:b/>
          <w:sz w:val="32"/>
          <w:szCs w:val="32"/>
        </w:rPr>
      </w:pP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稳步推进农民向市民转变。</w:t>
      </w:r>
      <w:r>
        <w:rPr>
          <w:rFonts w:hint="eastAsia" w:ascii="Times New Roman" w:hAnsi="Times New Roman" w:eastAsia="仿宋_GB2312" w:cs="Times New Roman"/>
          <w:sz w:val="32"/>
          <w:szCs w:val="32"/>
        </w:rPr>
        <w:t>深化户籍制度改革，积极引导农民向新区中心和新型社区集中，按照常驻地登记户口的原则，逐步实行城乡统一的户口登记管理制度，放宽新区落户条件。建立全区统筹的社保体系，消除制约农民向市民转变的体制性障碍，使进城农民与当地城市居民享有同等权益。完善进城农民宅基地和承包地退出补偿机制。</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加大雒容、洛埠镇建设力度。</w:t>
      </w:r>
      <w:r>
        <w:rPr>
          <w:rFonts w:hint="eastAsia" w:ascii="Times New Roman" w:hAnsi="Times New Roman" w:eastAsia="仿宋_GB2312" w:cs="Times New Roman"/>
          <w:sz w:val="32"/>
          <w:szCs w:val="32"/>
        </w:rPr>
        <w:t>高标准建设雒容镇、洛埠镇道路交通、电力、天然气、供排水、污水处理、公共卫生、文化教育等基础配套设施，完善公共服务，进一步增强城镇聚集、辐射、带动的能力，促进农村人口向城镇集中，成为带动周边农村发展的区域中心。</w:t>
      </w:r>
    </w:p>
    <w:p>
      <w:pPr>
        <w:pStyle w:val="2"/>
        <w:spacing w:before="0" w:after="0" w:line="600" w:lineRule="exact"/>
        <w:contextualSpacing/>
        <w:jc w:val="center"/>
        <w:rPr>
          <w:rFonts w:eastAsia="黑体"/>
          <w:sz w:val="32"/>
          <w:szCs w:val="32"/>
        </w:rPr>
      </w:pPr>
      <w:bookmarkStart w:id="110" w:name="_Toc439832096"/>
      <w:bookmarkStart w:id="111" w:name="_Toc440536828"/>
      <w:bookmarkStart w:id="112" w:name="_Toc458171823"/>
      <w:r>
        <w:rPr>
          <w:rFonts w:eastAsia="黑体"/>
          <w:sz w:val="32"/>
          <w:szCs w:val="32"/>
        </w:rPr>
        <w:t>第十</w:t>
      </w:r>
      <w:r>
        <w:rPr>
          <w:rFonts w:hint="eastAsia" w:eastAsia="黑体"/>
          <w:sz w:val="32"/>
          <w:szCs w:val="32"/>
        </w:rPr>
        <w:t>三</w:t>
      </w:r>
      <w:r>
        <w:rPr>
          <w:rFonts w:eastAsia="黑体"/>
          <w:sz w:val="32"/>
          <w:szCs w:val="32"/>
        </w:rPr>
        <w:t>章 构建</w:t>
      </w:r>
      <w:r>
        <w:rPr>
          <w:rFonts w:hint="eastAsia" w:eastAsia="黑体"/>
          <w:sz w:val="32"/>
          <w:szCs w:val="32"/>
        </w:rPr>
        <w:t>新区</w:t>
      </w:r>
      <w:r>
        <w:rPr>
          <w:rFonts w:eastAsia="黑体"/>
          <w:sz w:val="32"/>
          <w:szCs w:val="32"/>
        </w:rPr>
        <w:t>发展空间新格局</w:t>
      </w:r>
      <w:bookmarkEnd w:id="110"/>
      <w:bookmarkEnd w:id="111"/>
      <w:bookmarkEnd w:id="112"/>
    </w:p>
    <w:p>
      <w:pPr>
        <w:spacing w:line="600" w:lineRule="exact"/>
        <w:ind w:firstLine="640" w:firstLineChars="200"/>
      </w:pPr>
      <w:r>
        <w:rPr>
          <w:rFonts w:ascii="仿宋_GB2312" w:hAnsi="仿宋" w:eastAsia="仿宋_GB2312"/>
          <w:sz w:val="32"/>
          <w:szCs w:val="32"/>
        </w:rPr>
        <w:t>按照城市管理一体化、基础设施一体化、产业布局一体化的总体思路，全面落实主体功能区规划和城市总体规划，统筹生产、生活、生态布局，实施多规合一，加强各组团之间的互联互通、生态隔离和组团内部的集约高效，拓展城市发展新空间，形成多点支撑、联动发展的空间格局。</w:t>
      </w:r>
    </w:p>
    <w:p>
      <w:pPr>
        <w:pStyle w:val="4"/>
        <w:spacing w:before="0" w:after="0" w:line="600" w:lineRule="exact"/>
        <w:jc w:val="center"/>
        <w:rPr>
          <w:rFonts w:eastAsia="楷体"/>
        </w:rPr>
      </w:pPr>
      <w:bookmarkStart w:id="113" w:name="_Toc458171824"/>
      <w:r>
        <w:rPr>
          <w:rFonts w:hint="eastAsia" w:eastAsia="楷体"/>
        </w:rPr>
        <w:t>第一节 优化新区空间结构</w:t>
      </w:r>
      <w:bookmarkEnd w:id="113"/>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构建特色鲜明的城市发展框架，提升新区综合服务能力。优化城市布局，明确城市发展方向（向北、向东）与发展骨架（两条城市发展轴），完善新区服务功能，培育和建设六个服务中心、六个城市发展板块，形成布局合理、功能完备、适宜人居、特色明显的发展格局，形成产业特点鲜明，城市风格现代时尚，具备一定历史人文特色的示范区。</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明确城市空间格局。</w:t>
      </w:r>
      <w:r>
        <w:rPr>
          <w:rFonts w:hint="eastAsia" w:ascii="Times New Roman" w:hAnsi="Times New Roman" w:eastAsia="仿宋_GB2312" w:cs="Times New Roman"/>
          <w:sz w:val="32"/>
          <w:szCs w:val="32"/>
        </w:rPr>
        <w:t>坚持超前科学规划，优化城市空间布局。逐步形成“北进中欧，建设北部产业园与物流服务；东拓雒容，使城市和古镇相融合；西善门户，完成城市形象展示”的格局。要重点提升城市基础设施和服务功能标准，发展和培育城市的主导功能。发展和强化商务商贸、研发创新、文化创意、旅游休闲、教育卫生等功能，成为现代服务业集聚、各类人才集中、资源要素富集的核心区域。</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构建“十字型”发展框架。</w:t>
      </w:r>
      <w:r>
        <w:rPr>
          <w:rFonts w:hint="eastAsia" w:ascii="Times New Roman" w:hAnsi="Times New Roman" w:eastAsia="仿宋_GB2312" w:cs="Times New Roman"/>
          <w:sz w:val="32"/>
          <w:szCs w:val="32"/>
        </w:rPr>
        <w:t>沿柳东大道由西向东贯穿文化展览中心、龙湖商务中心、雒容服务中心三个服务中心，把城市生活、服务、生产串联起来，是新区向东拓展的发展骨架。沿大学西路及向北延长线由南至北贯穿文化展览中心、配套服务中心、中欧商务中心三个服务中心，把城市生活与生产向北挺进扩展，形成城市向北发展的主要骨架。</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加快建设六个服务中心。</w:t>
      </w:r>
      <w:r>
        <w:rPr>
          <w:rFonts w:hint="eastAsia" w:ascii="Times New Roman" w:hAnsi="Times New Roman" w:eastAsia="仿宋_GB2312" w:cs="Times New Roman"/>
          <w:sz w:val="32"/>
          <w:szCs w:val="32"/>
        </w:rPr>
        <w:t>高起点规划和建设文化展览中心、龙湖商务中心、雒容服务中心、物流服务中心、配套服务中心、北部商务中心。把中心纳入城市整体建设体系，加快基础设施建设步伐，承接中心城区功能转移和其他城区产业转移，加快人口集聚，形成具有发展潜力的城市新区。</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完善四个城市板块，启动开发两个城市发展区。</w:t>
      </w:r>
      <w:r>
        <w:rPr>
          <w:rFonts w:hint="eastAsia" w:ascii="Times New Roman" w:hAnsi="Times New Roman" w:eastAsia="仿宋_GB2312" w:cs="Times New Roman"/>
          <w:sz w:val="32"/>
          <w:szCs w:val="32"/>
        </w:rPr>
        <w:t>在原来基础上，完善高端服务提升区、城市配套优化区两个服务发展区，形成相对独立、功能齐全、设施完善、三产发达、生态优美的城市服务发展区。进一步扩展并优化汽车整车发展区、汽车配件发展区两个个产业发展区，形成完善的汽车产业链。</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启动开发北部高铁经济带产业园所在的产城融合示范区，打造新区产业区域特色，引导人口北部集聚，引导生产性服务业产业集聚，加快基础设施建设，成为新区产业、要素、人口、科技等集聚的创新发展区。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启动开发雒容镇东部汽车配件发展区，形成产业向东扩展的突破口，完善新区汽车产业链。</w:t>
      </w:r>
    </w:p>
    <w:p>
      <w:pPr>
        <w:tabs>
          <w:tab w:val="left" w:pos="720"/>
        </w:tabs>
        <w:spacing w:line="360" w:lineRule="atLeast"/>
        <w:rPr>
          <w:rFonts w:asciiTheme="minorEastAsia" w:hAnsiTheme="minorEastAsia"/>
          <w:bCs/>
          <w:szCs w:val="28"/>
        </w:rPr>
      </w:pPr>
      <w:r>
        <w:rPr>
          <w:rFonts w:asciiTheme="minorEastAsia" w:hAnsiTheme="minorEastAsia"/>
          <w:bCs/>
          <w:szCs w:val="28"/>
        </w:rPr>
        <mc:AlternateContent>
          <mc:Choice Requires="wps">
            <w:drawing>
              <wp:inline distT="0" distB="0" distL="0" distR="0">
                <wp:extent cx="5274310" cy="4181475"/>
                <wp:effectExtent l="0" t="0" r="21590" b="28575"/>
                <wp:docPr id="30" name="Text Box 16"/>
                <wp:cNvGraphicFramePr/>
                <a:graphic xmlns:a="http://schemas.openxmlformats.org/drawingml/2006/main">
                  <a:graphicData uri="http://schemas.microsoft.com/office/word/2010/wordprocessingShape">
                    <wps:wsp>
                      <wps:cNvSpPr txBox="1">
                        <a:spLocks noChangeArrowheads="1"/>
                      </wps:cNvSpPr>
                      <wps:spPr bwMode="auto">
                        <a:xfrm>
                          <a:off x="0" y="0"/>
                          <a:ext cx="5274310" cy="4181475"/>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2790825" cy="36887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464" cy="3688472"/>
                                          </a:xfrm>
                                          <a:prstGeom prst="rect">
                                            <a:avLst/>
                                          </a:prstGeom>
                                        </pic:spPr>
                                      </pic:pic>
                                    </a:graphicData>
                                  </a:graphic>
                                </wp:inline>
                              </w:drawing>
                            </w:r>
                          </w:p>
                          <w:p>
                            <w:pPr>
                              <w:jc w:val="center"/>
                            </w:pPr>
                            <w:r>
                              <w:rPr>
                                <w:rFonts w:hint="eastAsia"/>
                              </w:rPr>
                              <w:t>柳东新区空间布局图</w:t>
                            </w:r>
                          </w:p>
                        </w:txbxContent>
                      </wps:txbx>
                      <wps:bodyPr rot="0" vert="horz" wrap="square" lIns="91440" tIns="45720" rIns="91440" bIns="45720" anchor="t" anchorCtr="0" upright="1">
                        <a:noAutofit/>
                      </wps:bodyPr>
                    </wps:wsp>
                  </a:graphicData>
                </a:graphic>
              </wp:inline>
            </w:drawing>
          </mc:Choice>
          <mc:Fallback>
            <w:pict>
              <v:shape id="Text Box 16" o:spid="_x0000_s1026" o:spt="202" type="#_x0000_t202" style="height:329.25pt;width:415.3pt;" fillcolor="#F2F2F2 [3212]" filled="t" stroked="t" coordsize="21600,21600" o:gfxdata="UEsDBAoAAAAAAIdO4kAAAAAAAAAAAAAAAAAEAAAAZHJzL1BLAwQUAAAACACHTuJAPypRHNQAAAAF&#10;AQAADwAAAGRycy9kb3ducmV2LnhtbE2PQU/DMAyF70j8h8hIXBBLNlhXlaY7gCaOsI3ds8ZrKxon&#10;atKt/HsMF7hYenr2e5/L9eR6ccYhdp40zGcKBFLtbUeNho/95j4HEZMha3pPqOELI6yr66vSFNZf&#10;aIvnXWoEh1AsjIY2pVBIGesWnYkzH5DYO/nBmcRyaKQdzIXDXS8XSmXSmY64oTUBn1usP3ejY4z9&#10;ISykekyr17v3l7ftdAhjttH69maunkAknNLfMvzg8w1UzHT0I9koeg38SPqd7OUPKgNx1JAt8yXI&#10;qpT/6atvUEsDBBQAAAAIAIdO4kAUZUoBTgIAAL4EAAAOAAAAZHJzL2Uyb0RvYy54bWytVNuO2yAQ&#10;fa/Uf0C8N46zyV6sOKttolSVthdptx9AMI5RgaFAYm+/vgN403SrSvtQRbKYC2fOnBmyvB20Ikfh&#10;vART03IypUQYDo00+5p+e9y+u6bEB2YapsCImj4JT29Xb98se1uJGXSgGuEIghhf9bamXQi2KgrP&#10;O6GZn4AVBoMtOM0Cmm5fNI71iK5VMZtOL4seXGMdcOE9ejc5SEdE9xpAaFvJxQb4QQsTMqoTigVs&#10;yXfSerpKbNtW8PClbb0IRNUUOw3pi0XwvIvfYrVk1d4x20k+UmCvofCiJ82kwaInqA0LjByc/AtK&#10;S+7AQxsmHHSRG0mKYBfl9IU2Dx2zIvWCUnt7Et3/P1j++fjVEdnU9AIlMUzjxB/FEMh7GEh5GfXp&#10;ra8w7cFiYhjQj1uTevX2Hvh3TwysO2b24s456DvBGuRXxpvF2dWM4yPIrv8EDdZhhwAJaGidjuKh&#10;HATRkcjTaTaRC0fnYnY1vygxxDE2L6/L+dUi1WDV83XrfPggQJN4qKnD4Sd4drz3IdJh1XNKrOZB&#10;yWYrlUqG2+/WypEjw0XZzuIv3VUHjWSz+2YxnY4bg27cq+xOLsT2GSLV+QNbGdLX9GYxW2TZ/lkX&#10;4ccKEe48TcuAj05JXdPr8yRlRpWjsFniMOyGcWo7aJ5Qbwd57fHR46ED95OSHle+pv7HgTlBifpo&#10;cGY35XyOAodkzBdXMzTceWR3HmGGI1RNAyX5uA75XR2sk/sOK+UtMXCHc25lmkBciMxq5I1rnQQb&#10;n2B8N+d2yvr9t7P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8qURzUAAAABQEAAA8AAAAAAAAA&#10;AQAgAAAAIgAAAGRycy9kb3ducmV2LnhtbFBLAQIUABQAAAAIAIdO4kAUZUoBTgIAAL4EAAAOAAAA&#10;AAAAAAEAIAAAACMBAABkcnMvZTJvRG9jLnhtbFBLBQYAAAAABgAGAFkBAADjBQAAAAA=&#10;">
                <v:fill on="t" focussize="0,0"/>
                <v:stroke color="#000000" miterlimit="8" joinstyle="miter"/>
                <v:imagedata o:title=""/>
                <o:lock v:ext="edit" aspectratio="f"/>
                <v:textbox>
                  <w:txbxContent>
                    <w:p>
                      <w:pPr>
                        <w:jc w:val="center"/>
                      </w:pPr>
                      <w:r>
                        <w:rPr>
                          <w:rFonts w:hint="eastAsia"/>
                        </w:rPr>
                        <w:drawing>
                          <wp:inline distT="0" distB="0" distL="0" distR="0">
                            <wp:extent cx="2790825" cy="36887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464" cy="3688472"/>
                                    </a:xfrm>
                                    <a:prstGeom prst="rect">
                                      <a:avLst/>
                                    </a:prstGeom>
                                  </pic:spPr>
                                </pic:pic>
                              </a:graphicData>
                            </a:graphic>
                          </wp:inline>
                        </w:drawing>
                      </w:r>
                    </w:p>
                    <w:p>
                      <w:pPr>
                        <w:jc w:val="center"/>
                      </w:pPr>
                      <w:r>
                        <w:rPr>
                          <w:rFonts w:hint="eastAsia"/>
                        </w:rPr>
                        <w:t>柳东新区空间布局图</w:t>
                      </w:r>
                    </w:p>
                  </w:txbxContent>
                </v:textbox>
                <w10:wrap type="none"/>
                <w10:anchorlock/>
              </v:shape>
            </w:pict>
          </mc:Fallback>
        </mc:AlternateContent>
      </w:r>
    </w:p>
    <w:p>
      <w:pPr>
        <w:pStyle w:val="4"/>
        <w:spacing w:before="0" w:after="0" w:line="600" w:lineRule="exact"/>
        <w:jc w:val="center"/>
        <w:rPr>
          <w:rFonts w:eastAsia="楷体"/>
        </w:rPr>
      </w:pPr>
      <w:bookmarkStart w:id="114" w:name="_Toc458171825"/>
      <w:r>
        <w:rPr>
          <w:rFonts w:hint="eastAsia" w:eastAsia="楷体"/>
        </w:rPr>
        <w:t>第二节 强化空间管控体系</w:t>
      </w:r>
      <w:bookmarkEnd w:id="114"/>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有序空间开发。</w:t>
      </w:r>
      <w:r>
        <w:rPr>
          <w:rFonts w:hint="eastAsia" w:ascii="Times New Roman" w:hAnsi="Times New Roman" w:eastAsia="仿宋_GB2312" w:cs="Times New Roman"/>
          <w:sz w:val="32"/>
          <w:szCs w:val="32"/>
        </w:rPr>
        <w:t>在空间实施上，充分保护和尊重生态本底为基础，集约利用土地，把服务功能向外围扩散，进一步扩大服务范围，提升土地价值。</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一期（2016）开发建设重点主要为官塘片区，明确该片区已批已建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在建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未建项目实施落地，并以职教园、会展中心、商务中心为核心辐射周边，建设高端服务提升区。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二期（2018）开发建设重点主要为雒容古镇，以雒容古镇更新改造与新型城镇化为契机，发展古镇服务中心，辐射周边，带动古镇配套优化区发展。</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期（2020）开发建设重点主要为高铁经济带产业园，由大学西路向北延伸，带动两侧用地发展，把高铁经济带产业园与南部高端服务提升区相互连接，以高铁经济带产业园商务中心为核心，辐射带动整个片区发展。</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空间调控引导。</w:t>
      </w:r>
      <w:r>
        <w:rPr>
          <w:rFonts w:hint="eastAsia" w:ascii="Times New Roman" w:hAnsi="Times New Roman" w:eastAsia="仿宋_GB2312" w:cs="Times New Roman"/>
          <w:sz w:val="32"/>
          <w:szCs w:val="32"/>
        </w:rPr>
        <w:t>坚定不移实施主体功能区制度，落实生态空间多用途管制、严格实行耕地用途管理的要求，针对城镇空间、产业空间、生态空间、农业空间和城镇化空间进行功能定位和发展方向引导，细化财政、投资、产业、土地、农业、环境等政策，加强对新区空间的管控力度。</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健全多规融合的规划协调机制。</w:t>
      </w:r>
      <w:r>
        <w:rPr>
          <w:rFonts w:hint="eastAsia" w:ascii="Times New Roman" w:hAnsi="Times New Roman" w:eastAsia="仿宋_GB2312" w:cs="Times New Roman"/>
          <w:sz w:val="32"/>
          <w:szCs w:val="32"/>
        </w:rPr>
        <w:t>按照规划体制改革的总体要求，整合内容交叉重复、相互矛盾冲突的规划，精减由市场引起资源配置决定性作用领域的规划，将政府部门发挥作用但不宜编制规划的领域调整为行动方案或专项政策，同时，建立有效规划衔接协调机制，形成衔接协调的平台和接口，以总体规划为龙头，相关空间规划、专项规划共同形成定位清晰、功能互补、统一衔接的规划体系。</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经济社会发展规划与土地利用规划、城市规划等相关领域规划的相互协调，尽快编制新区全覆盖范围的各项规划，并确保各类规划的统一实施，发挥规划的整体合力。政府各部门根据十三五总体发展规划确定的目标和任务，</w:t>
      </w:r>
      <w:r>
        <w:rPr>
          <w:rFonts w:hint="eastAsia" w:ascii="Times New Roman" w:hAnsi="Times New Roman" w:eastAsia="仿宋_GB2312" w:cs="Times New Roman"/>
          <w:sz w:val="32"/>
          <w:szCs w:val="32"/>
          <w:lang w:eastAsia="zh-CN"/>
        </w:rPr>
        <w:t>各司其职</w:t>
      </w:r>
      <w:r>
        <w:rPr>
          <w:rFonts w:hint="eastAsia" w:ascii="Times New Roman" w:hAnsi="Times New Roman" w:eastAsia="仿宋_GB2312" w:cs="Times New Roman"/>
          <w:sz w:val="32"/>
          <w:szCs w:val="32"/>
        </w:rPr>
        <w:t>，互相协调，密切配合，组织制定和实施总体规划、控制性详细规划、专项规划，保持经济社会发展目标的连续性和稳定性。</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善规划修编机制。贯彻落实国家和市区关于规划编制工作的要求，建立发展规划“编制—实施—评估—调整—实施”的滚动编制与实施机制。对实施中发现的问题，及时研究解决，提出针对性的对策建议。当宏观环境发生不可预见的重大变化，或由于其他原因导致实际经济社会发展严重偏离规划目标时，可适时提出调整方案。</w:t>
      </w:r>
    </w:p>
    <w:p>
      <w:pPr>
        <w:pStyle w:val="2"/>
        <w:spacing w:before="0" w:after="0" w:line="600" w:lineRule="exact"/>
        <w:contextualSpacing/>
        <w:jc w:val="center"/>
        <w:rPr>
          <w:rFonts w:eastAsia="黑体"/>
          <w:sz w:val="32"/>
          <w:szCs w:val="32"/>
        </w:rPr>
      </w:pPr>
      <w:bookmarkStart w:id="115" w:name="_Toc439832101"/>
      <w:bookmarkStart w:id="116" w:name="_Toc440536833"/>
      <w:bookmarkStart w:id="117" w:name="_Toc458171826"/>
      <w:r>
        <w:rPr>
          <w:rFonts w:eastAsia="黑体"/>
          <w:sz w:val="32"/>
          <w:szCs w:val="32"/>
        </w:rPr>
        <w:t>第十</w:t>
      </w:r>
      <w:r>
        <w:rPr>
          <w:rFonts w:hint="eastAsia" w:eastAsia="黑体"/>
          <w:sz w:val="32"/>
          <w:szCs w:val="32"/>
        </w:rPr>
        <w:t>四</w:t>
      </w:r>
      <w:r>
        <w:rPr>
          <w:rFonts w:eastAsia="黑体"/>
          <w:sz w:val="32"/>
          <w:szCs w:val="32"/>
        </w:rPr>
        <w:t>章 提升</w:t>
      </w:r>
      <w:r>
        <w:rPr>
          <w:rFonts w:hint="eastAsia" w:eastAsia="黑体"/>
          <w:sz w:val="32"/>
          <w:szCs w:val="32"/>
        </w:rPr>
        <w:t>新区</w:t>
      </w:r>
      <w:r>
        <w:rPr>
          <w:rFonts w:eastAsia="黑体"/>
          <w:sz w:val="32"/>
          <w:szCs w:val="32"/>
        </w:rPr>
        <w:t>综合服务功能</w:t>
      </w:r>
      <w:bookmarkEnd w:id="115"/>
      <w:bookmarkEnd w:id="116"/>
      <w:bookmarkEnd w:id="117"/>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sz w:val="32"/>
          <w:szCs w:val="32"/>
        </w:rPr>
        <w:t>加快基础设施建设，形成服务设施配套齐全、功能完善的城市基础设施保障体系，进一步提升城市综合服务功能，提升区域承载能力，通过公共基础资源优化配置，促进城市功能集聚，优化城市中心功能</w:t>
      </w:r>
      <w:r>
        <w:rPr>
          <w:rFonts w:hint="eastAsia" w:ascii="Times New Roman" w:hAnsi="Times New Roman" w:eastAsia="仿宋_GB2312"/>
          <w:sz w:val="32"/>
          <w:szCs w:val="32"/>
        </w:rPr>
        <w:t>，</w:t>
      </w:r>
      <w:r>
        <w:rPr>
          <w:rFonts w:hint="eastAsia" w:ascii="Times New Roman" w:hAnsi="Times New Roman" w:eastAsia="仿宋_GB2312" w:cs="Times New Roman"/>
          <w:sz w:val="32"/>
          <w:szCs w:val="32"/>
        </w:rPr>
        <w:t>全面提升城市综合服务功能和现代化水平。到2020年，城市基础设施要达到柳州市中上游水平。</w:t>
      </w:r>
    </w:p>
    <w:p>
      <w:pPr>
        <w:pStyle w:val="4"/>
        <w:spacing w:before="0" w:after="0" w:line="600" w:lineRule="exact"/>
        <w:jc w:val="center"/>
        <w:rPr>
          <w:rFonts w:eastAsia="楷体"/>
        </w:rPr>
      </w:pPr>
      <w:bookmarkStart w:id="118" w:name="_Toc437500861"/>
      <w:bookmarkStart w:id="119" w:name="_Toc439832102"/>
      <w:bookmarkStart w:id="120" w:name="_Toc440536834"/>
      <w:bookmarkStart w:id="121" w:name="_Toc458171827"/>
      <w:r>
        <w:rPr>
          <w:rFonts w:eastAsia="楷体"/>
        </w:rPr>
        <w:t>第一节 加快城市交通建设</w:t>
      </w:r>
      <w:bookmarkEnd w:id="118"/>
      <w:bookmarkEnd w:id="119"/>
      <w:bookmarkEnd w:id="120"/>
      <w:bookmarkEnd w:id="121"/>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建成新区与其他区域内外道路网络衔接良好、交通组织有序、“网状相连，节点畅通，客货分离、结构合理”的立体化、智能化城市路网体系。实现快速路东西南北延伸覆盖，快速路、主干路与高速快速对接的目标。着力解决柳东新区对内、对外混杂的现状，科学布局，优化结构，形成快速路、主干路、次干路、支路等多层次路网格局。</w:t>
      </w:r>
    </w:p>
    <w:p>
      <w:pPr>
        <w:spacing w:line="60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全面推进城市快速路网建设。</w:t>
      </w:r>
      <w:r>
        <w:rPr>
          <w:rFonts w:hint="eastAsia" w:ascii="Times New Roman" w:hAnsi="Times New Roman" w:eastAsia="仿宋_GB2312" w:cs="Times New Roman"/>
          <w:sz w:val="32"/>
          <w:szCs w:val="32"/>
        </w:rPr>
        <w:t>新建曙光大道、东外环、花岭北路、创业大道北延长线4条快速路，曙光大道快速路与其他区域快速路对接，形成柳州市内环快速路。完善新区主干路网，加密城市路网，全线贯通东西南北四个方向，完善新区次干路网和支路网，加快建设各功能区之间的交通连接干线。加大社会公共停车场建设力度，鼓励开放单位停车场，提高停车设施的使用效率。</w:t>
      </w:r>
    </w:p>
    <w:p>
      <w:pPr>
        <w:pStyle w:val="24"/>
        <w:widowControl w:val="0"/>
        <w:spacing w:before="0" w:beforeAutospacing="0" w:after="0" w:afterAutospacing="0" w:line="600" w:lineRule="exact"/>
        <w:ind w:firstLine="643" w:firstLineChars="200"/>
        <w:jc w:val="both"/>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完善城市主骨架路网。</w:t>
      </w:r>
      <w:r>
        <w:rPr>
          <w:rFonts w:hint="eastAsia" w:ascii="仿宋_GB2312" w:hAnsi="Times New Roman" w:eastAsia="仿宋_GB2312" w:cs="Times New Roman"/>
          <w:sz w:val="32"/>
          <w:szCs w:val="32"/>
        </w:rPr>
        <w:t>加快城市主干路等交通基础设施建设，构筑顺畅快捷的多层次组团交通网，实现柳东新区与中心城区、阳和片区等片区的快速连接。加快城市东外环路建设，</w:t>
      </w:r>
      <w:r>
        <w:rPr>
          <w:rFonts w:hint="eastAsia" w:ascii="仿宋_GB2312" w:hAnsi="Times New Roman" w:eastAsia="仿宋_GB2312" w:cs="Times New Roman"/>
          <w:bCs/>
          <w:spacing w:val="-4"/>
          <w:sz w:val="32"/>
          <w:szCs w:val="32"/>
        </w:rPr>
        <w:t>提高交通辐射能力。</w:t>
      </w:r>
      <w:r>
        <w:rPr>
          <w:rFonts w:hint="eastAsia" w:ascii="仿宋_GB2312" w:hAnsi="Times New Roman" w:eastAsia="仿宋_GB2312" w:cs="Times New Roman"/>
          <w:sz w:val="32"/>
          <w:szCs w:val="32"/>
        </w:rPr>
        <w:t>推进曙光大道、龙岭大道等道路建设及官塘大桥等跨江桥梁建设，促进城市组团之间高效通达。</w:t>
      </w:r>
    </w:p>
    <w:p>
      <w:pPr>
        <w:spacing w:line="600" w:lineRule="exact"/>
        <w:ind w:firstLine="643" w:firstLineChars="200"/>
        <w:rPr>
          <w:rFonts w:ascii="Times New Roman" w:hAnsi="Times New Roman" w:eastAsia="仿宋_GB2312" w:cs="Times New Roman"/>
          <w:sz w:val="32"/>
          <w:szCs w:val="32"/>
        </w:rPr>
      </w:pPr>
      <w:r>
        <w:rPr>
          <w:rFonts w:hint="eastAsia" w:ascii="仿宋_GB2312" w:hAnsi="Times New Roman" w:eastAsia="仿宋_GB2312"/>
          <w:b/>
          <w:sz w:val="32"/>
          <w:szCs w:val="32"/>
        </w:rPr>
        <w:t>优化城市次干道支路网。</w:t>
      </w:r>
      <w:r>
        <w:rPr>
          <w:rFonts w:hint="eastAsia" w:ascii="仿宋_GB2312" w:hAnsi="Times New Roman" w:eastAsia="仿宋_GB2312"/>
          <w:sz w:val="32"/>
          <w:szCs w:val="32"/>
        </w:rPr>
        <w:t>加快新区次干道支路网建设，推动各片区次干路和支路的互联互通，构筑合理的路网结构，提高道路网络通达功能。大力推进城市道路畅通工程，优化既有道路节点交通组织，推进交通设施改造和交通管理水平优化升级，减少新区交通拥阻。加强道路质量管理，有序推进病害道路改造，提高道路完好率与通行质量。</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4452" w:type="dxa"/>
          </w:tcPr>
          <w:p>
            <w:pPr>
              <w:spacing w:line="600" w:lineRule="exact"/>
              <w:jc w:val="center"/>
              <w:rPr>
                <w:rFonts w:ascii="Times New Roman" w:hAnsi="Times New Roman" w:eastAsia="仿宋_GB2312" w:cs="Times New Roman"/>
                <w:sz w:val="32"/>
                <w:szCs w:val="32"/>
              </w:rPr>
            </w:pPr>
            <w:r>
              <w:rPr>
                <w:rFonts w:hint="eastAsia" w:eastAsia="Times New Roman"/>
              </w:rPr>
              <w:drawing>
                <wp:anchor distT="0" distB="0" distL="114300" distR="114300" simplePos="0" relativeHeight="251660288" behindDoc="1" locked="0" layoutInCell="1" allowOverlap="1">
                  <wp:simplePos x="0" y="0"/>
                  <wp:positionH relativeFrom="column">
                    <wp:posOffset>203835</wp:posOffset>
                  </wp:positionH>
                  <wp:positionV relativeFrom="paragraph">
                    <wp:posOffset>-3048635</wp:posOffset>
                  </wp:positionV>
                  <wp:extent cx="2185035" cy="2907030"/>
                  <wp:effectExtent l="0" t="0" r="5715" b="7620"/>
                  <wp:wrapTight wrapText="bothSides">
                    <wp:wrapPolygon>
                      <wp:start x="0" y="0"/>
                      <wp:lineTo x="0" y="21515"/>
                      <wp:lineTo x="21468" y="21515"/>
                      <wp:lineTo x="2146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5035" cy="2907030"/>
                          </a:xfrm>
                          <a:prstGeom prst="rect">
                            <a:avLst/>
                          </a:prstGeom>
                        </pic:spPr>
                      </pic:pic>
                    </a:graphicData>
                  </a:graphic>
                </wp:anchor>
              </w:drawing>
            </w:r>
            <w:r>
              <w:rPr>
                <w:rFonts w:hint="eastAsia" w:eastAsia="Times New Roman"/>
                <w:sz w:val="22"/>
              </w:rPr>
              <w:t>柳东新区“十三五”道路规划示意图</w:t>
            </w:r>
          </w:p>
        </w:tc>
      </w:tr>
    </w:tbl>
    <w:p>
      <w:pPr>
        <w:spacing w:line="600" w:lineRule="exact"/>
        <w:ind w:firstLine="643" w:firstLineChars="200"/>
        <w:rPr>
          <w:rFonts w:asciiTheme="minorEastAsia" w:hAnsiTheme="minorEastAsia"/>
          <w:szCs w:val="28"/>
        </w:rPr>
      </w:pPr>
      <w:r>
        <w:rPr>
          <w:rFonts w:hint="eastAsia" w:ascii="Times New Roman" w:hAnsi="Times New Roman" w:eastAsia="仿宋_GB2312" w:cs="Times New Roman"/>
          <w:b/>
          <w:sz w:val="32"/>
          <w:szCs w:val="32"/>
        </w:rPr>
        <w:t>合理规划道路建设时序。</w:t>
      </w:r>
      <w:r>
        <w:rPr>
          <w:rFonts w:hint="eastAsia" w:ascii="Times New Roman" w:hAnsi="Times New Roman" w:eastAsia="仿宋_GB2312" w:cs="Times New Roman"/>
          <w:sz w:val="32"/>
          <w:szCs w:val="32"/>
        </w:rPr>
        <w:t>以土地开发带动、项目带动、用地扩展等为主要考虑内容，进行合理、高效的路网开发建设。</w:t>
      </w:r>
    </w:p>
    <w:p>
      <w:pPr>
        <w:tabs>
          <w:tab w:val="left" w:pos="720"/>
        </w:tabs>
        <w:spacing w:line="360" w:lineRule="atLeast"/>
        <w:ind w:firstLine="560" w:firstLineChars="200"/>
        <w:jc w:val="left"/>
        <w:rPr>
          <w:rFonts w:asciiTheme="minorEastAsia" w:hAnsiTheme="minorEastAsia"/>
          <w:bCs/>
          <w:szCs w:val="28"/>
        </w:rPr>
      </w:pPr>
      <w:r>
        <w:rPr>
          <w:rFonts w:asciiTheme="minorEastAsia" w:hAnsiTheme="minorEastAsia"/>
          <w:bCs/>
          <w:szCs w:val="28"/>
        </w:rPr>
        <mc:AlternateContent>
          <mc:Choice Requires="wps">
            <w:drawing>
              <wp:inline distT="0" distB="0" distL="0" distR="0">
                <wp:extent cx="5200650" cy="3448050"/>
                <wp:effectExtent l="0" t="0" r="19050" b="19050"/>
                <wp:docPr id="28" name="Text Box 14"/>
                <wp:cNvGraphicFramePr/>
                <a:graphic xmlns:a="http://schemas.openxmlformats.org/drawingml/2006/main">
                  <a:graphicData uri="http://schemas.microsoft.com/office/word/2010/wordprocessingShape">
                    <wps:wsp>
                      <wps:cNvSpPr txBox="1">
                        <a:spLocks noChangeArrowheads="1"/>
                      </wps:cNvSpPr>
                      <wps:spPr bwMode="auto">
                        <a:xfrm>
                          <a:off x="0" y="0"/>
                          <a:ext cx="5200650" cy="3448050"/>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2355850" cy="313372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3100" cy="3156666"/>
                                          </a:xfrm>
                                          <a:prstGeom prst="rect">
                                            <a:avLst/>
                                          </a:prstGeom>
                                        </pic:spPr>
                                      </pic:pic>
                                    </a:graphicData>
                                  </a:graphic>
                                </wp:inline>
                              </w:drawing>
                            </w:r>
                          </w:p>
                          <w:p>
                            <w:pPr>
                              <w:jc w:val="center"/>
                              <w:rPr>
                                <w:sz w:val="22"/>
                              </w:rPr>
                            </w:pPr>
                            <w:r>
                              <w:rPr>
                                <w:rFonts w:hint="eastAsia"/>
                                <w:sz w:val="22"/>
                              </w:rPr>
                              <w:t>柳东新区“十三五”道路开发时序示意图</w:t>
                            </w:r>
                          </w:p>
                        </w:txbxContent>
                      </wps:txbx>
                      <wps:bodyPr rot="0" vert="horz" wrap="square" lIns="91440" tIns="45720" rIns="91440" bIns="45720" anchor="t" anchorCtr="0" upright="1">
                        <a:noAutofit/>
                      </wps:bodyPr>
                    </wps:wsp>
                  </a:graphicData>
                </a:graphic>
              </wp:inline>
            </w:drawing>
          </mc:Choice>
          <mc:Fallback>
            <w:pict>
              <v:shape id="Text Box 14" o:spid="_x0000_s1026" o:spt="202" type="#_x0000_t202" style="height:271.5pt;width:409.5pt;" fillcolor="#F2F2F2 [3212]" filled="t" stroked="t" coordsize="21600,21600" o:gfxdata="UEsDBAoAAAAAAIdO4kAAAAAAAAAAAAAAAAAEAAAAZHJzL1BLAwQUAAAACACHTuJA+8atBtQAAAAF&#10;AQAADwAAAGRycy9kb3ducmV2LnhtbE2PS0/DMBCE70j8B2uRuCBqp5Q+QpweQBVH+qB3N16SiHht&#10;xU4b/j0LF7isNJrZ2W+L9eg6ccY+tp40ZBMFAqnytqVaw/thc78EEZMhazpPqOELI6zL66vC5NZf&#10;aIfnfaoFl1DMjYYmpZBLGasGnYkTH5DY+/C9M4llX0vbmwuXu05OlZpLZ1riC40J+Nxg9bkfHGMc&#10;jmEq1SwtXu+2L2+78RiG+Ubr25tMPYFIOKa/MPzg8w6UzHTyA9koOg38SPqd7C2zFcuThsfZgwJZ&#10;FvI/ffkNUEsDBBQAAAAIAIdO4kCfHiUtSgIAAL4EAAAOAAAAZHJzL2Uyb0RvYy54bWytVNtu2zAM&#10;fR+wfxD0vtrJkq0N6hRdiw4DugvQ7gMUWY6FSaJGKbG7rx8luVnaYUAfBgOCeNEheUj6/GK0hu0V&#10;Bg2u4bOTmjPlJLTabRv+/f7mzSlnIQrXCgNONfxBBX6xfv3qfPArNYceTKuQEYgLq8E3vI/Rr6oq&#10;yF5ZEU7AK0fGDtCKSCJuqxbFQOjWVPO6flcNgK1HkCoE0l4XI58Q8SWA0HVaqmuQO6tcLKiojIhU&#10;Uui1D3yds+06JePXrgsqMtNwqjTmk4LQfZPOan0uVlsUvtdySkG8JIVnNVmhHQU9QF2LKNgO9V9Q&#10;VkuEAF08kWCrUkhmhKqY1c+4ueuFV7kWojr4A+nh/8HKL/tvyHTb8Dn13QlLHb9XY2QfYGSzReJn&#10;8GFFbneeHONIepqaXGvwtyB/BObgqhduqy4RYeiVaCm/WXpZHT0tOCGBbIbP0FIcsYuQgcYObSKP&#10;6GCETr15OPQm5SJJuUyzsySTJNvbxeK0JiHFEKvH5x5D/KjAsnRpOFLzM7zY34ZYXB9dUrQARrc3&#10;2pgs4HZzZZDtBQ3KzTx9+a3ZWUq2qM+WdT1NDKlpror6MY1QIHJKT7CNY0PDz5bzZaHtn3EJfopA&#10;VT2BsDrS0hltG3567GTcxHIitlAcx804dW0D7QPxjVDGnpaeLj3gL84GGvmGh587gYoz88lRz85m&#10;i0XakSwslu/nJOCxZXNsEU4SVMMjZ+V6Fcte7TzqbU+RypQ4uKQ+dzp3IA1EyWrKm8Y6EzatYNqb&#10;Yzl7/fntr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atBtQAAAAFAQAADwAAAAAAAAABACAA&#10;AAAiAAAAZHJzL2Rvd25yZXYueG1sUEsBAhQAFAAAAAgAh07iQJ8eJS1KAgAAvgQAAA4AAAAAAAAA&#10;AQAgAAAAIwEAAGRycy9lMm9Eb2MueG1sUEsFBgAAAAAGAAYAWQEAAN8FAAAAAA==&#10;">
                <v:fill on="t" focussize="0,0"/>
                <v:stroke color="#000000" miterlimit="8" joinstyle="miter"/>
                <v:imagedata o:title=""/>
                <o:lock v:ext="edit" aspectratio="f"/>
                <v:textbox>
                  <w:txbxContent>
                    <w:p>
                      <w:pPr>
                        <w:jc w:val="center"/>
                      </w:pPr>
                      <w:r>
                        <w:rPr>
                          <w:rFonts w:hint="eastAsia"/>
                        </w:rPr>
                        <w:drawing>
                          <wp:inline distT="0" distB="0" distL="0" distR="0">
                            <wp:extent cx="2355850" cy="313372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3100" cy="3156666"/>
                                    </a:xfrm>
                                    <a:prstGeom prst="rect">
                                      <a:avLst/>
                                    </a:prstGeom>
                                  </pic:spPr>
                                </pic:pic>
                              </a:graphicData>
                            </a:graphic>
                          </wp:inline>
                        </w:drawing>
                      </w:r>
                    </w:p>
                    <w:p>
                      <w:pPr>
                        <w:jc w:val="center"/>
                        <w:rPr>
                          <w:sz w:val="22"/>
                        </w:rPr>
                      </w:pPr>
                      <w:r>
                        <w:rPr>
                          <w:rFonts w:hint="eastAsia"/>
                          <w:sz w:val="22"/>
                        </w:rPr>
                        <w:t>柳东新区“十三五”道路开发时序示意图</w:t>
                      </w:r>
                    </w:p>
                  </w:txbxContent>
                </v:textbox>
                <w10:wrap type="none"/>
                <w10:anchorlock/>
              </v:shape>
            </w:pict>
          </mc:Fallback>
        </mc:AlternateConten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实施公交优先战略。</w:t>
      </w:r>
      <w:r>
        <w:rPr>
          <w:rFonts w:hint="eastAsia" w:ascii="仿宋_GB2312" w:hAnsi="Times New Roman" w:eastAsia="仿宋_GB2312" w:cs="Times New Roman"/>
          <w:sz w:val="32"/>
          <w:szCs w:val="32"/>
        </w:rPr>
        <w:t>加快全区公交系统建设，努力形成以城市公共汽车为主体、公交优先通道为骨干、出租车为辅助的城市公共交通体系，构筑一个“与土地利用协调发展、公共交通引导城市发展”的一体化综合交通系统，以“高效、便捷、安全、低碳”的交通服务系统满足未来的出行需求，打造节能、生态、宜居的以汽车工业为主导的新城，确立公共交通在城市交通系统中的主体地位，基本建立城乡一体化协调发展的公共交通网络。合理规划公交网络布局，开辟公交优先通道，修建公交停车港湾，提高公共交通的运输能力，适度增加出租车数量。</w:t>
      </w:r>
    </w:p>
    <w:tbl>
      <w:tblPr>
        <w:tblStyle w:val="2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8D8D8" w:themeFill="background1" w:themeFillShade="D9"/>
          <w:tblCellMar>
            <w:top w:w="0" w:type="dxa"/>
            <w:left w:w="108" w:type="dxa"/>
            <w:bottom w:w="0" w:type="dxa"/>
            <w:right w:w="108" w:type="dxa"/>
          </w:tblCellMar>
        </w:tblPrEx>
        <w:trPr>
          <w:jc w:val="center"/>
        </w:trPr>
        <w:tc>
          <w:tcPr>
            <w:tcW w:w="8296" w:type="dxa"/>
            <w:shd w:val="clear" w:color="auto" w:fill="D8D8D8" w:themeFill="background1" w:themeFillShade="D9"/>
          </w:tcPr>
          <w:p>
            <w:pPr>
              <w:spacing w:line="600" w:lineRule="exact"/>
              <w:jc w:val="center"/>
              <w:rPr>
                <w:rFonts w:ascii="Times New Roman" w:hAnsi="Times New Roman" w:eastAsia="仿宋_GB2312"/>
                <w:b/>
                <w:kern w:val="0"/>
                <w:szCs w:val="28"/>
              </w:rPr>
            </w:pPr>
            <w:r>
              <w:rPr>
                <w:rFonts w:ascii="Times New Roman" w:hAnsi="Times New Roman" w:eastAsia="仿宋_GB2312"/>
                <w:b/>
                <w:szCs w:val="28"/>
              </w:rPr>
              <w:t>专栏</w:t>
            </w:r>
            <w:r>
              <w:rPr>
                <w:rFonts w:ascii="Times New Roman" w:hAnsi="Times New Roman" w:eastAsia="仿宋_GB2312"/>
                <w:b/>
                <w:kern w:val="0"/>
                <w:szCs w:val="28"/>
              </w:rPr>
              <w:t>：</w:t>
            </w:r>
            <w:r>
              <w:rPr>
                <w:rFonts w:hint="eastAsia" w:ascii="Times New Roman" w:hAnsi="Times New Roman" w:eastAsia="仿宋_GB2312"/>
                <w:b/>
                <w:szCs w:val="28"/>
              </w:rPr>
              <w:t>公共交通</w:t>
            </w:r>
            <w:r>
              <w:rPr>
                <w:rFonts w:hint="eastAsia" w:ascii="Times New Roman" w:hAnsi="Times New Roman" w:eastAsia="仿宋_GB2312"/>
                <w:b/>
                <w:kern w:val="0"/>
                <w:szCs w:val="28"/>
              </w:rPr>
              <w:t>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D8D8D8" w:themeFill="background1" w:themeFillShade="D9"/>
          </w:tcPr>
          <w:p>
            <w:pPr>
              <w:spacing w:line="600" w:lineRule="exact"/>
              <w:ind w:firstLine="562" w:firstLineChars="200"/>
              <w:rPr>
                <w:rFonts w:ascii="仿宋_GB2312" w:hAnsi="Times New Roman" w:eastAsia="仿宋_GB2312" w:cs="Times New Roman"/>
                <w:szCs w:val="32"/>
              </w:rPr>
            </w:pPr>
            <w:r>
              <w:rPr>
                <w:rFonts w:hint="eastAsia" w:ascii="仿宋_GB2312" w:hAnsi="Times New Roman" w:eastAsia="仿宋_GB2312" w:cs="Times New Roman"/>
                <w:b/>
                <w:szCs w:val="32"/>
              </w:rPr>
              <w:t>快速公交建设：</w:t>
            </w:r>
            <w:r>
              <w:rPr>
                <w:rFonts w:hint="eastAsia" w:ascii="仿宋_GB2312" w:hAnsi="Times New Roman" w:eastAsia="仿宋_GB2312" w:cs="Times New Roman"/>
                <w:szCs w:val="32"/>
              </w:rPr>
              <w:t>到2020年，全线启动建成三条BRT快速公交线路。用快速公交走廊带动整个城市交通体系的建设，引导城市空间的集约型发展。结合道路规划，实施一批公交优先道建设，同步完成公交优先道上公交港湾的建设。</w:t>
            </w:r>
          </w:p>
          <w:p>
            <w:pPr>
              <w:spacing w:line="600" w:lineRule="exact"/>
              <w:ind w:firstLine="562" w:firstLineChars="200"/>
              <w:rPr>
                <w:rFonts w:ascii="仿宋_GB2312" w:hAnsi="Times New Roman" w:eastAsia="仿宋_GB2312" w:cs="Times New Roman"/>
                <w:szCs w:val="32"/>
              </w:rPr>
            </w:pPr>
            <w:r>
              <w:rPr>
                <w:rFonts w:hint="eastAsia" w:ascii="仿宋_GB2312" w:hAnsi="Times New Roman" w:eastAsia="仿宋_GB2312" w:cs="Times New Roman"/>
                <w:b/>
                <w:szCs w:val="32"/>
              </w:rPr>
              <w:t>普通公交建设：</w:t>
            </w:r>
            <w:r>
              <w:rPr>
                <w:rFonts w:hint="eastAsia" w:ascii="仿宋_GB2312" w:hAnsi="Times New Roman" w:eastAsia="仿宋_GB2312" w:cs="Times New Roman"/>
                <w:szCs w:val="32"/>
              </w:rPr>
              <w:t>全面提升新区公交网络覆盖力度，针对五菱、东风柳汽等人员集中企业设置公交线路，针对大型人口集聚区、服务中心、文化中心、公园等人口集聚、中转交为频繁区域设置公交站。</w:t>
            </w:r>
          </w:p>
          <w:p>
            <w:pPr>
              <w:spacing w:line="600" w:lineRule="exact"/>
              <w:ind w:firstLine="562" w:firstLineChars="200"/>
              <w:rPr>
                <w:rFonts w:ascii="仿宋_GB2312" w:hAnsi="Times New Roman" w:eastAsia="仿宋_GB2312" w:cs="Times New Roman"/>
                <w:szCs w:val="32"/>
              </w:rPr>
            </w:pPr>
            <w:r>
              <w:rPr>
                <w:rFonts w:hint="eastAsia" w:ascii="仿宋_GB2312" w:hAnsi="Times New Roman" w:eastAsia="仿宋_GB2312" w:cs="Times New Roman"/>
                <w:b/>
                <w:szCs w:val="32"/>
              </w:rPr>
              <w:t>公共自行车租赁：</w:t>
            </w:r>
            <w:r>
              <w:rPr>
                <w:rFonts w:hint="eastAsia" w:ascii="仿宋_GB2312" w:hAnsi="Times New Roman" w:eastAsia="仿宋_GB2312" w:cs="Times New Roman"/>
                <w:szCs w:val="32"/>
              </w:rPr>
              <w:t>园博园、汽车博览园、会展服务中心等主要旅游景点设置自行车专用道、服务站以及公共自行车服务管理系统。</w:t>
            </w:r>
          </w:p>
          <w:p>
            <w:pPr>
              <w:spacing w:line="600" w:lineRule="exact"/>
              <w:ind w:firstLine="562" w:firstLineChars="200"/>
              <w:rPr>
                <w:rFonts w:ascii="Times New Roman" w:hAnsi="Times New Roman" w:eastAsia="仿宋_GB2312"/>
                <w:sz w:val="32"/>
                <w:szCs w:val="32"/>
              </w:rPr>
            </w:pPr>
            <w:r>
              <w:rPr>
                <w:rFonts w:hint="eastAsia" w:ascii="仿宋_GB2312" w:hAnsi="Times New Roman" w:eastAsia="仿宋_GB2312" w:cs="Times New Roman"/>
                <w:b/>
                <w:szCs w:val="32"/>
              </w:rPr>
              <w:t>出租车：</w:t>
            </w:r>
            <w:r>
              <w:rPr>
                <w:rFonts w:hint="eastAsia" w:ascii="仿宋_GB2312" w:hAnsi="Times New Roman" w:eastAsia="仿宋_GB2312" w:cs="Times New Roman"/>
                <w:szCs w:val="32"/>
              </w:rPr>
              <w:t>实现新区出租车覆盖，开展电动出租车应用示范工程。</w:t>
            </w:r>
          </w:p>
        </w:tc>
      </w:tr>
    </w:tbl>
    <w:p>
      <w:pPr>
        <w:tabs>
          <w:tab w:val="left" w:pos="720"/>
        </w:tabs>
        <w:spacing w:line="360" w:lineRule="atLeast"/>
        <w:ind w:firstLine="560" w:firstLineChars="200"/>
        <w:rPr>
          <w:rFonts w:asciiTheme="minorEastAsia" w:hAnsiTheme="minorEastAsia"/>
          <w:bCs/>
          <w:szCs w:val="28"/>
        </w:rPr>
      </w:pPr>
      <w:r>
        <w:rPr>
          <w:rFonts w:asciiTheme="minorEastAsia" w:hAnsiTheme="minorEastAsia"/>
          <w:bCs/>
          <w:szCs w:val="28"/>
        </w:rPr>
        <mc:AlternateContent>
          <mc:Choice Requires="wps">
            <w:drawing>
              <wp:inline distT="0" distB="0" distL="0" distR="0">
                <wp:extent cx="4899660" cy="3514725"/>
                <wp:effectExtent l="0" t="0" r="15240" b="28575"/>
                <wp:docPr id="25" name="Text Box 12"/>
                <wp:cNvGraphicFramePr/>
                <a:graphic xmlns:a="http://schemas.openxmlformats.org/drawingml/2006/main">
                  <a:graphicData uri="http://schemas.microsoft.com/office/word/2010/wordprocessingShape">
                    <wps:wsp>
                      <wps:cNvSpPr txBox="1">
                        <a:spLocks noChangeArrowheads="1"/>
                      </wps:cNvSpPr>
                      <wps:spPr bwMode="auto">
                        <a:xfrm>
                          <a:off x="0" y="0"/>
                          <a:ext cx="4899660" cy="3514725"/>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2181225" cy="29013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1210" cy="2914722"/>
                                          </a:xfrm>
                                          <a:prstGeom prst="rect">
                                            <a:avLst/>
                                          </a:prstGeom>
                                        </pic:spPr>
                                      </pic:pic>
                                    </a:graphicData>
                                  </a:graphic>
                                </wp:inline>
                              </w:drawing>
                            </w:r>
                            <w:r>
                              <w:rPr>
                                <w:rFonts w:hint="eastAsia"/>
                              </w:rPr>
                              <w:t xml:space="preserve"> </w:t>
                            </w:r>
                            <w:r>
                              <w:rPr>
                                <w:rFonts w:hint="eastAsia"/>
                              </w:rPr>
                              <w:drawing>
                                <wp:inline distT="0" distB="0" distL="0" distR="0">
                                  <wp:extent cx="2190750" cy="29140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2314" cy="2916192"/>
                                          </a:xfrm>
                                          <a:prstGeom prst="rect">
                                            <a:avLst/>
                                          </a:prstGeom>
                                        </pic:spPr>
                                      </pic:pic>
                                    </a:graphicData>
                                  </a:graphic>
                                </wp:inline>
                              </w:drawing>
                            </w:r>
                          </w:p>
                          <w:p>
                            <w:pPr>
                              <w:jc w:val="center"/>
                              <w:rPr>
                                <w:sz w:val="24"/>
                              </w:rPr>
                            </w:pPr>
                            <w:r>
                              <w:rPr>
                                <w:rFonts w:hint="eastAsia"/>
                                <w:sz w:val="24"/>
                              </w:rPr>
                              <w:t>快速公交BRT系统示意图          公交站场布局示意图</w:t>
                            </w:r>
                          </w:p>
                          <w:p>
                            <w:pPr>
                              <w:jc w:val="center"/>
                            </w:pPr>
                          </w:p>
                        </w:txbxContent>
                      </wps:txbx>
                      <wps:bodyPr rot="0" vert="horz" wrap="square" lIns="91440" tIns="45720" rIns="91440" bIns="45720" anchor="t" anchorCtr="0" upright="1">
                        <a:noAutofit/>
                      </wps:bodyPr>
                    </wps:wsp>
                  </a:graphicData>
                </a:graphic>
              </wp:inline>
            </w:drawing>
          </mc:Choice>
          <mc:Fallback>
            <w:pict>
              <v:shape id="Text Box 12" o:spid="_x0000_s1026" o:spt="202" type="#_x0000_t202" style="height:276.75pt;width:385.8pt;" fillcolor="#F2F2F2 [3212]" filled="t" stroked="t" coordsize="21600,21600" o:gfxdata="UEsDBAoAAAAAAIdO4kAAAAAAAAAAAAAAAAAEAAAAZHJzL1BLAwQUAAAACACHTuJAvJVX2tUAAAAF&#10;AQAADwAAAGRycy9kb3ducmV2LnhtbE2PQU/DMAyF70j8h8hIXBBLO2g7laY7gCaOsI3ds8ZrKxon&#10;atKt/HsMF7hYenr2e5+r9WwHccYx9I4UpIsEBFLjTE+tgo/95n4FIkRNRg+OUMEXBljX11eVLo27&#10;0BbPu9gKDqFQagVdjL6UMjQdWh0WziOxd3Kj1ZHl2Eoz6guH20EukySXVvfEDZ32+Nxh87mbLGPs&#10;D34pk8dYvN69v7xt54Of8o1Stzdp8gQi4hz/luEHn2+gZqajm8gEMSjgR+LvZK8o0hzEUUGWPWQg&#10;60r+p6+/AVBLAwQUAAAACACHTuJAfazSWksCAAC+BAAADgAAAGRycy9lMm9Eb2MueG1srVRRbxMx&#10;DH5H4j9EeWfXlnZrq12nsWkIaQykjR+Q5nK9iCQOTtq78etxktsoQ0J7QJVOie18/vzZ7vnFYA07&#10;KAwaXM2nJxPOlJPQaLer+beHm3dLzkIUrhEGnKr5owr8YvP2zXnv12oGHZhGISMQF9a9r3kXo19X&#10;VZCdsiKcgFeOnC2gFZGuuKsaFD2hW1PNJpPTqgdsPIJUIZD1ujj5iIivAYS21VJdg9xb5WJBRWVE&#10;pJJCp33gm8y2bZWMX9o2qMhMzanSmL+UhM7b9K0252K9Q+E7LUcK4jUUXtRkhXaU9BnqWkTB9qj/&#10;grJaIgRo44kEW5VCsiJUxXTyQpv7TniVayGpg38WPfw/WHl3+IpMNzWfLThzwlLHH9QQ2QcY2HSW&#10;9Ol9WFPYvafAOJCdpibXGvwtyO+BObjqhNupS0ToOyUa4jdNL6ujpwUnJJBt/xkayiP2ETLQ0KJN&#10;4pEcjNCpN4/PvUlcJBnny9Xq9JRcknzvF9P5GRFOOcT66bnHED8qsCwdao7U/AwvDrchltCnkJQt&#10;gNHNjTYmX3C3vTLIDoIG5WaWfvmt2VsiW8yrxWQyTgyZaa6KOZuIRigQmdIf2MaxvuarBRH+d16C&#10;HzMkuGN6VkdaOqNtzZfHQcaNKidhi8Rx2A5j17bQPJLeCGXsaenp0AH+5Kynka95+LEXqDgznxz1&#10;bDWdz9OO5Mt8cTajCx57tsce4SRB1TxyVo5XsezV3qPedZSpTImDS+pzq3MH0kAUViNvGuss2LiC&#10;aW+O7znq99/O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8lVfa1QAAAAUBAAAPAAAAAAAAAAEA&#10;IAAAACIAAABkcnMvZG93bnJldi54bWxQSwECFAAUAAAACACHTuJAfazSWksCAAC+BAAADgAAAAAA&#10;AAABACAAAAAkAQAAZHJzL2Uyb0RvYy54bWxQSwUGAAAAAAYABgBZAQAA4QUAAAAA&#10;">
                <v:fill on="t" focussize="0,0"/>
                <v:stroke color="#000000" miterlimit="8" joinstyle="miter"/>
                <v:imagedata o:title=""/>
                <o:lock v:ext="edit" aspectratio="f"/>
                <v:textbox>
                  <w:txbxContent>
                    <w:p>
                      <w:pPr>
                        <w:jc w:val="center"/>
                      </w:pPr>
                      <w:r>
                        <w:rPr>
                          <w:rFonts w:hint="eastAsia"/>
                        </w:rPr>
                        <w:drawing>
                          <wp:inline distT="0" distB="0" distL="0" distR="0">
                            <wp:extent cx="2181225" cy="29013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1210" cy="2914722"/>
                                    </a:xfrm>
                                    <a:prstGeom prst="rect">
                                      <a:avLst/>
                                    </a:prstGeom>
                                  </pic:spPr>
                                </pic:pic>
                              </a:graphicData>
                            </a:graphic>
                          </wp:inline>
                        </w:drawing>
                      </w:r>
                      <w:r>
                        <w:rPr>
                          <w:rFonts w:hint="eastAsia"/>
                        </w:rPr>
                        <w:t xml:space="preserve"> </w:t>
                      </w:r>
                      <w:r>
                        <w:rPr>
                          <w:rFonts w:hint="eastAsia"/>
                        </w:rPr>
                        <w:drawing>
                          <wp:inline distT="0" distB="0" distL="0" distR="0">
                            <wp:extent cx="2190750" cy="29140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2314" cy="2916192"/>
                                    </a:xfrm>
                                    <a:prstGeom prst="rect">
                                      <a:avLst/>
                                    </a:prstGeom>
                                  </pic:spPr>
                                </pic:pic>
                              </a:graphicData>
                            </a:graphic>
                          </wp:inline>
                        </w:drawing>
                      </w:r>
                    </w:p>
                    <w:p>
                      <w:pPr>
                        <w:jc w:val="center"/>
                        <w:rPr>
                          <w:sz w:val="24"/>
                        </w:rPr>
                      </w:pPr>
                      <w:r>
                        <w:rPr>
                          <w:rFonts w:hint="eastAsia"/>
                          <w:sz w:val="24"/>
                        </w:rPr>
                        <w:t>快速公交BRT系统示意图          公交站场布局示意图</w:t>
                      </w:r>
                    </w:p>
                    <w:p>
                      <w:pPr>
                        <w:jc w:val="center"/>
                      </w:pPr>
                    </w:p>
                  </w:txbxContent>
                </v:textbox>
                <w10:wrap type="none"/>
                <w10:anchorlock/>
              </v:shape>
            </w:pict>
          </mc:Fallback>
        </mc:AlternateConten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加快实施新区物流枢纽建设工程。</w:t>
      </w:r>
      <w:r>
        <w:rPr>
          <w:rFonts w:hint="eastAsia" w:ascii="仿宋_GB2312" w:hAnsi="Times New Roman" w:eastAsia="仿宋_GB2312" w:cs="Times New Roman"/>
          <w:sz w:val="32"/>
          <w:szCs w:val="32"/>
        </w:rPr>
        <w:t>新区物流枢纽包括物流园区、物流中心、配送中心等。至2020年，规划完成3个配送中心，1个物流中心，1个物流园区，形成新区货运枢纽系统。至2020年，由曙光大道、东环路、花岭北路、创业大道北延段4条城市道路和北环高速、桂柳高速2条高速公路共同形成一级货运通道，由火炬大道、花岭干路等5条城市道路组成的二级货运通道，一级二级货运共同构成新区货运道路体系。</w:t>
      </w:r>
    </w:p>
    <w:p>
      <w:pPr>
        <w:rPr>
          <w:rFonts w:asciiTheme="minorEastAsia" w:hAnsiTheme="minorEastAsia"/>
          <w:szCs w:val="28"/>
        </w:rPr>
      </w:pPr>
      <w:r>
        <w:rPr>
          <w:rFonts w:asciiTheme="minorEastAsia" w:hAnsiTheme="minorEastAsia"/>
          <w:bCs/>
          <w:szCs w:val="28"/>
        </w:rPr>
        <mc:AlternateContent>
          <mc:Choice Requires="wps">
            <w:drawing>
              <wp:inline distT="0" distB="0" distL="0" distR="0">
                <wp:extent cx="4899660" cy="3190875"/>
                <wp:effectExtent l="0" t="0" r="15240" b="28575"/>
                <wp:docPr id="21" name="Text Box 10"/>
                <wp:cNvGraphicFramePr/>
                <a:graphic xmlns:a="http://schemas.openxmlformats.org/drawingml/2006/main">
                  <a:graphicData uri="http://schemas.microsoft.com/office/word/2010/wordprocessingShape">
                    <wps:wsp>
                      <wps:cNvSpPr txBox="1">
                        <a:spLocks noChangeArrowheads="1"/>
                      </wps:cNvSpPr>
                      <wps:spPr bwMode="auto">
                        <a:xfrm>
                          <a:off x="0" y="0"/>
                          <a:ext cx="4899660" cy="3190875"/>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2001520" cy="266255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1677" cy="2662609"/>
                                          </a:xfrm>
                                          <a:prstGeom prst="rect">
                                            <a:avLst/>
                                          </a:prstGeom>
                                        </pic:spPr>
                                      </pic:pic>
                                    </a:graphicData>
                                  </a:graphic>
                                </wp:inline>
                              </w:drawing>
                            </w:r>
                          </w:p>
                          <w:p>
                            <w:pPr>
                              <w:jc w:val="center"/>
                              <w:rPr>
                                <w:sz w:val="24"/>
                              </w:rPr>
                            </w:pPr>
                            <w:r>
                              <w:rPr>
                                <w:rFonts w:hint="eastAsia"/>
                                <w:sz w:val="24"/>
                              </w:rPr>
                              <w:t>货运交通示意图</w:t>
                            </w:r>
                          </w:p>
                        </w:txbxContent>
                      </wps:txbx>
                      <wps:bodyPr rot="0" vert="horz" wrap="square" lIns="91440" tIns="45720" rIns="91440" bIns="45720" anchor="t" anchorCtr="0" upright="1">
                        <a:noAutofit/>
                      </wps:bodyPr>
                    </wps:wsp>
                  </a:graphicData>
                </a:graphic>
              </wp:inline>
            </w:drawing>
          </mc:Choice>
          <mc:Fallback>
            <w:pict>
              <v:shape id="Text Box 10" o:spid="_x0000_s1026" o:spt="202" type="#_x0000_t202" style="height:251.25pt;width:385.8pt;" fillcolor="#F2F2F2 [3212]" filled="t" stroked="t" coordsize="21600,21600" o:gfxdata="UEsDBAoAAAAAAIdO4kAAAAAAAAAAAAAAAAAEAAAAZHJzL1BLAwQUAAAACACHTuJA3ykTMtQAAAAF&#10;AQAADwAAAGRycy9kb3ducmV2LnhtbE2PQU/DMAyF70j8h8hIXBBLWrEWlaY7gCaOsI3ds9a0FY0T&#10;NenW/fsZLuxi6enZ730uV7MdxBHH0DvSkCwUCKTaNT21Gr5268dnECEaaszgCDWcMcCqur0pTdG4&#10;E23wuI2t4BAKhdHQxegLKUPdoTVh4TwSe99utCayHFvZjObE4XaQqVKZtKYnbuiMx9cO65/tZBlj&#10;t/epVE8xf3/4fPvYzHs/ZWut7+8S9QIi4hz/l+EXn2+gYqaDm6gJYtDAj8S/yV6eJxmIg4alSpcg&#10;q1Je01cXUEsDBBQAAAAIAIdO4kDjVFZ+TwIAAL4EAAAOAAAAZHJzL2Uyb0RvYy54bWytVNtu2zAM&#10;fR+wfxD0vtjOkjYx4hRdggwDugvQ7gMUWY6FSaImKbG7rx8lu2nWYUAfBgOCeNEheUh6ddNrRU7C&#10;eQmmosUkp0QYDrU0h4p+f9i9W1DiAzM1U2BERR+Fpzfrt29WnS3FFFpQtXAEQYwvO1vRNgRbZpnn&#10;rdDMT8AKg8YGnGYBRXfIasc6RNcqm+b5VdaBq60DLrxH7XYw0hHRvQYQmkZysQV+1MKEAdUJxQKW&#10;5FtpPV2nbJtG8PC1abwIRFUUKw3pxCB438czW69YeXDMtpKPKbDXpPCiJs2kwaBnqC0LjByd/AtK&#10;S+7AQxMmHHQ2FJIYwSqK/AU39y2zItWCVHt7Jt3/P1j+5fTNEVlXdFpQYpjGjj+IPpAP0JMi8dNZ&#10;X6LbvUXH0KMepybV6u0d8B+eGNi0zBzErXPQtYLVmF8Rmc0unsaO+NJHkH33GWqMw44BElDfOB3J&#10;QzoIomNvHs+9iblwVM4Wy+XVFZo42t4Xy3xxPU8xWPn03DofPgrQJF4q6rD5CZ6d7nyI6bDyySVG&#10;86BkvZNKJcEd9hvlyInhoOym8Utv1VFjsoN6Oc/zcWJQjXM1qJMKsf0AkeL8ga0M6Sq6nE/nA23/&#10;jIvwY4QId+mmZcClU1JXdHHppMzIciR2oDj0+x6LjWzvoX5Evh0MY49Lj5cW3C9KOhz5ivqfR+YE&#10;JeqTwZ4ti9ks7kgSZvPrKQru0rK/tDDDEaqigZLhugnDXh2tk4cWIw1TYuAW+9zI1IHnrMa8cawT&#10;YeMKxr25lJPX829n/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KRMy1AAAAAUBAAAPAAAAAAAA&#10;AAEAIAAAACIAAABkcnMvZG93bnJldi54bWxQSwECFAAUAAAACACHTuJA41RWfk8CAAC+BAAADgAA&#10;AAAAAAABACAAAAAjAQAAZHJzL2Uyb0RvYy54bWxQSwUGAAAAAAYABgBZAQAA5AUAAAAA&#10;">
                <v:fill on="t" focussize="0,0"/>
                <v:stroke color="#000000" miterlimit="8" joinstyle="miter"/>
                <v:imagedata o:title=""/>
                <o:lock v:ext="edit" aspectratio="f"/>
                <v:textbox>
                  <w:txbxContent>
                    <w:p>
                      <w:pPr>
                        <w:jc w:val="center"/>
                      </w:pPr>
                      <w:r>
                        <w:rPr>
                          <w:rFonts w:hint="eastAsia"/>
                        </w:rPr>
                        <w:drawing>
                          <wp:inline distT="0" distB="0" distL="0" distR="0">
                            <wp:extent cx="2001520" cy="2662555"/>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1677" cy="2662609"/>
                                    </a:xfrm>
                                    <a:prstGeom prst="rect">
                                      <a:avLst/>
                                    </a:prstGeom>
                                  </pic:spPr>
                                </pic:pic>
                              </a:graphicData>
                            </a:graphic>
                          </wp:inline>
                        </w:drawing>
                      </w:r>
                    </w:p>
                    <w:p>
                      <w:pPr>
                        <w:jc w:val="center"/>
                        <w:rPr>
                          <w:sz w:val="24"/>
                        </w:rPr>
                      </w:pPr>
                      <w:r>
                        <w:rPr>
                          <w:rFonts w:hint="eastAsia"/>
                          <w:sz w:val="24"/>
                        </w:rPr>
                        <w:t>货运交通示意图</w:t>
                      </w:r>
                    </w:p>
                  </w:txbxContent>
                </v:textbox>
                <w10:wrap type="none"/>
                <w10:anchorlock/>
              </v:shape>
            </w:pict>
          </mc:Fallback>
        </mc:AlternateContent>
      </w:r>
    </w:p>
    <w:p>
      <w:pPr>
        <w:spacing w:line="60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sz w:val="32"/>
          <w:szCs w:val="32"/>
        </w:rPr>
        <w:t>实施公共停车场建设工程。</w:t>
      </w:r>
      <w:r>
        <w:rPr>
          <w:rFonts w:hint="eastAsia" w:ascii="仿宋_GB2312" w:hAnsi="Times New Roman" w:eastAsia="仿宋_GB2312"/>
          <w:sz w:val="32"/>
          <w:szCs w:val="32"/>
        </w:rPr>
        <w:t>开发利用闲置土地和地下空间，建设完善公共停车场，减少路内停车数量，建立停车系统运行管理的信息化与智能化，实现停车资源的有效管理和利用。</w:t>
      </w:r>
      <w:r>
        <w:rPr>
          <w:rFonts w:hint="eastAsia" w:ascii="仿宋_GB2312" w:hAnsi="Times New Roman" w:eastAsia="仿宋_GB2312" w:cs="Times New Roman"/>
          <w:sz w:val="32"/>
          <w:szCs w:val="32"/>
        </w:rPr>
        <w:t>建成一批布局合理的社会公共停车场（楼），改善城市停车状况；在新区主要交通走廊，规划建设一批“停车——换乘”枢纽设施。</w:t>
      </w:r>
    </w:p>
    <w:p>
      <w:pPr>
        <w:tabs>
          <w:tab w:val="left" w:pos="720"/>
        </w:tabs>
        <w:spacing w:line="360" w:lineRule="atLeast"/>
        <w:rPr>
          <w:rFonts w:asciiTheme="minorEastAsia" w:hAnsiTheme="minorEastAsia"/>
          <w:bCs/>
          <w:szCs w:val="28"/>
        </w:rPr>
      </w:pPr>
      <w:r>
        <w:rPr>
          <w:rFonts w:asciiTheme="minorEastAsia" w:hAnsiTheme="minorEastAsia"/>
          <w:bCs/>
          <w:szCs w:val="28"/>
        </w:rPr>
        <mc:AlternateContent>
          <mc:Choice Requires="wps">
            <w:drawing>
              <wp:inline distT="0" distB="0" distL="0" distR="0">
                <wp:extent cx="4899660" cy="3543300"/>
                <wp:effectExtent l="0" t="0" r="15240" b="19050"/>
                <wp:docPr id="20" name="Text Box 9"/>
                <wp:cNvGraphicFramePr/>
                <a:graphic xmlns:a="http://schemas.openxmlformats.org/drawingml/2006/main">
                  <a:graphicData uri="http://schemas.microsoft.com/office/word/2010/wordprocessingShape">
                    <wps:wsp>
                      <wps:cNvSpPr txBox="1">
                        <a:spLocks noChangeArrowheads="1"/>
                      </wps:cNvSpPr>
                      <wps:spPr bwMode="auto">
                        <a:xfrm>
                          <a:off x="0" y="0"/>
                          <a:ext cx="4899660" cy="3543300"/>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2247900" cy="2989580"/>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505" cy="2992265"/>
                                          </a:xfrm>
                                          <a:prstGeom prst="rect">
                                            <a:avLst/>
                                          </a:prstGeom>
                                        </pic:spPr>
                                      </pic:pic>
                                    </a:graphicData>
                                  </a:graphic>
                                </wp:inline>
                              </w:drawing>
                            </w:r>
                          </w:p>
                          <w:p>
                            <w:pPr>
                              <w:jc w:val="center"/>
                              <w:rPr>
                                <w:sz w:val="24"/>
                              </w:rPr>
                            </w:pPr>
                            <w:r>
                              <w:rPr>
                                <w:rFonts w:hint="eastAsia"/>
                                <w:sz w:val="24"/>
                              </w:rPr>
                              <w:t>公共停车场布局示意图</w:t>
                            </w:r>
                          </w:p>
                        </w:txbxContent>
                      </wps:txbx>
                      <wps:bodyPr rot="0" vert="horz" wrap="square" lIns="91440" tIns="45720" rIns="91440" bIns="45720" anchor="t" anchorCtr="0" upright="1">
                        <a:noAutofit/>
                      </wps:bodyPr>
                    </wps:wsp>
                  </a:graphicData>
                </a:graphic>
              </wp:inline>
            </w:drawing>
          </mc:Choice>
          <mc:Fallback>
            <w:pict>
              <v:shape id="Text Box 9" o:spid="_x0000_s1026" o:spt="202" type="#_x0000_t202" style="height:279pt;width:385.8pt;" fillcolor="#F2F2F2 [3212]" filled="t" stroked="t" coordsize="21600,21600" o:gfxdata="UEsDBAoAAAAAAIdO4kAAAAAAAAAAAAAAAAAEAAAAZHJzL1BLAwQUAAAACACHTuJAfoOv1tQAAAAF&#10;AQAADwAAAGRycy9kb3ducmV2LnhtbE2PQU/DMAyF70j8h8hIXBBLOrF2Kk13AE0cYRu7Z41pKxon&#10;atKt/HsMF7hYenr2e5+rzewGccYx9p40ZAsFAqnxtqdWw/the78GEZMhawZPqOELI2zq66vKlNZf&#10;aIfnfWoFh1AsjYYupVBKGZsOnYkLH5DY+/CjM4nl2Eo7mguHu0EulcqlMz1xQ2cCPnXYfO4nxxiH&#10;Y1hK9ZCKl7u359fdfAxTvtX69iZTjyASzulvGX7w+QZqZjr5iWwUgwZ+JP1O9ooiy0GcNKxWawWy&#10;ruR/+vobUEsDBBQAAAAIAIdO4kDFPQ0DTAIAAL0EAAAOAAAAZHJzL2Uyb0RvYy54bWytVNtu2zAM&#10;fR+wfxD0vjj3JUacomuRYUB3Adp9gCLLsTBJ1CQldvb1oyS3SzsM6MMQwJBI6vDwkMzmqteKnITz&#10;EkxFJ6MxJcJwqKU5VPT7w+7dihIfmKmZAiMqehaeXm3fvtl0thRTaEHVwhEEMb7sbEXbEGxZFJ63&#10;QjM/AisMOhtwmgW8ukNRO9YhulbFdDxeFh242jrgwnu03mYnHRDdawChaSQXt8CPWpiQUZ1QLGBJ&#10;vpXW021i2zSCh69N40UgqqJYaUhfTILnffwW2w0rD47ZVvKBAnsNhRc1aSYNJn2CumWBkaOTf0Fp&#10;yR14aMKIgy5yIUkRrGIyfqHNfcusSLWg1N4+ie7/Hyz/cvrmiKwrOkVJDNPY8QfRB/IBerKO8nTW&#10;lxh1bzEu9GjGoUmlensH/IcnBm5aZg7i2jnoWsFqpDeJL4uLpxnHR5B99xlqTMOOARJQ3zgdtUM1&#10;CKIjj/NTayIVjsb5ar1eLtHF0TdbzGezcWpewcrH59b58FGAJvFQUYe9T/DsdOdDpMPKx5CYzYOS&#10;9U4qlS7usL9RjpwYzsluGn/prTpqJJvN68U452QlmnGssvmRhs8QKc8zbGVIV9H1YrrIsv0zL8IP&#10;GZDqMwgtA+6ckrqiq8sgZQaVo7BZ4tDv+6Fre6jPqLeDPPW483howf2ipMOJr6j/eWROUKI+GezZ&#10;ejKfo8AhXeaL93Eg3KVnf+lhhiNURQMl+XgT8lodrZOHFjPlKTFwjX1uZOpAHIjMauCNU50EGzYw&#10;rs3lPUX9+dfZ/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6/W1AAAAAUBAAAPAAAAAAAAAAEA&#10;IAAAACIAAABkcnMvZG93bnJldi54bWxQSwECFAAUAAAACACHTuJAxT0NA0wCAAC9BAAADgAAAAAA&#10;AAABACAAAAAjAQAAZHJzL2Uyb0RvYy54bWxQSwUGAAAAAAYABgBZAQAA4QUAAAAA&#10;">
                <v:fill on="t" focussize="0,0"/>
                <v:stroke color="#000000" miterlimit="8" joinstyle="miter"/>
                <v:imagedata o:title=""/>
                <o:lock v:ext="edit" aspectratio="f"/>
                <v:textbox>
                  <w:txbxContent>
                    <w:p>
                      <w:pPr>
                        <w:jc w:val="center"/>
                      </w:pPr>
                      <w:r>
                        <w:rPr>
                          <w:rFonts w:hint="eastAsia"/>
                        </w:rPr>
                        <w:drawing>
                          <wp:inline distT="0" distB="0" distL="0" distR="0">
                            <wp:extent cx="2247900" cy="2989580"/>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505" cy="2992265"/>
                                    </a:xfrm>
                                    <a:prstGeom prst="rect">
                                      <a:avLst/>
                                    </a:prstGeom>
                                  </pic:spPr>
                                </pic:pic>
                              </a:graphicData>
                            </a:graphic>
                          </wp:inline>
                        </w:drawing>
                      </w:r>
                    </w:p>
                    <w:p>
                      <w:pPr>
                        <w:jc w:val="center"/>
                        <w:rPr>
                          <w:sz w:val="24"/>
                        </w:rPr>
                      </w:pPr>
                      <w:r>
                        <w:rPr>
                          <w:rFonts w:hint="eastAsia"/>
                          <w:sz w:val="24"/>
                        </w:rPr>
                        <w:t>公共停车场布局示意图</w:t>
                      </w:r>
                    </w:p>
                  </w:txbxContent>
                </v:textbox>
                <w10:wrap type="none"/>
                <w10:anchorlock/>
              </v:shape>
            </w:pict>
          </mc:Fallback>
        </mc:AlternateContent>
      </w:r>
    </w:p>
    <w:p>
      <w:pPr>
        <w:tabs>
          <w:tab w:val="left" w:pos="720"/>
        </w:tabs>
        <w:spacing w:line="360" w:lineRule="atLeast"/>
        <w:rPr>
          <w:rFonts w:asciiTheme="minorEastAsia" w:hAnsiTheme="minorEastAsia"/>
          <w:bCs/>
          <w:szCs w:val="28"/>
        </w:rPr>
      </w:pPr>
    </w:p>
    <w:p>
      <w:pPr>
        <w:pStyle w:val="4"/>
        <w:spacing w:before="0" w:after="0" w:line="600" w:lineRule="exact"/>
        <w:jc w:val="center"/>
        <w:rPr>
          <w:rFonts w:asciiTheme="minorEastAsia" w:hAnsiTheme="minorEastAsia"/>
        </w:rPr>
      </w:pPr>
      <w:bookmarkStart w:id="122" w:name="_Toc458171828"/>
      <w:r>
        <w:rPr>
          <w:rFonts w:hint="eastAsia" w:eastAsia="楷体"/>
        </w:rPr>
        <w:t>第二节 建设功能完善的市政服务设施体系</w:t>
      </w:r>
      <w:bookmarkEnd w:id="122"/>
    </w:p>
    <w:p>
      <w:pPr>
        <w:autoSpaceDE w:val="0"/>
        <w:autoSpaceDN w:val="0"/>
        <w:adjustRightInd w:val="0"/>
        <w:spacing w:line="600" w:lineRule="exact"/>
        <w:ind w:firstLine="643" w:firstLineChars="200"/>
        <w:rPr>
          <w:rFonts w:ascii="仿宋_GB2312" w:hAnsi="Times New Roman" w:eastAsia="仿宋_GB2312"/>
          <w:kern w:val="0"/>
          <w:sz w:val="32"/>
          <w:szCs w:val="32"/>
          <w:lang w:val="zh-CN"/>
        </w:rPr>
      </w:pPr>
      <w:r>
        <w:rPr>
          <w:rFonts w:hint="eastAsia" w:ascii="仿宋_GB2312" w:hAnsi="Times New Roman" w:eastAsia="仿宋_GB2312"/>
          <w:b/>
          <w:kern w:val="0"/>
          <w:sz w:val="32"/>
          <w:szCs w:val="32"/>
          <w:lang w:val="zh-CN"/>
        </w:rPr>
        <w:t>提升公共基础设施承载能力。</w:t>
      </w:r>
      <w:r>
        <w:rPr>
          <w:rFonts w:hint="eastAsia" w:ascii="仿宋_GB2312" w:hAnsi="Times New Roman" w:eastAsia="仿宋_GB2312"/>
          <w:kern w:val="0"/>
          <w:sz w:val="32"/>
          <w:szCs w:val="32"/>
          <w:lang w:val="zh-CN"/>
        </w:rPr>
        <w:t>开展城市地下综合管廊试点建设，统筹电力、通信、给排水、燃气、清洁能源等管网建设，建立并共享地下综合管网信息系统，提升城镇管网科学管理水平。</w:t>
      </w:r>
    </w:p>
    <w:p>
      <w:pPr>
        <w:tabs>
          <w:tab w:val="left" w:pos="720"/>
        </w:tabs>
        <w:spacing w:line="360" w:lineRule="atLeas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完善供排水系统。加强供水保障，满足城市发展需求，形成较为完善的城市供排水体系。完成柳东新区水厂一期工程，到2020年，城市自来水普及率达95%，城市建成区自来水普及率达100%。加快排水系统建设，鼓励中水回用，加快实施城市排水分流和城市排水干管及雨水出水口管道工程，实现污水“全收集、全处理”的目标。完成柳州市柳东新区官塘片区污水处理工程，主要服务于柳州市柳东新区官塘片区。</w:t>
      </w:r>
    </w:p>
    <w:p>
      <w:pPr>
        <w:tabs>
          <w:tab w:val="left" w:pos="720"/>
        </w:tabs>
        <w:spacing w:line="360" w:lineRule="atLeas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提高供气水平。积极推进天然气城市气化工程，形成多气源供气的格局。完成柳东天然气利用工程，工程主要建设雒容燃气站、官塘燃气站、天然气加气站2座、燃气高、中压管网155公里和相应调压柜（箱）、城市燃气信息管理系统及配套的后方设施等。到2020年，城市建成区燃气气化率达100%。</w:t>
      </w:r>
    </w:p>
    <w:p>
      <w:pPr>
        <w:tabs>
          <w:tab w:val="left" w:pos="720"/>
        </w:tabs>
        <w:spacing w:line="360" w:lineRule="atLeas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增强供电保障能力。积极发展分布式能源，为新区提供充足的电力资源。扩建官南、官北、官塘</w:t>
      </w:r>
      <w:r>
        <w:rPr>
          <w:rFonts w:ascii="仿宋_GB2312" w:hAnsi="Times New Roman" w:eastAsia="仿宋_GB2312" w:cs="Times New Roman"/>
          <w:sz w:val="32"/>
          <w:szCs w:val="32"/>
        </w:rPr>
        <w:t>3</w:t>
      </w:r>
      <w:r>
        <w:rPr>
          <w:rFonts w:hint="eastAsia" w:ascii="仿宋_GB2312" w:hAnsi="Times New Roman" w:eastAsia="仿宋_GB2312" w:cs="Times New Roman"/>
          <w:sz w:val="32"/>
          <w:szCs w:val="32"/>
        </w:rPr>
        <w:t>座</w:t>
      </w:r>
      <w:r>
        <w:rPr>
          <w:rFonts w:ascii="仿宋_GB2312" w:hAnsi="Times New Roman" w:eastAsia="仿宋_GB2312" w:cs="Times New Roman"/>
          <w:sz w:val="32"/>
          <w:szCs w:val="32"/>
        </w:rPr>
        <w:t>220</w:t>
      </w:r>
      <w:r>
        <w:rPr>
          <w:rFonts w:hint="eastAsia" w:ascii="仿宋_GB2312" w:hAnsi="Times New Roman" w:eastAsia="仿宋_GB2312" w:cs="Times New Roman"/>
          <w:sz w:val="32"/>
          <w:szCs w:val="32"/>
        </w:rPr>
        <w:t>千伏变电站。新建汽车城北Ⅲ和汽车城北Ⅴ</w:t>
      </w:r>
      <w:r>
        <w:rPr>
          <w:rFonts w:ascii="仿宋_GB2312" w:hAnsi="Times New Roman" w:eastAsia="仿宋_GB2312" w:cs="Times New Roman"/>
          <w:sz w:val="32"/>
          <w:szCs w:val="32"/>
        </w:rPr>
        <w:t>2</w:t>
      </w:r>
      <w:r>
        <w:rPr>
          <w:rFonts w:hint="eastAsia" w:ascii="仿宋_GB2312" w:hAnsi="Times New Roman" w:eastAsia="仿宋_GB2312" w:cs="Times New Roman"/>
          <w:sz w:val="32"/>
          <w:szCs w:val="32"/>
        </w:rPr>
        <w:t>座</w:t>
      </w:r>
      <w:r>
        <w:rPr>
          <w:rFonts w:ascii="仿宋_GB2312" w:hAnsi="Times New Roman" w:eastAsia="仿宋_GB2312" w:cs="Times New Roman"/>
          <w:sz w:val="32"/>
          <w:szCs w:val="32"/>
        </w:rPr>
        <w:t>220</w:t>
      </w:r>
      <w:r>
        <w:rPr>
          <w:rFonts w:hint="eastAsia" w:ascii="仿宋_GB2312" w:hAnsi="Times New Roman" w:eastAsia="仿宋_GB2312" w:cs="Times New Roman"/>
          <w:sz w:val="32"/>
          <w:szCs w:val="32"/>
        </w:rPr>
        <w:t>千伏变电站。扩建</w:t>
      </w:r>
      <w:r>
        <w:rPr>
          <w:rFonts w:ascii="仿宋_GB2312" w:hAnsi="Times New Roman" w:eastAsia="仿宋_GB2312" w:cs="Times New Roman"/>
          <w:sz w:val="32"/>
          <w:szCs w:val="32"/>
        </w:rPr>
        <w:t>110</w:t>
      </w:r>
      <w:r>
        <w:rPr>
          <w:rFonts w:hint="eastAsia" w:ascii="仿宋_GB2312" w:hAnsi="Times New Roman" w:eastAsia="仿宋_GB2312" w:cs="Times New Roman"/>
          <w:sz w:val="32"/>
          <w:szCs w:val="32"/>
        </w:rPr>
        <w:t>千伏工程5座，洛埠、会展、创业、花岭、江东等</w:t>
      </w:r>
      <w:r>
        <w:rPr>
          <w:rFonts w:ascii="仿宋_GB2312" w:hAnsi="Times New Roman" w:eastAsia="仿宋_GB2312" w:cs="Times New Roman"/>
          <w:sz w:val="32"/>
          <w:szCs w:val="32"/>
        </w:rPr>
        <w:t>110</w:t>
      </w:r>
      <w:r>
        <w:rPr>
          <w:rFonts w:hint="eastAsia" w:ascii="仿宋_GB2312" w:hAnsi="Times New Roman" w:eastAsia="仿宋_GB2312" w:cs="Times New Roman"/>
          <w:sz w:val="32"/>
          <w:szCs w:val="32"/>
        </w:rPr>
        <w:t>千伏变电站。新建</w:t>
      </w:r>
      <w:r>
        <w:rPr>
          <w:rFonts w:ascii="仿宋_GB2312" w:hAnsi="Times New Roman" w:eastAsia="仿宋_GB2312" w:cs="Times New Roman"/>
          <w:sz w:val="32"/>
          <w:szCs w:val="32"/>
        </w:rPr>
        <w:t>110</w:t>
      </w:r>
      <w:r>
        <w:rPr>
          <w:rFonts w:hint="eastAsia" w:ascii="仿宋_GB2312" w:hAnsi="Times New Roman" w:eastAsia="仿宋_GB2312" w:cs="Times New Roman"/>
          <w:sz w:val="32"/>
          <w:szCs w:val="32"/>
        </w:rPr>
        <w:t>千伏输变电工程8座。</w:t>
      </w:r>
    </w:p>
    <w:p>
      <w:pPr>
        <w:tabs>
          <w:tab w:val="left" w:pos="720"/>
        </w:tabs>
        <w:spacing w:line="360" w:lineRule="atLeas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建设完善城市地下管网系统。超前和统筹规划安排城市道路与供水、排水、燃气、供电、通信、消防等依附于城市道路的各种管线、杆线等设施建设，坚持配套各类管网与城市道路发展规划和年度建设计划相协调,坚持“先地下、后地上”的施工原则,与城市道路同步建设。结合人防工作需要，采用商业运作模式，规划利用城市地下空间。</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kern w:val="0"/>
          <w:sz w:val="32"/>
          <w:szCs w:val="32"/>
          <w:lang w:val="zh-CN"/>
        </w:rPr>
        <w:t>积极创建海绵城市。</w:t>
      </w:r>
      <w:r>
        <w:rPr>
          <w:rFonts w:hint="eastAsia" w:ascii="仿宋_GB2312" w:hAnsi="Times New Roman" w:eastAsia="仿宋_GB2312"/>
          <w:kern w:val="0"/>
          <w:sz w:val="32"/>
          <w:szCs w:val="32"/>
          <w:lang w:val="zh-CN"/>
        </w:rPr>
        <w:t>推进实施海绵城市建设，完善防洪排涝体系。统筹发挥自然生态功能和人工干预功能，有效控制雨水径流，实现自然积存、自然渗透、自然净化的城市发展方式，修复城市水生态、涵养水资源，增强城市防涝能力，促进人与自然和谐发展。继续加快城市防洪排涝系统建设，城市防洪标准提高到100年一遇。加快建设柳东新区官塘等防洪堤项目，建设新区防洪排涝工程。健全防汛自动测报、决策支持系统，逐步建成现代化的城市防洪排涝系统和综合防灾减灾系统，全面提升防汛排涝能力。</w:t>
      </w:r>
    </w:p>
    <w:p>
      <w:pPr>
        <w:spacing w:line="600" w:lineRule="exact"/>
        <w:ind w:firstLine="643" w:firstLineChars="200"/>
        <w:rPr>
          <w:rFonts w:ascii="仿宋_GB2312" w:hAnsi="Times New Roman" w:eastAsia="仿宋_GB2312"/>
          <w:kern w:val="0"/>
          <w:sz w:val="32"/>
          <w:szCs w:val="32"/>
          <w:lang w:val="zh-CN"/>
        </w:rPr>
      </w:pPr>
      <w:r>
        <w:rPr>
          <w:rFonts w:hint="eastAsia" w:ascii="仿宋_GB2312" w:hAnsi="Times New Roman" w:eastAsia="仿宋_GB2312"/>
          <w:b/>
          <w:kern w:val="0"/>
          <w:sz w:val="32"/>
          <w:szCs w:val="32"/>
          <w:lang w:val="zh-CN"/>
        </w:rPr>
        <w:t>改善水环境。</w:t>
      </w:r>
      <w:r>
        <w:rPr>
          <w:rFonts w:hint="eastAsia" w:ascii="仿宋_GB2312" w:hAnsi="Times New Roman" w:eastAsia="仿宋_GB2312"/>
          <w:kern w:val="0"/>
          <w:sz w:val="32"/>
          <w:szCs w:val="32"/>
          <w:lang w:val="zh-CN"/>
        </w:rPr>
        <w:t>以改善生态环境为核心，加强城镇水源地保护</w:t>
      </w:r>
      <w:r>
        <w:rPr>
          <w:rFonts w:hint="eastAsia" w:ascii="仿宋_GB2312" w:eastAsia="仿宋_GB2312"/>
          <w:sz w:val="32"/>
          <w:szCs w:val="32"/>
        </w:rPr>
        <w:t>与建设</w:t>
      </w:r>
      <w:r>
        <w:rPr>
          <w:rFonts w:hint="eastAsia" w:ascii="仿宋_GB2312" w:hAnsi="Times New Roman" w:eastAsia="仿宋_GB2312"/>
          <w:kern w:val="0"/>
          <w:sz w:val="32"/>
          <w:szCs w:val="32"/>
          <w:lang w:val="zh-CN"/>
        </w:rPr>
        <w:t>和供水设施</w:t>
      </w:r>
      <w:r>
        <w:rPr>
          <w:rFonts w:hint="eastAsia" w:ascii="仿宋_GB2312" w:eastAsia="仿宋_GB2312"/>
          <w:sz w:val="32"/>
          <w:szCs w:val="32"/>
        </w:rPr>
        <w:t>改造与</w:t>
      </w:r>
      <w:r>
        <w:rPr>
          <w:rFonts w:hint="eastAsia" w:ascii="仿宋_GB2312" w:hAnsi="Times New Roman" w:eastAsia="仿宋_GB2312"/>
          <w:kern w:val="0"/>
          <w:sz w:val="32"/>
          <w:szCs w:val="32"/>
          <w:lang w:val="zh-CN"/>
        </w:rPr>
        <w:t>建设，确保城镇供水安全。加大城市污水和垃圾处理设施建设力度，新区核心区实现污水全收集、全处理，加快推进小城镇生活污水处理设施建设，推进雨污分流改造和污泥无害化处置，提高城镇垃圾无害化处理能力。加强城市排水管理，保障城市排水畅通。学布局配置相应的泵站、污泥转运站、污泥处理地等城市排水辅助设施。</w:t>
      </w:r>
    </w:p>
    <w:p>
      <w:pPr>
        <w:pStyle w:val="4"/>
        <w:spacing w:before="0" w:after="0" w:line="600" w:lineRule="exact"/>
        <w:jc w:val="center"/>
        <w:rPr>
          <w:rFonts w:eastAsia="楷体"/>
        </w:rPr>
      </w:pPr>
      <w:bookmarkStart w:id="123" w:name="_Toc458171829"/>
      <w:bookmarkStart w:id="124" w:name="_Toc440536836"/>
      <w:r>
        <w:rPr>
          <w:rFonts w:hint="eastAsia" w:eastAsia="楷体"/>
        </w:rPr>
        <w:t>第三节 构建安全可靠的能源供应体系</w:t>
      </w:r>
      <w:bookmarkEnd w:id="123"/>
      <w:bookmarkEnd w:id="124"/>
    </w:p>
    <w:p>
      <w:pPr>
        <w:spacing w:line="600" w:lineRule="exact"/>
        <w:ind w:firstLine="570"/>
        <w:jc w:val="left"/>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完善电网、气网、油网三大能源网络，形成安全可靠、清洁高效的能源保障体系。改善能源供应结构，积极发展生物质能源等新型可再生能源，积极开发水能资源，加快推进风能、太阳能等新能源的开发利用，大力发展水源热泵和地源热泵的应用。加大能源结构调整力度，建设并完善柳东新区的城市燃气管道输配系统，构建以天然气为气源的新区联网供气，加快实施天然气长输管线的接气工程、天然气主干管网及储配站、接收门站、调压站等相应输配设施建设，实现新区以管道供气为主，城镇以罐装液化气为主，农村以沼气为主的供气方式。</w:t>
      </w:r>
      <w:r>
        <w:rPr>
          <w:rFonts w:ascii="Times New Roman" w:hAnsi="Times New Roman" w:eastAsia="仿宋_GB2312"/>
          <w:kern w:val="0"/>
          <w:sz w:val="32"/>
          <w:szCs w:val="32"/>
          <w:lang w:val="zh-CN"/>
        </w:rPr>
        <w:t>将电网规划融入到</w:t>
      </w:r>
      <w:r>
        <w:rPr>
          <w:rFonts w:hint="eastAsia" w:ascii="Times New Roman" w:hAnsi="Times New Roman" w:eastAsia="仿宋_GB2312"/>
          <w:kern w:val="0"/>
          <w:sz w:val="32"/>
          <w:szCs w:val="32"/>
          <w:lang w:val="zh-CN"/>
        </w:rPr>
        <w:t>新区</w:t>
      </w:r>
      <w:r>
        <w:rPr>
          <w:rFonts w:ascii="Times New Roman" w:hAnsi="Times New Roman" w:eastAsia="仿宋_GB2312"/>
          <w:kern w:val="0"/>
          <w:sz w:val="32"/>
          <w:szCs w:val="32"/>
          <w:lang w:val="zh-CN"/>
        </w:rPr>
        <w:t>发展的总体规划中，做好与公路、铁路、航道等交通基础设施专项规划的衔接协调，实现电网规划与其他专项规划有机衔接和同步实施。加强城市道路、园区开发建设与电网建设的有效衔接，适度超前安排涉及线路通道的市政道路建设，保证电力布点、输电通道按规划实施。</w:t>
      </w:r>
    </w:p>
    <w:p>
      <w:pPr>
        <w:spacing w:line="600" w:lineRule="exact"/>
        <w:ind w:firstLine="640" w:firstLineChars="200"/>
        <w:rPr>
          <w:rFonts w:ascii="仿宋_GB2312" w:hAnsi="Times New Roman" w:eastAsia="仿宋_GB2312"/>
          <w:kern w:val="0"/>
          <w:sz w:val="32"/>
          <w:szCs w:val="32"/>
          <w:lang w:val="zh-CN"/>
        </w:rPr>
      </w:pPr>
    </w:p>
    <w:p>
      <w:pPr>
        <w:pStyle w:val="4"/>
        <w:spacing w:before="0" w:after="0" w:line="600" w:lineRule="exact"/>
        <w:jc w:val="center"/>
        <w:rPr>
          <w:rFonts w:eastAsia="楷体"/>
        </w:rPr>
      </w:pPr>
      <w:bookmarkStart w:id="125" w:name="_Toc458171830"/>
      <w:bookmarkStart w:id="126" w:name="_Toc440536837"/>
      <w:r>
        <w:rPr>
          <w:rFonts w:hint="eastAsia" w:eastAsia="楷体"/>
        </w:rPr>
        <w:t xml:space="preserve">第四节 </w:t>
      </w:r>
      <w:r>
        <w:rPr>
          <w:rFonts w:eastAsia="楷体"/>
        </w:rPr>
        <w:t>提高城市管理科学化水平</w:t>
      </w:r>
      <w:bookmarkEnd w:id="125"/>
      <w:bookmarkEnd w:id="126"/>
    </w:p>
    <w:p>
      <w:pPr>
        <w:spacing w:line="600" w:lineRule="exact"/>
        <w:ind w:firstLine="640" w:firstLineChars="200"/>
        <w:rPr>
          <w:rFonts w:ascii="Times New Roman" w:hAnsi="Times New Roman" w:eastAsia="仿宋_GB2312"/>
          <w:kern w:val="0"/>
          <w:sz w:val="32"/>
          <w:szCs w:val="32"/>
          <w:lang w:val="zh-CN"/>
        </w:rPr>
      </w:pPr>
      <w:r>
        <w:rPr>
          <w:rFonts w:hint="eastAsia" w:ascii="Times New Roman" w:hAnsi="Times New Roman" w:eastAsia="仿宋_GB2312"/>
          <w:kern w:val="0"/>
          <w:sz w:val="32"/>
          <w:szCs w:val="32"/>
          <w:lang w:val="zh-CN"/>
        </w:rPr>
        <w:t>深入推进城市环境综合整治，全面消除卫生死角和管理盲区，建立道路保洁全覆盖网络与质量检测体系，提高环卫保洁机械化作业水平，提高城市容貌景观和环境卫生管理水平，健全常态化长效化管理机制。持续加强学校、医院等公共场所环境整治提升，加强景观照明设施建设和维护，规范户外广告设置。依法严厉查处违法建设。推动城市管理和执法融入社区网格管理，构建基础大数据库，推进基础信息数据互融共享，建立精确、敏捷、高效、全方位覆盖的指挥和应急处置系统，形成柳东特色的长效城市管理模式。加强城市精细化品质化管理，促进生活服务便利化。</w:t>
      </w:r>
    </w:p>
    <w:p>
      <w:pPr>
        <w:spacing w:line="600" w:lineRule="exact"/>
        <w:ind w:firstLine="640" w:firstLineChars="200"/>
        <w:rPr>
          <w:rFonts w:ascii="仿宋_GB2312" w:hAnsi="Times New Roman" w:eastAsia="仿宋_GB2312"/>
          <w:kern w:val="0"/>
          <w:sz w:val="32"/>
          <w:szCs w:val="32"/>
          <w:lang w:val="zh-CN"/>
        </w:rPr>
      </w:pPr>
    </w:p>
    <w:p>
      <w:pPr>
        <w:pStyle w:val="2"/>
        <w:spacing w:before="0" w:after="0" w:line="600" w:lineRule="exact"/>
        <w:contextualSpacing/>
        <w:jc w:val="center"/>
        <w:rPr>
          <w:rFonts w:eastAsia="黑体"/>
          <w:sz w:val="32"/>
          <w:szCs w:val="32"/>
        </w:rPr>
      </w:pPr>
      <w:bookmarkStart w:id="127" w:name="_Toc437500863"/>
      <w:bookmarkStart w:id="128" w:name="_Toc439832104"/>
      <w:bookmarkStart w:id="129" w:name="_Toc440536838"/>
      <w:bookmarkStart w:id="130" w:name="_Toc458171831"/>
      <w:r>
        <w:rPr>
          <w:rFonts w:eastAsia="黑体"/>
          <w:sz w:val="32"/>
          <w:szCs w:val="32"/>
        </w:rPr>
        <w:t>第十</w:t>
      </w:r>
      <w:r>
        <w:rPr>
          <w:rFonts w:hint="eastAsia" w:eastAsia="黑体"/>
          <w:sz w:val="32"/>
          <w:szCs w:val="32"/>
        </w:rPr>
        <w:t>五</w:t>
      </w:r>
      <w:r>
        <w:rPr>
          <w:rFonts w:eastAsia="黑体"/>
          <w:sz w:val="32"/>
          <w:szCs w:val="32"/>
        </w:rPr>
        <w:t>章 加快智慧</w:t>
      </w:r>
      <w:r>
        <w:rPr>
          <w:rFonts w:hint="eastAsia" w:eastAsia="黑体"/>
          <w:sz w:val="32"/>
          <w:szCs w:val="32"/>
        </w:rPr>
        <w:t>城区</w:t>
      </w:r>
      <w:r>
        <w:rPr>
          <w:rFonts w:eastAsia="黑体"/>
          <w:sz w:val="32"/>
          <w:szCs w:val="32"/>
        </w:rPr>
        <w:t>建设</w:t>
      </w:r>
      <w:bookmarkEnd w:id="127"/>
      <w:bookmarkEnd w:id="128"/>
      <w:bookmarkEnd w:id="129"/>
      <w:bookmarkEnd w:id="130"/>
    </w:p>
    <w:p>
      <w:pPr>
        <w:pStyle w:val="24"/>
        <w:widowControl w:val="0"/>
        <w:spacing w:before="0" w:beforeAutospacing="0" w:after="0" w:afterAutospacing="0" w:line="60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继续推进国家智慧城区试点建设，加强智慧城市统筹规划，建设一批智慧城市管理平台，推行智慧应用体系，构建智慧城市运行体系，形成以数字化、网络化、智能化为主要特征的“智慧柳东”基本框架。</w:t>
      </w:r>
      <w:bookmarkStart w:id="131" w:name="_Toc440536839"/>
    </w:p>
    <w:p>
      <w:pPr>
        <w:pStyle w:val="4"/>
        <w:spacing w:before="0" w:after="0" w:line="600" w:lineRule="exact"/>
        <w:jc w:val="center"/>
        <w:rPr>
          <w:rFonts w:ascii="Times New Roman" w:hAnsi="Times New Roman" w:eastAsia="楷体_GB2312"/>
          <w:color w:val="000000" w:themeColor="text1"/>
          <w14:textFill>
            <w14:solidFill>
              <w14:schemeClr w14:val="tx1"/>
            </w14:solidFill>
          </w14:textFill>
        </w:rPr>
      </w:pPr>
      <w:bookmarkStart w:id="132" w:name="_Toc458171832"/>
      <w:r>
        <w:rPr>
          <w:rFonts w:ascii="Times New Roman" w:hAnsi="Times New Roman" w:eastAsia="楷体_GB2312"/>
          <w:color w:val="000000" w:themeColor="text1"/>
          <w14:textFill>
            <w14:solidFill>
              <w14:schemeClr w14:val="tx1"/>
            </w14:solidFill>
          </w14:textFill>
        </w:rPr>
        <w:t>第</w:t>
      </w:r>
      <w:r>
        <w:rPr>
          <w:rFonts w:hint="eastAsia" w:ascii="Times New Roman" w:hAnsi="Times New Roman" w:eastAsia="楷体_GB2312"/>
          <w:color w:val="000000" w:themeColor="text1"/>
          <w14:textFill>
            <w14:solidFill>
              <w14:schemeClr w14:val="tx1"/>
            </w14:solidFill>
          </w14:textFill>
        </w:rPr>
        <w:t>一</w:t>
      </w:r>
      <w:r>
        <w:rPr>
          <w:rFonts w:ascii="Times New Roman" w:hAnsi="Times New Roman" w:eastAsia="楷体_GB2312"/>
          <w:color w:val="000000" w:themeColor="text1"/>
          <w14:textFill>
            <w14:solidFill>
              <w14:schemeClr w14:val="tx1"/>
            </w14:solidFill>
          </w14:textFill>
        </w:rPr>
        <w:t>节 打造智慧城市框架</w:t>
      </w:r>
      <w:bookmarkEnd w:id="131"/>
      <w:bookmarkEnd w:id="132"/>
    </w:p>
    <w:p>
      <w:pPr>
        <w:pStyle w:val="24"/>
        <w:widowControl w:val="0"/>
        <w:spacing w:before="0" w:beforeAutospacing="0" w:after="0" w:afterAutospacing="0" w:line="60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构建</w:t>
      </w:r>
      <w:r>
        <w:rPr>
          <w:rFonts w:ascii="Times New Roman" w:hAnsi="Times New Roman" w:eastAsia="仿宋_GB2312" w:cs="Times New Roman"/>
          <w:color w:val="000000" w:themeColor="text1"/>
          <w:sz w:val="32"/>
          <w:szCs w:val="32"/>
          <w14:textFill>
            <w14:solidFill>
              <w14:schemeClr w14:val="tx1"/>
            </w14:solidFill>
          </w14:textFill>
        </w:rPr>
        <w:t>城乡一体化信息网络新格局，信息资源充分整合共享，公共平台与智慧应用互联互通，</w:t>
      </w:r>
      <w:r>
        <w:rPr>
          <w:rFonts w:hint="eastAsia" w:ascii="Times New Roman" w:hAnsi="Times New Roman" w:eastAsia="仿宋_GB2312" w:cs="Times New Roman"/>
          <w:color w:val="000000" w:themeColor="text1"/>
          <w:sz w:val="32"/>
          <w:szCs w:val="32"/>
          <w14:textFill>
            <w14:solidFill>
              <w14:schemeClr w14:val="tx1"/>
            </w14:solidFill>
          </w14:textFill>
        </w:rPr>
        <w:t>实现</w:t>
      </w:r>
      <w:r>
        <w:rPr>
          <w:rFonts w:ascii="Times New Roman" w:hAnsi="Times New Roman" w:eastAsia="仿宋_GB2312" w:cs="Times New Roman"/>
          <w:color w:val="000000" w:themeColor="text1"/>
          <w:sz w:val="32"/>
          <w:szCs w:val="32"/>
          <w14:textFill>
            <w14:solidFill>
              <w14:schemeClr w14:val="tx1"/>
            </w14:solidFill>
          </w14:textFill>
        </w:rPr>
        <w:t>数据中心融合、信息资源融合、平台应用融合。提升城市建设和管理的规范化、精准化和智能化水平，加强就业、医疗、文化、安居等专业性应用系统建设，有效促进城市公共资源共享，提升城市运行效率和公共服务水平，推动城市发展转型升级。完善公共服务平台建设，着力构建覆盖全面、及时有效、群众满意的服务载体。进一步推进社会保障卡（市民卡）工程建设，整合通用就诊卡、医保卡、农保卡、公交卡、健康档案等功能，逐步实现多领域跨行业的“一卡通”智慧便民服务。</w:t>
      </w:r>
    </w:p>
    <w:p>
      <w:pPr>
        <w:pStyle w:val="24"/>
        <w:widowControl w:val="0"/>
        <w:spacing w:before="0" w:beforeAutospacing="0" w:after="0" w:afterAutospacing="0" w:line="60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4"/>
        <w:spacing w:before="0" w:after="0" w:line="600" w:lineRule="exact"/>
        <w:jc w:val="center"/>
        <w:rPr>
          <w:rFonts w:eastAsia="楷体"/>
          <w:color w:val="000000" w:themeColor="text1"/>
          <w14:textFill>
            <w14:solidFill>
              <w14:schemeClr w14:val="tx1"/>
            </w14:solidFill>
          </w14:textFill>
        </w:rPr>
      </w:pPr>
      <w:bookmarkStart w:id="133" w:name="_Toc440536840"/>
      <w:bookmarkStart w:id="134" w:name="_Toc458171833"/>
      <w:r>
        <w:rPr>
          <w:rFonts w:eastAsia="楷体"/>
          <w:color w:val="000000" w:themeColor="text1"/>
          <w14:textFill>
            <w14:solidFill>
              <w14:schemeClr w14:val="tx1"/>
            </w14:solidFill>
          </w14:textFill>
        </w:rPr>
        <w:t>第</w:t>
      </w:r>
      <w:r>
        <w:rPr>
          <w:rFonts w:hint="eastAsia" w:eastAsia="楷体"/>
          <w:color w:val="000000" w:themeColor="text1"/>
          <w14:textFill>
            <w14:solidFill>
              <w14:schemeClr w14:val="tx1"/>
            </w14:solidFill>
          </w14:textFill>
        </w:rPr>
        <w:t>二</w:t>
      </w:r>
      <w:r>
        <w:rPr>
          <w:rFonts w:eastAsia="楷体"/>
          <w:color w:val="000000" w:themeColor="text1"/>
          <w14:textFill>
            <w14:solidFill>
              <w14:schemeClr w14:val="tx1"/>
            </w14:solidFill>
          </w14:textFill>
        </w:rPr>
        <w:t xml:space="preserve">节 </w:t>
      </w:r>
      <w:r>
        <w:rPr>
          <w:rFonts w:hint="eastAsia" w:eastAsia="楷体"/>
          <w:color w:val="000000" w:themeColor="text1"/>
          <w14:textFill>
            <w14:solidFill>
              <w14:schemeClr w14:val="tx1"/>
            </w14:solidFill>
          </w14:textFill>
        </w:rPr>
        <w:t>构建</w:t>
      </w:r>
      <w:r>
        <w:rPr>
          <w:rFonts w:eastAsia="楷体"/>
          <w:color w:val="000000" w:themeColor="text1"/>
          <w14:textFill>
            <w14:solidFill>
              <w14:schemeClr w14:val="tx1"/>
            </w14:solidFill>
          </w14:textFill>
        </w:rPr>
        <w:t>智慧城市体系</w:t>
      </w:r>
      <w:bookmarkEnd w:id="133"/>
      <w:bookmarkEnd w:id="134"/>
    </w:p>
    <w:p>
      <w:pPr>
        <w:pStyle w:val="24"/>
        <w:widowControl w:val="0"/>
        <w:spacing w:before="0" w:beforeAutospacing="0" w:after="0" w:afterAutospacing="0" w:line="60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提升城市功能、满足城市发展为导向，构建智慧城市基础设施体系、技术支撑体系、业务应用体系、投融资体系、政策体系和标准体系，全方位多维度串联经济社会发展各要素，形成智慧技术高度集成、智慧产业高端发展、智慧服务高效便民的城市发展新模式。建立政府部门和公共服务企业之间互联互通的信息资源共享交换平台，实现部门</w:t>
      </w:r>
      <w:r>
        <w:rPr>
          <w:rFonts w:hint="eastAsia" w:ascii="Times New Roman" w:hAnsi="Times New Roman" w:eastAsia="仿宋_GB2312" w:cs="Times New Roman"/>
          <w:color w:val="000000" w:themeColor="text1"/>
          <w:sz w:val="32"/>
          <w:szCs w:val="32"/>
          <w14:textFill>
            <w14:solidFill>
              <w14:schemeClr w14:val="tx1"/>
            </w14:solidFill>
          </w14:textFill>
        </w:rPr>
        <w:t>间</w:t>
      </w:r>
      <w:r>
        <w:rPr>
          <w:rFonts w:ascii="Times New Roman" w:hAnsi="Times New Roman" w:eastAsia="仿宋_GB2312" w:cs="Times New Roman"/>
          <w:color w:val="000000" w:themeColor="text1"/>
          <w:sz w:val="32"/>
          <w:szCs w:val="32"/>
          <w14:textFill>
            <w14:solidFill>
              <w14:schemeClr w14:val="tx1"/>
            </w14:solidFill>
          </w14:textFill>
        </w:rPr>
        <w:t>资源共享与交互，加强与上一级平台资源交换和共享。</w:t>
      </w:r>
    </w:p>
    <w:p>
      <w:pPr>
        <w:pStyle w:val="24"/>
        <w:widowControl w:val="0"/>
        <w:spacing w:before="0" w:beforeAutospacing="0" w:after="0" w:afterAutospacing="0" w:line="60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p>
    <w:p>
      <w:pPr>
        <w:pStyle w:val="4"/>
        <w:spacing w:before="0" w:after="0" w:line="600" w:lineRule="exact"/>
        <w:jc w:val="center"/>
        <w:rPr>
          <w:rFonts w:eastAsia="楷体"/>
          <w:color w:val="000000" w:themeColor="text1"/>
          <w14:textFill>
            <w14:solidFill>
              <w14:schemeClr w14:val="tx1"/>
            </w14:solidFill>
          </w14:textFill>
        </w:rPr>
      </w:pPr>
      <w:bookmarkStart w:id="135" w:name="_Toc437500866"/>
      <w:bookmarkStart w:id="136" w:name="_Toc439832107"/>
      <w:bookmarkStart w:id="137" w:name="_Toc440536841"/>
      <w:bookmarkStart w:id="138" w:name="_Toc458171834"/>
      <w:r>
        <w:rPr>
          <w:rFonts w:eastAsia="楷体"/>
          <w:color w:val="000000" w:themeColor="text1"/>
          <w14:textFill>
            <w14:solidFill>
              <w14:schemeClr w14:val="tx1"/>
            </w14:solidFill>
          </w14:textFill>
        </w:rPr>
        <w:t>第三节 完善智慧城市基础设施</w:t>
      </w:r>
      <w:bookmarkEnd w:id="135"/>
      <w:bookmarkEnd w:id="136"/>
      <w:bookmarkEnd w:id="137"/>
      <w:bookmarkEnd w:id="138"/>
    </w:p>
    <w:p>
      <w:pPr>
        <w:pStyle w:val="24"/>
        <w:widowControl w:val="0"/>
        <w:spacing w:before="0" w:beforeAutospacing="0" w:after="0" w:afterAutospacing="0" w:line="600"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加强网络基础设施建设，构建云计算中心、大数据中心，实现网络、计算、存储资源集约建设，实现公共数据自动汇聚、整合共享；构建公共信息共享机制及共享平台，实现平台系统互联，信息共享</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面推进有线电视网络数字化和双向化升级改造，加快推进光纤到户、下一代互联网、第三代移动通信网络建设，积极开展第四代移动通信网络建设，加快物联网试点推广，提高网络业务承载和支撑能力。大力推进电信网、广电网、互联网“三网”融合，积极探索“三网”与物联网、无线宽带网、下一代互联网的“多网融合”。</w:t>
      </w:r>
    </w:p>
    <w:p>
      <w:pPr>
        <w:spacing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pStyle w:val="4"/>
        <w:spacing w:before="0" w:after="0" w:line="600" w:lineRule="exact"/>
        <w:jc w:val="center"/>
        <w:rPr>
          <w:rFonts w:eastAsia="楷体"/>
          <w:color w:val="000000" w:themeColor="text1"/>
          <w14:textFill>
            <w14:solidFill>
              <w14:schemeClr w14:val="tx1"/>
            </w14:solidFill>
          </w14:textFill>
        </w:rPr>
      </w:pPr>
      <w:bookmarkStart w:id="139" w:name="_Toc440536842"/>
      <w:bookmarkStart w:id="140" w:name="_Toc458171835"/>
      <w:bookmarkStart w:id="141" w:name="_Toc437500867"/>
      <w:bookmarkStart w:id="142" w:name="_Toc439832108"/>
      <w:r>
        <w:rPr>
          <w:rFonts w:eastAsia="楷体"/>
          <w:color w:val="000000" w:themeColor="text1"/>
          <w14:textFill>
            <w14:solidFill>
              <w14:schemeClr w14:val="tx1"/>
            </w14:solidFill>
          </w14:textFill>
        </w:rPr>
        <w:t>第四节 建设智慧城市应用体系</w:t>
      </w:r>
      <w:bookmarkEnd w:id="139"/>
      <w:bookmarkEnd w:id="140"/>
      <w:bookmarkEnd w:id="141"/>
      <w:bookmarkEnd w:id="142"/>
    </w:p>
    <w:p>
      <w:pPr>
        <w:tabs>
          <w:tab w:val="left" w:pos="720"/>
        </w:tabs>
        <w:spacing w:line="360" w:lineRule="atLeast"/>
        <w:ind w:firstLine="640" w:firstLineChars="200"/>
        <w:rPr>
          <w:rFonts w:ascii="仿宋_GB2312"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构建面向城市建设、政府管理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公共服务</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人居环境和产业发展的智慧业务应用体系。全面提高城市规划、建设、管理、运行等信息化水平，提升城市管理精细化与公共服务水平。重点建设城市公共信息平台、城市公共基础数据库</w:t>
      </w:r>
      <w:r>
        <w:rPr>
          <w:rFonts w:hint="eastAsia" w:ascii="Times New Roman" w:hAnsi="Times New Roman" w:eastAsia="仿宋_GB2312" w:cs="Times New Roman"/>
          <w:color w:val="000000" w:themeColor="text1"/>
          <w:sz w:val="32"/>
          <w:szCs w:val="32"/>
          <w14:textFill>
            <w14:solidFill>
              <w14:schemeClr w14:val="tx1"/>
            </w14:solidFill>
          </w14:textFill>
        </w:rPr>
        <w:t>，推进</w:t>
      </w:r>
      <w:r>
        <w:rPr>
          <w:rFonts w:ascii="Times New Roman" w:hAnsi="Times New Roman" w:eastAsia="仿宋_GB2312" w:cs="Times New Roman"/>
          <w:color w:val="000000" w:themeColor="text1"/>
          <w:sz w:val="32"/>
          <w:szCs w:val="32"/>
          <w14:textFill>
            <w14:solidFill>
              <w14:schemeClr w14:val="tx1"/>
            </w14:solidFill>
          </w14:textFill>
        </w:rPr>
        <w:t>智慧政务、智能交通、智慧应急、智慧城管</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智慧教育、平安柳州等领域应用。大力推进基础平台和数据库建设，重点做好宏观经济、自然资源与地理资源、三维地理空间以及人口、法人等基础数据库建设；加快创新资源、人才资源、文化资源、社会信用、城市管理等综合数据库建设；建立财税、卫生、房产、交通、教育、水利、档案等行业数据库。加强重点领域信息资源的整合，形成各类决策分析数据。</w:t>
      </w:r>
    </w:p>
    <w:p>
      <w:pPr>
        <w:pStyle w:val="2"/>
        <w:spacing w:before="0" w:after="0" w:line="600" w:lineRule="exact"/>
        <w:jc w:val="center"/>
        <w:rPr>
          <w:rFonts w:ascii="Times New Roman" w:hAnsi="Times New Roman" w:eastAsia="华文中宋" w:cs="Times New Roman"/>
          <w:lang w:val="zh-CN"/>
        </w:rPr>
      </w:pPr>
      <w:bookmarkStart w:id="143" w:name="_Toc458171836"/>
      <w:r>
        <w:rPr>
          <w:rFonts w:hint="eastAsia" w:ascii="Times New Roman" w:hAnsi="Times New Roman" w:eastAsia="华文中宋" w:cs="Times New Roman"/>
          <w:lang w:val="zh-CN" w:eastAsia="zh-CN"/>
        </w:rPr>
        <w:t>第</w:t>
      </w:r>
      <w:r>
        <w:rPr>
          <w:rFonts w:hint="eastAsia" w:ascii="Times New Roman" w:hAnsi="Times New Roman" w:eastAsia="华文中宋" w:cs="Times New Roman"/>
          <w:lang w:val="zh-CN"/>
        </w:rPr>
        <w:t>五</w:t>
      </w:r>
      <w:r>
        <w:rPr>
          <w:rFonts w:hint="eastAsia" w:ascii="Times New Roman" w:hAnsi="Times New Roman" w:eastAsia="华文中宋" w:cs="Times New Roman"/>
          <w:lang w:val="zh-CN" w:eastAsia="zh-CN"/>
        </w:rPr>
        <w:t>篇 实施</w:t>
      </w:r>
      <w:r>
        <w:rPr>
          <w:rFonts w:hint="eastAsia" w:ascii="Times New Roman" w:hAnsi="Times New Roman" w:eastAsia="华文中宋" w:cs="Times New Roman"/>
          <w:lang w:val="zh-CN"/>
        </w:rPr>
        <w:t>绿化</w:t>
      </w:r>
      <w:r>
        <w:rPr>
          <w:rFonts w:ascii="Times New Roman" w:hAnsi="Times New Roman" w:eastAsia="华文中宋" w:cs="Times New Roman"/>
          <w:lang w:val="zh-CN" w:eastAsia="zh-CN"/>
        </w:rPr>
        <w:t>发展</w:t>
      </w:r>
      <w:r>
        <w:rPr>
          <w:rFonts w:hint="eastAsia" w:ascii="Times New Roman" w:hAnsi="Times New Roman" w:eastAsia="华文中宋" w:cs="Times New Roman"/>
          <w:lang w:val="zh-CN" w:eastAsia="zh-CN"/>
        </w:rPr>
        <w:t xml:space="preserve">战略 </w:t>
      </w:r>
      <w:r>
        <w:rPr>
          <w:rFonts w:hint="eastAsia" w:ascii="Times New Roman" w:hAnsi="Times New Roman" w:eastAsia="华文中宋" w:cs="Times New Roman"/>
          <w:lang w:val="zh-CN"/>
        </w:rPr>
        <w:t>打造美丽</w:t>
      </w:r>
      <w:r>
        <w:rPr>
          <w:rFonts w:ascii="Times New Roman" w:hAnsi="Times New Roman" w:eastAsia="华文中宋" w:cs="Times New Roman"/>
          <w:lang w:val="zh-CN"/>
        </w:rPr>
        <w:t>柳东新形象</w:t>
      </w:r>
      <w:bookmarkEnd w:id="143"/>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加快形成绿色发展方式和生活方式，以发展生态经济为重点推进生态文明建设，建立健全生态文明制度体系，努力创建国家生态文明先行示范区，打造生产空间集约高效、生活空间舒适宜居、生态空间山清水秀的</w:t>
      </w:r>
      <w:r>
        <w:rPr>
          <w:rFonts w:hint="eastAsia" w:ascii="Times New Roman" w:hAnsi="Times New Roman" w:eastAsia="仿宋_GB2312"/>
          <w:sz w:val="32"/>
          <w:szCs w:val="32"/>
        </w:rPr>
        <w:t>宜居柳东</w:t>
      </w:r>
      <w:r>
        <w:rPr>
          <w:rFonts w:ascii="Times New Roman" w:hAnsi="Times New Roman" w:eastAsia="仿宋_GB2312"/>
          <w:sz w:val="32"/>
          <w:szCs w:val="32"/>
        </w:rPr>
        <w:t>。</w:t>
      </w:r>
    </w:p>
    <w:p>
      <w:pPr>
        <w:spacing w:line="600" w:lineRule="exact"/>
        <w:ind w:firstLine="560" w:firstLineChars="200"/>
      </w:pPr>
    </w:p>
    <w:p>
      <w:pPr>
        <w:pStyle w:val="2"/>
        <w:spacing w:before="0" w:after="0" w:line="600" w:lineRule="exact"/>
        <w:contextualSpacing/>
        <w:jc w:val="center"/>
        <w:rPr>
          <w:rFonts w:eastAsia="黑体"/>
          <w:sz w:val="32"/>
          <w:szCs w:val="32"/>
        </w:rPr>
      </w:pPr>
      <w:bookmarkStart w:id="144" w:name="_Toc458171837"/>
      <w:r>
        <w:rPr>
          <w:rFonts w:hint="eastAsia" w:eastAsia="黑体"/>
          <w:sz w:val="32"/>
          <w:szCs w:val="32"/>
        </w:rPr>
        <w:t>第十六章 打造生态城区和宜居城区</w:t>
      </w:r>
      <w:bookmarkEnd w:id="144"/>
    </w:p>
    <w:p>
      <w:pPr>
        <w:pStyle w:val="4"/>
        <w:spacing w:before="0" w:after="0" w:line="600" w:lineRule="exact"/>
        <w:jc w:val="center"/>
        <w:rPr>
          <w:rFonts w:ascii="Times New Roman" w:hAnsi="Times New Roman" w:eastAsia="楷体_GB2312"/>
        </w:rPr>
      </w:pPr>
      <w:bookmarkStart w:id="145" w:name="_Toc440536850"/>
      <w:bookmarkStart w:id="146" w:name="_Toc458171838"/>
      <w:r>
        <w:rPr>
          <w:rFonts w:ascii="Times New Roman" w:hAnsi="Times New Roman" w:eastAsia="楷体_GB2312"/>
        </w:rPr>
        <w:t>第一节  全面提升环境质量</w:t>
      </w:r>
      <w:bookmarkEnd w:id="145"/>
      <w:bookmarkEnd w:id="146"/>
    </w:p>
    <w:p>
      <w:pPr>
        <w:tabs>
          <w:tab w:val="left" w:pos="3416"/>
        </w:tabs>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以提高环境质量为核心，全面落实水、土壤、大气污染防治行动计划，持续改善生态环境。</w:t>
      </w:r>
    </w:p>
    <w:p>
      <w:pPr>
        <w:tabs>
          <w:tab w:val="left" w:pos="3416"/>
        </w:tabs>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严格保护饮用水水源。</w:t>
      </w:r>
      <w:r>
        <w:rPr>
          <w:rFonts w:ascii="Times New Roman" w:hAnsi="Times New Roman" w:eastAsia="仿宋_GB2312"/>
          <w:sz w:val="32"/>
          <w:szCs w:val="32"/>
        </w:rPr>
        <w:t>在</w:t>
      </w:r>
      <w:r>
        <w:rPr>
          <w:rFonts w:hint="eastAsia" w:ascii="Times New Roman" w:hAnsi="Times New Roman" w:eastAsia="仿宋_GB2312"/>
          <w:sz w:val="32"/>
          <w:szCs w:val="32"/>
        </w:rPr>
        <w:t>水源</w:t>
      </w:r>
      <w:r>
        <w:rPr>
          <w:rFonts w:ascii="Times New Roman" w:hAnsi="Times New Roman" w:eastAsia="仿宋_GB2312"/>
          <w:sz w:val="32"/>
          <w:szCs w:val="32"/>
        </w:rPr>
        <w:t>保护区内开展污染源综合整治、生态保护与修复、水源涵养行动。完善城郊污水收集管网系统，配套建设各</w:t>
      </w:r>
      <w:r>
        <w:rPr>
          <w:rFonts w:hint="eastAsia" w:ascii="Times New Roman" w:hAnsi="Times New Roman" w:eastAsia="仿宋_GB2312"/>
          <w:sz w:val="32"/>
          <w:szCs w:val="32"/>
        </w:rPr>
        <w:t>集聚区</w:t>
      </w:r>
      <w:r>
        <w:rPr>
          <w:rFonts w:ascii="Times New Roman" w:hAnsi="Times New Roman" w:eastAsia="仿宋_GB2312"/>
          <w:sz w:val="32"/>
          <w:szCs w:val="32"/>
        </w:rPr>
        <w:t>污水处理设施，实现</w:t>
      </w:r>
      <w:r>
        <w:rPr>
          <w:rFonts w:hint="eastAsia" w:ascii="Times New Roman" w:hAnsi="Times New Roman" w:eastAsia="仿宋_GB2312"/>
          <w:sz w:val="32"/>
          <w:szCs w:val="32"/>
        </w:rPr>
        <w:t>主要城镇</w:t>
      </w:r>
      <w:r>
        <w:rPr>
          <w:rFonts w:ascii="Times New Roman" w:hAnsi="Times New Roman" w:eastAsia="仿宋_GB2312"/>
          <w:sz w:val="32"/>
          <w:szCs w:val="32"/>
        </w:rPr>
        <w:t>污水垃圾处理设施全覆盖、稳定达标运行，</w:t>
      </w:r>
      <w:r>
        <w:rPr>
          <w:rFonts w:hint="eastAsia" w:ascii="Times New Roman" w:hAnsi="Times New Roman" w:eastAsia="仿宋_GB2312"/>
          <w:sz w:val="32"/>
          <w:szCs w:val="32"/>
        </w:rPr>
        <w:t>建成区</w:t>
      </w:r>
      <w:r>
        <w:rPr>
          <w:rFonts w:ascii="Times New Roman" w:hAnsi="Times New Roman" w:eastAsia="仿宋_GB2312"/>
          <w:sz w:val="32"/>
          <w:szCs w:val="32"/>
        </w:rPr>
        <w:t>基本实现污水垃圾全收集处理，</w:t>
      </w:r>
      <w:r>
        <w:rPr>
          <w:rFonts w:hint="eastAsia" w:ascii="Times New Roman" w:hAnsi="Times New Roman" w:eastAsia="仿宋_GB2312"/>
          <w:sz w:val="32"/>
          <w:szCs w:val="32"/>
        </w:rPr>
        <w:t>城镇</w:t>
      </w:r>
      <w:r>
        <w:rPr>
          <w:rFonts w:ascii="Times New Roman" w:hAnsi="Times New Roman" w:eastAsia="仿宋_GB2312"/>
          <w:sz w:val="32"/>
          <w:szCs w:val="32"/>
        </w:rPr>
        <w:t>生活污水集中处理率达到85％以上。</w:t>
      </w:r>
    </w:p>
    <w:p>
      <w:pPr>
        <w:tabs>
          <w:tab w:val="left" w:pos="3416"/>
        </w:tabs>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加强土壤污染防治。</w:t>
      </w:r>
      <w:r>
        <w:rPr>
          <w:rFonts w:ascii="Times New Roman" w:hAnsi="Times New Roman" w:eastAsia="仿宋_GB2312"/>
          <w:sz w:val="32"/>
          <w:szCs w:val="32"/>
        </w:rPr>
        <w:t>强化工业污染场地治理，推进污染土壤安全利用和治理修复。深入开展农村环境综合整治，加强农村人居环境集中连片整治，完善污水垃圾处理设施，开展污水垃圾专项治理和土壤环境治理，严格控制重污染工业向农村转移，严防城市和工业污染向农村扩散。</w:t>
      </w:r>
    </w:p>
    <w:p>
      <w:pPr>
        <w:tabs>
          <w:tab w:val="left" w:pos="3416"/>
        </w:tabs>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加强</w:t>
      </w:r>
      <w:r>
        <w:rPr>
          <w:rFonts w:ascii="Times New Roman" w:hAnsi="Times New Roman" w:eastAsia="仿宋_GB2312"/>
          <w:b/>
          <w:sz w:val="32"/>
          <w:szCs w:val="32"/>
        </w:rPr>
        <w:t>大气污染防治。</w:t>
      </w:r>
      <w:r>
        <w:rPr>
          <w:rFonts w:ascii="Times New Roman" w:hAnsi="Times New Roman" w:eastAsia="仿宋_GB2312"/>
          <w:sz w:val="32"/>
          <w:szCs w:val="32"/>
        </w:rPr>
        <w:t>严格控制主要污染物排放，推行污染排放指标有偿转让试点，强化机动车尾气治理，实施黄标车淘汰常态机制，推行机动车绿色标志；全面治理建筑工地粉尘，大幅降低颗粒物（PM10）和细颗粒物（PM2.5）浓度。</w:t>
      </w:r>
    </w:p>
    <w:p>
      <w:pPr>
        <w:pStyle w:val="4"/>
        <w:spacing w:before="0" w:after="0" w:line="600" w:lineRule="exact"/>
        <w:jc w:val="center"/>
        <w:rPr>
          <w:rFonts w:eastAsia="楷体"/>
        </w:rPr>
      </w:pPr>
      <w:bookmarkStart w:id="147" w:name="_Toc458171839"/>
      <w:r>
        <w:rPr>
          <w:rFonts w:hint="eastAsia" w:eastAsia="楷体"/>
        </w:rPr>
        <w:t>第二节 加强生态建设和自然保护</w:t>
      </w:r>
      <w:bookmarkEnd w:id="147"/>
    </w:p>
    <w:p>
      <w:pPr>
        <w:pStyle w:val="55"/>
        <w:ind w:firstLine="643"/>
      </w:pPr>
      <w:r>
        <w:rPr>
          <w:rFonts w:hint="eastAsia"/>
          <w:b/>
        </w:rPr>
        <w:t>加强森林和水源保护。</w:t>
      </w:r>
      <w:r>
        <w:rPr>
          <w:rFonts w:hint="eastAsia"/>
        </w:rPr>
        <w:t>以外围山体林地生态保护作为重点，对卡斯特地貌植被进行防护，美化环境；对新区水系空间结构进行有效梳理，对新区人工水系和自然水系进行保护。</w:t>
      </w:r>
    </w:p>
    <w:p>
      <w:pPr>
        <w:pStyle w:val="55"/>
        <w:ind w:firstLine="643"/>
      </w:pPr>
      <w:r>
        <w:rPr>
          <w:rFonts w:hint="eastAsia"/>
          <w:b/>
        </w:rPr>
        <w:t>完善城市生态绿地系统。</w:t>
      </w:r>
      <w:r>
        <w:rPr>
          <w:rFonts w:hint="eastAsia"/>
        </w:rPr>
        <w:t>以园博园为核心，结合龙湖及商务中心绿地，形成新区生态绿心。以柳江、东外环、曙光大道建设柳东新区内层绿色环道。以北环高速、桂柳高速为通道，形成中层绿色环道。以外围山体林地、田园作为生态通道，建设城乡一体的绿色廊道。</w:t>
      </w:r>
    </w:p>
    <w:p>
      <w:pPr>
        <w:tabs>
          <w:tab w:val="left" w:pos="720"/>
        </w:tabs>
        <w:spacing w:line="360" w:lineRule="atLeast"/>
        <w:ind w:firstLine="560" w:firstLineChars="200"/>
        <w:rPr>
          <w:rFonts w:asciiTheme="minorEastAsia" w:hAnsiTheme="minorEastAsia"/>
          <w:szCs w:val="28"/>
        </w:rPr>
      </w:pPr>
      <w:r>
        <w:rPr>
          <w:rFonts w:asciiTheme="minorEastAsia" w:hAnsiTheme="minorEastAsia"/>
          <w:bCs/>
          <w:szCs w:val="28"/>
        </w:rPr>
        <mc:AlternateContent>
          <mc:Choice Requires="wps">
            <w:drawing>
              <wp:inline distT="0" distB="0" distL="0" distR="0">
                <wp:extent cx="4899660" cy="3762375"/>
                <wp:effectExtent l="0" t="0" r="15240" b="28575"/>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4899660" cy="3762375"/>
                        </a:xfrm>
                        <a:prstGeom prst="rect">
                          <a:avLst/>
                        </a:prstGeom>
                        <a:solidFill>
                          <a:schemeClr val="bg1">
                            <a:lumMod val="95000"/>
                            <a:lumOff val="0"/>
                          </a:schemeClr>
                        </a:solidFill>
                        <a:ln w="9525">
                          <a:solidFill>
                            <a:srgbClr val="000000"/>
                          </a:solidFill>
                          <a:miter lim="800000"/>
                        </a:ln>
                      </wps:spPr>
                      <wps:txbx>
                        <w:txbxContent>
                          <w:p>
                            <w:pPr>
                              <w:jc w:val="center"/>
                            </w:pPr>
                            <w:r>
                              <w:rPr>
                                <w:rFonts w:hint="eastAsia"/>
                              </w:rPr>
                              <w:drawing>
                                <wp:inline distT="0" distB="0" distL="0" distR="0">
                                  <wp:extent cx="2276475" cy="3200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8100" cy="3203276"/>
                                          </a:xfrm>
                                          <a:prstGeom prst="rect">
                                            <a:avLst/>
                                          </a:prstGeom>
                                        </pic:spPr>
                                      </pic:pic>
                                    </a:graphicData>
                                  </a:graphic>
                                </wp:inline>
                              </w:drawing>
                            </w:r>
                          </w:p>
                          <w:p>
                            <w:pPr>
                              <w:jc w:val="center"/>
                            </w:pPr>
                            <w:r>
                              <w:rPr>
                                <w:rFonts w:hint="eastAsia"/>
                              </w:rPr>
                              <w:t>柳东新区“十三五”生态格局示意图</w:t>
                            </w:r>
                          </w:p>
                        </w:txbxContent>
                      </wps:txbx>
                      <wps:bodyPr rot="0" vert="horz" wrap="square" lIns="91440" tIns="45720" rIns="91440" bIns="45720" anchor="t" anchorCtr="0" upright="1">
                        <a:noAutofit/>
                      </wps:bodyPr>
                    </wps:wsp>
                  </a:graphicData>
                </a:graphic>
              </wp:inline>
            </w:drawing>
          </mc:Choice>
          <mc:Fallback>
            <w:pict>
              <v:shape id="Text Box 2" o:spid="_x0000_s1026" o:spt="202" type="#_x0000_t202" style="height:296.25pt;width:385.8pt;" fillcolor="#F2F2F2 [3212]" filled="t" stroked="t" coordsize="21600,21600" o:gfxdata="UEsDBAoAAAAAAIdO4kAAAAAAAAAAAAAAAAAEAAAAZHJzL1BLAwQUAAAACACHTuJAN6M7iNUAAAAF&#10;AQAADwAAAGRycy9kb3ducmV2LnhtbE2PQU/DMAyF70j8h8hIXBBLW7F2K013AE0cYRu7Z41pKxon&#10;atKt/HsMF7hYenr2e5+rzWwHccYx9I4UpIsEBFLjTE+tgvfD9n4FIkRNRg+OUMEXBtjU11eVLo27&#10;0A7P+9gKDqFQagVdjL6UMjQdWh0WziOx9+FGqyPLsZVm1BcOt4PMkiSXVvfEDZ32+NRh87mfLGMc&#10;jj6TyUMsXu7enl9389FP+Vap25s0eQQRcY5/y/CDzzdQM9PJTWSCGBTwI/F3slcUaQ7ipGC5zpYg&#10;60r+p6+/AVBLAwQUAAAACACHTuJA2sVRnU0CAAC8BAAADgAAAGRycy9lMm9Eb2MueG1srVTbbtsw&#10;DH0fsH8Q9L46cZM0MeoUXYMMA7oL0O4DFFmOhUmiJimxu68fJblZ1mFAHwYDgnjRIXlI+vpm0Ioc&#10;hfMSTE2nFxNKhOHQSLOv6bfH7bslJT4w0zAFRtT0SXh6s3775rq3lSihA9UIRxDE+Kq3Ne1CsFVR&#10;eN4JzfwFWGHQ2ILTLKDo9kXjWI/oWhXlZLIoenCNdcCF96jdZCMdEd1rAKFtJRcb4ActTMioTigW&#10;sCTfSevpOmXbtoKHL23rRSCqplhpSCcGwfsunsX6mlV7x2wn+ZgCe00KL2rSTBoMeoLasMDIwcm/&#10;oLTkDjy04YKDLnIhiRGsYjp5wc1Dx6xItSDV3p5I9/8Pln8+fnVENjVdUGKYxoY/iiGQ9zCQMrLT&#10;W1+h04NFtzCgGmcmVertPfDvnhi465jZi1vnoO8EazC7aXxZnD3NOD6C7PpP0GAYdgiQgIbW6Ugd&#10;kkEQHTvzdOpMTIWjcrZcrRYLNHG0XV4tysureYrBqufn1vnwQYAm8VJTh61P8Ox470NMh1XPLjGa&#10;ByWbrVQqCW6/u1OOHBmOybaMX3qrDhqTzerVfDIZ5wXVOFVZnVSI7TNEivMHtjKkr+lqXs4zbf+M&#10;i/BjhAh37qZlwJVTUtd0ee6kzMhyJDZTHIbdMHZtB80T8u0gDz2uPF46cD8p6XHga+p/HJgTlKiP&#10;Bnu2ms5mcUOSMJtflSi4c8vu3MIMR6iaBkry9S7krTpYJ/cdRspTYuAW+9zK1IE4EDmrMW8c6kTY&#10;uIBxa87l5PX7p7P+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ejO4jVAAAABQEAAA8AAAAAAAAA&#10;AQAgAAAAIgAAAGRycy9kb3ducmV2LnhtbFBLAQIUABQAAAAIAIdO4kDaxVGdTQIAALwEAAAOAAAA&#10;AAAAAAEAIAAAACQBAABkcnMvZTJvRG9jLnhtbFBLBQYAAAAABgAGAFkBAADjBQAAAAA=&#10;">
                <v:fill on="t" focussize="0,0"/>
                <v:stroke color="#000000" miterlimit="8" joinstyle="miter"/>
                <v:imagedata o:title=""/>
                <o:lock v:ext="edit" aspectratio="f"/>
                <v:textbox>
                  <w:txbxContent>
                    <w:p>
                      <w:pPr>
                        <w:jc w:val="center"/>
                      </w:pPr>
                      <w:r>
                        <w:rPr>
                          <w:rFonts w:hint="eastAsia"/>
                        </w:rPr>
                        <w:drawing>
                          <wp:inline distT="0" distB="0" distL="0" distR="0">
                            <wp:extent cx="2276475" cy="3200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8100" cy="3203276"/>
                                    </a:xfrm>
                                    <a:prstGeom prst="rect">
                                      <a:avLst/>
                                    </a:prstGeom>
                                  </pic:spPr>
                                </pic:pic>
                              </a:graphicData>
                            </a:graphic>
                          </wp:inline>
                        </w:drawing>
                      </w:r>
                    </w:p>
                    <w:p>
                      <w:pPr>
                        <w:jc w:val="center"/>
                      </w:pPr>
                      <w:r>
                        <w:rPr>
                          <w:rFonts w:hint="eastAsia"/>
                        </w:rPr>
                        <w:t>柳东新区“十三五”生态格局示意图</w:t>
                      </w:r>
                    </w:p>
                  </w:txbxContent>
                </v:textbox>
                <w10:wrap type="none"/>
                <w10:anchorlock/>
              </v:shape>
            </w:pict>
          </mc:Fallback>
        </mc:AlternateContent>
      </w:r>
      <w:bookmarkStart w:id="148" w:name="_Toc440536852"/>
    </w:p>
    <w:p>
      <w:pPr>
        <w:pStyle w:val="4"/>
        <w:spacing w:before="0" w:after="0" w:line="600" w:lineRule="exact"/>
        <w:jc w:val="center"/>
        <w:rPr>
          <w:rFonts w:ascii="Times New Roman" w:hAnsi="Times New Roman" w:eastAsia="楷体_GB2312"/>
        </w:rPr>
      </w:pPr>
      <w:bookmarkStart w:id="149" w:name="_Toc458171840"/>
      <w:r>
        <w:rPr>
          <w:rFonts w:ascii="Times New Roman" w:hAnsi="Times New Roman" w:eastAsia="楷体_GB2312"/>
        </w:rPr>
        <w:t>第</w:t>
      </w:r>
      <w:r>
        <w:rPr>
          <w:rFonts w:hint="eastAsia" w:ascii="Times New Roman" w:hAnsi="Times New Roman" w:eastAsia="楷体_GB2312"/>
        </w:rPr>
        <w:t>三</w:t>
      </w:r>
      <w:r>
        <w:rPr>
          <w:rFonts w:ascii="Times New Roman" w:hAnsi="Times New Roman" w:eastAsia="楷体_GB2312"/>
        </w:rPr>
        <w:t>节  全面建设低碳社会</w:t>
      </w:r>
      <w:bookmarkEnd w:id="148"/>
      <w:bookmarkEnd w:id="149"/>
    </w:p>
    <w:p>
      <w:pPr>
        <w:spacing w:line="600" w:lineRule="exact"/>
        <w:ind w:firstLine="640" w:firstLineChars="200"/>
        <w:rPr>
          <w:rFonts w:eastAsia="楷体"/>
        </w:rPr>
      </w:pPr>
      <w:r>
        <w:rPr>
          <w:rFonts w:ascii="Times New Roman" w:hAnsi="Times New Roman" w:eastAsia="仿宋_GB2312"/>
          <w:sz w:val="32"/>
          <w:szCs w:val="32"/>
        </w:rPr>
        <w:t>实施能量系统优化、余热余压利用等节能技术改造工程和工业能效提升计划，鼓励具备条件的工业园区开展热电联产，提高工业园区能源使用效率，鼓励用热企业到热电联产工业园区落户。调整优化能源消费结构，明显提高天然气等新能源、可再生能源在能源消费结构中的比重，推进形成低碳的产业结构和能源结构。建设完善绿色循环低碳交通运输体系，支持乘用公共交通，倡导绿色出行。增强全社会绿色消费意识，推广绿色服装、引导绿色消费、鼓励绿色居住、发展绿色休闲，把绿色消费培养成新的消费热点。实施低碳城市</w:t>
      </w:r>
      <w:r>
        <w:rPr>
          <w:rFonts w:hint="eastAsia" w:ascii="Times New Roman" w:hAnsi="Times New Roman" w:eastAsia="仿宋_GB2312"/>
          <w:sz w:val="32"/>
          <w:szCs w:val="32"/>
        </w:rPr>
        <w:t>行动</w:t>
      </w:r>
      <w:r>
        <w:rPr>
          <w:rFonts w:ascii="Times New Roman" w:hAnsi="Times New Roman" w:eastAsia="仿宋_GB2312"/>
          <w:sz w:val="32"/>
          <w:szCs w:val="32"/>
        </w:rPr>
        <w:t>，组织开展办公建筑节能改造和节约型公共机构示范单位创建活动，建设低碳示范基地。</w:t>
      </w:r>
    </w:p>
    <w:p>
      <w:pPr>
        <w:pStyle w:val="4"/>
        <w:spacing w:before="0" w:after="0" w:line="600" w:lineRule="exact"/>
        <w:jc w:val="center"/>
        <w:rPr>
          <w:rFonts w:eastAsia="楷体"/>
        </w:rPr>
      </w:pPr>
      <w:bookmarkStart w:id="150" w:name="_Toc458171841"/>
      <w:r>
        <w:rPr>
          <w:rFonts w:hint="eastAsia" w:eastAsia="楷体"/>
        </w:rPr>
        <w:t>第四节 强化资源节约和管理</w:t>
      </w:r>
      <w:bookmarkEnd w:id="150"/>
    </w:p>
    <w:p>
      <w:pPr>
        <w:pStyle w:val="55"/>
        <w:ind w:firstLine="643"/>
      </w:pPr>
      <w:r>
        <w:rPr>
          <w:rFonts w:hint="eastAsia"/>
          <w:b/>
        </w:rPr>
        <w:t>大力推进节能降耗。</w:t>
      </w:r>
      <w:r>
        <w:rPr>
          <w:rFonts w:hint="eastAsia"/>
        </w:rPr>
        <w:t>以提高能源利用效率为核心，合理控制能源消费总量，淘汰落后产能，突出抓好工业、建筑、交通、公共机构等领域节能，加强重点用能单位节能管理。健全节能市场化机制，加快推行合同能源管理，大力推动节能工程建设。发展绿色建筑，新区新建公共建筑实施节能65%的设计标准。加快既有公共建筑节能改造，积极推广新型墙体材料，加大太阳能等可再生能源的应用推广力度。到2020年，单位生产总值能耗降低15%。</w:t>
      </w:r>
    </w:p>
    <w:p>
      <w:pPr>
        <w:pStyle w:val="55"/>
        <w:ind w:firstLine="643"/>
      </w:pPr>
      <w:r>
        <w:rPr>
          <w:rFonts w:hint="eastAsia"/>
          <w:b/>
        </w:rPr>
        <w:t>加强节水节地节材等资源节约和管理。</w:t>
      </w:r>
      <w:r>
        <w:rPr>
          <w:rFonts w:hint="eastAsia"/>
        </w:rPr>
        <w:t>实行用水总量控制与定额管理，严格水资源保护。开展工业节水改造，提高水资源重复利用率。推进农业高效节水。加大再生水利用设施建设力度，城市道路绿化等重点行业强制推广使用再生水。提高建设用地节约集约利用水平，推广标准厂房建设，引导新农村建设节约集约用地，加大闲置土地处置力度。加强原材料消耗管理，推广节约材料的技术工艺，鼓励采用小型、轻型和再生材料。倡导绿色消费，减少一次性用品的使用，限制过度包装。</w:t>
      </w:r>
    </w:p>
    <w:p>
      <w:pPr>
        <w:pStyle w:val="55"/>
      </w:pPr>
    </w:p>
    <w:p>
      <w:pPr>
        <w:pStyle w:val="2"/>
        <w:spacing w:before="0" w:after="0" w:line="600" w:lineRule="exact"/>
        <w:contextualSpacing/>
        <w:jc w:val="center"/>
        <w:rPr>
          <w:rFonts w:asciiTheme="minorEastAsia" w:hAnsiTheme="minorEastAsia"/>
        </w:rPr>
      </w:pPr>
      <w:bookmarkStart w:id="151" w:name="_Toc458171842"/>
      <w:r>
        <w:rPr>
          <w:rFonts w:hint="eastAsia" w:eastAsia="黑体"/>
          <w:sz w:val="32"/>
          <w:szCs w:val="32"/>
        </w:rPr>
        <w:t>第十七</w:t>
      </w:r>
      <w:r>
        <w:rPr>
          <w:rFonts w:eastAsia="黑体"/>
          <w:sz w:val="32"/>
          <w:szCs w:val="32"/>
        </w:rPr>
        <w:t>章</w:t>
      </w:r>
      <w:r>
        <w:rPr>
          <w:rFonts w:hint="eastAsia" w:eastAsia="黑体"/>
          <w:sz w:val="32"/>
          <w:szCs w:val="32"/>
        </w:rPr>
        <w:t xml:space="preserve"> 大力发展循环经济</w:t>
      </w:r>
      <w:bookmarkEnd w:id="151"/>
    </w:p>
    <w:p>
      <w:pPr>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按照减量化、再利用、资源化原则，以资源的高效利用和循环利用为核心，以建设循环经济产业园区为重点，积极发展循环经济，努力创建循环经济示范城市，实现城市绿色可持续发展。</w:t>
      </w:r>
    </w:p>
    <w:p>
      <w:pPr>
        <w:pStyle w:val="4"/>
        <w:spacing w:before="0" w:after="0" w:line="600" w:lineRule="exact"/>
        <w:jc w:val="center"/>
        <w:rPr>
          <w:rFonts w:ascii="Times New Roman" w:hAnsi="Times New Roman" w:eastAsia="楷体_GB2312"/>
        </w:rPr>
      </w:pPr>
      <w:bookmarkStart w:id="152" w:name="_Toc440536854"/>
      <w:bookmarkStart w:id="153" w:name="_Toc458171843"/>
      <w:r>
        <w:rPr>
          <w:rFonts w:ascii="Times New Roman" w:hAnsi="Times New Roman" w:eastAsia="楷体_GB2312"/>
        </w:rPr>
        <w:t>第一节</w:t>
      </w:r>
      <w:r>
        <w:rPr>
          <w:rFonts w:hint="eastAsia" w:ascii="Times New Roman" w:hAnsi="Times New Roman" w:eastAsia="楷体_GB2312"/>
        </w:rPr>
        <w:t xml:space="preserve"> </w:t>
      </w:r>
      <w:r>
        <w:rPr>
          <w:rFonts w:ascii="Times New Roman" w:hAnsi="Times New Roman" w:eastAsia="楷体_GB2312"/>
        </w:rPr>
        <w:t>构建产业循环发展体系</w:t>
      </w:r>
      <w:bookmarkEnd w:id="152"/>
      <w:bookmarkEnd w:id="153"/>
    </w:p>
    <w:p>
      <w:pPr>
        <w:pStyle w:val="55"/>
      </w:pPr>
      <w:r>
        <w:rPr>
          <w:rFonts w:hint="eastAsia"/>
        </w:rPr>
        <w:t>依托现有主导优势产业，以发展循环型工业为重点，加快构建循环型工业、农业、服务业体系，加快推进企业间、行业间、产业间的循环化改造，促进工业、农业、服务业等产业间共生耦合，初步形成循环型生产方式，率先构建起覆盖全社会的资源循环利用体系。在工业生产领域全方位推进“源头减量、过程控制、末端再生”循环型生产方式，加快推进汽车、零部件等行业循环经济发展，加快构建循环型工业体系。实施生态农业畜牧业循环提升工程，促进农业绿色安全、提质增效和可持续发展。推进种植业、畜牧水产业、林业循环经济发展，打造种植养殖—农林产品加工—副产品综合利用—农产品物流循环型产业链条，加快构建循环型农业体系。推进交通运输、商贸物流、旅游休闲、通信服务等领域循环经济发展，加快构建循环型服务业体系。</w:t>
      </w:r>
    </w:p>
    <w:p>
      <w:pPr>
        <w:pStyle w:val="4"/>
        <w:spacing w:before="0" w:after="0" w:line="600" w:lineRule="exact"/>
        <w:jc w:val="center"/>
        <w:rPr>
          <w:rFonts w:ascii="Times New Roman" w:hAnsi="Times New Roman" w:eastAsia="楷体_GB2312"/>
        </w:rPr>
      </w:pPr>
      <w:bookmarkStart w:id="154" w:name="_Toc440536855"/>
      <w:bookmarkStart w:id="155" w:name="_Toc458171844"/>
      <w:r>
        <w:rPr>
          <w:rFonts w:ascii="Times New Roman" w:hAnsi="Times New Roman" w:eastAsia="楷体_GB2312"/>
        </w:rPr>
        <w:t>第二节</w:t>
      </w:r>
      <w:r>
        <w:rPr>
          <w:rFonts w:hint="eastAsia" w:ascii="Times New Roman" w:hAnsi="Times New Roman" w:eastAsia="楷体_GB2312"/>
        </w:rPr>
        <w:t xml:space="preserve"> </w:t>
      </w:r>
      <w:r>
        <w:rPr>
          <w:rFonts w:ascii="Times New Roman" w:hAnsi="Times New Roman" w:eastAsia="楷体_GB2312"/>
        </w:rPr>
        <w:t>加快构建循环化产业链</w:t>
      </w:r>
      <w:bookmarkEnd w:id="154"/>
      <w:bookmarkEnd w:id="155"/>
    </w:p>
    <w:p>
      <w:pPr>
        <w:pStyle w:val="55"/>
        <w:ind w:firstLine="643"/>
      </w:pPr>
      <w:r>
        <w:rPr>
          <w:rFonts w:hint="eastAsia"/>
          <w:b/>
        </w:rPr>
        <w:t>加快完善工业循环经济产业链。</w:t>
      </w:r>
      <w:r>
        <w:rPr>
          <w:rFonts w:hint="eastAsia"/>
        </w:rPr>
        <w:t>深入推进汽车、汽车零部件、装备制造等重点行业循环经济工作，大力发展汽车、工程机械等再制造产业，打造汽车拆解与再制造特色产业园区。</w:t>
      </w:r>
    </w:p>
    <w:p>
      <w:pPr>
        <w:pStyle w:val="55"/>
        <w:ind w:firstLine="643"/>
      </w:pPr>
      <w:r>
        <w:rPr>
          <w:rFonts w:hint="eastAsia"/>
          <w:b/>
        </w:rPr>
        <w:t>完善推广农业循环经济产业链。</w:t>
      </w:r>
      <w:r>
        <w:rPr>
          <w:rFonts w:hint="eastAsia"/>
        </w:rPr>
        <w:t>重点推广猪</w:t>
      </w:r>
      <w:r>
        <w:rPr>
          <w:rFonts w:hint="eastAsia" w:ascii="Times New Roman"/>
        </w:rPr>
        <w:t>—</w:t>
      </w:r>
      <w:r>
        <w:rPr>
          <w:rFonts w:hint="eastAsia"/>
        </w:rPr>
        <w:t>沼</w:t>
      </w:r>
      <w:r>
        <w:rPr>
          <w:rFonts w:hint="eastAsia" w:ascii="Times New Roman"/>
        </w:rPr>
        <w:t>—</w:t>
      </w:r>
      <w:r>
        <w:rPr>
          <w:rFonts w:hint="eastAsia"/>
        </w:rPr>
        <w:t>桑</w:t>
      </w:r>
      <w:r>
        <w:rPr>
          <w:rFonts w:hint="eastAsia" w:ascii="Times New Roman"/>
        </w:rPr>
        <w:t>—</w:t>
      </w:r>
      <w:r>
        <w:rPr>
          <w:rFonts w:hint="eastAsia"/>
        </w:rPr>
        <w:t>菜、蚕</w:t>
      </w:r>
      <w:r>
        <w:rPr>
          <w:rFonts w:hint="eastAsia" w:ascii="Times New Roman"/>
        </w:rPr>
        <w:t>—</w:t>
      </w:r>
      <w:r>
        <w:rPr>
          <w:rFonts w:hint="eastAsia"/>
        </w:rPr>
        <w:t>桑</w:t>
      </w:r>
      <w:r>
        <w:rPr>
          <w:rFonts w:hint="eastAsia" w:ascii="Times New Roman"/>
        </w:rPr>
        <w:t>—</w:t>
      </w:r>
      <w:r>
        <w:rPr>
          <w:rFonts w:hint="eastAsia"/>
        </w:rPr>
        <w:t>菜、蚕</w:t>
      </w:r>
      <w:r>
        <w:rPr>
          <w:rFonts w:hint="eastAsia" w:ascii="Times New Roman"/>
        </w:rPr>
        <w:t>—</w:t>
      </w:r>
      <w:r>
        <w:rPr>
          <w:rFonts w:hint="eastAsia"/>
        </w:rPr>
        <w:t>桑</w:t>
      </w:r>
      <w:r>
        <w:rPr>
          <w:rFonts w:hint="eastAsia" w:ascii="Times New Roman"/>
        </w:rPr>
        <w:t>—</w:t>
      </w:r>
      <w:r>
        <w:rPr>
          <w:rFonts w:hint="eastAsia"/>
        </w:rPr>
        <w:t>绿肥、甘蔗</w:t>
      </w:r>
      <w:r>
        <w:rPr>
          <w:rFonts w:hint="eastAsia" w:ascii="Times New Roman"/>
        </w:rPr>
        <w:t>—</w:t>
      </w:r>
      <w:r>
        <w:rPr>
          <w:rFonts w:hint="eastAsia"/>
        </w:rPr>
        <w:t>食用菌</w:t>
      </w:r>
      <w:r>
        <w:rPr>
          <w:rFonts w:hint="eastAsia" w:ascii="Times New Roman"/>
        </w:rPr>
        <w:t>—</w:t>
      </w:r>
      <w:r>
        <w:rPr>
          <w:rFonts w:hint="eastAsia"/>
        </w:rPr>
        <w:t>菜(果)等高效循环利用生态模式。创新和利用资源</w:t>
      </w:r>
      <w:r>
        <w:rPr>
          <w:rFonts w:hint="eastAsia" w:ascii="Times New Roman"/>
        </w:rPr>
        <w:t>—</w:t>
      </w:r>
      <w:r>
        <w:rPr>
          <w:rFonts w:hint="eastAsia"/>
        </w:rPr>
        <w:t>废弃物</w:t>
      </w:r>
      <w:r>
        <w:rPr>
          <w:rFonts w:hint="eastAsia" w:ascii="Times New Roman"/>
        </w:rPr>
        <w:t>—</w:t>
      </w:r>
      <w:r>
        <w:rPr>
          <w:rFonts w:hint="eastAsia"/>
        </w:rPr>
        <w:t>再生资源的生态循环农业发展模式，推进秸秆等农作物废弃物循环综合利用。通过构建循环型农业生产方式，促进柳东农业向环境友好型、低碳经济型、发展持续型现代农业发展。</w:t>
      </w:r>
    </w:p>
    <w:p>
      <w:pPr>
        <w:pStyle w:val="55"/>
        <w:ind w:firstLine="643"/>
      </w:pPr>
      <w:bookmarkStart w:id="156" w:name="_Toc440394412"/>
      <w:r>
        <w:rPr>
          <w:b/>
        </w:rPr>
        <w:t>开展绿色流通体系建设。</w:t>
      </w:r>
      <w:r>
        <w:t>积极推进物流包装减量化。引导物流企业进行绿色包装改造，大力推广可多次利用的周转包装，实现包装物的梯级利用</w:t>
      </w:r>
      <w:r>
        <w:rPr>
          <w:rFonts w:hint="eastAsia"/>
          <w:b/>
          <w:bCs/>
        </w:rPr>
        <w:t>。</w:t>
      </w:r>
      <w:r>
        <w:t>加强废旧商品的循环流通和废物的处理、处置、运输和管理。加快物流体系建设，形成配送加工、现代仓储、多式联运、商品批发和市场信息的社会化、专业化的物流服务网络。</w:t>
      </w:r>
      <w:bookmarkEnd w:id="156"/>
    </w:p>
    <w:p>
      <w:pPr>
        <w:pStyle w:val="4"/>
        <w:spacing w:before="0" w:after="0" w:line="600" w:lineRule="exact"/>
        <w:jc w:val="center"/>
        <w:rPr>
          <w:rFonts w:ascii="Times New Roman" w:hAnsi="Times New Roman" w:eastAsia="楷体_GB2312"/>
        </w:rPr>
      </w:pPr>
      <w:bookmarkStart w:id="157" w:name="_Toc434831367"/>
      <w:bookmarkStart w:id="158" w:name="_Toc440536856"/>
      <w:bookmarkStart w:id="159" w:name="_Toc458171845"/>
      <w:r>
        <w:rPr>
          <w:rFonts w:ascii="Times New Roman" w:hAnsi="Times New Roman" w:eastAsia="楷体_GB2312"/>
        </w:rPr>
        <w:t>第三节  推进</w:t>
      </w:r>
      <w:r>
        <w:rPr>
          <w:rFonts w:hint="eastAsia" w:ascii="Times New Roman" w:hAnsi="Times New Roman" w:eastAsia="楷体_GB2312"/>
        </w:rPr>
        <w:t>“柳东</w:t>
      </w:r>
      <w:r>
        <w:rPr>
          <w:rFonts w:ascii="Times New Roman" w:hAnsi="Times New Roman" w:eastAsia="楷体_GB2312"/>
        </w:rPr>
        <w:t>制造</w:t>
      </w:r>
      <w:r>
        <w:rPr>
          <w:rFonts w:hint="eastAsia" w:ascii="Times New Roman" w:hAnsi="Times New Roman" w:eastAsia="楷体_GB2312"/>
        </w:rPr>
        <w:t>”</w:t>
      </w:r>
      <w:r>
        <w:rPr>
          <w:rFonts w:ascii="Times New Roman" w:hAnsi="Times New Roman" w:eastAsia="楷体_GB2312"/>
        </w:rPr>
        <w:t>绿色转型</w:t>
      </w:r>
      <w:bookmarkEnd w:id="157"/>
      <w:bookmarkEnd w:id="158"/>
      <w:bookmarkEnd w:id="159"/>
    </w:p>
    <w:p>
      <w:pPr>
        <w:pStyle w:val="55"/>
      </w:pPr>
      <w:r>
        <w:rPr>
          <w:rFonts w:hint="eastAsia"/>
        </w:rPr>
        <w:t>围绕柳东汽车及零部件制造主导产业，加大企业技术改造力度，促进绿色制造科技创新，努力提高“柳东制造”绿色化程度。通过在全产业链实现绿色技术创新，从源头减少环境污染，力求产品在全生命周期中最大限度地降低资源消耗，减少污染物的产生和排放。建设绿色低碳制造技术中心项目，在工业园区、企业推行绿色制造提升工程，重点建设柳州汽车城绿色制造示范园区。通过绿色制造资金、清洁生产专项资金、绿色债券担保基金等金融支持，助力“柳东制造”绿色转型。</w:t>
      </w:r>
    </w:p>
    <w:p>
      <w:pPr>
        <w:pStyle w:val="55"/>
        <w:ind w:firstLine="643"/>
        <w:rPr>
          <w:b/>
          <w:bCs/>
        </w:rPr>
      </w:pPr>
    </w:p>
    <w:p>
      <w:pPr>
        <w:pStyle w:val="4"/>
        <w:spacing w:before="0" w:after="0" w:line="600" w:lineRule="exact"/>
        <w:jc w:val="center"/>
        <w:rPr>
          <w:rFonts w:ascii="Times New Roman" w:hAnsi="Times New Roman" w:eastAsia="楷体_GB2312"/>
        </w:rPr>
      </w:pPr>
      <w:bookmarkStart w:id="160" w:name="_Toc458171846"/>
      <w:r>
        <w:rPr>
          <w:rFonts w:hint="eastAsia" w:ascii="Times New Roman" w:hAnsi="Times New Roman" w:eastAsia="楷体_GB2312"/>
        </w:rPr>
        <w:t>第四节 完善再生资源回收体系</w:t>
      </w:r>
      <w:bookmarkEnd w:id="160"/>
    </w:p>
    <w:p>
      <w:pPr>
        <w:pStyle w:val="55"/>
      </w:pPr>
      <w:r>
        <w:rPr>
          <w:rFonts w:hint="eastAsia"/>
        </w:rPr>
        <w:t>完善再生资源回收体系，建立健全垃圾分类回收制度，完善分类回收、密闭运输、集中处理体系。推进再生资源规模化利用，重点推进废旧汽车、废旧电器、废旧轮胎等废旧物的资源化利用，提高城市建筑垃圾和餐厨垃圾的综合利用能力。加快建设以城市社区回收站点为基础，集散市场为核心，分类分拣和加工利用为目的的三位一体的废旧物资回收网络体系。</w:t>
      </w:r>
    </w:p>
    <w:p>
      <w:pPr>
        <w:pStyle w:val="4"/>
        <w:spacing w:before="0" w:after="0" w:line="600" w:lineRule="exact"/>
        <w:jc w:val="center"/>
        <w:rPr>
          <w:rFonts w:ascii="Times New Roman" w:hAnsi="Times New Roman" w:eastAsia="楷体_GB2312"/>
        </w:rPr>
      </w:pPr>
      <w:bookmarkStart w:id="161" w:name="_Toc440536858"/>
      <w:bookmarkStart w:id="162" w:name="_Toc458171847"/>
      <w:r>
        <w:rPr>
          <w:rFonts w:ascii="Times New Roman" w:hAnsi="Times New Roman" w:eastAsia="楷体_GB2312"/>
        </w:rPr>
        <w:t>第</w:t>
      </w:r>
      <w:r>
        <w:rPr>
          <w:rFonts w:hint="eastAsia" w:ascii="Times New Roman" w:hAnsi="Times New Roman" w:eastAsia="楷体_GB2312"/>
        </w:rPr>
        <w:t>五</w:t>
      </w:r>
      <w:r>
        <w:rPr>
          <w:rFonts w:ascii="Times New Roman" w:hAnsi="Times New Roman" w:eastAsia="楷体_GB2312"/>
        </w:rPr>
        <w:t>节 推进绿色循环低碳化的城市建设</w:t>
      </w:r>
      <w:bookmarkEnd w:id="161"/>
      <w:bookmarkEnd w:id="162"/>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大力推进城市基础设施系统化、集成共享，完善污水系统布局规划和建设，推进环卫设施规划与建设，加快绿化基础设施建设，提升环境整治水平。</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高标准规划建设水环境基础设施。</w:t>
      </w:r>
      <w:r>
        <w:rPr>
          <w:rFonts w:hint="eastAsia" w:ascii="仿宋_GB2312" w:hAnsi="Times New Roman" w:eastAsia="仿宋_GB2312"/>
          <w:sz w:val="32"/>
          <w:szCs w:val="32"/>
        </w:rPr>
        <w:t>以城镇生活污水处理设施建设为重点，进一步完善污水管网系统，扩大污水管网覆盖率，采用先进的污水处理和循环工艺，促进污水的净化和循环利用，发展综合排污系统工程。加快推进城郊污水收集系统工程，完成柳东官塘污水处理厂管网工程，实现城镇污水处理设施全覆盖。</w:t>
      </w:r>
    </w:p>
    <w:p>
      <w:pPr>
        <w:pStyle w:val="55"/>
        <w:ind w:firstLine="643"/>
      </w:pPr>
      <w:r>
        <w:rPr>
          <w:rFonts w:hint="eastAsia"/>
          <w:b/>
        </w:rPr>
        <w:t>打造绿色市政基础设施。</w:t>
      </w:r>
      <w:r>
        <w:rPr>
          <w:rFonts w:hint="eastAsia"/>
        </w:rPr>
        <w:t>高标准推进城市环境建设和绿地建设，建设道路、湖滨、河岸的绿道系统。推进绿色建筑发展，严格执行建筑节能标准，重点推动党政机关、学校、医院以及影剧院、博物馆、科技馆、体育馆等建筑率先执行绿色建筑标准，鼓励房地产、工业厂房推广绿色建筑。发展绿色金融，设立绿色发展基金，推动绿色市政基础设施经营产业化。</w:t>
      </w:r>
    </w:p>
    <w:p>
      <w:pPr>
        <w:pStyle w:val="55"/>
        <w:ind w:firstLine="643"/>
      </w:pPr>
      <w:r>
        <w:rPr>
          <w:rFonts w:hint="eastAsia"/>
          <w:b/>
        </w:rPr>
        <w:t>推进交通基础设施绿色低碳建设</w:t>
      </w:r>
      <w:r>
        <w:rPr>
          <w:rFonts w:hint="eastAsia"/>
        </w:rPr>
        <w:t>。按照绿色循环低碳的要求，科学规划铁路、公路、水路的基础设施布局，统筹衔接各种运输方式，加快实现“零距离换乘”和“无缝化衔接”。严格执行建筑节能标准，推广使用节能环保产品，鼓励再生利用道路沥青以及利用粉煤灰筑路、建桥等。</w:t>
      </w:r>
    </w:p>
    <w:p>
      <w:pPr>
        <w:pStyle w:val="55"/>
        <w:tabs>
          <w:tab w:val="left" w:pos="6552"/>
          <w:tab w:val="clear" w:pos="1350"/>
        </w:tabs>
      </w:pPr>
      <w:r>
        <w:tab/>
      </w:r>
    </w:p>
    <w:p>
      <w:pPr>
        <w:pStyle w:val="2"/>
        <w:spacing w:before="0" w:after="0" w:line="600" w:lineRule="exact"/>
        <w:contextualSpacing/>
        <w:jc w:val="center"/>
        <w:rPr>
          <w:rFonts w:eastAsia="黑体"/>
          <w:sz w:val="32"/>
          <w:szCs w:val="32"/>
        </w:rPr>
      </w:pPr>
      <w:bookmarkStart w:id="163" w:name="_Toc458171848"/>
      <w:r>
        <w:rPr>
          <w:rFonts w:hint="eastAsia" w:eastAsia="黑体"/>
          <w:sz w:val="32"/>
          <w:szCs w:val="32"/>
        </w:rPr>
        <w:t>第十八章 突出柳东新区山水特色</w:t>
      </w:r>
      <w:bookmarkEnd w:id="163"/>
    </w:p>
    <w:p>
      <w:pPr>
        <w:pStyle w:val="55"/>
      </w:pPr>
      <w:r>
        <w:rPr>
          <w:rFonts w:hint="eastAsia"/>
        </w:rPr>
        <w:t>把城市的规划、建设与喀斯特地貌山体与规划水系相互结合，实现山水同构，突出柳东特色。充分利用新区周边自然山水资源，强化生态保护机制，科学划生态分空间功能，建设生态功能稳定、文化内涵丰富的外围山体林地与田园保护区。形成城市与山水相融合、生态与经济社会相协调、人与自然相和谐的发展新格局。</w:t>
      </w:r>
    </w:p>
    <w:p>
      <w:pPr>
        <w:pStyle w:val="4"/>
        <w:spacing w:before="0" w:after="0" w:line="600" w:lineRule="exact"/>
        <w:jc w:val="center"/>
        <w:rPr>
          <w:rFonts w:ascii="Times New Roman" w:hAnsi="Times New Roman" w:eastAsia="楷体_GB2312"/>
        </w:rPr>
      </w:pPr>
      <w:bookmarkStart w:id="164" w:name="_Toc440536860"/>
      <w:bookmarkStart w:id="165" w:name="_Toc458171849"/>
      <w:r>
        <w:rPr>
          <w:rFonts w:ascii="Times New Roman" w:hAnsi="Times New Roman" w:eastAsia="楷体_GB2312"/>
        </w:rPr>
        <w:t>第一节 加快建设主体功能区</w:t>
      </w:r>
      <w:bookmarkEnd w:id="164"/>
      <w:bookmarkEnd w:id="165"/>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积极实施主体功能区规划，强化空间发展引导和管控，科学划定城镇、农业、生态三类空间，以及基本农田保护、城镇开发边界、生态保护三条红线，推动生产力布局、重大工程项目建设与空间布局紧密结合，引导人口和经济向重点开发地区聚集。保护农业和生态发展空间，推动农产品主产区建成粮食和重要农产品的功能区，推动重点生态功能区建成重要生态产品供给和环境保护的核心区。建立健全适应主体功能区建设的财政、产业、投资、土地、人口、环境等政策。打造宜居</w:t>
      </w:r>
      <w:r>
        <w:rPr>
          <w:rFonts w:hint="eastAsia" w:ascii="Times New Roman" w:hAnsi="Times New Roman" w:eastAsia="仿宋_GB2312"/>
          <w:sz w:val="32"/>
          <w:szCs w:val="32"/>
        </w:rPr>
        <w:t>柳东</w:t>
      </w:r>
      <w:r>
        <w:rPr>
          <w:rFonts w:ascii="Times New Roman" w:hAnsi="Times New Roman" w:eastAsia="仿宋_GB2312"/>
          <w:sz w:val="32"/>
          <w:szCs w:val="32"/>
        </w:rPr>
        <w:t>生态屏障网络，合理保留自然山水生态风貌和农业生产基地，构建组团化、网格化、跨越式发展的“山水城市”，形成集约利用与有机分散相结合的空间开发结构，构建结构合理、布局协调、功能互补的新型城镇体系。</w:t>
      </w:r>
    </w:p>
    <w:p>
      <w:pPr>
        <w:pStyle w:val="4"/>
        <w:spacing w:before="0" w:after="0" w:line="600" w:lineRule="exact"/>
        <w:jc w:val="center"/>
        <w:rPr>
          <w:rFonts w:ascii="Times New Roman" w:hAnsi="Times New Roman" w:eastAsia="楷体_GB2312"/>
        </w:rPr>
      </w:pPr>
      <w:bookmarkStart w:id="166" w:name="_Toc440536861"/>
      <w:bookmarkStart w:id="167" w:name="_Toc458171850"/>
      <w:r>
        <w:rPr>
          <w:rFonts w:ascii="Times New Roman" w:hAnsi="Times New Roman" w:eastAsia="楷体_GB2312"/>
        </w:rPr>
        <w:t>第二节 打造绿色生态屏障</w:t>
      </w:r>
      <w:bookmarkEnd w:id="166"/>
      <w:bookmarkEnd w:id="167"/>
    </w:p>
    <w:p>
      <w:pPr>
        <w:spacing w:line="600" w:lineRule="exact"/>
        <w:ind w:firstLine="640" w:firstLineChars="200"/>
        <w:contextualSpacing/>
        <w:rPr>
          <w:rFonts w:ascii="Times New Roman" w:hAnsi="Times New Roman" w:eastAsia="仿宋_GB2312"/>
          <w:sz w:val="32"/>
          <w:szCs w:val="32"/>
        </w:rPr>
      </w:pPr>
      <w:r>
        <w:rPr>
          <w:rFonts w:ascii="Times New Roman" w:hAnsi="Times New Roman" w:eastAsia="仿宋_GB2312"/>
          <w:kern w:val="0"/>
          <w:sz w:val="32"/>
          <w:szCs w:val="32"/>
        </w:rPr>
        <w:t>构建城市生态圈屏障，增强环境自净能力，提升人居环境质量；构建生态廊道，构建水资源和生态</w:t>
      </w:r>
      <w:r>
        <w:rPr>
          <w:rFonts w:hint="eastAsia" w:ascii="Times New Roman" w:hAnsi="Times New Roman" w:eastAsia="仿宋_GB2312"/>
          <w:kern w:val="0"/>
          <w:sz w:val="32"/>
          <w:szCs w:val="32"/>
        </w:rPr>
        <w:t>山地</w:t>
      </w:r>
      <w:r>
        <w:rPr>
          <w:rFonts w:ascii="Times New Roman" w:hAnsi="Times New Roman" w:eastAsia="仿宋_GB2312"/>
          <w:kern w:val="0"/>
          <w:sz w:val="32"/>
          <w:szCs w:val="32"/>
        </w:rPr>
        <w:t>保护生态屏障，实施</w:t>
      </w:r>
      <w:r>
        <w:rPr>
          <w:rFonts w:hint="eastAsia" w:ascii="Times New Roman" w:hAnsi="Times New Roman" w:eastAsia="仿宋_GB2312"/>
          <w:kern w:val="0"/>
          <w:sz w:val="32"/>
          <w:szCs w:val="32"/>
        </w:rPr>
        <w:t>柳东外围</w:t>
      </w:r>
      <w:r>
        <w:rPr>
          <w:rFonts w:ascii="Times New Roman" w:hAnsi="Times New Roman" w:eastAsia="仿宋_GB2312"/>
          <w:kern w:val="0"/>
          <w:sz w:val="32"/>
          <w:szCs w:val="32"/>
        </w:rPr>
        <w:t>水源林增殖涵养工程。</w:t>
      </w:r>
      <w:r>
        <w:rPr>
          <w:rFonts w:ascii="Times New Roman" w:hAnsi="Times New Roman" w:eastAsia="仿宋_GB2312"/>
          <w:sz w:val="32"/>
          <w:szCs w:val="32"/>
        </w:rPr>
        <w:t>创新城市规划，在城市组团之间、城市周围划定城市绿带，维护城市及周边区域的生态环境。根据山水脉络、地形地貌、气象条件等特点合理布局城市绿带，实施城市绿带试点示范项目，因地制宜选用公园绿地、风景绿地、防护林带、道路绿廊、城市田园等模式建设城市绿带。</w:t>
      </w:r>
    </w:p>
    <w:p>
      <w:pPr>
        <w:pStyle w:val="4"/>
        <w:spacing w:before="0" w:after="0" w:line="600" w:lineRule="exact"/>
        <w:jc w:val="center"/>
        <w:rPr>
          <w:rFonts w:ascii="Times New Roman" w:hAnsi="Times New Roman" w:eastAsia="楷体_GB2312"/>
        </w:rPr>
      </w:pPr>
      <w:bookmarkStart w:id="168" w:name="_Toc440536862"/>
      <w:bookmarkStart w:id="169" w:name="_Toc458171851"/>
      <w:r>
        <w:rPr>
          <w:rFonts w:ascii="Times New Roman" w:hAnsi="Times New Roman" w:eastAsia="楷体_GB2312"/>
        </w:rPr>
        <w:t>第三节 深入实施生态保护和修复工程</w:t>
      </w:r>
      <w:bookmarkEnd w:id="168"/>
      <w:bookmarkEnd w:id="169"/>
    </w:p>
    <w:p>
      <w:pPr>
        <w:spacing w:line="600" w:lineRule="exact"/>
        <w:ind w:firstLine="640" w:firstLineChars="200"/>
        <w:contextualSpacing/>
        <w:rPr>
          <w:rFonts w:ascii="仿宋_GB2312" w:hAnsi="Times New Roman" w:eastAsia="仿宋_GB2312"/>
          <w:sz w:val="32"/>
          <w:szCs w:val="32"/>
        </w:rPr>
      </w:pPr>
      <w:r>
        <w:rPr>
          <w:rFonts w:hint="eastAsia" w:ascii="仿宋_GB2312" w:hAnsi="Times New Roman" w:eastAsia="仿宋_GB2312"/>
          <w:sz w:val="32"/>
          <w:szCs w:val="32"/>
        </w:rPr>
        <w:t>完善生态屏障体系，提升生态功能，加强重点生态功能区和自然保护区管护。推进“绿满柳东”造林绿化提升、柳江及支流流域综合治理防护林体系建设、防护林体系建设数量和质量不断提高，涵养水源和水土保持能力有效提高，宜林荒山基本全部造林绿化，石漠化及水土流失地区得到有效治理，岩溶地区和矿区退化生态环境得到修复和重建，实现防护林面积、森林覆盖率、生态功能有序增长、协调发展，保持森林覆盖率达到并稳定在70％以上。</w:t>
      </w:r>
    </w:p>
    <w:p>
      <w:pPr>
        <w:pStyle w:val="4"/>
        <w:spacing w:before="0" w:after="0" w:line="600" w:lineRule="exact"/>
        <w:jc w:val="center"/>
        <w:rPr>
          <w:rFonts w:ascii="Times New Roman" w:hAnsi="Times New Roman" w:eastAsia="楷体_GB2312"/>
        </w:rPr>
      </w:pPr>
      <w:bookmarkStart w:id="170" w:name="_Toc440536863"/>
      <w:bookmarkStart w:id="171" w:name="_Toc458171852"/>
      <w:r>
        <w:rPr>
          <w:rFonts w:ascii="Times New Roman" w:hAnsi="Times New Roman" w:eastAsia="楷体_GB2312"/>
        </w:rPr>
        <w:t>第四节 大力发展生态产业</w:t>
      </w:r>
      <w:bookmarkEnd w:id="170"/>
      <w:bookmarkEnd w:id="171"/>
    </w:p>
    <w:p>
      <w:pPr>
        <w:spacing w:line="600" w:lineRule="exact"/>
        <w:ind w:firstLine="640" w:firstLineChars="200"/>
        <w:contextualSpacing/>
        <w:rPr>
          <w:rFonts w:ascii="仿宋_GB2312" w:hAnsi="Times New Roman" w:eastAsia="仿宋_GB2312"/>
          <w:sz w:val="32"/>
          <w:szCs w:val="32"/>
        </w:rPr>
      </w:pPr>
      <w:r>
        <w:rPr>
          <w:rFonts w:hint="eastAsia" w:ascii="仿宋_GB2312" w:hAnsi="Times New Roman" w:eastAsia="仿宋_GB2312"/>
          <w:sz w:val="32"/>
          <w:szCs w:val="32"/>
        </w:rPr>
        <w:t>坚持产业生态化、生态产业化、生活低碳化，构建科技含量高、资源消耗低、环境污染少的生态经济体系，大力发展生态经济，提高生态产业增加值占GDP比重。</w:t>
      </w:r>
    </w:p>
    <w:p>
      <w:pPr>
        <w:spacing w:line="600" w:lineRule="exact"/>
        <w:ind w:firstLine="643" w:firstLineChars="200"/>
        <w:contextualSpacing/>
        <w:rPr>
          <w:rFonts w:ascii="仿宋_GB2312" w:hAnsi="Times New Roman" w:eastAsia="仿宋_GB2312"/>
          <w:sz w:val="32"/>
          <w:szCs w:val="32"/>
        </w:rPr>
      </w:pPr>
      <w:r>
        <w:rPr>
          <w:rFonts w:hint="eastAsia" w:ascii="仿宋_GB2312" w:hAnsi="Times New Roman" w:eastAsia="仿宋_GB2312"/>
          <w:b/>
          <w:sz w:val="32"/>
          <w:szCs w:val="32"/>
        </w:rPr>
        <w:t>发展新型生态工业。</w:t>
      </w:r>
      <w:r>
        <w:rPr>
          <w:rFonts w:hint="eastAsia" w:ascii="仿宋_GB2312" w:hAnsi="Times New Roman" w:eastAsia="仿宋_GB2312"/>
          <w:sz w:val="32"/>
          <w:szCs w:val="32"/>
        </w:rPr>
        <w:t>大力发展新能源汽车、新能源和可再生能源、节能环保、生物医药、新型建材、新一代信息技术、高端装备制造、新材料等产业，加快打造区域性新能源汽车产业基地，构建工业生态产业链。以绿色化、生态化改造提升现有产业园区，因地制宜建设一批新型生态产业园。</w:t>
      </w:r>
    </w:p>
    <w:p>
      <w:pPr>
        <w:spacing w:line="600" w:lineRule="exact"/>
        <w:ind w:firstLine="643" w:firstLineChars="200"/>
        <w:contextualSpacing/>
        <w:rPr>
          <w:rFonts w:ascii="仿宋_GB2312" w:hAnsi="Times New Roman" w:eastAsia="仿宋_GB2312"/>
          <w:sz w:val="32"/>
          <w:szCs w:val="32"/>
        </w:rPr>
      </w:pPr>
      <w:r>
        <w:rPr>
          <w:rFonts w:hint="eastAsia" w:ascii="仿宋_GB2312" w:hAnsi="Times New Roman" w:eastAsia="仿宋_GB2312"/>
          <w:b/>
          <w:sz w:val="32"/>
          <w:szCs w:val="32"/>
        </w:rPr>
        <w:t>发展绿色生态农林业。</w:t>
      </w:r>
      <w:r>
        <w:rPr>
          <w:rFonts w:hint="eastAsia" w:ascii="仿宋_GB2312" w:hAnsi="Times New Roman" w:eastAsia="仿宋_GB2312"/>
          <w:sz w:val="32"/>
          <w:szCs w:val="32"/>
        </w:rPr>
        <w:t>实施生态农业畜牧业循环提升工程，促进农业绿色安全、提质增效和可持续发展。推进低产林改造，合理开发利用林业资源，促进林产品加工从低级粗放型向高级精深型转变。推行标准化和认证试点，大力发展林菌、林药、林禽、林牧等林下经济，建设精品示范基地。</w:t>
      </w:r>
    </w:p>
    <w:p>
      <w:pPr>
        <w:spacing w:line="600" w:lineRule="exact"/>
        <w:ind w:firstLine="643" w:firstLineChars="200"/>
        <w:contextualSpacing/>
        <w:rPr>
          <w:rFonts w:ascii="仿宋_GB2312" w:hAnsi="Times New Roman" w:eastAsia="仿宋_GB2312"/>
          <w:sz w:val="32"/>
          <w:szCs w:val="32"/>
        </w:rPr>
      </w:pPr>
      <w:r>
        <w:rPr>
          <w:rFonts w:hint="eastAsia" w:ascii="仿宋_GB2312" w:hAnsi="Times New Roman" w:eastAsia="仿宋_GB2312"/>
          <w:b/>
          <w:sz w:val="32"/>
          <w:szCs w:val="32"/>
        </w:rPr>
        <w:t>发展生态服务业。</w:t>
      </w:r>
      <w:r>
        <w:rPr>
          <w:rFonts w:hint="eastAsia" w:ascii="仿宋_GB2312" w:hAnsi="Times New Roman" w:eastAsia="仿宋_GB2312"/>
          <w:sz w:val="32"/>
          <w:szCs w:val="32"/>
        </w:rPr>
        <w:t>推广绿色产品，提供绿色服务，深入开展绿色生活行动，逐步把绿色消费培育成为新的热点。发挥小城镇特色，依托城郊田园风光、江湖水系、山林景观等，在城市周边建设一批生态旅游基地。积极培育发展林业新兴产业，打造富有柳州特色的森林旅游产业。发展绿色金融，设立绿色发展基金，鼓励社会资本投向生态建设和环境保护领域，重大环境治理领域引入第三方治理，推动城镇环保设施建设运营产业化。</w:t>
      </w:r>
    </w:p>
    <w:p>
      <w:pPr>
        <w:pStyle w:val="4"/>
        <w:spacing w:before="0" w:after="0" w:line="600" w:lineRule="exact"/>
        <w:jc w:val="center"/>
        <w:rPr>
          <w:rFonts w:ascii="Times New Roman" w:hAnsi="Times New Roman" w:eastAsia="楷体_GB2312"/>
        </w:rPr>
      </w:pPr>
      <w:bookmarkStart w:id="172" w:name="_Toc440536864"/>
      <w:bookmarkStart w:id="173" w:name="_Toc458171853"/>
      <w:r>
        <w:rPr>
          <w:rFonts w:ascii="Times New Roman" w:hAnsi="Times New Roman" w:eastAsia="楷体_GB2312"/>
        </w:rPr>
        <w:t>第五节 打造</w:t>
      </w:r>
      <w:r>
        <w:rPr>
          <w:rFonts w:hint="eastAsia" w:ascii="Times New Roman" w:hAnsi="Times New Roman" w:eastAsia="楷体_GB2312"/>
        </w:rPr>
        <w:t>“</w:t>
      </w:r>
      <w:r>
        <w:rPr>
          <w:rFonts w:ascii="Times New Roman" w:hAnsi="Times New Roman" w:eastAsia="楷体_GB2312"/>
        </w:rPr>
        <w:t>生态花园、五彩画廊</w:t>
      </w:r>
      <w:r>
        <w:rPr>
          <w:rFonts w:hint="eastAsia" w:ascii="Times New Roman" w:hAnsi="Times New Roman" w:eastAsia="楷体_GB2312"/>
        </w:rPr>
        <w:t>”</w:t>
      </w:r>
      <w:r>
        <w:rPr>
          <w:rFonts w:ascii="Times New Roman" w:hAnsi="Times New Roman" w:eastAsia="楷体_GB2312"/>
        </w:rPr>
        <w:t>花园城市</w:t>
      </w:r>
      <w:bookmarkEnd w:id="172"/>
      <w:bookmarkEnd w:id="173"/>
    </w:p>
    <w:p>
      <w:pPr>
        <w:spacing w:line="600" w:lineRule="exact"/>
        <w:ind w:firstLine="640" w:firstLineChars="200"/>
        <w:rPr>
          <w:rFonts w:ascii="仿宋_GB2312" w:hAnsi="Times New Roman" w:eastAsia="仿宋_GB2312"/>
          <w:kern w:val="0"/>
          <w:sz w:val="32"/>
          <w:szCs w:val="32"/>
        </w:rPr>
      </w:pPr>
      <w:r>
        <w:rPr>
          <w:rFonts w:hint="eastAsia" w:ascii="仿宋_GB2312" w:hAnsi="Times New Roman" w:eastAsia="仿宋_GB2312"/>
          <w:kern w:val="0"/>
          <w:sz w:val="32"/>
          <w:szCs w:val="32"/>
        </w:rPr>
        <w:t>依托园博园园林园艺多样性，全面打造柳东“生态花园、五彩画廊”花园城市。通过扩量、提质、创特色、树品牌四个方面对花园城市进行升级改造，形成“一季为主、四季兼顾，一花为主、多花互动”四季植物景观。将柳东打造成为以“紫荆花都”为品牌，植物品种更多样、色彩更丰富、配置更合理、景观更独特、内涵更深刻的和谐园林，建设绿色、生态、环保、宜居、可持续发展的和谐城市。</w:t>
      </w:r>
    </w:p>
    <w:p>
      <w:pPr>
        <w:pStyle w:val="55"/>
      </w:pPr>
    </w:p>
    <w:p>
      <w:pPr>
        <w:pStyle w:val="2"/>
        <w:spacing w:before="0" w:after="0" w:line="600" w:lineRule="exact"/>
        <w:jc w:val="center"/>
        <w:rPr>
          <w:rFonts w:ascii="Times New Roman" w:hAnsi="Times New Roman" w:eastAsia="华文中宋" w:cs="Times New Roman"/>
          <w:lang w:val="zh-CN"/>
        </w:rPr>
      </w:pPr>
      <w:bookmarkStart w:id="174" w:name="_Toc458171854"/>
      <w:r>
        <w:rPr>
          <w:rFonts w:hint="eastAsia" w:ascii="Times New Roman" w:hAnsi="Times New Roman" w:eastAsia="华文中宋" w:cs="Times New Roman"/>
          <w:lang w:val="zh-CN" w:eastAsia="zh-CN"/>
        </w:rPr>
        <w:t>第六篇 实施</w:t>
      </w:r>
      <w:r>
        <w:rPr>
          <w:rFonts w:ascii="Times New Roman" w:hAnsi="Times New Roman" w:eastAsia="华文中宋" w:cs="Times New Roman"/>
          <w:lang w:val="zh-CN" w:eastAsia="zh-CN"/>
        </w:rPr>
        <w:t>共享</w:t>
      </w:r>
      <w:r>
        <w:rPr>
          <w:rFonts w:hint="eastAsia" w:ascii="Times New Roman" w:hAnsi="Times New Roman" w:eastAsia="华文中宋" w:cs="Times New Roman"/>
          <w:lang w:val="zh-CN" w:eastAsia="zh-CN"/>
        </w:rPr>
        <w:t>发展</w:t>
      </w:r>
      <w:r>
        <w:rPr>
          <w:rFonts w:ascii="Times New Roman" w:hAnsi="Times New Roman" w:eastAsia="华文中宋" w:cs="Times New Roman"/>
          <w:lang w:val="zh-CN" w:eastAsia="zh-CN"/>
        </w:rPr>
        <w:t>战略</w:t>
      </w:r>
      <w:r>
        <w:rPr>
          <w:rFonts w:hint="eastAsia" w:ascii="Times New Roman" w:hAnsi="Times New Roman" w:eastAsia="华文中宋" w:cs="Times New Roman"/>
          <w:lang w:val="zh-CN" w:eastAsia="zh-CN"/>
        </w:rPr>
        <w:t xml:space="preserve"> 提升</w:t>
      </w:r>
      <w:r>
        <w:rPr>
          <w:rFonts w:ascii="Times New Roman" w:hAnsi="Times New Roman" w:eastAsia="华文中宋" w:cs="Times New Roman"/>
          <w:lang w:val="zh-CN" w:eastAsia="zh-CN"/>
        </w:rPr>
        <w:t>幸福柳</w:t>
      </w:r>
      <w:r>
        <w:rPr>
          <w:rFonts w:hint="eastAsia" w:ascii="Times New Roman" w:hAnsi="Times New Roman" w:eastAsia="华文中宋" w:cs="Times New Roman"/>
          <w:lang w:val="zh-CN" w:eastAsia="zh-CN"/>
        </w:rPr>
        <w:t>东</w:t>
      </w:r>
      <w:r>
        <w:rPr>
          <w:rFonts w:ascii="Times New Roman" w:hAnsi="Times New Roman" w:eastAsia="华文中宋" w:cs="Times New Roman"/>
          <w:lang w:val="zh-CN" w:eastAsia="zh-CN"/>
        </w:rPr>
        <w:t>新高度</w:t>
      </w:r>
      <w:bookmarkEnd w:id="174"/>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坚持发展为了人民、发展依靠人民、发展成果由人民共享，在推进脱贫攻坚、保障和改善民生、发展社会事业等方面作出更有效的制度安排，提高城乡居民基本服务均等化水平，基本建成覆盖城乡、功能完善的基本公共服务体系，让人民群众在共建共享发展中有更多获得感。</w:t>
      </w:r>
    </w:p>
    <w:p/>
    <w:p>
      <w:pPr>
        <w:pStyle w:val="2"/>
        <w:spacing w:before="0" w:after="0" w:line="600" w:lineRule="exact"/>
        <w:contextualSpacing/>
        <w:jc w:val="center"/>
        <w:rPr>
          <w:rFonts w:eastAsia="黑体"/>
          <w:sz w:val="32"/>
          <w:szCs w:val="32"/>
        </w:rPr>
      </w:pPr>
      <w:bookmarkStart w:id="175" w:name="_Toc439859590"/>
      <w:bookmarkStart w:id="176" w:name="_Toc440536866"/>
      <w:bookmarkStart w:id="177" w:name="_Toc458171855"/>
      <w:r>
        <w:rPr>
          <w:rFonts w:eastAsia="黑体"/>
          <w:sz w:val="32"/>
          <w:szCs w:val="32"/>
        </w:rPr>
        <w:t>第</w:t>
      </w:r>
      <w:r>
        <w:rPr>
          <w:rFonts w:hint="eastAsia" w:eastAsia="黑体"/>
          <w:sz w:val="32"/>
          <w:szCs w:val="32"/>
        </w:rPr>
        <w:t>十九</w:t>
      </w:r>
      <w:r>
        <w:rPr>
          <w:rFonts w:eastAsia="黑体"/>
          <w:sz w:val="32"/>
          <w:szCs w:val="32"/>
        </w:rPr>
        <w:t>章</w:t>
      </w:r>
      <w:bookmarkEnd w:id="175"/>
      <w:r>
        <w:rPr>
          <w:rFonts w:hint="eastAsia" w:eastAsia="黑体"/>
          <w:sz w:val="32"/>
          <w:szCs w:val="32"/>
        </w:rPr>
        <w:t xml:space="preserve"> </w:t>
      </w:r>
      <w:r>
        <w:rPr>
          <w:rFonts w:eastAsia="黑体"/>
          <w:sz w:val="32"/>
          <w:szCs w:val="32"/>
        </w:rPr>
        <w:t>推进民生大改善</w:t>
      </w:r>
      <w:bookmarkEnd w:id="176"/>
      <w:bookmarkEnd w:id="177"/>
    </w:p>
    <w:p>
      <w:pPr>
        <w:pStyle w:val="55"/>
        <w:rPr>
          <w:lang w:val="zh-CN" w:eastAsia="zh-CN"/>
        </w:rPr>
      </w:pPr>
      <w:r>
        <w:t>坚持</w:t>
      </w:r>
      <w:r>
        <w:rPr>
          <w:rFonts w:ascii="Times New Roman"/>
        </w:rPr>
        <w:t>民生优先、共建共享，着力解决人民群众最关心、最直接、最现实的利益问题，确保民生福祉显著改善，社会保障体系更加健全，改革发展成果进一步惠及广大老百姓。</w:t>
      </w:r>
    </w:p>
    <w:p>
      <w:pPr>
        <w:pStyle w:val="4"/>
        <w:spacing w:before="0" w:after="0" w:line="600" w:lineRule="exact"/>
        <w:jc w:val="center"/>
        <w:rPr>
          <w:rFonts w:ascii="Times New Roman" w:hAnsi="Times New Roman" w:eastAsia="楷体_GB2312"/>
        </w:rPr>
      </w:pPr>
      <w:bookmarkStart w:id="178" w:name="_Toc440536867"/>
      <w:bookmarkStart w:id="179" w:name="_Toc458171856"/>
      <w:r>
        <w:rPr>
          <w:rFonts w:hint="eastAsia" w:ascii="Times New Roman" w:hAnsi="Times New Roman" w:eastAsia="楷体_GB2312"/>
        </w:rPr>
        <w:t xml:space="preserve">第一节 </w:t>
      </w:r>
      <w:r>
        <w:rPr>
          <w:rFonts w:ascii="Times New Roman" w:hAnsi="Times New Roman" w:eastAsia="楷体_GB2312"/>
        </w:rPr>
        <w:t>打赢精准</w:t>
      </w:r>
      <w:r>
        <w:rPr>
          <w:rFonts w:hint="eastAsia" w:ascii="Times New Roman" w:hAnsi="Times New Roman" w:eastAsia="楷体_GB2312"/>
          <w:lang w:eastAsia="zh-CN"/>
        </w:rPr>
        <w:t>脱贫攻坚</w:t>
      </w:r>
      <w:r>
        <w:rPr>
          <w:rFonts w:ascii="Times New Roman" w:hAnsi="Times New Roman" w:eastAsia="楷体_GB2312"/>
        </w:rPr>
        <w:t>战</w:t>
      </w:r>
      <w:bookmarkEnd w:id="178"/>
      <w:bookmarkEnd w:id="179"/>
    </w:p>
    <w:p>
      <w:pPr>
        <w:pStyle w:val="55"/>
      </w:pPr>
      <w:r>
        <w:rPr>
          <w:rFonts w:hint="eastAsia"/>
        </w:rPr>
        <w:t>结合新区实际，</w:t>
      </w:r>
      <w:r>
        <w:t>重点在</w:t>
      </w:r>
      <w:r>
        <w:rPr>
          <w:rFonts w:hint="eastAsia"/>
        </w:rPr>
        <w:t>扶持生产发展、</w:t>
      </w:r>
      <w:r>
        <w:t>转移</w:t>
      </w:r>
      <w:r>
        <w:rPr>
          <w:rFonts w:hint="eastAsia"/>
        </w:rPr>
        <w:t>就业扶持、</w:t>
      </w:r>
      <w:r>
        <w:t>教育</w:t>
      </w:r>
      <w:r>
        <w:rPr>
          <w:rFonts w:hint="eastAsia"/>
        </w:rPr>
        <w:t>扶智帮助、</w:t>
      </w:r>
      <w:r>
        <w:t>医疗</w:t>
      </w:r>
      <w:r>
        <w:rPr>
          <w:rFonts w:hint="eastAsia"/>
        </w:rPr>
        <w:t>救助解困、</w:t>
      </w:r>
      <w:r>
        <w:t>低保</w:t>
      </w:r>
      <w:r>
        <w:rPr>
          <w:rFonts w:hint="eastAsia"/>
        </w:rPr>
        <w:t>政策兜底等“</w:t>
      </w:r>
      <w:r>
        <w:t>五个一批</w:t>
      </w:r>
      <w:r>
        <w:rPr>
          <w:rFonts w:hint="eastAsia"/>
        </w:rPr>
        <w:t>”</w:t>
      </w:r>
      <w:r>
        <w:t>和</w:t>
      </w:r>
      <w:r>
        <w:rPr>
          <w:rFonts w:hint="eastAsia"/>
        </w:rPr>
        <w:t>产业扶持、教育扶持、</w:t>
      </w:r>
      <w:r>
        <w:t>金融</w:t>
      </w:r>
      <w:r>
        <w:rPr>
          <w:rFonts w:hint="eastAsia"/>
        </w:rPr>
        <w:t>扶贫、</w:t>
      </w:r>
      <w:r>
        <w:t>农村</w:t>
      </w:r>
      <w:r>
        <w:rPr>
          <w:rFonts w:hint="eastAsia"/>
        </w:rPr>
        <w:t>危房改造、</w:t>
      </w:r>
      <w:r>
        <w:t>基础设施</w:t>
      </w:r>
      <w:r>
        <w:rPr>
          <w:rFonts w:hint="eastAsia"/>
        </w:rPr>
        <w:t>建设等“</w:t>
      </w:r>
      <w:r>
        <w:t>五大行动</w:t>
      </w:r>
      <w:r>
        <w:rPr>
          <w:rFonts w:hint="eastAsia"/>
        </w:rPr>
        <w:t>”</w:t>
      </w:r>
      <w:r>
        <w:t>，推行</w:t>
      </w:r>
      <w:r>
        <w:rPr>
          <w:rFonts w:hint="eastAsia"/>
        </w:rPr>
        <w:t>高质量、</w:t>
      </w:r>
      <w:r>
        <w:t>高效率</w:t>
      </w:r>
      <w:r>
        <w:rPr>
          <w:rFonts w:hint="eastAsia"/>
        </w:rPr>
        <w:t>、</w:t>
      </w:r>
      <w:r>
        <w:t>可持续</w:t>
      </w:r>
      <w:r>
        <w:rPr>
          <w:rFonts w:hint="eastAsia"/>
        </w:rPr>
        <w:t>的</w:t>
      </w:r>
      <w:r>
        <w:rPr>
          <w:rFonts w:hint="eastAsia"/>
          <w:lang w:eastAsia="zh-CN"/>
        </w:rPr>
        <w:t>脱贫攻坚</w:t>
      </w:r>
      <w:r>
        <w:rPr>
          <w:rFonts w:hint="eastAsia"/>
        </w:rPr>
        <w:t>措施，</w:t>
      </w:r>
      <w:r>
        <w:t>实现</w:t>
      </w:r>
      <w:r>
        <w:rPr>
          <w:rFonts w:hint="eastAsia"/>
        </w:rPr>
        <w:t>新区建档立卡的141户393个扶贫对象不愁吃、</w:t>
      </w:r>
      <w:r>
        <w:t>不愁穿</w:t>
      </w:r>
      <w:r>
        <w:rPr>
          <w:rFonts w:hint="eastAsia"/>
        </w:rPr>
        <w:t>、</w:t>
      </w:r>
      <w:r>
        <w:t>义务教育</w:t>
      </w:r>
      <w:r>
        <w:rPr>
          <w:rFonts w:hint="eastAsia"/>
        </w:rPr>
        <w:t>、</w:t>
      </w:r>
      <w:r>
        <w:t>基本医疗</w:t>
      </w:r>
      <w:r>
        <w:rPr>
          <w:rFonts w:hint="eastAsia"/>
        </w:rPr>
        <w:t>和住房安全有保障、</w:t>
      </w:r>
      <w:r>
        <w:t>按照</w:t>
      </w:r>
      <w:r>
        <w:rPr>
          <w:rFonts w:hint="eastAsia"/>
        </w:rPr>
        <w:t>“</w:t>
      </w:r>
      <w:r>
        <w:t>八有一超</w:t>
      </w:r>
      <w:r>
        <w:rPr>
          <w:rFonts w:hint="eastAsia"/>
        </w:rPr>
        <w:t>”</w:t>
      </w:r>
      <w:r>
        <w:t>（</w:t>
      </w:r>
      <w:r>
        <w:rPr>
          <w:rFonts w:hint="eastAsia"/>
        </w:rPr>
        <w:t>有稳固住房、</w:t>
      </w:r>
      <w:r>
        <w:t>有</w:t>
      </w:r>
      <w:r>
        <w:rPr>
          <w:rFonts w:hint="eastAsia"/>
        </w:rPr>
        <w:t>饮用水、</w:t>
      </w:r>
      <w:r>
        <w:t>有</w:t>
      </w:r>
      <w:r>
        <w:rPr>
          <w:rFonts w:hint="eastAsia"/>
        </w:rPr>
        <w:t>电用、</w:t>
      </w:r>
      <w:r>
        <w:t>有</w:t>
      </w:r>
      <w:r>
        <w:rPr>
          <w:rFonts w:hint="eastAsia"/>
        </w:rPr>
        <w:t>路通自然村、有义务教育保障、</w:t>
      </w:r>
      <w:r>
        <w:t>有</w:t>
      </w:r>
      <w:r>
        <w:rPr>
          <w:rFonts w:hint="eastAsia"/>
        </w:rPr>
        <w:t>医疗保障、</w:t>
      </w:r>
      <w:r>
        <w:t>有点事看</w:t>
      </w:r>
      <w:r>
        <w:rPr>
          <w:rFonts w:hint="eastAsia"/>
        </w:rPr>
        <w:t>、</w:t>
      </w:r>
      <w:r>
        <w:t>有收入</w:t>
      </w:r>
      <w:r>
        <w:rPr>
          <w:rFonts w:hint="eastAsia"/>
        </w:rPr>
        <w:t>来源或最低生活保障、</w:t>
      </w:r>
      <w:r>
        <w:t>年</w:t>
      </w:r>
      <w:r>
        <w:rPr>
          <w:rFonts w:hint="eastAsia"/>
        </w:rPr>
        <w:t>人均纯收入超过国家扶贫标准）</w:t>
      </w:r>
      <w:r>
        <w:t>脱贫</w:t>
      </w:r>
      <w:r>
        <w:rPr>
          <w:rFonts w:hint="eastAsia"/>
        </w:rPr>
        <w:t>标准全面脱贫不返贫，</w:t>
      </w:r>
      <w:r>
        <w:t>确保</w:t>
      </w:r>
      <w:r>
        <w:rPr>
          <w:rFonts w:hint="eastAsia"/>
        </w:rPr>
        <w:t>2016年脱贫人口在50</w:t>
      </w:r>
      <w:r>
        <w:t>%以上</w:t>
      </w:r>
      <w:r>
        <w:rPr>
          <w:rFonts w:hint="eastAsia"/>
        </w:rPr>
        <w:t>。2</w:t>
      </w:r>
      <w:r>
        <w:t>017</w:t>
      </w:r>
      <w:r>
        <w:rPr>
          <w:rFonts w:hint="eastAsia"/>
        </w:rPr>
        <w:t>年底全面完成脱贫任务。</w:t>
      </w:r>
    </w:p>
    <w:p>
      <w:pPr>
        <w:pStyle w:val="55"/>
        <w:ind w:firstLine="643"/>
      </w:pPr>
      <w:r>
        <w:rPr>
          <w:rFonts w:hint="eastAsia"/>
          <w:b/>
        </w:rPr>
        <w:t>找准精准扶贫的发力点</w:t>
      </w:r>
      <w:r>
        <w:rPr>
          <w:rFonts w:hint="eastAsia"/>
        </w:rPr>
        <w:t>。全面完成精准识别，做到按需帮扶、精准管理。强化扶贫信息管理，对识别出来的贫困户建档立卡信息及时录入数据库，并实时更新。摸准贫困群众脱贫需求，按照精准识别的数据，依托扶贫信息管理平台，根据因灾、因病、因学、缺土地、缺资金、缺技术等不同致贫原因，按实际需求精确划分年度扶贫项目，列出清单，建立台账，制定精准脱贫计划和年度帮扶具体方案。加强脱贫动态管理，建立年度脱贫攻坚报告制度，督促帮扶责任单位、两镇倒排时间、挂图作战、清单管理、精准脱贫，确保脱贫任务如期完成。</w:t>
      </w:r>
    </w:p>
    <w:p>
      <w:pPr>
        <w:pStyle w:val="55"/>
        <w:ind w:firstLine="643"/>
      </w:pPr>
      <w:r>
        <w:rPr>
          <w:rFonts w:hint="eastAsia"/>
          <w:b/>
        </w:rPr>
        <w:t>加大财政扶贫基金投入。</w:t>
      </w:r>
      <w:r>
        <w:rPr>
          <w:rFonts w:hint="eastAsia"/>
        </w:rPr>
        <w:t>加大扶贫工作的保障力度，将扶贫资金纳入财政预算。全面结合预算，安排专项扶贫资金、“一事一议”专项资金、农村饮水安全工程配套资金、现代特色农业示范区建设配套经费、危房改造资金、村屯绿化及种养殖业项目等专项资金用于精准脱贫开发项目。完善体制机制，确保资金精准使用，根据柳州市精准扶贫专项资金管理办法和新区有关规定，瞄准贫困对象，优化扶贫资金使用方向，提高扶贫专项资金的使用效率。推进金融扶贫，拓宽扶贫资金渠道。积极争取各种金融扶贫贷款，通过增加财政贴息的办法，扩大扶贫贴息规模，提高贴息标准，进一步加大对扶贫龙头企业和农村专业合作社等的扶持力度，增强辐射带动贫困群众发展生产、解决就业等能力，以解决贫困对象发展生产资金短缺问题。</w:t>
      </w:r>
    </w:p>
    <w:p>
      <w:pPr>
        <w:pStyle w:val="55"/>
        <w:ind w:firstLine="643"/>
      </w:pPr>
      <w:r>
        <w:rPr>
          <w:rFonts w:hint="eastAsia"/>
          <w:b/>
        </w:rPr>
        <w:t>加强贫困地区基础设施建设。</w:t>
      </w:r>
      <w:r>
        <w:rPr>
          <w:rFonts w:hint="eastAsia"/>
        </w:rPr>
        <w:t>实施基础设施建设大会战，改善贫困户生产生活条件。统筹推进农村交通基础设施建设，加强新区农村公路安全防护工作，完善农村屯级道路硬化建设，提高农村公路通行能力和管护水平。进一步提升农村饮水安全保障，通过新建、配套、改造、升级等方式进行农村饮水工程建设，解决贫困户饮水安全问题。加快实施小塘坝、小水渠等水利工程建设和大中型灌区节水改造，促进农业增产增收。</w:t>
      </w:r>
    </w:p>
    <w:p>
      <w:pPr>
        <w:pStyle w:val="55"/>
        <w:ind w:firstLine="643"/>
        <w:rPr>
          <w:b/>
          <w:color w:val="auto"/>
        </w:rPr>
      </w:pPr>
      <w:r>
        <w:rPr>
          <w:rFonts w:hint="eastAsia"/>
          <w:b/>
          <w:color w:val="auto"/>
        </w:rPr>
        <w:t>稳妥推进扶贫地区危房改造。</w:t>
      </w:r>
      <w:r>
        <w:rPr>
          <w:rFonts w:hint="eastAsia"/>
          <w:color w:val="auto"/>
        </w:rPr>
        <w:t>加大危房改造支持力度，改善贫困户居住条件。加快实施危房改造工程，着力改善贫困户生活居住条件。加大资金投入力度，以精准识别结果划定的建档立卡贫困户为基准，提高贫困户危房改造补助标准。</w:t>
      </w:r>
    </w:p>
    <w:p>
      <w:pPr>
        <w:pStyle w:val="55"/>
        <w:ind w:firstLine="643"/>
      </w:pPr>
      <w:r>
        <w:rPr>
          <w:rFonts w:hint="eastAsia"/>
          <w:b/>
        </w:rPr>
        <w:t>深入推进贫困地区产业扶贫。</w:t>
      </w:r>
      <w:r>
        <w:rPr>
          <w:rFonts w:hint="eastAsia"/>
        </w:rPr>
        <w:t>大力培育扶贫产业，帮助贫困户脱贫增收，实现产业扶持。按照宜种则种、宜养则养、宜林则林、宜工则工和一二三产业融合发展的原则，加快转变农业发展方式，大力发展特色种植业、养殖业、林业和林下经济产业。积极扶持贫困户发展畜禽养殖生产，扶持发展生猪、家禽、牛羊草食动物等产业和加大贷款贴息，增加收入，帮助贫困户脱贫致富。积极发展农村现代服务业，鼓励贫困户挖掘特色资源发展生态农业、休闲农业等新业态，推进产业扶贫。发展电子商务、农超对接直供直销、连锁经营等现代流通方式，扩大贫困户特色农产品的网上销售。发展农产品经纪人队伍，充分发挥其在搞活农村市场，促进产品销售等方面的作用。深化农村产权制度改革，引导贫困户进行土地流转，促进适度规模经营。引进或培育龙头企业带动产业发展，推广“公司+基地（合作社）+农户”产业化经营模式，鼓励龙头企业、农民合作社等新兴经营主体与贫困户建立紧密利益联结机制。</w:t>
      </w:r>
    </w:p>
    <w:p>
      <w:pPr>
        <w:pStyle w:val="55"/>
        <w:ind w:firstLine="643"/>
      </w:pPr>
      <w:r>
        <w:rPr>
          <w:rFonts w:hint="eastAsia"/>
          <w:b/>
        </w:rPr>
        <w:t>提高贫困地区公共服务水平。</w:t>
      </w:r>
      <w:r>
        <w:rPr>
          <w:rFonts w:hint="eastAsia"/>
        </w:rPr>
        <w:t>精准实施教育帮扶计划，均衡教育发展整体水平。全面促进普通高中、职业教育、义务教育、学前教育均衡协调发展，精准实施教育帮扶计划，做到精准建设，精准帮扶、精准资助、精准就业，进一步扩大资助面，实现建档立卡贫困户学生全程帮扶、全程资助、全程就业。全力增加教育资助内容，完善资助政策，对建档立卡贫困户子女就学实施15年免费教育。着力提高资助标准，帮助贫困生无障碍上学。落实就业帮扶政策，确保精准就业。对贫困户毕业生进行“一对一”帮扶，落实至少“一次个体咨询、一次优先推荐、一次技能培训、一项就业补贴”等帮扶措施，举办专场招聘会，确保其顺利就业。</w:t>
      </w:r>
    </w:p>
    <w:p>
      <w:pPr>
        <w:pStyle w:val="24"/>
        <w:spacing w:before="0" w:beforeAutospacing="0" w:after="0" w:afterAutospacing="0" w:line="600" w:lineRule="exact"/>
        <w:ind w:firstLine="643"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b/>
          <w:kern w:val="2"/>
          <w:sz w:val="32"/>
          <w:szCs w:val="32"/>
        </w:rPr>
        <w:t>抓好园区转移就业脱贫。</w:t>
      </w:r>
      <w:r>
        <w:rPr>
          <w:rFonts w:hint="eastAsia" w:ascii="仿宋_GB2312" w:hAnsi="Times New Roman" w:eastAsia="仿宋_GB2312" w:cs="Times New Roman"/>
          <w:kern w:val="2"/>
          <w:sz w:val="32"/>
          <w:szCs w:val="32"/>
        </w:rPr>
        <w:t>发挥园区企业优势，抓好劳动力培训就业创业，实现转移就业脱贫。扎实开展职业培训，促进贫困劳动力转移就业，根据企业需求，发挥职教园优势，整合职业技能培训项目，对建档立卡的具有劳动能力的贫困户，免费进行职业培训和就业技能培训。鼓励创业带动贫困劳动力就业，对建档立卡的、由于缺少资金技能、具备一定创业能力和意向的贫困对象，劳动部门组织有资质和培训能力的创业培训机构对其实施创业培训和就业指导。发挥村级公共就业服务平台，适度开发公益性就业岗位，优先吸纳符合条件的贫困劳动力就业，给予岗位补贴和社会保险补贴，实现就地就近就业。</w:t>
      </w:r>
    </w:p>
    <w:p>
      <w:pPr>
        <w:pStyle w:val="24"/>
        <w:spacing w:before="0" w:beforeAutospacing="0" w:after="0" w:afterAutospacing="0" w:line="600" w:lineRule="exact"/>
        <w:ind w:firstLine="643"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b/>
          <w:kern w:val="2"/>
          <w:sz w:val="32"/>
          <w:szCs w:val="32"/>
        </w:rPr>
        <w:t>推进医疗卫生解困脱贫。</w:t>
      </w:r>
      <w:r>
        <w:rPr>
          <w:rFonts w:hint="eastAsia" w:ascii="仿宋_GB2312" w:hAnsi="Times New Roman" w:eastAsia="仿宋_GB2312" w:cs="Times New Roman"/>
          <w:kern w:val="2"/>
          <w:sz w:val="32"/>
          <w:szCs w:val="32"/>
        </w:rPr>
        <w:t>提高新农合补偿和医疗救助水平，对建档立卡的贫困对象实现全覆盖；加大农村贫困残疾人康复服务和医疗救助力度，逐步扩大纳入基本医疗保险范围的残疾人康复项目；新农合和大病保险制度对贫困对象实行政策倾斜。对建档立卡的贫困对象住院实行先诊疗后付费。实行贫困人口医疗卫生签约服务，提供基本公共卫生和基本医疗服务，加强贫困人口健康管理。</w:t>
      </w:r>
    </w:p>
    <w:p>
      <w:pPr>
        <w:pStyle w:val="24"/>
        <w:spacing w:before="0" w:beforeAutospacing="0" w:after="0" w:afterAutospacing="0" w:line="600" w:lineRule="exact"/>
        <w:ind w:firstLine="643" w:firstLineChars="200"/>
        <w:jc w:val="both"/>
        <w:rPr>
          <w:rFonts w:ascii="仿宋_GB2312" w:hAnsi="Times New Roman" w:eastAsia="仿宋_GB2312" w:cs="Times New Roman"/>
          <w:kern w:val="2"/>
          <w:sz w:val="32"/>
          <w:szCs w:val="32"/>
        </w:rPr>
      </w:pPr>
      <w:r>
        <w:rPr>
          <w:rFonts w:hint="eastAsia" w:ascii="仿宋_GB2312" w:hAnsi="Times New Roman" w:eastAsia="仿宋_GB2312" w:cs="Times New Roman"/>
          <w:b/>
          <w:kern w:val="2"/>
          <w:sz w:val="32"/>
          <w:szCs w:val="32"/>
        </w:rPr>
        <w:t>完善扶贫保障制度领域。</w:t>
      </w:r>
      <w:r>
        <w:rPr>
          <w:rFonts w:hint="eastAsia" w:ascii="仿宋_GB2312" w:hAnsi="Times New Roman" w:eastAsia="仿宋_GB2312" w:cs="Times New Roman"/>
          <w:kern w:val="2"/>
          <w:sz w:val="32"/>
          <w:szCs w:val="32"/>
        </w:rPr>
        <w:t>不断完善社会保障制度，拓宽社会保障领域，实现低保脱贫。严格按照文件规定，精准落实低保政策。加大低保资金投入力度，落实贫困对象低保政策。加快养老设施建设，对农村无劳动能力、无生活来源、无赡养人抚（扶）养人的特困人员逐步实行集中供养，提高供养水平。扩大社会保险覆盖面，拓宽社会保险领域，加大社会保险资金投入，帮助贫困人群解决基本的养老保障。</w:t>
      </w:r>
    </w:p>
    <w:p>
      <w:pPr>
        <w:pStyle w:val="24"/>
        <w:spacing w:before="0" w:beforeAutospacing="0" w:after="0" w:afterAutospacing="0" w:line="600" w:lineRule="exact"/>
        <w:ind w:firstLine="643" w:firstLineChars="200"/>
        <w:jc w:val="both"/>
        <w:rPr>
          <w:rFonts w:ascii="仿宋_GB2312" w:hAnsi="Times New Roman" w:eastAsia="仿宋_GB2312" w:cs="Times New Roman"/>
          <w:b/>
          <w:kern w:val="2"/>
          <w:sz w:val="32"/>
          <w:szCs w:val="32"/>
        </w:rPr>
      </w:pPr>
      <w:r>
        <w:rPr>
          <w:rFonts w:hint="eastAsia" w:ascii="仿宋_GB2312" w:hAnsi="Times New Roman" w:eastAsia="仿宋_GB2312"/>
          <w:b/>
          <w:sz w:val="32"/>
          <w:szCs w:val="32"/>
        </w:rPr>
        <w:t>凝聚精准扶贫工作合力。</w:t>
      </w:r>
      <w:r>
        <w:rPr>
          <w:rFonts w:hint="eastAsia" w:ascii="仿宋_GB2312" w:hAnsi="Times New Roman" w:eastAsia="仿宋_GB2312" w:cs="Times New Roman"/>
          <w:kern w:val="2"/>
          <w:sz w:val="32"/>
          <w:szCs w:val="32"/>
        </w:rPr>
        <w:t>成立扶贫帮扶小组，全覆盖进行脱贫帮扶，对贫困户、贫困对象进行分类，制定帮扶计划，实行差异化，精细化帮扶，确保精准帮扶，精准脱贫。充分发挥党员干部、工会、群团组织在精准扶贫中的作用，进一步动员民营企业参与脱贫攻坚，积极组织推进“结对帮扶”活动，形成全社会参与脱贫攻坚的良好氛围。</w:t>
      </w:r>
    </w:p>
    <w:p>
      <w:pPr>
        <w:pStyle w:val="4"/>
        <w:spacing w:before="0" w:after="0" w:line="600" w:lineRule="exact"/>
        <w:jc w:val="center"/>
        <w:rPr>
          <w:rFonts w:ascii="Times New Roman" w:hAnsi="Times New Roman" w:eastAsia="楷体_GB2312"/>
        </w:rPr>
      </w:pPr>
      <w:bookmarkStart w:id="180" w:name="_Toc440536868"/>
      <w:bookmarkStart w:id="181" w:name="_Toc458171857"/>
      <w:r>
        <w:rPr>
          <w:rFonts w:hint="eastAsia" w:ascii="Times New Roman" w:hAnsi="Times New Roman" w:eastAsia="楷体_GB2312"/>
        </w:rPr>
        <w:t xml:space="preserve">第二节 </w:t>
      </w:r>
      <w:r>
        <w:rPr>
          <w:rFonts w:ascii="Times New Roman" w:hAnsi="Times New Roman" w:eastAsia="楷体_GB2312"/>
        </w:rPr>
        <w:t>提高人民生活水平</w:t>
      </w:r>
      <w:bookmarkEnd w:id="180"/>
      <w:bookmarkEnd w:id="181"/>
    </w:p>
    <w:p>
      <w:pPr>
        <w:pStyle w:val="55"/>
      </w:pPr>
      <w:r>
        <w:rPr>
          <w:rFonts w:hint="eastAsia"/>
        </w:rPr>
        <w:t>以共同富裕为目标，发挥政府调节收入分配的职能，规范收入分配机制，完善工资增长机制。完善按劳分配为主、多种分配方式并存的分配制度，保证各类生产要素按贡献参与分配。合理调节垄断行业的过高收入，努力提高中等收入人群比重。提高低收入者收入水平，逐步提高最低工资标准和最低生活保障标准。逐步缩小城乡、区域、行业之间的收入差距，实现收入分配的相对公平。巩固提高经营性收入，大力增加转移性收入，创造条件增加财产性收入，到2020年，城乡居民收入实现翻一番。</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持续增加城乡居民收入。</w:t>
      </w:r>
      <w:r>
        <w:rPr>
          <w:rFonts w:hint="eastAsia" w:ascii="仿宋_GB2312" w:hAnsi="Times New Roman" w:eastAsia="仿宋_GB2312"/>
          <w:sz w:val="32"/>
          <w:szCs w:val="32"/>
        </w:rPr>
        <w:t>不断深化收入分配改革，促进收入分配公平，促进共建共享。加强政府对企业工资的调控和指导，建立完善劳动力市场工资指导价位制度，推行劳动合同制度和工资集体协商制度。健全科学的工资水平决定机制、正常增长机制、支付保障机制，完善最低工资增长机制，提高企业职工收入和福利水平。逐步提高最低工资和基本养老金标准，提高低收入者收入水平。完善最低生活保障制度，适时提高城乡居民最低生活保障标准，提高贫困残疾人专项补助标准，积极扶持生活困难群体自主脱贫。鼓励劳动者通过资本、技术、管理等要素参与收入分配，创造条件让更多群众拥有财产性收入。逐步扩大中等收入者比重，推动形成中等收入阶层占多数的“橄榄型”社会结构。</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努力促进农民增收。</w:t>
      </w:r>
      <w:r>
        <w:rPr>
          <w:rFonts w:hint="eastAsia" w:ascii="仿宋_GB2312" w:hAnsi="Times New Roman" w:eastAsia="仿宋_GB2312"/>
          <w:sz w:val="32"/>
          <w:szCs w:val="32"/>
        </w:rPr>
        <w:t>拓宽农民增收渠道，提高农民收入水平，缩小城乡收入差距。增加农民经营性收入，建立农产品价格保障机制，稳定农业生产资料价格，大力发展特色高效农业、休闲农业、乡村旅游和农村服务业。开展外出务工人员劳动技能培训，增强就业能力，增加农民工资性收入，大力发展劳务经济。增加农民转移性收入，完善农业补贴办法，逐步增加农村养老保险基础养老金，提高城乡居民合作医疗筹资和报销水平，逐步提高农村最低生活保障和五保水平。增加农民财产性收入，以推进农村产权制度改革为手段，保障农民依法分享土地增值权益，依法保障农户宅基地用益物权，拓宽租金、股金、红利等收入增长渠道。</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优化社会人口结构。</w:t>
      </w:r>
      <w:r>
        <w:rPr>
          <w:rFonts w:hint="eastAsia" w:ascii="仿宋_GB2312" w:hAnsi="Times New Roman" w:eastAsia="仿宋_GB2312"/>
          <w:sz w:val="32"/>
          <w:szCs w:val="32"/>
        </w:rPr>
        <w:t>落实计划生育基本国策，完善人口发展战略，全面实施一对夫妇可生育两个孩子政策。不断提高人口和计划生育服务管理水平。加强出生缺陷干预、孕前筛查、健康教育、优生咨询、高危人群指导等优生优育工程。加强对外来流动人口的管理和计生服务。降低出生缺陷发生率，提高出生人口质量。不断优化人口结构，促进人口长期均衡发展。</w:t>
      </w:r>
    </w:p>
    <w:p>
      <w:pPr>
        <w:spacing w:line="600" w:lineRule="exact"/>
        <w:ind w:firstLine="643" w:firstLineChars="200"/>
        <w:rPr>
          <w:rFonts w:ascii="仿宋_GB2312" w:hAnsi="Times New Roman" w:eastAsia="仿宋_GB2312"/>
          <w:sz w:val="32"/>
          <w:szCs w:val="32"/>
        </w:rPr>
      </w:pPr>
      <w:bookmarkStart w:id="182" w:name="_Toc439859602"/>
      <w:r>
        <w:rPr>
          <w:rFonts w:hint="eastAsia" w:ascii="仿宋_GB2312" w:hAnsi="Times New Roman" w:eastAsia="仿宋_GB2312"/>
          <w:b/>
          <w:sz w:val="32"/>
          <w:szCs w:val="32"/>
        </w:rPr>
        <w:t>保障妇女儿童合法权益</w:t>
      </w:r>
      <w:bookmarkEnd w:id="182"/>
      <w:r>
        <w:rPr>
          <w:rFonts w:hint="eastAsia" w:ascii="仿宋_GB2312" w:hAnsi="Times New Roman" w:eastAsia="仿宋_GB2312"/>
          <w:b/>
          <w:sz w:val="32"/>
          <w:szCs w:val="32"/>
        </w:rPr>
        <w:t>。</w:t>
      </w:r>
      <w:r>
        <w:rPr>
          <w:rFonts w:hint="eastAsia" w:ascii="仿宋_GB2312" w:hAnsi="Times New Roman" w:eastAsia="仿宋_GB2312"/>
          <w:sz w:val="32"/>
          <w:szCs w:val="32"/>
        </w:rPr>
        <w:t>坚持男女平等基本国策，将社会性别意识纳入法规、规章体系和公共政策，保障妇女和未成年人权益。落实妇女儿童事业发展专项规划。促进妇女儿童事业与社会经济同步发展，切实保障妇女儿童在健康、教育、经济、政治等方面的合法权益。完善法律法规，保障妇女儿童生存权、发展权等合法权益，用法治的力量促进公平正义、和谐幸福。</w:t>
      </w:r>
    </w:p>
    <w:p>
      <w:pPr>
        <w:pStyle w:val="24"/>
        <w:spacing w:before="0" w:beforeAutospacing="0" w:after="0" w:afterAutospacing="0" w:line="600" w:lineRule="exact"/>
        <w:ind w:firstLine="643" w:firstLineChars="200"/>
        <w:jc w:val="both"/>
        <w:rPr>
          <w:rFonts w:ascii="仿宋_GB2312" w:hAnsi="Times New Roman" w:eastAsia="仿宋_GB2312"/>
          <w:sz w:val="32"/>
          <w:szCs w:val="32"/>
        </w:rPr>
      </w:pPr>
      <w:r>
        <w:rPr>
          <w:rFonts w:hint="eastAsia" w:ascii="仿宋_GB2312" w:hAnsi="Times New Roman" w:eastAsia="仿宋_GB2312" w:cs="Times New Roman"/>
          <w:b/>
          <w:kern w:val="2"/>
          <w:sz w:val="32"/>
          <w:szCs w:val="32"/>
        </w:rPr>
        <w:t>办好一批民生实事。</w:t>
      </w:r>
      <w:r>
        <w:rPr>
          <w:rFonts w:hint="eastAsia" w:ascii="仿宋_GB2312" w:hAnsi="Times New Roman" w:eastAsia="仿宋_GB2312" w:cs="Times New Roman"/>
          <w:kern w:val="2"/>
          <w:sz w:val="32"/>
          <w:szCs w:val="32"/>
        </w:rPr>
        <w:t>突出以人为核心和问题导向，坚持每年办好一批群众要求强烈、感受明显，针对性、实效性强的民生实事。健全民生实事项目决策机制，加强监督检查。加大统筹力度，鼓励和引导社会资本参与，多渠道增加民生投入。</w:t>
      </w:r>
    </w:p>
    <w:p/>
    <w:p>
      <w:pPr>
        <w:pStyle w:val="4"/>
        <w:spacing w:before="0" w:after="0" w:line="600" w:lineRule="exact"/>
        <w:jc w:val="center"/>
        <w:rPr>
          <w:rFonts w:ascii="Times New Roman" w:hAnsi="Times New Roman" w:eastAsia="楷体_GB2312"/>
        </w:rPr>
      </w:pPr>
      <w:bookmarkStart w:id="183" w:name="_Toc440536869"/>
      <w:bookmarkStart w:id="184" w:name="_Toc458171858"/>
      <w:r>
        <w:rPr>
          <w:rFonts w:ascii="Times New Roman" w:hAnsi="Times New Roman" w:eastAsia="楷体_GB2312"/>
        </w:rPr>
        <w:t>第三节 推动实现更高质量就业</w:t>
      </w:r>
      <w:bookmarkEnd w:id="183"/>
      <w:bookmarkEnd w:id="184"/>
    </w:p>
    <w:p>
      <w:pPr>
        <w:pStyle w:val="55"/>
      </w:pPr>
      <w:bookmarkStart w:id="185" w:name="_Toc439859595"/>
      <w:bookmarkStart w:id="186" w:name="_Toc440536870"/>
      <w:r>
        <w:rPr>
          <w:rFonts w:hint="eastAsia"/>
        </w:rPr>
        <w:t>健全公平竞争的创业就业制度，建立城乡统一的人力资源市场。全面创建创业孵化基地，协调发挥专项资金扶持创业功能。促进城市青年、农村富余劳动力和产业结构调整中转移人员自主创业、自谋职业、自雇就业，让劳动者方便创业、成功创业。多层次拓展就业渠道，重点做好高校毕业生、农民工、就业困难人员就业。加强就业培训服务。统筹做好城镇新增劳动力就业、农村人口转移就业、下岗失业人员再就业工作。加强对大学毕业生的就业指导和服务。开发社区等公益性岗位，努力消除零就业家庭。建立经济区域内就业工作协调机制，研究区域内就业方面存在问题，及时调整就业工作方向。</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提高经济发展对就业的拉动能力。</w:t>
      </w:r>
      <w:r>
        <w:rPr>
          <w:rFonts w:hint="eastAsia" w:ascii="仿宋_GB2312" w:hAnsi="Times New Roman" w:eastAsia="仿宋_GB2312"/>
          <w:sz w:val="32"/>
          <w:szCs w:val="32"/>
        </w:rPr>
        <w:t>大力发展吸纳就业能力强的劳动密集型企业、服务业和小微企业，开发更多的就业岗位。注重发展现代农业，挖掘第一产业就业潜力，推进农业产业化经营，不断增加农村就业机会；大力发展现代服务业，提高服务业就业比重；着力发展家庭服务业促进就业，重点发展家政服务、养老服务、社区照料服务、病患陪护服务、残疾人居家托养服务等家庭服务业态，拓展就业渠道。建立健全政府投资和重大项目建设带动就业机制，建立和完善公共投资促进就业的考核评估机制。</w:t>
      </w:r>
    </w:p>
    <w:p>
      <w:pPr>
        <w:spacing w:line="600" w:lineRule="exact"/>
        <w:ind w:firstLine="643" w:firstLineChars="200"/>
        <w:rPr>
          <w:rFonts w:ascii="仿宋_GB2312" w:hAnsi="Times New Roman" w:eastAsia="仿宋_GB2312"/>
          <w:sz w:val="32"/>
          <w:szCs w:val="32"/>
        </w:rPr>
      </w:pPr>
      <w:bookmarkStart w:id="187" w:name="_Toc439859592"/>
      <w:r>
        <w:rPr>
          <w:rFonts w:hint="eastAsia" w:ascii="仿宋_GB2312" w:hAnsi="Times New Roman" w:eastAsia="仿宋_GB2312"/>
          <w:b/>
          <w:sz w:val="32"/>
          <w:szCs w:val="32"/>
        </w:rPr>
        <w:t>实施更加积极的就业政策</w:t>
      </w:r>
      <w:bookmarkEnd w:id="187"/>
      <w:r>
        <w:rPr>
          <w:rFonts w:hint="eastAsia" w:ascii="仿宋_GB2312" w:hAnsi="Times New Roman" w:eastAsia="仿宋_GB2312"/>
          <w:b/>
          <w:sz w:val="32"/>
          <w:szCs w:val="32"/>
        </w:rPr>
        <w:t>。</w:t>
      </w:r>
      <w:r>
        <w:rPr>
          <w:rFonts w:hint="eastAsia" w:ascii="仿宋_GB2312" w:hAnsi="Times New Roman" w:eastAsia="仿宋_GB2312"/>
          <w:sz w:val="32"/>
          <w:szCs w:val="32"/>
        </w:rPr>
        <w:t>把稳定就业摆到突出位置，积极应对经济下行带来的巨大就业压力，实施更加积极的就业政策，扎实做好就业再就业工作，继续发挥失业保险支持企业稳定就业岗位作用，科学引导、统筹解决好返乡农民工的职业技能培训和就业创业等问题。实行有利于促进就业的财政保障政策，财政支出逐步向民生倾斜，加大对困难群体的扶持力度；完善和落实促进高校毕业生、农民工等重点群体就业的税收政策，鼓励企业吸纳重点群体就业。实行有利于促进创业的金融支持政策，进一步完善小额担保贷款政策，鼓励和支持创业，以创业促进就业。实施有利于劳动者多渠道、多形式就业的扶持政策，扶持劳动者自谋职业、自主就业，鼓励和支持劳动者到中小微企业就业、临时性就业以及其他形式的灵活就业。</w:t>
      </w:r>
    </w:p>
    <w:p>
      <w:pPr>
        <w:spacing w:line="600" w:lineRule="exact"/>
        <w:ind w:firstLine="643" w:firstLineChars="200"/>
        <w:rPr>
          <w:rFonts w:ascii="仿宋_GB2312" w:hAnsi="Times New Roman" w:eastAsia="仿宋_GB2312"/>
          <w:kern w:val="0"/>
          <w:sz w:val="32"/>
          <w:szCs w:val="32"/>
        </w:rPr>
      </w:pPr>
      <w:bookmarkStart w:id="188" w:name="_Toc439859593"/>
      <w:r>
        <w:rPr>
          <w:rFonts w:hint="eastAsia" w:ascii="仿宋_GB2312" w:hAnsi="Times New Roman" w:eastAsia="仿宋_GB2312"/>
          <w:b/>
          <w:sz w:val="32"/>
          <w:szCs w:val="32"/>
        </w:rPr>
        <w:t>集中开展重点群体就业援助</w:t>
      </w:r>
      <w:bookmarkEnd w:id="188"/>
      <w:r>
        <w:rPr>
          <w:rFonts w:hint="eastAsia" w:ascii="仿宋_GB2312" w:hAnsi="Times New Roman" w:eastAsia="仿宋_GB2312"/>
          <w:b/>
          <w:sz w:val="32"/>
          <w:szCs w:val="32"/>
        </w:rPr>
        <w:t>。</w:t>
      </w:r>
      <w:r>
        <w:rPr>
          <w:rFonts w:hint="eastAsia" w:ascii="仿宋_GB2312" w:hAnsi="Times New Roman" w:eastAsia="仿宋_GB2312"/>
          <w:sz w:val="32"/>
          <w:szCs w:val="32"/>
        </w:rPr>
        <w:t>重点扶持高校毕业生就业创业，进一步深入实施高校毕业生就业援助“百千万”项目，通过补贴方式鼓励企业，尤其是中小企业为柳州籍毕业生开发岗位，深入实施“大学生创业引领计划”，建立完善柳州大学生创业园，引导和带领有创业意愿和创业能力的大学生和高校毕业生创业。有序组织农村劳动力转移就业，注重农民工职业技能提升，帮助农民工在岗提升技能，给予新生代农民工进行职业能力免费培训；加强农村劳动力创业培训，集中对村干部进行创业培训，完善并落实创业政策措施，积极支持农民工返乡创业。加强对困难群体的就业帮扶，建</w:t>
      </w:r>
      <w:r>
        <w:rPr>
          <w:rFonts w:hint="eastAsia" w:ascii="仿宋_GB2312" w:hAnsi="Times New Roman" w:eastAsia="仿宋_GB2312"/>
          <w:kern w:val="0"/>
          <w:sz w:val="32"/>
          <w:szCs w:val="32"/>
        </w:rPr>
        <w:t>立就业失业实名登记制度，推进用人单位按比例安排残疾人就业，扶持残疾人自主创业和灵活就业。做好妇女就业工作。</w:t>
      </w:r>
      <w:bookmarkStart w:id="189" w:name="_Toc439859594"/>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构建终身职业培训体系</w:t>
      </w:r>
      <w:bookmarkEnd w:id="189"/>
      <w:r>
        <w:rPr>
          <w:rFonts w:hint="eastAsia" w:ascii="仿宋_GB2312" w:hAnsi="Times New Roman" w:eastAsia="仿宋_GB2312"/>
          <w:b/>
          <w:sz w:val="32"/>
          <w:szCs w:val="32"/>
        </w:rPr>
        <w:t>。</w:t>
      </w:r>
      <w:r>
        <w:rPr>
          <w:rFonts w:hint="eastAsia" w:ascii="仿宋_GB2312" w:hAnsi="Times New Roman" w:eastAsia="仿宋_GB2312"/>
          <w:sz w:val="32"/>
          <w:szCs w:val="32"/>
        </w:rPr>
        <w:t>充分运用职业培训补贴和高技能人才补贴政策，鼓励企业、职业院校和培训机构广泛开展各类职业技能培训，创新培训方式，提升培训质量。加大产学融合发展力度。大规模开展在岗技能人才培训，实施《柳州市汽车产业在岗职工技能轮训工程》和“龙城蓝领”促进计划。对城乡未能继续升学的应届初高中毕业生等新成长劳动力，实行普遍劳动预备制培训。提升职业教育水平，建设技师学院，加快推进广西（柳州）职业技能公共实训基地等一批职业技能实训基地建设。</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促进劳动关系和谐。</w:t>
      </w:r>
      <w:r>
        <w:rPr>
          <w:rFonts w:hint="eastAsia" w:ascii="仿宋_GB2312" w:hAnsi="Times New Roman" w:eastAsia="仿宋_GB2312"/>
          <w:sz w:val="32"/>
          <w:szCs w:val="32"/>
        </w:rPr>
        <w:t>健全劳动关系三方协调机制，积极推行集体合同制度。完善劳动争议处理机制，加大劳动仲裁和监察执法力度，保障劳动者特别是农民工的合法权益。发挥工会和行业组织积极作用，促进企业和职工利益共享。</w:t>
      </w:r>
    </w:p>
    <w:p>
      <w:pPr>
        <w:pStyle w:val="55"/>
      </w:pPr>
    </w:p>
    <w:p>
      <w:pPr>
        <w:pStyle w:val="4"/>
        <w:spacing w:before="0" w:after="0" w:line="600" w:lineRule="exact"/>
        <w:jc w:val="center"/>
        <w:rPr>
          <w:rFonts w:ascii="Times New Roman" w:hAnsi="Times New Roman" w:eastAsia="楷体_GB2312"/>
        </w:rPr>
      </w:pPr>
      <w:bookmarkStart w:id="190" w:name="_Toc458171859"/>
      <w:r>
        <w:rPr>
          <w:rFonts w:ascii="Times New Roman" w:hAnsi="Times New Roman" w:eastAsia="楷体_GB2312"/>
        </w:rPr>
        <w:t>第四节 提高社会保障水平</w:t>
      </w:r>
      <w:bookmarkEnd w:id="185"/>
      <w:bookmarkEnd w:id="186"/>
      <w:bookmarkEnd w:id="190"/>
    </w:p>
    <w:p>
      <w:pPr>
        <w:spacing w:line="600" w:lineRule="exact"/>
        <w:ind w:firstLine="640" w:firstLineChars="200"/>
        <w:rPr>
          <w:b/>
        </w:rPr>
      </w:pPr>
      <w:r>
        <w:rPr>
          <w:rFonts w:ascii="Times New Roman" w:hAnsi="Times New Roman" w:eastAsia="仿宋_GB2312"/>
          <w:sz w:val="32"/>
          <w:szCs w:val="32"/>
        </w:rPr>
        <w:t>着力解决人民群众切身利益问题，努力提高保障水平，完善社会救助体系，不断加强社会福利服务能力，建立完善更加公平更可持续的社会保障制度，建立健全保障水平与经济社会发展同步增长并适度超前的保障机制。</w:t>
      </w:r>
    </w:p>
    <w:p>
      <w:pPr>
        <w:pStyle w:val="55"/>
        <w:ind w:firstLine="643"/>
      </w:pPr>
      <w:r>
        <w:rPr>
          <w:rFonts w:hint="eastAsia"/>
          <w:b/>
        </w:rPr>
        <w:t>全面实施一对夫妇可生育二胎政策。</w:t>
      </w:r>
      <w:r>
        <w:rPr>
          <w:rFonts w:hint="eastAsia"/>
        </w:rPr>
        <w:t>促进人口均衡发展，坚持计划生育的基本国策，完善人口发展战略，全面实施一对夫妇可生育两个孩子政策，积极开展应对人口老龄化行动。通过吸引人才政策，保证新区人口不断增长，集聚人气。</w:t>
      </w:r>
    </w:p>
    <w:p>
      <w:pPr>
        <w:pStyle w:val="55"/>
        <w:ind w:firstLine="643"/>
      </w:pPr>
      <w:r>
        <w:rPr>
          <w:rFonts w:hint="eastAsia"/>
          <w:b/>
        </w:rPr>
        <w:t>建立覆盖全区的社会保障体系。</w:t>
      </w:r>
      <w:r>
        <w:rPr>
          <w:rFonts w:hint="eastAsia"/>
        </w:rPr>
        <w:t>努力实现社会保障的城乡全面覆盖，建立社会保障投入增长新机制，逐步提高各项社会保险统筹层次和保障水平，社会保障水平与柳州市持平。</w:t>
      </w:r>
    </w:p>
    <w:p>
      <w:pPr>
        <w:pStyle w:val="55"/>
      </w:pPr>
      <w:r>
        <w:rPr>
          <w:rFonts w:hint="eastAsia"/>
        </w:rPr>
        <w:t>扩大养老保险对非公有制企业、城镇个体工商户和灵活就业人员的覆盖面；积极开展城镇居民养老保险试点工作，并逐步推开；加强企业退休人员社会化管理服务工作；鼓励有条件的企业建立企业年金，逐步扩大年金试点范围，形成多层次的养老保险体系。</w:t>
      </w:r>
    </w:p>
    <w:p>
      <w:pPr>
        <w:pStyle w:val="55"/>
      </w:pPr>
      <w:r>
        <w:rPr>
          <w:rFonts w:hint="eastAsia"/>
        </w:rPr>
        <w:t>加快推进新型农村社会养老保险试点工作，积极开展失业动态监测工作。建立工伤预防、补偿、康复三位一体的新机制。建立和完善工伤保险的费率机制，减少或降低工伤事故与职业病的发生；完善现行工伤补偿制度，提高工伤补偿标准，确保工伤职工待遇的落实。</w:t>
      </w:r>
    </w:p>
    <w:p>
      <w:pPr>
        <w:pStyle w:val="55"/>
        <w:ind w:firstLine="643"/>
      </w:pPr>
      <w:r>
        <w:rPr>
          <w:rFonts w:hint="eastAsia"/>
          <w:b/>
        </w:rPr>
        <w:t>健全住房供应体系。</w:t>
      </w:r>
      <w:r>
        <w:rPr>
          <w:rFonts w:hint="eastAsia"/>
        </w:rPr>
        <w:t>加快构建以政府为主提供基本保障、以市场为主满足多层次需求的住房供应体系。对低收入住房困难家庭，实行廉租住房制度，政府提供基本住房保障。对中等偏下收入住房困难家庭，实行公共租赁住房制度，政府适当给予支持。对中高收入家庭，实行租赁与购买商品住房相结合的制度。</w:t>
      </w:r>
    </w:p>
    <w:p>
      <w:pPr>
        <w:pStyle w:val="55"/>
      </w:pPr>
      <w:r>
        <w:rPr>
          <w:rFonts w:hint="eastAsia"/>
        </w:rPr>
        <w:t>加大保障性住房供给。强化政府责任，加大保障性安居工程建设力度，基本解决保障性住房供应不足的问题。多渠道筹集廉租房房源，完善租赁补贴制度，稳步扩大覆盖范围。大力发展公共租赁住房，使其成为保障性住房的主体，逐步将新就业职工和符合条件的外来务工人员纳入供应范围。加大财政投入，引导社会资金参与保障性住房建设运营。加强保障性住房管理，制定公平合理、公开透明的保障性住房配租政策和程序，严格规范准入、退出管理和租费标准。</w:t>
      </w:r>
    </w:p>
    <w:p>
      <w:pPr>
        <w:pStyle w:val="55"/>
      </w:pPr>
      <w:r>
        <w:rPr>
          <w:rFonts w:hint="eastAsia"/>
        </w:rPr>
        <w:t>改善房地产市场调控。把保障基本住房、稳定房价和加强市场监管纳入经济社会发展的工作目标。完善土地供应政策，增加居民用地供应总量，有效扩大普通商品住房供给。完善住房公积金制度，扩大覆盖范围。</w:t>
      </w:r>
    </w:p>
    <w:p>
      <w:pPr>
        <w:pStyle w:val="55"/>
        <w:ind w:firstLine="643"/>
      </w:pPr>
      <w:r>
        <w:rPr>
          <w:rFonts w:hint="eastAsia"/>
          <w:b/>
        </w:rPr>
        <w:t>建立城乡社会救助体系。</w:t>
      </w:r>
      <w:r>
        <w:rPr>
          <w:rFonts w:hint="eastAsia"/>
        </w:rPr>
        <w:t>建立与经济社会发展相适应的低保标准自然增长机制，加强城乡医疗救助与医疗保障制度的有效衔接，不断完善救助模式，扩大医疗救助覆盖面，最大限度满足困难群众的医疗救助需求。建立贫困残疾人基本养老、医疗保险补贴制度，帮助残疾人参加社会养老保险。完善城乡居民最低生活保障制度，保障困难群众基本生活。健全低保标准动态调整机制，逐步提高低保标准和补助水平。大力支持慈善事业发展，加快完善残疾人生活保障制度、流浪未成年人救助制度、困难学生教育救助制度，构建保基本、广覆盖的社会救助网络。加强对“三无”人群，特困人员的供养，提高农村五保户供养水平。着力做好外来人口的管理和救助工作。创新社会公共服务提供方式，增加公共服务供给，提高社会救助和公共服务共建能力、共享水平。</w:t>
      </w:r>
    </w:p>
    <w:p>
      <w:pPr>
        <w:pStyle w:val="55"/>
      </w:pPr>
    </w:p>
    <w:p>
      <w:pPr>
        <w:pStyle w:val="2"/>
        <w:spacing w:before="0" w:after="0" w:line="600" w:lineRule="exact"/>
        <w:jc w:val="center"/>
        <w:rPr>
          <w:rFonts w:eastAsia="黑体"/>
          <w:sz w:val="32"/>
          <w:szCs w:val="32"/>
        </w:rPr>
      </w:pPr>
      <w:bookmarkStart w:id="191" w:name="_Toc458171860"/>
      <w:r>
        <w:rPr>
          <w:rFonts w:eastAsia="黑体"/>
          <w:sz w:val="32"/>
          <w:szCs w:val="32"/>
        </w:rPr>
        <w:t>第二十章</w:t>
      </w:r>
      <w:r>
        <w:rPr>
          <w:rFonts w:hint="eastAsia" w:eastAsia="黑体"/>
          <w:sz w:val="32"/>
          <w:szCs w:val="32"/>
        </w:rPr>
        <w:t xml:space="preserve"> </w:t>
      </w:r>
      <w:r>
        <w:rPr>
          <w:rFonts w:eastAsia="黑体"/>
          <w:sz w:val="32"/>
          <w:szCs w:val="32"/>
        </w:rPr>
        <w:t>增强公共服务能力</w:t>
      </w:r>
      <w:bookmarkEnd w:id="191"/>
    </w:p>
    <w:p>
      <w:pPr>
        <w:pStyle w:val="4"/>
        <w:spacing w:before="0" w:after="0" w:line="600" w:lineRule="exact"/>
        <w:jc w:val="center"/>
        <w:rPr>
          <w:rFonts w:ascii="Times New Roman" w:hAnsi="Times New Roman" w:eastAsia="楷体_GB2312"/>
        </w:rPr>
      </w:pPr>
      <w:bookmarkStart w:id="192" w:name="_Toc440536872"/>
      <w:bookmarkStart w:id="193" w:name="_Toc458171861"/>
      <w:r>
        <w:rPr>
          <w:rFonts w:ascii="Times New Roman" w:hAnsi="Times New Roman" w:eastAsia="楷体_GB2312"/>
        </w:rPr>
        <w:t>第一节 提高教育发展水平</w:t>
      </w:r>
      <w:bookmarkEnd w:id="192"/>
      <w:bookmarkEnd w:id="193"/>
    </w:p>
    <w:p>
      <w:pPr>
        <w:pStyle w:val="55"/>
        <w:ind w:firstLine="643"/>
      </w:pPr>
      <w:bookmarkStart w:id="194" w:name="_Toc440536873"/>
      <w:r>
        <w:rPr>
          <w:rFonts w:hint="eastAsia"/>
          <w:b/>
        </w:rPr>
        <w:t>提高教育保障水平。</w:t>
      </w:r>
      <w:r>
        <w:rPr>
          <w:rFonts w:hint="eastAsia"/>
        </w:rPr>
        <w:t>坚持优先发展教育，加大对义务教育的投入力度，推动义务教育均衡发展，普及高中阶段教育，逐步分类推进中职业教育教育免除学杂费，教育资源向农村和薄弱学校倾斜，实现义务教育均衡发展。加快学前教育建设，构建覆盖城乡的学前教育公共服务体系，保障适龄儿童接受基本学前教育，到2020年，学前三年适龄儿童入园率达到98%以上。合理规划学校布局，实施中小学、幼儿园办学条件改善工程，每个镇建成一所中心幼儿园，全部行政村都有幼儿园。加快标准化寄宿制学校建设，义务段标准化学校达到80%，初中学龄学生入学率达到98%以上，中小学教育信息化水平显著提高。采取有效措施，切实保障困难群体和外来务工人员子女就学。</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做强做精职业教育。</w:t>
      </w:r>
      <w:r>
        <w:rPr>
          <w:rFonts w:hint="eastAsia" w:ascii="仿宋_GB2312" w:hAnsi="Times New Roman" w:eastAsia="仿宋_GB2312"/>
          <w:sz w:val="32"/>
          <w:szCs w:val="32"/>
        </w:rPr>
        <w:t>以提升职业院校办学水平和提高技术技能人才培养质量为重点，理顺职业教育管理体制，整合职业教育资源，优化职业院校布局和专业结构，推进职业教育产教深度融合。加快广西（柳州）职业技能公共实训基地建设。以国际标准为引领，加快柳州职业教育国际化进程，加强职业教育国际交流合作，建成服务柳州、示范广西、影响全国、辐射东盟的全国职业教育示范城市。在全区率先构建现代职业教育体系，推进产业链和人才培养链融合发展。促进教育公平，实施家庭经济困难学生资助及营养改善工程，加强进城务工人员子女教育和农村留守儿童教育，逐步分类推进中等教育免除学杂费。</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大力发展高等教育。</w:t>
      </w:r>
      <w:r>
        <w:rPr>
          <w:rFonts w:hint="eastAsia" w:ascii="仿宋_GB2312" w:hAnsi="Times New Roman" w:eastAsia="仿宋_GB2312"/>
          <w:sz w:val="32"/>
          <w:szCs w:val="32"/>
        </w:rPr>
        <w:t>支持广西科技大学提升办学条件和实力，加快建设广西科技大学汽车学院。着力引进著名大学在柳设立分校，规划新建综合性大学。加强学术交流与合作，深化校企融合。提高高校教学水平和创新能力，优化学科专业布局和人才培养机制，畅通继续教育、终身学习通道，大力发展成人高等教育，全面加强学习型社会建设。</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扎实办好特殊教育。</w:t>
      </w:r>
      <w:r>
        <w:rPr>
          <w:rFonts w:hint="eastAsia" w:ascii="仿宋_GB2312" w:hAnsi="Times New Roman" w:eastAsia="仿宋_GB2312"/>
          <w:sz w:val="32"/>
          <w:szCs w:val="32"/>
        </w:rPr>
        <w:t>积极发展特殊教育，加快建立布局合理、学段衔接、医教结合的特殊教育体系，提高适龄残疾儿童入学率。加快发展以职业教育为主的残疾人高中阶段教育。加强残疾儿童学前教育，实施特殊教育学校标准化建设。</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全面实施素质教育。</w:t>
      </w:r>
      <w:r>
        <w:rPr>
          <w:rFonts w:hint="eastAsia" w:ascii="仿宋_GB2312" w:hAnsi="Times New Roman" w:eastAsia="仿宋_GB2312"/>
          <w:sz w:val="32"/>
          <w:szCs w:val="32"/>
        </w:rPr>
        <w:t>全面深入实施素质教育，深化招生考试制度改革。推进多元化办学体制改革，支持和规范民办教育发展，健全政府主导、社会参与、办学主体多元、办学形式多样的办学体制。加强教师队伍建设，打造高素质的教师队伍。注重增强学生社会责任感、创新精神和实践能力。着重培养学生的爱国情怀，自觉践行社会主义核心价值观。注重学生素质能力培养，切实减轻学生课业负担，培养德智体全面发展的社会主义建设者和接班人。</w:t>
      </w:r>
    </w:p>
    <w:p>
      <w:pPr>
        <w:pStyle w:val="55"/>
      </w:pPr>
    </w:p>
    <w:p>
      <w:pPr>
        <w:pStyle w:val="4"/>
        <w:spacing w:before="0" w:after="0" w:line="600" w:lineRule="exact"/>
        <w:jc w:val="center"/>
        <w:rPr>
          <w:rFonts w:ascii="Times New Roman" w:hAnsi="Times New Roman" w:eastAsia="楷体_GB2312"/>
        </w:rPr>
      </w:pPr>
      <w:bookmarkStart w:id="195" w:name="_Toc458171862"/>
      <w:r>
        <w:rPr>
          <w:rFonts w:ascii="Times New Roman" w:hAnsi="Times New Roman" w:eastAsia="楷体_GB2312"/>
        </w:rPr>
        <w:t>第二节 推进健康城市建设</w:t>
      </w:r>
      <w:bookmarkEnd w:id="194"/>
      <w:bookmarkEnd w:id="195"/>
    </w:p>
    <w:p>
      <w:pPr>
        <w:pStyle w:val="55"/>
      </w:pPr>
      <w:bookmarkStart w:id="196" w:name="_Toc440536874"/>
      <w:r>
        <w:rPr>
          <w:rFonts w:hint="eastAsia"/>
        </w:rPr>
        <w:t>以深化医药卫生体制改革为统领，按照保基本、强基层、建机制的要求，优化卫生资源配置，切实解决群众“看病难、看病贵”问题。</w:t>
      </w:r>
    </w:p>
    <w:p>
      <w:pPr>
        <w:pStyle w:val="55"/>
        <w:ind w:firstLine="643"/>
      </w:pPr>
      <w:r>
        <w:rPr>
          <w:rFonts w:hint="eastAsia"/>
          <w:b/>
        </w:rPr>
        <w:t>切实加强公共卫生。</w:t>
      </w:r>
      <w:r>
        <w:rPr>
          <w:rFonts w:hint="eastAsia"/>
        </w:rPr>
        <w:t>健全疾病预防、妇幼保健、精神卫生、应急救治、卫生监督等公共卫生服务网络，逐步提高人均公共卫生经费标准，提高突发性重大公共卫生事件处置能力。普及健康教育，推行公共场所禁烟。大力推行城乡居民电子健康档案制度，提高市民预期寿命。</w:t>
      </w:r>
    </w:p>
    <w:p>
      <w:pPr>
        <w:pStyle w:val="55"/>
        <w:ind w:firstLine="643"/>
      </w:pPr>
      <w:r>
        <w:rPr>
          <w:rFonts w:hint="eastAsia"/>
          <w:b/>
        </w:rPr>
        <w:t>不断完善城乡医疗服务体系。</w:t>
      </w:r>
      <w:r>
        <w:rPr>
          <w:rFonts w:hint="eastAsia"/>
        </w:rPr>
        <w:t>健全农村医疗卫生服务网络。完善以社区卫生服务为基础的新型城市医疗卫生服务体系，不断加大社会力量举办的比重。加快构建城乡各级医疗机构分级诊疗、双向转诊制度和分工协作格局。</w:t>
      </w:r>
    </w:p>
    <w:p>
      <w:pPr>
        <w:pStyle w:val="55"/>
      </w:pPr>
      <w:r>
        <w:rPr>
          <w:rFonts w:hint="eastAsia"/>
        </w:rPr>
        <w:t>建设汽车城三甲医院。切实推进医疗卫生行业管办分离，深化公立医院人事制度和分配制度改革。细化和落实国家鼓励社会资本发展医疗卫生的政策，逐步缓解“看病难、看病贵”的问题。</w:t>
      </w:r>
    </w:p>
    <w:p>
      <w:pPr>
        <w:pStyle w:val="55"/>
        <w:ind w:firstLine="643"/>
      </w:pPr>
      <w:r>
        <w:rPr>
          <w:rFonts w:hint="eastAsia"/>
          <w:b/>
        </w:rPr>
        <w:t>有效提高医疗保障能力和水平。</w:t>
      </w:r>
      <w:r>
        <w:rPr>
          <w:rFonts w:hint="eastAsia"/>
        </w:rPr>
        <w:t>健全基本医疗保障体系，进一步完善城镇职工、城市居民、新农合等医疗保险和城乡医疗救助制度，全面实施城乡居民大病保险制度，逐步整合各项医疗保险，实现城镇职工基本医疗保险市级统筹。提高城镇职工和居民医保的住院费用报销比例，逐步扩大和提高门诊费用报销范围和比例。</w:t>
      </w:r>
    </w:p>
    <w:p>
      <w:pPr>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全面提高医疗质量和服务水平。</w:t>
      </w:r>
      <w:r>
        <w:rPr>
          <w:rFonts w:hint="eastAsia" w:ascii="仿宋_GB2312" w:hAnsi="Times New Roman" w:eastAsia="仿宋_GB2312"/>
          <w:sz w:val="32"/>
          <w:szCs w:val="32"/>
        </w:rPr>
        <w:t>建立和完善医疗质量管理控制、医疗机构评价、临床路径管理三大体系，推进重大疾病规范化诊疗工作。建立和完善医疗技术准入管理制度，加强医疗技术和人员资格准入，实施动态管理，落实患者安全目标。加快推进预约挂号信息平台建设。实施优质护理服务示范工程，全面落实同级医疗机构检查检验结果互认制度。加大医务人员培训力度，提升医疗服务水平。健全医疗纠纷调解机制，建立和谐医患关系。推进以全科医生、家庭医生为基础，以居民慢病全周期服务为核心的的区域大健康服务体系，将健康服务延伸至居民家庭，提高区域内医疗服务能力。加大对外开放合作力度，促进技术交流，提高医疗质量和服务水平。加快以影象中心、医院HIS系统为重点的区域卫生计生信息平台建设。大力打造“柳东健康云”，建立互联互通的市级人口健康区域信息共享平台。加快推进远程医疗和居民健康卡建设及应用。</w:t>
      </w:r>
    </w:p>
    <w:p>
      <w:pPr>
        <w:pStyle w:val="4"/>
        <w:spacing w:before="0" w:after="0" w:line="600" w:lineRule="exact"/>
        <w:jc w:val="center"/>
        <w:rPr>
          <w:rFonts w:ascii="Times New Roman" w:hAnsi="Times New Roman" w:eastAsia="楷体_GB2312"/>
        </w:rPr>
      </w:pPr>
      <w:bookmarkStart w:id="197" w:name="_Toc458171863"/>
      <w:r>
        <w:rPr>
          <w:rFonts w:ascii="Times New Roman" w:hAnsi="Times New Roman" w:eastAsia="楷体_GB2312"/>
        </w:rPr>
        <w:t>第三节 完善现代公共文化</w:t>
      </w:r>
      <w:r>
        <w:rPr>
          <w:rFonts w:hint="eastAsia" w:ascii="Times New Roman" w:hAnsi="Times New Roman" w:eastAsia="楷体_GB2312"/>
        </w:rPr>
        <w:t>体育</w:t>
      </w:r>
      <w:r>
        <w:rPr>
          <w:rFonts w:ascii="Times New Roman" w:hAnsi="Times New Roman" w:eastAsia="楷体_GB2312"/>
        </w:rPr>
        <w:t>服务体系</w:t>
      </w:r>
      <w:bookmarkEnd w:id="196"/>
      <w:bookmarkEnd w:id="197"/>
    </w:p>
    <w:p>
      <w:pPr>
        <w:pStyle w:val="55"/>
        <w:ind w:firstLine="643"/>
      </w:pPr>
      <w:bookmarkStart w:id="198" w:name="_Toc440536875"/>
      <w:r>
        <w:rPr>
          <w:rFonts w:hint="eastAsia"/>
          <w:b/>
        </w:rPr>
        <w:t>积极发展文化事业。</w:t>
      </w:r>
      <w:r>
        <w:rPr>
          <w:rFonts w:hint="eastAsia"/>
        </w:rPr>
        <w:t>统筹规划建设综合的公共文化设施。高起点、大手笔规划建设包含主要建设汽车城科技文化中心、汽车产业培训学校以及汽车学院、汽车城会展中心，并按照新区、社区（乡镇）、小区（村）三级配套，逐步建立与辖区人口比例相适应的图书馆（室）和文化馆（站）等文化设施。</w:t>
      </w:r>
    </w:p>
    <w:p>
      <w:pPr>
        <w:pStyle w:val="55"/>
        <w:ind w:firstLine="643"/>
      </w:pPr>
      <w:r>
        <w:rPr>
          <w:rFonts w:hint="eastAsia"/>
          <w:b/>
        </w:rPr>
        <w:t>大力发展公益性文化事业。</w:t>
      </w:r>
      <w:r>
        <w:rPr>
          <w:rFonts w:hint="eastAsia"/>
        </w:rPr>
        <w:t>加大公共财政对文化设施投入，重点向基层社区、农村倾斜，实现镇有文化站、村有文化室的文化场馆网络格局。鼓励、引导和支持社会资本参与文化事业建设，积极发展新型文化业态。到2020年，基本建成覆盖城乡、群众满意、运行高效的公共文化服务体系。</w:t>
      </w:r>
    </w:p>
    <w:p>
      <w:pPr>
        <w:pStyle w:val="55"/>
        <w:ind w:firstLine="643"/>
      </w:pPr>
      <w:r>
        <w:rPr>
          <w:rFonts w:hint="eastAsia"/>
          <w:b/>
        </w:rPr>
        <w:t>不断完善发展体育事业健全全民健身体系。</w:t>
      </w:r>
      <w:r>
        <w:rPr>
          <w:rFonts w:hint="eastAsia"/>
        </w:rPr>
        <w:t>确保群众体育处于柳州先进水平。以综合运动场为建设核心，完善社区体育设施。启动建设3处体育用地，分别位于官塘中心片区（柳东大道以南）、北外环北片汽车文化主题公园北侧及北部中心片区，均结合周边优美的山水环境设置。</w:t>
      </w:r>
    </w:p>
    <w:p>
      <w:pPr>
        <w:pStyle w:val="55"/>
      </w:pPr>
      <w:r>
        <w:rPr>
          <w:rFonts w:hint="eastAsia"/>
        </w:rPr>
        <w:t>建设一批“社区全民健身路径”、农民体育健身广场和群众体育活动站。加强公共体育设施建设。全面发展体育产业，重点发展体育健身休闲市场。</w:t>
      </w:r>
    </w:p>
    <w:p>
      <w:pPr>
        <w:tabs>
          <w:tab w:val="left" w:pos="4815"/>
        </w:tabs>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创新发展文化产业。</w:t>
      </w:r>
      <w:r>
        <w:rPr>
          <w:rFonts w:hint="eastAsia" w:ascii="仿宋_GB2312" w:hAnsi="Times New Roman" w:eastAsia="仿宋_GB2312"/>
          <w:sz w:val="32"/>
          <w:szCs w:val="32"/>
        </w:rPr>
        <w:t>加快发展文化产业，以重大项目为带动，以骨干企业和文化品牌为龙头，以产业示范基地、园区为载体，推动文化产业规模化、集约化、专业化发展，努力构建具有柳东特色的文化产业体系。完善文化产业发展政策，积极培育文化创意产业园区。加大对文化产业创意人才的培养力度，加快文化创意产业发展。积极鼓励和引导风险投资和社会资本参与文化产业建设，探索文化产权交易机制。</w:t>
      </w:r>
    </w:p>
    <w:p>
      <w:pPr>
        <w:tabs>
          <w:tab w:val="left" w:pos="4815"/>
        </w:tabs>
        <w:spacing w:line="600" w:lineRule="exact"/>
        <w:ind w:firstLine="643" w:firstLineChars="200"/>
        <w:rPr>
          <w:rFonts w:ascii="仿宋_GB2312" w:hAnsi="Times New Roman" w:eastAsia="仿宋_GB2312"/>
          <w:sz w:val="32"/>
          <w:szCs w:val="32"/>
        </w:rPr>
      </w:pPr>
      <w:r>
        <w:rPr>
          <w:rFonts w:hint="eastAsia" w:ascii="仿宋_GB2312" w:hAnsi="Times New Roman" w:eastAsia="仿宋_GB2312"/>
          <w:b/>
          <w:sz w:val="32"/>
          <w:szCs w:val="32"/>
        </w:rPr>
        <w:t>广泛开展群众性文化活动。</w:t>
      </w:r>
      <w:r>
        <w:rPr>
          <w:rFonts w:hint="eastAsia" w:ascii="仿宋_GB2312" w:hAnsi="Times New Roman" w:eastAsia="仿宋_GB2312"/>
          <w:sz w:val="32"/>
          <w:szCs w:val="32"/>
        </w:rPr>
        <w:t>深入实施文化惠民工程，广泛开展群众文化活动，倡导全民阅读，提升群众精神文化生活水平。大力开展群众文化活动，继续深入开展全民阅读活动。扶持民间文化组织，提升群众参与度，繁荣业余创作，力争获国家级、自治区级群星奖。以节庆活动为契机，广泛开展丰富多彩的群众性文化活动。加大文化和自然遗产、非物质文化遗产保护力度，逐步实现面向公众开放、展示。</w:t>
      </w:r>
    </w:p>
    <w:p>
      <w:pPr>
        <w:pStyle w:val="55"/>
      </w:pPr>
    </w:p>
    <w:p>
      <w:pPr>
        <w:keepNext/>
        <w:keepLines/>
        <w:spacing w:line="600" w:lineRule="exact"/>
        <w:jc w:val="center"/>
        <w:outlineLvl w:val="0"/>
        <w:rPr>
          <w:rFonts w:ascii="Times New Roman" w:hAnsi="Times New Roman" w:eastAsia="黑体"/>
          <w:b/>
          <w:bCs/>
          <w:kern w:val="44"/>
          <w:sz w:val="32"/>
          <w:szCs w:val="32"/>
        </w:rPr>
      </w:pPr>
      <w:bookmarkStart w:id="199" w:name="_Toc458171864"/>
      <w:r>
        <w:rPr>
          <w:rFonts w:ascii="Times New Roman" w:hAnsi="Times New Roman" w:eastAsia="黑体"/>
          <w:b/>
          <w:bCs/>
          <w:kern w:val="44"/>
          <w:sz w:val="32"/>
          <w:szCs w:val="32"/>
        </w:rPr>
        <w:t>第</w:t>
      </w:r>
      <w:r>
        <w:rPr>
          <w:rFonts w:ascii="Times New Roman" w:hAnsi="Times New Roman" w:eastAsia="黑体"/>
          <w:b/>
          <w:bCs/>
          <w:kern w:val="44"/>
          <w:sz w:val="32"/>
          <w:szCs w:val="32"/>
          <w:lang w:val="zh-CN"/>
        </w:rPr>
        <w:t>二</w:t>
      </w:r>
      <w:r>
        <w:rPr>
          <w:rFonts w:ascii="Times New Roman" w:hAnsi="Times New Roman" w:eastAsia="黑体"/>
          <w:b/>
          <w:bCs/>
          <w:kern w:val="44"/>
          <w:sz w:val="32"/>
          <w:szCs w:val="32"/>
        </w:rPr>
        <w:t>十</w:t>
      </w:r>
      <w:r>
        <w:rPr>
          <w:rFonts w:hint="eastAsia" w:ascii="Times New Roman" w:hAnsi="Times New Roman" w:eastAsia="黑体"/>
          <w:b/>
          <w:bCs/>
          <w:kern w:val="44"/>
          <w:sz w:val="32"/>
          <w:szCs w:val="32"/>
          <w:lang w:val="zh-CN"/>
        </w:rPr>
        <w:t>一</w:t>
      </w:r>
      <w:r>
        <w:rPr>
          <w:rFonts w:ascii="Times New Roman" w:hAnsi="Times New Roman" w:eastAsia="黑体"/>
          <w:b/>
          <w:bCs/>
          <w:kern w:val="44"/>
          <w:sz w:val="32"/>
          <w:szCs w:val="32"/>
          <w:lang w:val="zh-CN"/>
        </w:rPr>
        <w:t>章</w:t>
      </w:r>
      <w:r>
        <w:rPr>
          <w:rFonts w:ascii="Times New Roman" w:hAnsi="Times New Roman" w:eastAsia="黑体"/>
          <w:b/>
          <w:bCs/>
          <w:kern w:val="44"/>
          <w:sz w:val="32"/>
          <w:szCs w:val="32"/>
        </w:rPr>
        <w:t xml:space="preserve"> 加强和创新社会治理</w:t>
      </w:r>
      <w:bookmarkEnd w:id="198"/>
      <w:bookmarkEnd w:id="199"/>
    </w:p>
    <w:p>
      <w:pPr>
        <w:pStyle w:val="55"/>
      </w:pPr>
      <w:r>
        <w:t>完善党委领导、政府主导、社会协同、公众参与、法治保障的社会治理体制，健全利益表达、利益协调、利益保护机制，推进社会治理精细化，提升社会治理水平，构建全民共建共享的社会多元治理格局，凝聚改革共识，汇集发展力量。</w:t>
      </w:r>
    </w:p>
    <w:p>
      <w:pPr>
        <w:pStyle w:val="4"/>
        <w:spacing w:before="0" w:after="0" w:line="600" w:lineRule="exact"/>
        <w:jc w:val="center"/>
        <w:rPr>
          <w:rFonts w:ascii="Times New Roman" w:hAnsi="Times New Roman" w:eastAsia="楷体_GB2312"/>
          <w:bCs w:val="0"/>
        </w:rPr>
      </w:pPr>
      <w:bookmarkStart w:id="200" w:name="_Toc440049455"/>
      <w:bookmarkStart w:id="201" w:name="_Toc440536876"/>
      <w:bookmarkStart w:id="202" w:name="_Toc458171865"/>
      <w:r>
        <w:rPr>
          <w:rFonts w:hint="eastAsia" w:ascii="Times New Roman" w:hAnsi="Times New Roman" w:eastAsia="楷体_GB2312"/>
          <w:bCs w:val="0"/>
        </w:rPr>
        <w:t xml:space="preserve">第一节 </w:t>
      </w:r>
      <w:r>
        <w:rPr>
          <w:rFonts w:ascii="Times New Roman" w:hAnsi="Times New Roman" w:eastAsia="楷体_GB2312"/>
          <w:bCs w:val="0"/>
        </w:rPr>
        <w:t>提升社会治理水平</w:t>
      </w:r>
      <w:bookmarkEnd w:id="200"/>
      <w:bookmarkEnd w:id="201"/>
      <w:bookmarkEnd w:id="202"/>
    </w:p>
    <w:p>
      <w:pPr>
        <w:pStyle w:val="55"/>
      </w:pPr>
      <w:r>
        <w:rPr>
          <w:rFonts w:hint="eastAsia"/>
        </w:rPr>
        <w:t>推进系统治理、依法治理、综合治理和源头治理，推动社会治理体系和治理能力现代化走在前列。坚持网格化管理、信息化支撑和社会化服务，推动社会治理精细化，实现政府治理、社会自我调节和居民自治的良性互动。</w:t>
      </w:r>
    </w:p>
    <w:p>
      <w:pPr>
        <w:pStyle w:val="55"/>
        <w:ind w:firstLine="643"/>
      </w:pPr>
      <w:r>
        <w:rPr>
          <w:rFonts w:hint="eastAsia"/>
          <w:b/>
        </w:rPr>
        <w:t>创新社会治理方式。</w:t>
      </w:r>
      <w:r>
        <w:rPr>
          <w:rFonts w:hint="eastAsia"/>
        </w:rPr>
        <w:t>加强法治保障，运用法治思维和法治方式化解社会矛盾。坚持综合治理，强化道德约束，规范社会行为，解决社会问题。理顺城管执法体制，提高执法服务水平。加大依法管理网络力度，坚持建管并重加强网络安全和信息化建设，确保网络和信息安全，规范网络、新媒体传播秩序。强化危害食品药品安全、影响安全生产、损害生态环境等重点问题的治理。健全重大决策和重大工程项目社会稳定风险评估机制。加强征信系统建设。完善基层群众自治制度，建立政社分开、权责明确、依法自治的现代社会组织体制，推进基层治理法治化。</w:t>
      </w:r>
    </w:p>
    <w:p>
      <w:pPr>
        <w:pStyle w:val="55"/>
        <w:ind w:firstLine="643"/>
      </w:pPr>
      <w:r>
        <w:rPr>
          <w:rFonts w:hint="eastAsia"/>
          <w:b/>
        </w:rPr>
        <w:t>推进社区多元共治。</w:t>
      </w:r>
      <w:r>
        <w:rPr>
          <w:rFonts w:hint="eastAsia"/>
        </w:rPr>
        <w:t>加快公共服务向城镇社区延伸，整合劳动就业、社保、民政、卫计、文化以及综治、维稳、信访等管理职能和服务资源，健全社区综合服务管理平台。加强基层协商民主建设，健全重大民生决策公众咨询监督机制，建立健全社区议事平台和协商工作机制。完善网格化管理和社会化服务，健全基层综合服务管理平台，及时反映、协调群众各方面利益诉求。扶持发展、规范管理社会组织，构建社会组织长效监管体系。健全社会工作服务体系，提升社会工作规范化、专业化、职业化水平，建立完善社工、志愿者联动工作机制。探索新型农村社区建设模式和农民生产生活社会化服务模式，健全农村基层治理体系。完善“两代表一委员”直接联系群众制度，实现党员干部直接联系群众全覆盖、常态化和制度化。</w:t>
      </w:r>
    </w:p>
    <w:p>
      <w:pPr>
        <w:pStyle w:val="55"/>
        <w:ind w:firstLine="643"/>
      </w:pPr>
      <w:r>
        <w:rPr>
          <w:rFonts w:hint="eastAsia"/>
          <w:b/>
        </w:rPr>
        <w:t>促进社会融合发展。</w:t>
      </w:r>
      <w:r>
        <w:rPr>
          <w:rFonts w:hint="eastAsia"/>
        </w:rPr>
        <w:t>进一步强化流动人口服务管理，全面落实居住证制度，开展“新柳东人”融合行动计划，稳步推进基本公共服务常住人口全覆盖和来柳人员市民化。加强和改进城市民族工作，完善少数民族流动人口服务和管理。引导宗教与社会主义社会相适应，发挥宗教界人士和信教群众在促进经济社会发展中的积极作用。推进军民融合深度发展，健全军地协同发展机制，在先进技术、产业产品、基础设施等重点项目中融入国防需求，增强国防观念，加强后备力量建设，大力发展人民防空事业，持续争创全国双拥模范区。</w:t>
      </w:r>
    </w:p>
    <w:p>
      <w:pPr>
        <w:pStyle w:val="4"/>
        <w:spacing w:before="0" w:after="0" w:line="600" w:lineRule="exact"/>
        <w:jc w:val="center"/>
        <w:rPr>
          <w:rFonts w:ascii="Times New Roman" w:hAnsi="Times New Roman" w:eastAsia="楷体_GB2312"/>
          <w:bCs w:val="0"/>
        </w:rPr>
      </w:pPr>
      <w:bookmarkStart w:id="203" w:name="_Toc440536877"/>
      <w:bookmarkStart w:id="204" w:name="_Toc458171866"/>
      <w:r>
        <w:rPr>
          <w:rFonts w:hint="eastAsia" w:ascii="Times New Roman" w:hAnsi="Times New Roman" w:eastAsia="楷体_GB2312"/>
          <w:bCs w:val="0"/>
        </w:rPr>
        <w:t xml:space="preserve">第二节 </w:t>
      </w:r>
      <w:r>
        <w:rPr>
          <w:rFonts w:ascii="Times New Roman" w:hAnsi="Times New Roman" w:eastAsia="楷体_GB2312"/>
          <w:bCs w:val="0"/>
        </w:rPr>
        <w:t>建设平安柳</w:t>
      </w:r>
      <w:bookmarkEnd w:id="203"/>
      <w:r>
        <w:rPr>
          <w:rFonts w:hint="eastAsia" w:ascii="Times New Roman" w:hAnsi="Times New Roman" w:eastAsia="楷体_GB2312"/>
          <w:bCs w:val="0"/>
        </w:rPr>
        <w:t>东</w:t>
      </w:r>
      <w:bookmarkEnd w:id="204"/>
    </w:p>
    <w:p>
      <w:pPr>
        <w:pStyle w:val="55"/>
      </w:pPr>
      <w:r>
        <w:rPr>
          <w:rFonts w:hint="eastAsia"/>
        </w:rPr>
        <w:t xml:space="preserve">深入推进“平安柳东”建设，牢固树立安全发展观念，加强全民安全意识教育，引导社会成员共同防控风险，坚持预防、监管、治理相结合，建立统一领导、资源共享、快速高效的公共安全保障网络，建成安全保障型城市。 </w:t>
      </w:r>
    </w:p>
    <w:p>
      <w:pPr>
        <w:pStyle w:val="55"/>
        <w:ind w:firstLine="643"/>
      </w:pPr>
      <w:r>
        <w:rPr>
          <w:rFonts w:hint="eastAsia"/>
          <w:b/>
        </w:rPr>
        <w:t>完善社会治安防控体系。</w:t>
      </w:r>
      <w:r>
        <w:rPr>
          <w:rFonts w:hint="eastAsia"/>
        </w:rPr>
        <w:t>组织落实《柳东新区“十三五”社会治安防控体系建设规划》，进一步强化社会治安综合治理，加快完善立体化治安防控体系。强化治安重点地区和问题的排查整治，深入开展全民禁毒和反恐斗争，严密防范和依法打击危害国家安全和社会安全的各种违法犯罪活动。提高治安管理法信息化和数字化水平，全面加强交通、消防等公共安全基础设施建设，努力创造人民满意的平安环境。</w:t>
      </w:r>
    </w:p>
    <w:p>
      <w:pPr>
        <w:pStyle w:val="55"/>
        <w:ind w:firstLine="643"/>
      </w:pPr>
      <w:r>
        <w:rPr>
          <w:rFonts w:hint="eastAsia"/>
          <w:b/>
        </w:rPr>
        <w:t>强化生产安全工作。</w:t>
      </w:r>
      <w:r>
        <w:rPr>
          <w:rFonts w:hint="eastAsia"/>
        </w:rPr>
        <w:t>实行党政同责、一岗双责、失职追责，加强安全生产法治建设，完善和落实安全生产责任和管理制度。夯实安全生产基层基础，突出企业主体责任，提高政府监管能力，强化监察执法，增强全民安全意识。推进实施危化、建设以及高层建筑消防等重点行业及领域的安全治本措施，推进企业安全标准化生产，坚决防范重特大事故。切实加强危险化学品、油气管道等管理，实施危险化学品和化工企业生产、仓储安全环保搬迁工程。建立最严格的覆盖全过程的食品药品监管制度，落实食品药品企业生产经营者首负责任制和质量安全责任追究制度，有效防范和化解食品药品安全风险。加强交通安全管理，实施交通安全“生命工程”。</w:t>
      </w:r>
    </w:p>
    <w:p>
      <w:pPr>
        <w:pStyle w:val="55"/>
        <w:ind w:firstLine="643"/>
      </w:pPr>
      <w:r>
        <w:rPr>
          <w:rFonts w:hint="eastAsia"/>
          <w:b/>
        </w:rPr>
        <w:t>维护社会稳定安全。</w:t>
      </w:r>
      <w:r>
        <w:rPr>
          <w:rFonts w:hint="eastAsia"/>
        </w:rPr>
        <w:t>深入推进社会矛盾化解、社会治理创新、公正廉洁执法三项重点工作，着力解决影响社会和谐稳定的源头性、根本性、基础性问题。完善社会矛盾排查预警和调处化解综合机制，加大重点领域和重大社会矛盾化解力度，推进诉前联调工作，深化涉法涉诉信访制度改革，把信访纳入法治轨道。加大社会矛盾调解力度，建立人民调解、行政调解、司法调解紧密衔接的大调解格局，健全党和政府主导的维护群众权益机制。增强风险意识，开展城市安全风险评估，完善重大决策社会稳定风险评估制度。拓宽社情民意表达渠道，建立健全群众诉求表达机制，完善公众决策的社会公示制度、公众听证制度和专家咨询论证制度，扩大公众参与程度。</w:t>
      </w:r>
    </w:p>
    <w:p>
      <w:pPr>
        <w:pStyle w:val="55"/>
        <w:ind w:firstLine="643"/>
      </w:pPr>
      <w:r>
        <w:rPr>
          <w:rFonts w:hint="eastAsia"/>
          <w:b/>
        </w:rPr>
        <w:t>加强社会应急管理体系建设。</w:t>
      </w:r>
      <w:r>
        <w:rPr>
          <w:rFonts w:hint="eastAsia"/>
        </w:rPr>
        <w:t>加强安全宣传教育，提高安全事故应急处置能力。按照预防与应急并重、常态与非常态结合原则，建立健全突发事件应急管理体制、机制和法制。着力增强气象、地质等重大自然、事故灾难、公共卫生和社会安全事件预防控制、应急处置、救助保障和恢复重建能力。加强资源整合和协调互动，提高应急管理信息化水平，增强快速反应和应急联动能力。按照平战结合的要求，全面加强国防动员体系和社会动员应急机制建设，进一步完善军地协同应急工作机制，提高综合应急能力。</w:t>
      </w:r>
    </w:p>
    <w:p>
      <w:pPr>
        <w:pStyle w:val="4"/>
        <w:spacing w:before="0" w:after="0" w:line="600" w:lineRule="exact"/>
        <w:jc w:val="center"/>
        <w:rPr>
          <w:rFonts w:ascii="Times New Roman" w:hAnsi="Times New Roman" w:eastAsia="楷体_GB2312"/>
        </w:rPr>
      </w:pPr>
      <w:bookmarkStart w:id="205" w:name="_Toc440536878"/>
      <w:bookmarkStart w:id="206" w:name="_Toc458171867"/>
      <w:r>
        <w:rPr>
          <w:rFonts w:ascii="Times New Roman" w:hAnsi="Times New Roman" w:eastAsia="楷体_GB2312"/>
        </w:rPr>
        <w:t>第三节 提高防灾减灾能力</w:t>
      </w:r>
      <w:bookmarkEnd w:id="205"/>
      <w:bookmarkEnd w:id="206"/>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进一步完善网架结构，提升电力、能源、交通、生态、信息等城市安全运行保障系统网络化水平。进一步完善城市防灾减灾体系，加强自然灾害、安全事故、恐怖袭击等的监测、预警和应急处置，提高事前预警、事中救援和事后恢复的灾害综合处理能力。完善社会应急管理机制，提高应对突发公共事件和自然灾害能力。加强救灾物资储备和救灾装备配置，建设</w:t>
      </w:r>
      <w:r>
        <w:rPr>
          <w:rFonts w:hint="eastAsia" w:ascii="Times New Roman" w:hAnsi="Times New Roman" w:eastAsia="仿宋_GB2312"/>
          <w:sz w:val="32"/>
          <w:szCs w:val="32"/>
        </w:rPr>
        <w:t>区级</w:t>
      </w:r>
      <w:r>
        <w:rPr>
          <w:rFonts w:ascii="Times New Roman" w:hAnsi="Times New Roman" w:eastAsia="仿宋_GB2312"/>
          <w:sz w:val="32"/>
          <w:szCs w:val="32"/>
        </w:rPr>
        <w:t>灾难应急转移安置中心，全面提高应对突发公共事件和自然灾害能力。完善落实城乡消防规划，深入实施社会消防安全“防火墙”工程，建立健全公共消防安全体系，加强公共防灾和应急救援建设，重点提高高层建筑、工业园区、物流基地等公共场所的消防处置能力。构建气象公共服务体系，推进气象灾害预警和应急系统工程建设。普及全民防灾减灾知识，以供水、供电、供气和学校、医院、商场、娱乐场所安全为重点，提高综合防灾减灾意识。</w:t>
      </w:r>
    </w:p>
    <w:p>
      <w:pPr>
        <w:pStyle w:val="55"/>
      </w:pPr>
    </w:p>
    <w:p>
      <w:pPr>
        <w:pStyle w:val="2"/>
        <w:spacing w:before="0" w:after="0" w:line="600" w:lineRule="exact"/>
        <w:jc w:val="center"/>
        <w:rPr>
          <w:rFonts w:ascii="Times New Roman" w:hAnsi="Times New Roman" w:eastAsia="华文中宋" w:cs="Times New Roman"/>
          <w:lang w:val="zh-CN" w:eastAsia="zh-CN"/>
        </w:rPr>
      </w:pPr>
      <w:bookmarkStart w:id="207" w:name="_Toc458171868"/>
      <w:r>
        <w:rPr>
          <w:rFonts w:hint="eastAsia" w:ascii="Times New Roman" w:hAnsi="Times New Roman" w:eastAsia="华文中宋" w:cs="Times New Roman"/>
          <w:lang w:val="zh-CN" w:eastAsia="zh-CN"/>
        </w:rPr>
        <w:t>第七</w:t>
      </w:r>
      <w:bookmarkStart w:id="208" w:name="_Toc440394437"/>
      <w:r>
        <w:rPr>
          <w:rFonts w:hint="eastAsia" w:ascii="Times New Roman" w:hAnsi="Times New Roman" w:eastAsia="华文中宋" w:cs="Times New Roman"/>
          <w:lang w:val="zh-CN"/>
        </w:rPr>
        <w:t xml:space="preserve">篇 </w:t>
      </w:r>
      <w:r>
        <w:rPr>
          <w:rFonts w:ascii="Times New Roman" w:hAnsi="Times New Roman" w:eastAsia="华文中宋" w:cs="Times New Roman"/>
          <w:lang w:val="zh-CN" w:eastAsia="zh-CN"/>
        </w:rPr>
        <w:t>全面强化规划</w:t>
      </w:r>
      <w:r>
        <w:rPr>
          <w:rFonts w:hint="eastAsia" w:ascii="Times New Roman" w:hAnsi="Times New Roman" w:eastAsia="华文中宋" w:cs="Times New Roman"/>
          <w:lang w:val="zh-CN"/>
        </w:rPr>
        <w:t>保障</w:t>
      </w:r>
      <w:r>
        <w:rPr>
          <w:rFonts w:ascii="Times New Roman" w:hAnsi="Times New Roman" w:eastAsia="华文中宋" w:cs="Times New Roman"/>
          <w:lang w:val="zh-CN" w:eastAsia="zh-CN"/>
        </w:rPr>
        <w:t xml:space="preserve"> 奋力实现“十三五”蓝图</w:t>
      </w:r>
      <w:bookmarkEnd w:id="207"/>
      <w:bookmarkEnd w:id="208"/>
    </w:p>
    <w:p>
      <w:pPr>
        <w:pStyle w:val="2"/>
        <w:spacing w:before="0" w:after="0" w:line="600" w:lineRule="exact"/>
        <w:jc w:val="center"/>
        <w:rPr>
          <w:rFonts w:eastAsia="黑体"/>
          <w:sz w:val="32"/>
          <w:szCs w:val="32"/>
        </w:rPr>
      </w:pPr>
      <w:bookmarkStart w:id="209" w:name="_Toc440536880"/>
      <w:bookmarkStart w:id="210" w:name="_Toc458171869"/>
      <w:r>
        <w:rPr>
          <w:rFonts w:eastAsia="黑体"/>
          <w:sz w:val="32"/>
          <w:szCs w:val="32"/>
        </w:rPr>
        <w:t>第二十</w:t>
      </w:r>
      <w:r>
        <w:rPr>
          <w:rFonts w:hint="eastAsia" w:eastAsia="黑体"/>
          <w:sz w:val="32"/>
          <w:szCs w:val="32"/>
        </w:rPr>
        <w:t>二</w:t>
      </w:r>
      <w:r>
        <w:rPr>
          <w:rFonts w:eastAsia="黑体"/>
          <w:sz w:val="32"/>
          <w:szCs w:val="32"/>
        </w:rPr>
        <w:t>章</w:t>
      </w:r>
      <w:r>
        <w:rPr>
          <w:rFonts w:hint="eastAsia" w:eastAsia="黑体"/>
          <w:sz w:val="32"/>
          <w:szCs w:val="32"/>
        </w:rPr>
        <w:t xml:space="preserve"> </w:t>
      </w:r>
      <w:r>
        <w:rPr>
          <w:rFonts w:eastAsia="黑体"/>
          <w:sz w:val="32"/>
          <w:szCs w:val="32"/>
        </w:rPr>
        <w:t>全面推进深化改革</w:t>
      </w:r>
      <w:bookmarkEnd w:id="209"/>
      <w:bookmarkEnd w:id="210"/>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深入推进经济、政治、文化、社会以及生态文明和党的建设等领域改革，力争在重要领域和关键环节改革上取得决定性成果，形成系统完备、科学规范、运行有效的体制机制，进一步增强发展动力和活力。</w:t>
      </w:r>
    </w:p>
    <w:p>
      <w:pPr>
        <w:pStyle w:val="4"/>
        <w:spacing w:before="0" w:after="0" w:line="600" w:lineRule="exact"/>
        <w:jc w:val="center"/>
        <w:rPr>
          <w:rFonts w:ascii="Times New Roman" w:hAnsi="Times New Roman" w:eastAsia="楷体_GB2312"/>
        </w:rPr>
      </w:pPr>
      <w:bookmarkStart w:id="211" w:name="_Toc439859629"/>
      <w:bookmarkStart w:id="212" w:name="_Toc440536881"/>
      <w:bookmarkStart w:id="213" w:name="_Toc458171870"/>
      <w:r>
        <w:rPr>
          <w:rFonts w:hint="eastAsia" w:ascii="Times New Roman" w:hAnsi="Times New Roman" w:eastAsia="楷体_GB2312"/>
        </w:rPr>
        <w:t xml:space="preserve">第一节 </w:t>
      </w:r>
      <w:r>
        <w:rPr>
          <w:rFonts w:ascii="Times New Roman" w:hAnsi="Times New Roman" w:eastAsia="楷体_GB2312"/>
        </w:rPr>
        <w:t>深化行政体制改革</w:t>
      </w:r>
      <w:bookmarkEnd w:id="211"/>
      <w:bookmarkEnd w:id="212"/>
      <w:bookmarkEnd w:id="213"/>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进一步转变政府职能，以综合改革试点为抓手，持续推进简政放权、放管结合、优化服务，大力提高政府行政效能、市场监管和公共服务水平，在全区率先基本建立精简高效的行政体制和科学有效的调控机制。深化商事制度改革。推行“先照后证”改革工作，推进工商营业执照、组织机构代码证和税务登记证“三证合一”登记制度改革。大力加强事中事后监管，充分发挥企业信用信息公示系统作用，严格落实企业信息公示、经营异常名录、严重违法企业名单等制度，强化信息公示、信息共享、信用约束，努力构建以信用监管为主的事中事后监管机制。全面推行权力清单、责任清单、负面清单制度，建立健全政府购买公共服务制度，加快推进行政权力运行程序化和公开透明，完善公共财政领域、公共资源配置领域、社会公共事业领域、重大建设项目领域的信息公开体制机制，切实保障人民群众的参与权、表达权、监督权，打造阳光高效的服务型政府。持续发展和完善民主机制，拓展公众参与渠道，通过完善立法听证、决策听证、价格听证等途径，提高公众政治参与热情和对政府治理的影响力。深入推进政府绩效建设，完善绩效考核评价体系，探索构建公众参与评价政府绩效的长效机制。建立更加科学合理的行政管理体制，促进资源向基层倾斜，提高行政效率。</w:t>
      </w:r>
    </w:p>
    <w:p>
      <w:pPr>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ascii="Times New Roman" w:hAnsi="Times New Roman" w:eastAsia="楷体_GB2312"/>
        </w:rPr>
      </w:pPr>
      <w:bookmarkStart w:id="214" w:name="_Toc439859631"/>
      <w:bookmarkStart w:id="215" w:name="_Toc440536882"/>
      <w:bookmarkStart w:id="216" w:name="_Toc458171871"/>
      <w:r>
        <w:rPr>
          <w:rFonts w:hint="eastAsia" w:ascii="Times New Roman" w:hAnsi="Times New Roman" w:eastAsia="楷体_GB2312"/>
        </w:rPr>
        <w:t xml:space="preserve">第二节 </w:t>
      </w:r>
      <w:r>
        <w:rPr>
          <w:rFonts w:ascii="Times New Roman" w:hAnsi="Times New Roman" w:eastAsia="楷体_GB2312"/>
        </w:rPr>
        <w:t>深化国资国企改革</w:t>
      </w:r>
      <w:bookmarkEnd w:id="214"/>
      <w:bookmarkEnd w:id="215"/>
      <w:bookmarkEnd w:id="216"/>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按照商业类、公益类和功能类对国有企业实行分类改革、分类发展、分类监管、分类定责、分类考核，推动国有企业同市场经济深度融合，增强国有经济活力和抗风险能力。完善国有资产管理体制，界定不同国有企业功能并建立分类监管制度，推进经营性国有资产集中统一监管，适时开展改组或组建国有资本投资、运营公司试点，实现以管企业为主向以管资本为主的转变。加快国有企业重组整合，优化国有资本布局和结构调整，推动国有资本向重要行业和关键领域、重点领域、重点基础设施集中，向前瞻性战略性产业集中，向具有核心竞争力的优势企业集中。深化产权制度改革，大力发展混合所有制经济，实现国有资本放大功能。推进公司制股份制改革，完善现代企业制度，规范企业董事会、监事会建设工作，制定国有独资、国有控股章程指引制度，形成协调运转、有效制衡的国有企业法人治理结构。深化国有企业领导人员管理体制改革，优化企业薪酬分配制度，进一步规范国有企业负责人薪酬管理。</w:t>
      </w:r>
    </w:p>
    <w:p>
      <w:pPr>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ascii="Times New Roman" w:hAnsi="Times New Roman" w:eastAsia="楷体_GB2312"/>
        </w:rPr>
      </w:pPr>
      <w:bookmarkStart w:id="217" w:name="_Toc439859633"/>
      <w:bookmarkStart w:id="218" w:name="_Toc440536883"/>
      <w:bookmarkStart w:id="219" w:name="_Toc458171872"/>
      <w:r>
        <w:rPr>
          <w:rFonts w:hint="eastAsia" w:ascii="Times New Roman" w:hAnsi="Times New Roman" w:eastAsia="楷体_GB2312"/>
        </w:rPr>
        <w:t xml:space="preserve">第三节 </w:t>
      </w:r>
      <w:r>
        <w:rPr>
          <w:rFonts w:ascii="Times New Roman" w:hAnsi="Times New Roman" w:eastAsia="楷体_GB2312"/>
        </w:rPr>
        <w:t>深化农村综合改革</w:t>
      </w:r>
      <w:bookmarkEnd w:id="217"/>
      <w:bookmarkEnd w:id="218"/>
      <w:bookmarkEnd w:id="219"/>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以加快农村经济转型发展为目标，深化农村综合改革，进一步解放和发展农村生产力，为新农村建设提供体制保障。</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有序推进农村产权制度改革。</w:t>
      </w:r>
      <w:r>
        <w:rPr>
          <w:rFonts w:hint="eastAsia" w:ascii="Times New Roman" w:hAnsi="Times New Roman" w:eastAsia="仿宋_GB2312"/>
          <w:sz w:val="32"/>
          <w:szCs w:val="32"/>
        </w:rPr>
        <w:t>探索农村宅基地制度改革，深入开展农村集体土地所有权、农村集体建设用地使用权、宅基地、土地承包经营权、林地、住房等不动产确权登记颁证工作，建立完善农村产权流转交易市场和服务平台，推动农村土地规范有序流转。</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深入推进户籍制度改革。</w:t>
      </w:r>
      <w:r>
        <w:rPr>
          <w:rFonts w:hint="eastAsia" w:ascii="Times New Roman" w:hAnsi="Times New Roman" w:eastAsia="仿宋_GB2312"/>
          <w:sz w:val="32"/>
          <w:szCs w:val="32"/>
        </w:rPr>
        <w:t>统筹推进相关公共服务、社会保障制度改革，有序推进农村转移人口市民化，将基本公共服务逐步覆盖到符合条件的常住人口，使进城务工经商的农村居民享受到与城镇居民同等的社保、医疗、就业、教育、住房等方面公共服务待遇。</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深化农村金融改革。</w:t>
      </w:r>
      <w:r>
        <w:rPr>
          <w:rFonts w:hint="eastAsia" w:ascii="Times New Roman" w:hAnsi="Times New Roman" w:eastAsia="仿宋_GB2312"/>
          <w:sz w:val="32"/>
          <w:szCs w:val="32"/>
        </w:rPr>
        <w:t>不断完善农村金融组织体系，提升农村金融服务的覆盖面，鼓励和支持国有商业银行在有条件的县（区）及乡镇增设分支机构，重点增设具有信贷功能的营业机构，鼓励和支持股份制商业银行和地方银行向县域延伸机构网点。加强农村金融产品创新，扩大农业政策性保险覆盖面，建立健全农业巨灾风险事故损失救助机制，积极开展“信用户、信用村、信用乡镇”创建活动，推进“村村通”和“三大工程”建设，推进农业财政贴息贷款和政策性农业保险。</w:t>
      </w:r>
    </w:p>
    <w:p>
      <w:pPr>
        <w:pStyle w:val="4"/>
        <w:spacing w:before="0" w:after="0" w:line="600" w:lineRule="exact"/>
        <w:jc w:val="center"/>
        <w:rPr>
          <w:rFonts w:ascii="Times New Roman" w:hAnsi="Times New Roman" w:eastAsia="楷体_GB2312"/>
        </w:rPr>
      </w:pPr>
      <w:bookmarkStart w:id="220" w:name="_Toc439859635"/>
      <w:bookmarkStart w:id="221" w:name="_Toc440536884"/>
      <w:bookmarkStart w:id="222" w:name="_Toc458171873"/>
      <w:r>
        <w:rPr>
          <w:rFonts w:hint="eastAsia" w:ascii="Times New Roman" w:hAnsi="Times New Roman" w:eastAsia="楷体_GB2312"/>
        </w:rPr>
        <w:t xml:space="preserve">第四节 </w:t>
      </w:r>
      <w:r>
        <w:rPr>
          <w:rFonts w:ascii="Times New Roman" w:hAnsi="Times New Roman" w:eastAsia="楷体_GB2312"/>
        </w:rPr>
        <w:t>健全现代市场体系</w:t>
      </w:r>
      <w:bookmarkEnd w:id="220"/>
      <w:bookmarkEnd w:id="221"/>
      <w:bookmarkEnd w:id="222"/>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健全现代市场体系，清除市场壁垒，不断提高资源配置效率和公平性。</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完善市场监管体系。</w:t>
      </w:r>
      <w:r>
        <w:rPr>
          <w:rFonts w:hint="eastAsia" w:ascii="Times New Roman" w:hAnsi="Times New Roman" w:eastAsia="仿宋_GB2312"/>
          <w:sz w:val="32"/>
          <w:szCs w:val="32"/>
        </w:rPr>
        <w:t>探索制定市场监管责任清单，逐步形成统一的市场准入和市场监管制度。落实“宽进严管”责任，逐步形成统一的市场准入和市场监管制度。构建市场主体信用信息公示系统，健全柳州市社会征信体系，建立全区统一的信用信息共享平台。</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深化公共资源交易体制改革。</w:t>
      </w:r>
      <w:r>
        <w:rPr>
          <w:rFonts w:hint="eastAsia" w:ascii="Times New Roman" w:hAnsi="Times New Roman" w:eastAsia="仿宋_GB2312"/>
          <w:sz w:val="32"/>
          <w:szCs w:val="32"/>
        </w:rPr>
        <w:t>加快推进公共资源交易平台建设，建立统一规范的公共资源交易市场，按照应进必进的原则，逐步实现工程建设类、政府采购类、国土资源类、产权交易类等公共资源交易项目集中交易、规范交易，提高公共资源配置质量和效益。</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深化城乡统一建设用地市场改革。</w:t>
      </w:r>
      <w:r>
        <w:rPr>
          <w:rFonts w:hint="eastAsia" w:ascii="Times New Roman" w:hAnsi="Times New Roman" w:eastAsia="仿宋_GB2312"/>
          <w:sz w:val="32"/>
          <w:szCs w:val="32"/>
        </w:rPr>
        <w:t>实行土地利用年度计划差别化管理，实施年度用地指标与工业化、城镇化发展相挂钩机制。加快建立国有土地与集体土地共同开发的创新机制，稳步推动农村产权流转交易健康有序进行。</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大力发展中介组织。</w:t>
      </w:r>
      <w:r>
        <w:rPr>
          <w:rFonts w:hint="eastAsia" w:ascii="Times New Roman" w:hAnsi="Times New Roman" w:eastAsia="仿宋_GB2312"/>
          <w:sz w:val="32"/>
          <w:szCs w:val="32"/>
        </w:rPr>
        <w:t>大力培育发展行业协会和市场中介服务机构，充实完善行业协会职能，重点发展一批市场化、专业化、品牌化的中介机构，健全市场中介服务体系。</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建设“诚信柳东”。</w:t>
      </w:r>
      <w:r>
        <w:rPr>
          <w:rFonts w:hint="eastAsia" w:ascii="Times New Roman" w:hAnsi="Times New Roman" w:eastAsia="仿宋_GB2312"/>
          <w:sz w:val="32"/>
          <w:szCs w:val="32"/>
        </w:rPr>
        <w:t>按照完善法规、特许经营、商业运作、专业服务的目标，建设企业和个人信用服务体系，建立信用监督和失信惩戒制度，逐步培育和开放信用服务市场，形成以道德为支撑、产权为基础、法律为保障的社会信用制度，全面提升“诚信柳州”建设水平。深入推进放心消费创建工作，规范市场秩序，净化消费环境，提升诚信经营服务水平。</w:t>
      </w:r>
    </w:p>
    <w:p>
      <w:pPr>
        <w:pStyle w:val="4"/>
        <w:spacing w:before="0" w:after="0" w:line="600" w:lineRule="exact"/>
        <w:jc w:val="center"/>
        <w:rPr>
          <w:rFonts w:ascii="Times New Roman" w:hAnsi="Times New Roman" w:eastAsia="楷体_GB2312"/>
        </w:rPr>
      </w:pPr>
      <w:bookmarkStart w:id="223" w:name="_Toc439859630"/>
      <w:bookmarkStart w:id="224" w:name="_Toc440536885"/>
      <w:bookmarkStart w:id="225" w:name="_Toc458171874"/>
      <w:r>
        <w:rPr>
          <w:rFonts w:hint="eastAsia" w:ascii="Times New Roman" w:hAnsi="Times New Roman" w:eastAsia="楷体_GB2312"/>
        </w:rPr>
        <w:t xml:space="preserve">第五节 </w:t>
      </w:r>
      <w:r>
        <w:rPr>
          <w:rFonts w:ascii="Times New Roman" w:hAnsi="Times New Roman" w:eastAsia="楷体_GB2312"/>
        </w:rPr>
        <w:t>构建新型城镇化投融资机制</w:t>
      </w:r>
      <w:bookmarkEnd w:id="223"/>
      <w:bookmarkEnd w:id="224"/>
      <w:bookmarkEnd w:id="225"/>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以推进国家新型城镇化试点建设为抓手，以深化“产城融合”投融资机制为核心，加快投融资机制改革，建立透明规范的城镇化建设投融资机制，形成“政府引导、企业主体、市场机制、滚动发展”的可持续融资机制，满足新型城镇化建设资金需求。</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规范创新政府投资行为。</w:t>
      </w:r>
      <w:r>
        <w:rPr>
          <w:rFonts w:hint="eastAsia" w:ascii="Times New Roman" w:hAnsi="Times New Roman" w:eastAsia="仿宋_GB2312"/>
          <w:sz w:val="32"/>
          <w:szCs w:val="32"/>
        </w:rPr>
        <w:t>加强财政预算、政府资源、政府投资项目管理，积极包装项目，大力推进企业债券发行。加大财政支持城镇建设的投资力度，设立城市发展基金和产（创）业投资引导基金，作为未来城镇化建设资金的主要来源和引领城市发展的资金平台，探索建立财政引导资金集约化使用机制，以投资理念推动项目建设。</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开放城镇基础设施投资领域。</w:t>
      </w:r>
      <w:r>
        <w:rPr>
          <w:rFonts w:hint="eastAsia" w:ascii="Times New Roman" w:hAnsi="Times New Roman" w:eastAsia="仿宋_GB2312"/>
          <w:sz w:val="32"/>
          <w:szCs w:val="32"/>
        </w:rPr>
        <w:t>理顺市政公用产品和服务价格形成机制办法，试点开展PPP模式融资，大力引入社会资本进入城镇基础设施领域。构建完善的基础设施和公用事业投资运营机制，探索推动各类投资者通过独资、合资、合作、联营、参股、特许经营等方式，平等参与城镇化项目特别是非经营性城镇化项目的开发、建设和运营。积极与央企、上市企业以及有实力的民营企业对接并推进战略合作，加快PPP项目落地。推进城镇非基本公共服务市场化改革，大力发展经营性社会服务业。</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创新发展多层次的产业投融资体系。</w:t>
      </w:r>
      <w:r>
        <w:rPr>
          <w:rFonts w:hint="eastAsia" w:ascii="Times New Roman" w:hAnsi="Times New Roman" w:eastAsia="仿宋_GB2312"/>
          <w:sz w:val="32"/>
          <w:szCs w:val="32"/>
        </w:rPr>
        <w:t>重点以产业园区为载体创新投融资模式，全方位立体推进产业投融资发展。稳步开放产业园区基础设施建设项目投资、建设、管理和运营市场，鼓励多种资金以多种方式投资建设产业园。鼓励产业基金和风险基金进驻，争创“新三板”试点园。充分发挥服务功能，完善产业投融资平台职能、完善交易平台建设、健全完善社会信用和担保体系等基础服务建设。</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创新手段推动金融生态环境建设。</w:t>
      </w:r>
      <w:r>
        <w:rPr>
          <w:rFonts w:hint="eastAsia" w:ascii="Times New Roman" w:hAnsi="Times New Roman" w:eastAsia="仿宋_GB2312"/>
          <w:sz w:val="32"/>
          <w:szCs w:val="32"/>
        </w:rPr>
        <w:t>以构建区域性产业金融中心为核心，完善金融体系建设，争取国内全国性银行类金融机构全部进驻柳州，争取外资金融机构进入柳东实现零的突破。支持民间资本和外资参与城镇化建设，允许具备条件的民间资本依法发起设立中小银行等金融机构，参与设立村镇银行等新型农村金融机构和小额贷款公司，支持小城镇和农村新型社区建设。创建社会信用体系建设试点，以创建柳州市企业信息信用共享平台为核心，逐步完善社会信用体系。</w:t>
      </w:r>
    </w:p>
    <w:p>
      <w:pPr>
        <w:pStyle w:val="4"/>
        <w:spacing w:before="0" w:after="0" w:line="600" w:lineRule="exact"/>
        <w:jc w:val="center"/>
        <w:rPr>
          <w:rFonts w:ascii="Times New Roman" w:hAnsi="Times New Roman" w:eastAsia="楷体_GB2312"/>
        </w:rPr>
      </w:pPr>
      <w:bookmarkStart w:id="226" w:name="_Toc440536886"/>
      <w:bookmarkStart w:id="227" w:name="_Toc458171875"/>
      <w:r>
        <w:rPr>
          <w:rFonts w:hint="eastAsia" w:ascii="Times New Roman" w:hAnsi="Times New Roman" w:eastAsia="楷体_GB2312"/>
        </w:rPr>
        <w:t xml:space="preserve">第六节 </w:t>
      </w:r>
      <w:r>
        <w:rPr>
          <w:rFonts w:ascii="Times New Roman" w:hAnsi="Times New Roman" w:eastAsia="楷体_GB2312"/>
        </w:rPr>
        <w:t>引导非公有制经济加快发展</w:t>
      </w:r>
      <w:bookmarkEnd w:id="226"/>
      <w:bookmarkEnd w:id="227"/>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鼓励、支持、引导非公有制经济加快发展，推进公平准入，鼓励民营资本投资创业和参与国有企业重组改造，全面提升非公经济发展的速度、规模和效益。</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着力推进非公经济转型升级。</w:t>
      </w:r>
      <w:r>
        <w:rPr>
          <w:rFonts w:hint="eastAsia" w:ascii="Times New Roman" w:hAnsi="Times New Roman" w:eastAsia="仿宋_GB2312"/>
          <w:sz w:val="32"/>
          <w:szCs w:val="32"/>
        </w:rPr>
        <w:t>引导民营工业从一般加工制造领域向先进制造和高新技术领域转型，引导民营服务业从传统服务业向现代物流、文化旅游、文化创意等现代服务业领域转型，引导民营农业产业化龙头企业从简单加工向精深加工领域转型。进一步壮大商贸流通龙头企业，鼓励支持商贸流通企业实施“农超对接”。着力培育一批高成长性的民营企业，支持新能源、先进装备制造、新材料、生物医药、农产品精深加工、电子信息、文化旅游、现代物流等领域民营企业加快发展。对民营企业创建国家级和自治区级企业技术中心、工程技术研究中心、专利开发申请、技术改造项目建设等给予贷款贴息补助。</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着力改善非公经济发展环境。</w:t>
      </w:r>
      <w:r>
        <w:rPr>
          <w:rFonts w:hint="eastAsia" w:ascii="Times New Roman" w:hAnsi="Times New Roman" w:eastAsia="仿宋_GB2312"/>
          <w:sz w:val="32"/>
          <w:szCs w:val="32"/>
        </w:rPr>
        <w:t>创建平等的成长和发展环境，在投资核准、信用担保和融资服务、财税政策、土地使用、技术创新、对外贸易等方面，非公企业与其他所有制企业一视同仁，实行同等待遇。规范行政执法行为，切实改善企业生产经营环境。创建融资环境，培育企业上市。根据国家产业政策，筛选资质好、产品市场广阔、发展潜力大的非公企业，组织发行企业债券，培育、支持和引导优势企业在国内外上市。培育初创企业创业成长。建立非公企业创业投资引导资金，支持初创企业自主创业。</w:t>
      </w:r>
    </w:p>
    <w:p>
      <w:pPr>
        <w:spacing w:line="600" w:lineRule="exact"/>
        <w:ind w:firstLine="643" w:firstLineChars="200"/>
        <w:rPr>
          <w:rFonts w:ascii="Times New Roman" w:hAnsi="Times New Roman" w:eastAsia="仿宋_GB2312"/>
          <w:sz w:val="32"/>
          <w:szCs w:val="32"/>
        </w:rPr>
      </w:pPr>
      <w:r>
        <w:rPr>
          <w:rFonts w:hint="eastAsia" w:ascii="Times New Roman" w:hAnsi="Times New Roman" w:eastAsia="仿宋_GB2312"/>
          <w:b/>
          <w:sz w:val="32"/>
          <w:szCs w:val="32"/>
        </w:rPr>
        <w:t>着力引导扩大民间投资。</w:t>
      </w:r>
      <w:r>
        <w:rPr>
          <w:rFonts w:hint="eastAsia" w:ascii="Times New Roman" w:hAnsi="Times New Roman" w:eastAsia="仿宋_GB2312"/>
          <w:sz w:val="32"/>
          <w:szCs w:val="32"/>
        </w:rPr>
        <w:t>鼓励民间资本以独资、控股、参股等方式投资建设公路、水运、港口码头、城市供水、供气、污水和垃圾处理、公共交通、城市园林绿化等基础设施项目。鼓励民间资本参与电力建设，支持民间资本投资风能、太阳能、地热能、生物质能等新能源产业。鼓励民间资本参与市政公用事业建设。积极引入市场竞争机制，大力推行市政公用事业的投资主体、运营主体招标制度，建立健全市政公用事业特许经营制度。支持和引导民间资本投资建设经济适用住房、公共租赁住房等政策性住房，参与棚户区改造，享受相应的政策性住房建设政策。鼓励和引导民间资本进入社会事业领域。支持民间资本兴办各类医院、社区卫生服务机构等医疗机构，参与公立医院转制改组。支持民间资本兴办高等学校、中小学校、幼儿园、职业教育等各类教育和社会培训机构。鼓励民间资本参与发展社会福利事业。鼓励民间资本从事演艺、娱乐、文化创意、文化会展、影视制作、动漫游戏制作等活动，建设博物馆、图书馆、文化馆、电影院等文化设施。</w:t>
      </w:r>
    </w:p>
    <w:p>
      <w:pPr>
        <w:pStyle w:val="4"/>
        <w:spacing w:before="0" w:after="0" w:line="600" w:lineRule="exact"/>
        <w:jc w:val="center"/>
        <w:rPr>
          <w:rFonts w:ascii="Times New Roman" w:hAnsi="Times New Roman" w:eastAsia="楷体_GB2312"/>
        </w:rPr>
      </w:pPr>
      <w:bookmarkStart w:id="228" w:name="_Toc439859636"/>
      <w:bookmarkStart w:id="229" w:name="_Toc440536887"/>
      <w:bookmarkStart w:id="230" w:name="_Toc458171876"/>
      <w:r>
        <w:rPr>
          <w:rFonts w:ascii="Times New Roman" w:hAnsi="Times New Roman" w:eastAsia="楷体_GB2312"/>
        </w:rPr>
        <w:t>第</w:t>
      </w:r>
      <w:r>
        <w:rPr>
          <w:rFonts w:hint="eastAsia" w:ascii="Times New Roman" w:hAnsi="Times New Roman" w:eastAsia="楷体_GB2312"/>
        </w:rPr>
        <w:t>七</w:t>
      </w:r>
      <w:r>
        <w:rPr>
          <w:rFonts w:ascii="Times New Roman" w:hAnsi="Times New Roman" w:eastAsia="楷体_GB2312"/>
        </w:rPr>
        <w:t>节 统筹推进其他各领域改革</w:t>
      </w:r>
      <w:bookmarkEnd w:id="228"/>
      <w:bookmarkEnd w:id="229"/>
      <w:bookmarkEnd w:id="230"/>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深化财税体制改革，基本建立现代财税制度。深化科技体制改革，建立健全科技成果转化和产业化的体制机制，引导构建产业技术创新联盟，推动跨领域跨行业协同创新，构建以市场为导向、企业为主体、产学研协同的科技创新体系。深化知识产权领域改革，完善知识产权创造、运用和保护机制。有序开展新型城镇化综合改革试点，重点推进</w:t>
      </w:r>
      <w:r>
        <w:rPr>
          <w:rFonts w:hint="eastAsia" w:ascii="Times New Roman" w:hAnsi="Times New Roman" w:eastAsia="仿宋_GB2312"/>
          <w:sz w:val="32"/>
          <w:szCs w:val="32"/>
        </w:rPr>
        <w:t>雒容</w:t>
      </w:r>
      <w:r>
        <w:rPr>
          <w:rFonts w:ascii="Times New Roman" w:hAnsi="Times New Roman" w:eastAsia="仿宋_GB2312"/>
          <w:sz w:val="32"/>
          <w:szCs w:val="32"/>
        </w:rPr>
        <w:t>、</w:t>
      </w:r>
      <w:r>
        <w:rPr>
          <w:rFonts w:hint="eastAsia" w:ascii="Times New Roman" w:hAnsi="Times New Roman" w:eastAsia="仿宋_GB2312"/>
          <w:sz w:val="32"/>
          <w:szCs w:val="32"/>
        </w:rPr>
        <w:t>雒埠等</w:t>
      </w:r>
      <w:r>
        <w:rPr>
          <w:rFonts w:ascii="Times New Roman" w:hAnsi="Times New Roman" w:eastAsia="仿宋_GB2312"/>
          <w:sz w:val="32"/>
          <w:szCs w:val="32"/>
        </w:rPr>
        <w:t>城镇建设工作。建立健全生态环境保护体制机制，划定生态保护红线，实行最严格的源头保护制度、损害赔偿制度、责任追究制度。深入推进环卫体制改革，积极引入竞争机制，开放环卫作业市场，建立科学合理、高效长效的环卫管理体制，建立市场化的环卫运作机制。统筹推进文化、教育、医药卫生、社会保障、食品药品安全、安全生产监管体制和收入分配制度等领域改革。</w:t>
      </w:r>
    </w:p>
    <w:p>
      <w:pPr>
        <w:pStyle w:val="2"/>
        <w:spacing w:before="0" w:after="0" w:line="600" w:lineRule="exact"/>
        <w:jc w:val="center"/>
        <w:rPr>
          <w:rFonts w:eastAsia="华文中宋"/>
        </w:rPr>
      </w:pPr>
      <w:bookmarkStart w:id="231" w:name="_Toc458171877"/>
      <w:r>
        <w:rPr>
          <w:rFonts w:eastAsia="黑体"/>
          <w:sz w:val="32"/>
          <w:szCs w:val="32"/>
        </w:rPr>
        <w:t>第二十</w:t>
      </w:r>
      <w:r>
        <w:rPr>
          <w:rFonts w:hint="eastAsia" w:eastAsia="黑体"/>
          <w:sz w:val="32"/>
          <w:szCs w:val="32"/>
        </w:rPr>
        <w:t>三</w:t>
      </w:r>
      <w:r>
        <w:rPr>
          <w:rFonts w:eastAsia="黑体"/>
          <w:sz w:val="32"/>
          <w:szCs w:val="32"/>
        </w:rPr>
        <w:t>章 全面推进“法治柳</w:t>
      </w:r>
      <w:r>
        <w:rPr>
          <w:rFonts w:hint="eastAsia" w:eastAsia="黑体"/>
          <w:sz w:val="32"/>
          <w:szCs w:val="32"/>
        </w:rPr>
        <w:t>东</w:t>
      </w:r>
      <w:r>
        <w:rPr>
          <w:rFonts w:eastAsia="黑体"/>
          <w:sz w:val="32"/>
          <w:szCs w:val="32"/>
        </w:rPr>
        <w:t>”建设</w:t>
      </w:r>
      <w:bookmarkEnd w:id="231"/>
      <w:r>
        <w:rPr>
          <w:rFonts w:eastAsia="黑体"/>
          <w:sz w:val="32"/>
          <w:szCs w:val="32"/>
        </w:rPr>
        <w:t xml:space="preserve"> </w:t>
      </w:r>
      <w:r>
        <w:rPr>
          <w:rFonts w:eastAsia="华文中宋"/>
        </w:rPr>
        <w:t xml:space="preserve"> </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坚持依法治</w:t>
      </w:r>
      <w:r>
        <w:rPr>
          <w:rFonts w:hint="eastAsia" w:ascii="Times New Roman" w:hAnsi="Times New Roman" w:eastAsia="仿宋_GB2312"/>
          <w:sz w:val="32"/>
          <w:szCs w:val="32"/>
        </w:rPr>
        <w:t>区</w:t>
      </w:r>
      <w:r>
        <w:rPr>
          <w:rFonts w:ascii="Times New Roman" w:hAnsi="Times New Roman" w:eastAsia="仿宋_GB2312"/>
          <w:sz w:val="32"/>
          <w:szCs w:val="32"/>
        </w:rPr>
        <w:t>、依法执政、依法行政协同推进，深入推进法治</w:t>
      </w:r>
      <w:r>
        <w:rPr>
          <w:rFonts w:hint="eastAsia" w:ascii="Times New Roman" w:hAnsi="Times New Roman" w:eastAsia="仿宋_GB2312"/>
          <w:sz w:val="32"/>
          <w:szCs w:val="32"/>
        </w:rPr>
        <w:t>柳东</w:t>
      </w:r>
      <w:r>
        <w:rPr>
          <w:rFonts w:ascii="Times New Roman" w:hAnsi="Times New Roman" w:eastAsia="仿宋_GB2312"/>
          <w:sz w:val="32"/>
          <w:szCs w:val="32"/>
        </w:rPr>
        <w:t>、法治政府、法治社会一体建设，全面推动治理体系和治理能力现代化。</w:t>
      </w:r>
    </w:p>
    <w:p>
      <w:pPr>
        <w:pStyle w:val="4"/>
        <w:spacing w:before="0" w:after="0" w:line="600" w:lineRule="exact"/>
        <w:jc w:val="center"/>
        <w:rPr>
          <w:rFonts w:eastAsia="楷体"/>
        </w:rPr>
      </w:pPr>
      <w:bookmarkStart w:id="232" w:name="_Toc440026004"/>
      <w:bookmarkStart w:id="233" w:name="_Toc440536889"/>
      <w:bookmarkStart w:id="234" w:name="_Toc458171878"/>
      <w:r>
        <w:rPr>
          <w:rFonts w:eastAsia="楷体"/>
        </w:rPr>
        <w:t>第一节</w:t>
      </w:r>
      <w:r>
        <w:rPr>
          <w:rFonts w:hint="eastAsia" w:eastAsia="楷体"/>
        </w:rPr>
        <w:t xml:space="preserve"> 建立</w:t>
      </w:r>
      <w:r>
        <w:rPr>
          <w:rFonts w:eastAsia="楷体"/>
        </w:rPr>
        <w:t>完善立法体制机制</w:t>
      </w:r>
      <w:bookmarkEnd w:id="232"/>
      <w:bookmarkEnd w:id="233"/>
      <w:bookmarkEnd w:id="234"/>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坚持立法先行，</w:t>
      </w:r>
      <w:r>
        <w:rPr>
          <w:rFonts w:hint="eastAsia" w:ascii="Times New Roman" w:hAnsi="Times New Roman" w:eastAsia="仿宋_GB2312"/>
          <w:sz w:val="32"/>
          <w:szCs w:val="32"/>
        </w:rPr>
        <w:t>探索</w:t>
      </w:r>
      <w:r>
        <w:rPr>
          <w:rFonts w:ascii="Times New Roman" w:hAnsi="Times New Roman" w:eastAsia="仿宋_GB2312"/>
          <w:sz w:val="32"/>
          <w:szCs w:val="32"/>
        </w:rPr>
        <w:t>建立立法体制机制，提高立法质量。建立健全人大主导立法工作的体制机制，科学制定立法规划和计划，在法定权限内制定城乡建设与管理、环境保护、历史文化保护等适应地方经济社会发展需要的地方性法规。加强和改进政府立法制度建设。建立立法项目征集和论证制度，建立立法程序和立法技术规范，建立立法前评估、立法中评估和立法后评估机制，推进立法精细化。健全立法机关和社会公众沟通机制，探索建立对立法中涉及的重大利益调整论证咨询机制，拓宽公民有序参与立法途径，广泛凝聚社会共识。</w:t>
      </w:r>
    </w:p>
    <w:p>
      <w:pPr>
        <w:spacing w:line="600" w:lineRule="exact"/>
        <w:rPr>
          <w:rFonts w:ascii="Times New Roman" w:hAnsi="Times New Roman" w:eastAsia="仿宋_GB2312"/>
          <w:sz w:val="32"/>
          <w:szCs w:val="32"/>
        </w:rPr>
      </w:pPr>
    </w:p>
    <w:p>
      <w:pPr>
        <w:pStyle w:val="4"/>
        <w:spacing w:before="0" w:after="0" w:line="600" w:lineRule="exact"/>
        <w:jc w:val="center"/>
        <w:rPr>
          <w:rFonts w:eastAsia="楷体"/>
        </w:rPr>
      </w:pPr>
      <w:bookmarkStart w:id="235" w:name="_Toc440026005"/>
      <w:bookmarkStart w:id="236" w:name="_Toc440536890"/>
      <w:bookmarkStart w:id="237" w:name="_Toc458171879"/>
      <w:r>
        <w:rPr>
          <w:rFonts w:eastAsia="楷体"/>
        </w:rPr>
        <w:t>第</w:t>
      </w:r>
      <w:r>
        <w:rPr>
          <w:rFonts w:hint="eastAsia" w:eastAsia="楷体"/>
        </w:rPr>
        <w:t>二</w:t>
      </w:r>
      <w:r>
        <w:rPr>
          <w:rFonts w:eastAsia="楷体"/>
        </w:rPr>
        <w:t>节</w:t>
      </w:r>
      <w:r>
        <w:rPr>
          <w:rFonts w:hint="eastAsia" w:eastAsia="楷体"/>
        </w:rPr>
        <w:t xml:space="preserve"> </w:t>
      </w:r>
      <w:r>
        <w:rPr>
          <w:rFonts w:eastAsia="楷体"/>
        </w:rPr>
        <w:t>加快法治政府建设</w:t>
      </w:r>
      <w:bookmarkEnd w:id="235"/>
      <w:bookmarkEnd w:id="236"/>
      <w:bookmarkEnd w:id="237"/>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全面深入推进依法行政，加快建设职能科学、权责法定、执法严明、公开公正、廉洁高效、守法诚信的法治政府。依法全面履行政府职能，持续推进政府职能规范化、法制化建设，推行机构、职能、权限、程序、责任法定化。强化政府公共服务职能，深化行政审批改革，加强事中事后监管，更好发挥政府的作用。推进依法决策，加强行政决策程序建设，建立健全行政机关内部重大决策合法性审查机制，积极推行政府法律顾问制度，加强对重大行政决策执行效果的评估，确保决策制度科学、程序正当、过程公开、责任明确。深化行政执法体制改革，完善城市管理综合执法体制机制和监督一体化平台建设，健全行政执法与刑事司法衔接机制，提高执法能力。加大行政执法力度，规范行政执法行为，全面落实行政执法责任制，有效维护公共利益和经济社会秩序。建立科学有效的权力运行制约和监督体系，全面推进政务公开，确保行政权力公开、透明运行。</w:t>
      </w:r>
    </w:p>
    <w:p>
      <w:pPr>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eastAsia="楷体"/>
        </w:rPr>
      </w:pPr>
      <w:bookmarkStart w:id="238" w:name="_Toc440026006"/>
      <w:bookmarkStart w:id="239" w:name="_Toc440536891"/>
      <w:bookmarkStart w:id="240" w:name="_Toc458171880"/>
      <w:r>
        <w:rPr>
          <w:rFonts w:eastAsia="楷体"/>
        </w:rPr>
        <w:t>第</w:t>
      </w:r>
      <w:r>
        <w:rPr>
          <w:rFonts w:hint="eastAsia" w:eastAsia="楷体"/>
        </w:rPr>
        <w:t>三</w:t>
      </w:r>
      <w:r>
        <w:rPr>
          <w:rFonts w:eastAsia="楷体"/>
        </w:rPr>
        <w:t>节</w:t>
      </w:r>
      <w:r>
        <w:rPr>
          <w:rFonts w:hint="eastAsia" w:eastAsia="楷体"/>
        </w:rPr>
        <w:t xml:space="preserve"> </w:t>
      </w:r>
      <w:r>
        <w:rPr>
          <w:rFonts w:eastAsia="楷体"/>
        </w:rPr>
        <w:t>确保司法公正</w:t>
      </w:r>
      <w:bookmarkEnd w:id="238"/>
      <w:bookmarkEnd w:id="239"/>
      <w:bookmarkEnd w:id="240"/>
    </w:p>
    <w:p>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推进司法体制改革，建立健全司法权力运行机制，规范司法行为，加强对司法活动的监督，提高司法公信力。建立健全公安机关、检察机关、审判机关、司法行政机关各司其职，侦查权、检察权、审判权、执行权相互配合、相互制约的工作机制，优化司法职权配置。推进严格司法，落实事实认定符合客观真相、办案结果符合实体公正、办案过程符合程序公正的法律制度，推进以审判为中心的诉讼制度改革，落实办案质量终身负责制和错案责任倒查问责制。建立健全司法为民长效机制，坚决落实人权司法保障制度。切实解决执行难问题，严格落实强制执行法律法规。落实终审和诉讼终结制度，实行诉访分离，保障当事人依法行使申诉权利。大力推进审判公开、检务公开、警务公开，落实人民陪审员制度，保障人民群众参与司法。推进公证机构体制改革，发展公证员队伍，有效缓解“公证难”问题。</w:t>
      </w:r>
    </w:p>
    <w:p>
      <w:pPr>
        <w:spacing w:line="600" w:lineRule="exact"/>
        <w:ind w:firstLine="640" w:firstLineChars="200"/>
        <w:rPr>
          <w:rFonts w:ascii="仿宋_GB2312" w:hAnsi="Times New Roman" w:eastAsia="仿宋_GB2312"/>
          <w:sz w:val="32"/>
          <w:szCs w:val="32"/>
        </w:rPr>
      </w:pPr>
    </w:p>
    <w:p>
      <w:pPr>
        <w:pStyle w:val="4"/>
        <w:spacing w:before="0" w:after="0" w:line="600" w:lineRule="exact"/>
        <w:jc w:val="center"/>
        <w:rPr>
          <w:rFonts w:eastAsia="楷体"/>
        </w:rPr>
      </w:pPr>
      <w:bookmarkStart w:id="241" w:name="_Toc440026007"/>
      <w:bookmarkStart w:id="242" w:name="_Toc440536892"/>
      <w:bookmarkStart w:id="243" w:name="_Toc458171881"/>
      <w:r>
        <w:rPr>
          <w:rFonts w:eastAsia="楷体"/>
        </w:rPr>
        <w:t>第</w:t>
      </w:r>
      <w:r>
        <w:rPr>
          <w:rFonts w:hint="eastAsia" w:eastAsia="楷体"/>
        </w:rPr>
        <w:t>四</w:t>
      </w:r>
      <w:r>
        <w:rPr>
          <w:rFonts w:eastAsia="楷体"/>
        </w:rPr>
        <w:t>节</w:t>
      </w:r>
      <w:r>
        <w:rPr>
          <w:rFonts w:hint="eastAsia" w:eastAsia="楷体"/>
        </w:rPr>
        <w:t xml:space="preserve"> </w:t>
      </w:r>
      <w:r>
        <w:rPr>
          <w:rFonts w:eastAsia="楷体"/>
        </w:rPr>
        <w:t>推进法治社会建设</w:t>
      </w:r>
      <w:bookmarkEnd w:id="241"/>
      <w:bookmarkEnd w:id="242"/>
      <w:bookmarkEnd w:id="243"/>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培育全面法治理念，引导全民社会活动进入法制轨道，自觉守法、遇事找法、解决问题靠法。深化法制宣传教育，健全法制宣传教育机制，加强法制宣传阵地建设，打造柳州特色的法治文化名片。推进多层次多领域依法治理，发挥人民团体和社会组织在法治社会建设中的积极作用。推进公共法律服务体系建设，构建覆盖全市的公共法律服务网络。健全依法维权和化解纠纷机制，</w:t>
      </w:r>
      <w:r>
        <w:rPr>
          <w:rFonts w:hint="eastAsia" w:ascii="Times New Roman" w:hAnsi="Times New Roman" w:eastAsia="仿宋_GB2312"/>
          <w:sz w:val="32"/>
          <w:szCs w:val="32"/>
        </w:rPr>
        <w:t>推进</w:t>
      </w:r>
      <w:r>
        <w:rPr>
          <w:rFonts w:ascii="Times New Roman" w:hAnsi="Times New Roman" w:eastAsia="仿宋_GB2312"/>
          <w:sz w:val="32"/>
          <w:szCs w:val="32"/>
        </w:rPr>
        <w:t>信访工作制度改革。坚持用法治引领推进社会治安综合治理，建立健全打防控一体化运作的立体化社会治安防控体系。加快社会信用体系建设，加快建立汇集各部门、各行业个人信用信息共享平台。</w:t>
      </w:r>
    </w:p>
    <w:p>
      <w:pPr>
        <w:pStyle w:val="2"/>
        <w:spacing w:before="0" w:after="0" w:line="600" w:lineRule="exact"/>
        <w:jc w:val="center"/>
        <w:rPr>
          <w:rFonts w:eastAsia="黑体"/>
          <w:sz w:val="32"/>
          <w:szCs w:val="32"/>
        </w:rPr>
      </w:pPr>
      <w:bookmarkStart w:id="244" w:name="_Toc440026008"/>
      <w:bookmarkStart w:id="245" w:name="_Toc440536893"/>
      <w:bookmarkStart w:id="246" w:name="_Toc458171882"/>
      <w:r>
        <w:rPr>
          <w:rFonts w:eastAsia="黑体"/>
          <w:sz w:val="32"/>
          <w:szCs w:val="32"/>
        </w:rPr>
        <w:t>第二十</w:t>
      </w:r>
      <w:r>
        <w:rPr>
          <w:rFonts w:hint="eastAsia" w:eastAsia="黑体"/>
          <w:sz w:val="32"/>
          <w:szCs w:val="32"/>
        </w:rPr>
        <w:t>四</w:t>
      </w:r>
      <w:r>
        <w:rPr>
          <w:rFonts w:eastAsia="黑体"/>
          <w:sz w:val="32"/>
          <w:szCs w:val="32"/>
        </w:rPr>
        <w:t>章 全面实现“十三五”发展蓝图</w:t>
      </w:r>
      <w:bookmarkEnd w:id="244"/>
      <w:bookmarkEnd w:id="245"/>
      <w:bookmarkEnd w:id="246"/>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本纲要经</w:t>
      </w:r>
      <w:r>
        <w:rPr>
          <w:rFonts w:hint="eastAsia" w:ascii="Times New Roman" w:hAnsi="Times New Roman" w:eastAsia="仿宋_GB2312"/>
          <w:sz w:val="32"/>
          <w:szCs w:val="32"/>
        </w:rPr>
        <w:t>区</w:t>
      </w:r>
      <w:r>
        <w:rPr>
          <w:rFonts w:ascii="Times New Roman" w:hAnsi="Times New Roman" w:eastAsia="仿宋_GB2312"/>
          <w:sz w:val="32"/>
          <w:szCs w:val="32"/>
        </w:rPr>
        <w:t>人大常委会审议通过，具有法律效力，是编制其他各类规划、年度计划等经济政策的重要依据，对未来五年全区各县区、各部门开展工作具有指导作用，通过明确政府职责，科学引导社会资源，动员全社会力量保障纲要顺利实施。</w:t>
      </w:r>
    </w:p>
    <w:p>
      <w:pPr>
        <w:shd w:val="clear" w:color="auto" w:fill="FFFFFF"/>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eastAsia="楷体"/>
        </w:rPr>
      </w:pPr>
      <w:bookmarkStart w:id="247" w:name="_Toc440026009"/>
      <w:bookmarkStart w:id="248" w:name="_Toc440536894"/>
      <w:bookmarkStart w:id="249" w:name="_Toc458171883"/>
      <w:r>
        <w:rPr>
          <w:rFonts w:eastAsia="楷体"/>
        </w:rPr>
        <w:t>第一节</w:t>
      </w:r>
      <w:r>
        <w:rPr>
          <w:rFonts w:hint="eastAsia" w:eastAsia="楷体"/>
        </w:rPr>
        <w:t xml:space="preserve"> </w:t>
      </w:r>
      <w:r>
        <w:rPr>
          <w:rFonts w:eastAsia="楷体"/>
        </w:rPr>
        <w:t>强化规划实施机制</w:t>
      </w:r>
      <w:bookmarkEnd w:id="247"/>
      <w:bookmarkEnd w:id="248"/>
      <w:bookmarkEnd w:id="249"/>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柳</w:t>
      </w:r>
      <w:r>
        <w:rPr>
          <w:rFonts w:hint="eastAsia" w:ascii="Times New Roman" w:hAnsi="Times New Roman" w:eastAsia="仿宋_GB2312"/>
          <w:sz w:val="32"/>
          <w:szCs w:val="32"/>
        </w:rPr>
        <w:t>东新区</w:t>
      </w:r>
      <w:r>
        <w:rPr>
          <w:rFonts w:ascii="Times New Roman" w:hAnsi="Times New Roman" w:eastAsia="仿宋_GB2312"/>
          <w:sz w:val="32"/>
          <w:szCs w:val="32"/>
        </w:rPr>
        <w:t>“十三五”规划体系</w:t>
      </w:r>
      <w:r>
        <w:rPr>
          <w:rFonts w:hint="eastAsia" w:ascii="Times New Roman" w:hAnsi="Times New Roman" w:eastAsia="仿宋_GB2312"/>
          <w:sz w:val="32"/>
          <w:szCs w:val="32"/>
        </w:rPr>
        <w:t>新区</w:t>
      </w:r>
      <w:r>
        <w:rPr>
          <w:rFonts w:ascii="Times New Roman" w:hAnsi="Times New Roman" w:eastAsia="仿宋_GB2312"/>
          <w:sz w:val="32"/>
          <w:szCs w:val="32"/>
        </w:rPr>
        <w:t>总体规划、</w:t>
      </w:r>
      <w:r>
        <w:rPr>
          <w:rFonts w:hint="eastAsia" w:ascii="Times New Roman" w:hAnsi="Times New Roman" w:eastAsia="仿宋_GB2312"/>
          <w:sz w:val="32"/>
          <w:szCs w:val="32"/>
        </w:rPr>
        <w:t>新区各</w:t>
      </w:r>
      <w:r>
        <w:rPr>
          <w:rFonts w:ascii="Times New Roman" w:hAnsi="Times New Roman" w:eastAsia="仿宋_GB2312"/>
          <w:sz w:val="32"/>
          <w:szCs w:val="32"/>
        </w:rPr>
        <w:t>专项规划、</w:t>
      </w:r>
      <w:r>
        <w:rPr>
          <w:rFonts w:hint="eastAsia" w:ascii="Times New Roman" w:hAnsi="Times New Roman" w:eastAsia="仿宋_GB2312"/>
          <w:sz w:val="32"/>
          <w:szCs w:val="32"/>
        </w:rPr>
        <w:t>镇乡</w:t>
      </w:r>
      <w:r>
        <w:rPr>
          <w:rFonts w:ascii="Times New Roman" w:hAnsi="Times New Roman" w:eastAsia="仿宋_GB2312"/>
          <w:sz w:val="32"/>
          <w:szCs w:val="32"/>
        </w:rPr>
        <w:t>规划构成。进一步加强各类规划实施的衔接、目标的管理和分类指导，使“十三五”规划切实成为指导各级政府和各职能部门开展工作的重要依据。</w:t>
      </w:r>
    </w:p>
    <w:p>
      <w:pPr>
        <w:spacing w:line="600" w:lineRule="exact"/>
        <w:ind w:firstLine="643" w:firstLineChars="200"/>
        <w:rPr>
          <w:rFonts w:ascii="Times New Roman" w:hAnsi="Times New Roman" w:eastAsia="仿宋_GB2312"/>
          <w:sz w:val="32"/>
          <w:szCs w:val="32"/>
        </w:rPr>
      </w:pPr>
      <w:bookmarkStart w:id="250" w:name="_Toc440026010"/>
      <w:r>
        <w:rPr>
          <w:rFonts w:ascii="Times New Roman" w:hAnsi="Times New Roman" w:eastAsia="仿宋_GB2312"/>
          <w:b/>
          <w:sz w:val="32"/>
          <w:szCs w:val="32"/>
        </w:rPr>
        <w:t>加强规划实施的衔接</w:t>
      </w:r>
      <w:bookmarkEnd w:id="250"/>
      <w:r>
        <w:rPr>
          <w:rFonts w:ascii="Times New Roman" w:hAnsi="Times New Roman" w:eastAsia="仿宋_GB2312"/>
          <w:b/>
          <w:sz w:val="32"/>
          <w:szCs w:val="32"/>
        </w:rPr>
        <w:t>。</w:t>
      </w:r>
      <w:r>
        <w:rPr>
          <w:rFonts w:ascii="Times New Roman" w:hAnsi="Times New Roman" w:eastAsia="仿宋_GB2312"/>
          <w:sz w:val="32"/>
          <w:szCs w:val="32"/>
        </w:rPr>
        <w:t>推进规划立法，</w:t>
      </w:r>
      <w:r>
        <w:rPr>
          <w:rFonts w:hint="eastAsia" w:ascii="Times New Roman" w:hAnsi="Times New Roman" w:eastAsia="仿宋_GB2312"/>
          <w:sz w:val="32"/>
          <w:szCs w:val="32"/>
        </w:rPr>
        <w:t>探索</w:t>
      </w:r>
      <w:r>
        <w:rPr>
          <w:rFonts w:ascii="Times New Roman" w:hAnsi="Times New Roman" w:eastAsia="仿宋_GB2312"/>
          <w:sz w:val="32"/>
          <w:szCs w:val="32"/>
        </w:rPr>
        <w:t>建立健全规划实施衔接机制，以规划纲要为统领，加强各级各类规划在实施过程中的衔接，尤其是城市、土地等专项规划与总体规划的衔接，确保总体规划确定的主要任务、发展目标、重大项目和主要措施在各级各类规划实施过程中得到有效落实，加强年度计划与规划</w:t>
      </w:r>
      <w:r>
        <w:rPr>
          <w:rFonts w:hint="eastAsia" w:ascii="Times New Roman" w:hAnsi="Times New Roman" w:eastAsia="仿宋_GB2312"/>
          <w:sz w:val="32"/>
          <w:szCs w:val="32"/>
        </w:rPr>
        <w:t>纲要</w:t>
      </w:r>
      <w:r>
        <w:rPr>
          <w:rFonts w:ascii="Times New Roman" w:hAnsi="Times New Roman" w:eastAsia="仿宋_GB2312"/>
          <w:sz w:val="32"/>
          <w:szCs w:val="32"/>
        </w:rPr>
        <w:t>的衔接，充分发挥规划实施的合力作用，进一步提高规划的实施成效。</w:t>
      </w:r>
    </w:p>
    <w:p>
      <w:pPr>
        <w:spacing w:line="600" w:lineRule="exact"/>
        <w:ind w:firstLine="643" w:firstLineChars="200"/>
        <w:rPr>
          <w:rFonts w:ascii="Times New Roman" w:hAnsi="Times New Roman" w:eastAsia="仿宋_GB2312"/>
          <w:sz w:val="32"/>
          <w:szCs w:val="32"/>
        </w:rPr>
      </w:pPr>
      <w:bookmarkStart w:id="251" w:name="_Toc440026011"/>
      <w:r>
        <w:rPr>
          <w:rFonts w:ascii="Times New Roman" w:hAnsi="Times New Roman" w:eastAsia="仿宋_GB2312"/>
          <w:b/>
          <w:sz w:val="32"/>
          <w:szCs w:val="32"/>
        </w:rPr>
        <w:t>强化规划目标管理</w:t>
      </w:r>
      <w:bookmarkEnd w:id="251"/>
      <w:r>
        <w:rPr>
          <w:rFonts w:ascii="Times New Roman" w:hAnsi="Times New Roman" w:eastAsia="仿宋_GB2312"/>
          <w:b/>
          <w:sz w:val="32"/>
          <w:szCs w:val="32"/>
        </w:rPr>
        <w:t>。</w:t>
      </w:r>
      <w:r>
        <w:rPr>
          <w:rFonts w:ascii="Times New Roman" w:hAnsi="Times New Roman" w:eastAsia="仿宋_GB2312"/>
          <w:sz w:val="32"/>
          <w:szCs w:val="32"/>
        </w:rPr>
        <w:t>将规划纳入政府目标管理，</w:t>
      </w:r>
      <w:r>
        <w:rPr>
          <w:rFonts w:hint="eastAsia" w:ascii="Times New Roman" w:hAnsi="Times New Roman" w:eastAsia="仿宋_GB2312"/>
          <w:sz w:val="32"/>
          <w:szCs w:val="32"/>
        </w:rPr>
        <w:t>各镇乡</w:t>
      </w:r>
      <w:r>
        <w:rPr>
          <w:rFonts w:ascii="Times New Roman" w:hAnsi="Times New Roman" w:eastAsia="仿宋_GB2312"/>
          <w:sz w:val="32"/>
          <w:szCs w:val="32"/>
        </w:rPr>
        <w:t>、各部门要按照总体规划编制国民经济和社会发展年度计划、年度财政预算，配套编制和实施重点专项规划、行业规划和县区规划，提出具体明确的年度或分期实施计划。按照规划先行的原则，逐步实现投资调控由项目审批向以规划带项目审批转变。</w:t>
      </w:r>
    </w:p>
    <w:p>
      <w:pPr>
        <w:spacing w:line="600" w:lineRule="exact"/>
        <w:ind w:firstLine="643" w:firstLineChars="200"/>
        <w:rPr>
          <w:rFonts w:ascii="Times New Roman" w:hAnsi="Times New Roman" w:eastAsia="仿宋_GB2312"/>
          <w:sz w:val="32"/>
          <w:szCs w:val="32"/>
        </w:rPr>
      </w:pPr>
      <w:bookmarkStart w:id="252" w:name="_Toc440026012"/>
      <w:r>
        <w:rPr>
          <w:rFonts w:ascii="Times New Roman" w:hAnsi="Times New Roman" w:eastAsia="仿宋_GB2312"/>
          <w:b/>
          <w:sz w:val="32"/>
          <w:szCs w:val="32"/>
        </w:rPr>
        <w:t>强化政策引导</w:t>
      </w:r>
      <w:bookmarkEnd w:id="252"/>
      <w:r>
        <w:rPr>
          <w:rFonts w:ascii="Times New Roman" w:hAnsi="Times New Roman" w:eastAsia="仿宋_GB2312"/>
          <w:b/>
          <w:sz w:val="32"/>
          <w:szCs w:val="32"/>
        </w:rPr>
        <w:t>。</w:t>
      </w:r>
      <w:r>
        <w:rPr>
          <w:rFonts w:ascii="Times New Roman" w:hAnsi="Times New Roman" w:eastAsia="仿宋_GB2312"/>
          <w:sz w:val="32"/>
          <w:szCs w:val="32"/>
        </w:rPr>
        <w:t>针对重点领域和关键环节，研究制定和深化落实有关配套政策，制定进一步完善金融税收、投资建设、产业发展、自主创新、土地利用、环境保护、新型城镇化、社会民生、改革开放等方面的政策措施，引导市场行为与政府目标相结合，共同推进规划纲要的有效实施。加强各项政策的衔接协调，形成政策体系合力，提高实施效果。</w:t>
      </w:r>
      <w:bookmarkStart w:id="253" w:name="_Toc440026013"/>
    </w:p>
    <w:p>
      <w:pPr>
        <w:spacing w:line="600" w:lineRule="exact"/>
        <w:ind w:firstLine="643" w:firstLineChars="200"/>
        <w:rPr>
          <w:rFonts w:ascii="Times New Roman" w:hAnsi="Times New Roman" w:eastAsia="仿宋_GB2312"/>
          <w:sz w:val="32"/>
          <w:szCs w:val="32"/>
        </w:rPr>
      </w:pPr>
      <w:r>
        <w:rPr>
          <w:rFonts w:ascii="Times New Roman" w:hAnsi="Times New Roman" w:eastAsia="仿宋_GB2312"/>
          <w:b/>
          <w:sz w:val="32"/>
          <w:szCs w:val="32"/>
        </w:rPr>
        <w:t>落实规划分类实施机制</w:t>
      </w:r>
      <w:bookmarkEnd w:id="253"/>
      <w:r>
        <w:rPr>
          <w:rFonts w:ascii="Times New Roman" w:hAnsi="Times New Roman" w:eastAsia="仿宋_GB2312"/>
          <w:b/>
          <w:sz w:val="32"/>
          <w:szCs w:val="32"/>
        </w:rPr>
        <w:t>。</w:t>
      </w:r>
      <w:r>
        <w:rPr>
          <w:rFonts w:ascii="Times New Roman" w:hAnsi="Times New Roman" w:eastAsia="仿宋_GB2312"/>
          <w:sz w:val="32"/>
          <w:szCs w:val="32"/>
        </w:rPr>
        <w:t>综合运用多种手段，推动规划的有效实施。对于依靠市场配置资源的规划任务，加强市场监管，维护公平竞争；对于需要通过完善市场调节机制和政策导向机制实现的任务，营造良好的制度环境和政策环境；对于公共服务与管理等任务，切实履行职责，应用公共资源和调动社会力量努力保障目标的完成。</w:t>
      </w:r>
    </w:p>
    <w:p>
      <w:pPr>
        <w:spacing w:line="600" w:lineRule="exact"/>
        <w:ind w:firstLine="640" w:firstLineChars="200"/>
        <w:rPr>
          <w:rFonts w:ascii="Times New Roman" w:hAnsi="Times New Roman" w:eastAsia="仿宋_GB2312"/>
          <w:sz w:val="32"/>
          <w:szCs w:val="32"/>
        </w:rPr>
      </w:pPr>
    </w:p>
    <w:p>
      <w:pPr>
        <w:pStyle w:val="4"/>
        <w:spacing w:before="0" w:after="0" w:line="600" w:lineRule="exact"/>
        <w:jc w:val="center"/>
        <w:rPr>
          <w:rFonts w:eastAsia="楷体"/>
        </w:rPr>
      </w:pPr>
      <w:bookmarkStart w:id="254" w:name="_Toc440026014"/>
      <w:bookmarkStart w:id="255" w:name="_Toc440536895"/>
      <w:bookmarkStart w:id="256" w:name="_Toc458171884"/>
      <w:r>
        <w:rPr>
          <w:rFonts w:eastAsia="楷体"/>
        </w:rPr>
        <w:t>第二节</w:t>
      </w:r>
      <w:r>
        <w:rPr>
          <w:rFonts w:hint="eastAsia" w:eastAsia="楷体"/>
        </w:rPr>
        <w:t xml:space="preserve"> </w:t>
      </w:r>
      <w:r>
        <w:rPr>
          <w:rFonts w:eastAsia="楷体"/>
        </w:rPr>
        <w:t>完善规划实施管理体系</w:t>
      </w:r>
      <w:bookmarkEnd w:id="254"/>
      <w:bookmarkEnd w:id="255"/>
      <w:bookmarkEnd w:id="256"/>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进一步加强规划制度化建设，建立健全跟踪分析、考核评估和修编调整机制，强化“十三五”规划实施的政策和制度保障。</w:t>
      </w:r>
    </w:p>
    <w:p>
      <w:pPr>
        <w:spacing w:line="600" w:lineRule="exact"/>
        <w:ind w:firstLine="643" w:firstLineChars="200"/>
        <w:rPr>
          <w:rFonts w:ascii="Times New Roman" w:hAnsi="Times New Roman" w:eastAsia="仿宋_GB2312"/>
          <w:sz w:val="32"/>
          <w:szCs w:val="32"/>
        </w:rPr>
      </w:pPr>
      <w:bookmarkStart w:id="257" w:name="_Toc440026015"/>
      <w:r>
        <w:rPr>
          <w:rFonts w:ascii="Times New Roman" w:hAnsi="Times New Roman" w:eastAsia="仿宋_GB2312"/>
          <w:b/>
          <w:sz w:val="32"/>
          <w:szCs w:val="32"/>
        </w:rPr>
        <w:t>强化跟踪分析机制</w:t>
      </w:r>
      <w:bookmarkEnd w:id="257"/>
      <w:r>
        <w:rPr>
          <w:rFonts w:ascii="Times New Roman" w:hAnsi="Times New Roman" w:eastAsia="仿宋_GB2312"/>
          <w:b/>
          <w:sz w:val="32"/>
          <w:szCs w:val="32"/>
        </w:rPr>
        <w:t>。</w:t>
      </w:r>
      <w:r>
        <w:rPr>
          <w:rFonts w:ascii="Times New Roman" w:hAnsi="Times New Roman" w:eastAsia="仿宋_GB2312"/>
          <w:sz w:val="32"/>
          <w:szCs w:val="32"/>
        </w:rPr>
        <w:t>加强对规划实施的监测、跟踪与分析，建立健全发展规划指标体系的评价和统计制度。加强对重大战略问题的跟进研究，针对经济社会发展过程中出现的新问题，不断探索解决问题的新思路、新机制、新办法，为规划的动态调整和修订提供依据。</w:t>
      </w:r>
    </w:p>
    <w:p>
      <w:pPr>
        <w:spacing w:line="600" w:lineRule="exact"/>
        <w:ind w:firstLine="643" w:firstLineChars="200"/>
        <w:rPr>
          <w:rFonts w:ascii="Times New Roman" w:hAnsi="Times New Roman" w:eastAsia="仿宋_GB2312"/>
          <w:sz w:val="32"/>
          <w:szCs w:val="32"/>
        </w:rPr>
      </w:pPr>
      <w:bookmarkStart w:id="258" w:name="_Toc440026016"/>
      <w:r>
        <w:rPr>
          <w:rFonts w:ascii="Times New Roman" w:hAnsi="Times New Roman" w:eastAsia="仿宋_GB2312"/>
          <w:b/>
          <w:sz w:val="32"/>
          <w:szCs w:val="32"/>
        </w:rPr>
        <w:t>完善评估机制</w:t>
      </w:r>
      <w:bookmarkEnd w:id="258"/>
      <w:r>
        <w:rPr>
          <w:rFonts w:ascii="Times New Roman" w:hAnsi="Times New Roman" w:eastAsia="仿宋_GB2312"/>
          <w:b/>
          <w:sz w:val="32"/>
          <w:szCs w:val="32"/>
        </w:rPr>
        <w:t>。</w:t>
      </w:r>
      <w:r>
        <w:rPr>
          <w:rFonts w:ascii="Times New Roman" w:hAnsi="Times New Roman" w:eastAsia="仿宋_GB2312"/>
          <w:sz w:val="32"/>
          <w:szCs w:val="32"/>
        </w:rPr>
        <w:t>组织开展规划实施的中期评估，根据中期评估的结果，及时总结经验，发现问题；因国内外环境发生重大变化等特殊原因必须调整和修订规划纲要，由</w:t>
      </w:r>
      <w:r>
        <w:rPr>
          <w:rFonts w:hint="eastAsia" w:ascii="Times New Roman" w:hAnsi="Times New Roman" w:eastAsia="仿宋_GB2312"/>
          <w:sz w:val="32"/>
          <w:szCs w:val="32"/>
        </w:rPr>
        <w:t>区人民</w:t>
      </w:r>
      <w:r>
        <w:rPr>
          <w:rFonts w:ascii="Times New Roman" w:hAnsi="Times New Roman" w:eastAsia="仿宋_GB2312"/>
          <w:sz w:val="32"/>
          <w:szCs w:val="32"/>
        </w:rPr>
        <w:t>政府提出调整和修订方案，按有关程序报请</w:t>
      </w:r>
      <w:r>
        <w:rPr>
          <w:rFonts w:hint="eastAsia" w:ascii="Times New Roman" w:hAnsi="Times New Roman" w:eastAsia="仿宋_GB2312"/>
          <w:sz w:val="32"/>
          <w:szCs w:val="32"/>
        </w:rPr>
        <w:t>区</w:t>
      </w:r>
      <w:r>
        <w:rPr>
          <w:rFonts w:ascii="Times New Roman" w:hAnsi="Times New Roman" w:eastAsia="仿宋_GB2312"/>
          <w:sz w:val="32"/>
          <w:szCs w:val="32"/>
        </w:rPr>
        <w:t>人大常委会审议批准后实施。组织开展规划实施的总结评估，分析总体执行情况及存在的问题，为编制下一个五年规划奠定基础。引入社会机构评估等第三方评估制度，扩大民意测评范围，增强规划的准确性和广泛性。</w:t>
      </w:r>
    </w:p>
    <w:p>
      <w:pPr>
        <w:spacing w:line="600" w:lineRule="exact"/>
        <w:ind w:firstLine="643" w:firstLineChars="200"/>
        <w:rPr>
          <w:rFonts w:ascii="Times New Roman" w:hAnsi="Times New Roman" w:eastAsia="仿宋_GB2312"/>
          <w:sz w:val="32"/>
          <w:szCs w:val="32"/>
        </w:rPr>
      </w:pPr>
      <w:bookmarkStart w:id="259" w:name="_Toc440026017"/>
      <w:r>
        <w:rPr>
          <w:rFonts w:ascii="Times New Roman" w:hAnsi="Times New Roman" w:eastAsia="仿宋_GB2312"/>
          <w:b/>
          <w:sz w:val="32"/>
          <w:szCs w:val="32"/>
        </w:rPr>
        <w:t>健全考核监督机制</w:t>
      </w:r>
      <w:bookmarkEnd w:id="259"/>
      <w:r>
        <w:rPr>
          <w:rFonts w:ascii="Times New Roman" w:hAnsi="Times New Roman" w:eastAsia="仿宋_GB2312"/>
          <w:b/>
          <w:sz w:val="32"/>
          <w:szCs w:val="32"/>
        </w:rPr>
        <w:t>。</w:t>
      </w:r>
      <w:r>
        <w:rPr>
          <w:rFonts w:ascii="Times New Roman" w:hAnsi="Times New Roman" w:eastAsia="仿宋_GB2312"/>
          <w:sz w:val="32"/>
          <w:szCs w:val="32"/>
        </w:rPr>
        <w:t>进一步完善考核和激励制度，将规划纲要确定的目标任务和约束性指标分解落实到相关部门、县区、开发区，纳入经济社会综合发展评价和年度绩效考核体系，根据目标任务完成情况进行相应奖励或通报，提高纲要实施的主动性、积极性。加强规划纲要实施情况督查工作，</w:t>
      </w:r>
      <w:r>
        <w:rPr>
          <w:rFonts w:hint="eastAsia" w:ascii="Times New Roman" w:hAnsi="Times New Roman" w:eastAsia="仿宋_GB2312"/>
          <w:sz w:val="32"/>
          <w:szCs w:val="32"/>
        </w:rPr>
        <w:t>开展</w:t>
      </w:r>
      <w:r>
        <w:rPr>
          <w:rFonts w:ascii="Times New Roman" w:hAnsi="Times New Roman" w:eastAsia="仿宋_GB2312"/>
          <w:sz w:val="32"/>
          <w:szCs w:val="32"/>
        </w:rPr>
        <w:t>重点行业、重点任务、重大建设项目和重大政策措施等督察行动。</w:t>
      </w:r>
    </w:p>
    <w:p>
      <w:pPr>
        <w:spacing w:line="600" w:lineRule="exact"/>
        <w:ind w:firstLine="643" w:firstLineChars="200"/>
        <w:rPr>
          <w:rFonts w:ascii="Times New Roman" w:hAnsi="Times New Roman" w:eastAsia="仿宋_GB2312"/>
          <w:sz w:val="32"/>
          <w:szCs w:val="32"/>
        </w:rPr>
      </w:pPr>
      <w:bookmarkStart w:id="260" w:name="_Toc440026018"/>
      <w:r>
        <w:rPr>
          <w:rFonts w:ascii="Times New Roman" w:hAnsi="Times New Roman" w:eastAsia="仿宋_GB2312"/>
          <w:b/>
          <w:sz w:val="32"/>
          <w:szCs w:val="32"/>
        </w:rPr>
        <w:t>完善公众参与机制</w:t>
      </w:r>
      <w:bookmarkEnd w:id="260"/>
      <w:r>
        <w:rPr>
          <w:rFonts w:ascii="Times New Roman" w:hAnsi="Times New Roman" w:eastAsia="仿宋_GB2312"/>
          <w:b/>
          <w:sz w:val="32"/>
          <w:szCs w:val="32"/>
        </w:rPr>
        <w:t>。</w:t>
      </w:r>
      <w:r>
        <w:rPr>
          <w:rFonts w:ascii="Times New Roman" w:hAnsi="Times New Roman" w:eastAsia="仿宋_GB2312"/>
          <w:sz w:val="32"/>
          <w:szCs w:val="32"/>
        </w:rPr>
        <w:t>充分发挥新闻媒体和群众社团作用，通过多种形式、多种途径，广泛进行规划宣传，适当开展主题活动，鼓励社会各界参与规划实施过程，使全社会了解规划、关心规划、自觉地参与及监督规划实施。广泛征求人大、政协、民主党派、社会团体、企业、科研机构等社会各界对规划实施的意见建议，健全信息沟通和交流机制，提高规划实施的民主</w:t>
      </w:r>
      <w:r>
        <w:rPr>
          <w:rFonts w:hint="eastAsia" w:ascii="Times New Roman" w:hAnsi="Times New Roman" w:eastAsia="仿宋_GB2312"/>
          <w:sz w:val="32"/>
          <w:szCs w:val="32"/>
        </w:rPr>
        <w:t>化</w:t>
      </w:r>
      <w:r>
        <w:rPr>
          <w:rFonts w:ascii="Times New Roman" w:hAnsi="Times New Roman" w:eastAsia="仿宋_GB2312"/>
          <w:sz w:val="32"/>
          <w:szCs w:val="32"/>
        </w:rPr>
        <w:t>和透明度。</w:t>
      </w:r>
    </w:p>
    <w:p>
      <w:pPr>
        <w:pStyle w:val="4"/>
        <w:spacing w:before="0" w:after="0" w:line="600" w:lineRule="exact"/>
        <w:jc w:val="center"/>
        <w:rPr>
          <w:rFonts w:eastAsia="楷体"/>
        </w:rPr>
      </w:pPr>
      <w:bookmarkStart w:id="261" w:name="_Toc440026019"/>
      <w:bookmarkStart w:id="262" w:name="_Toc440536896"/>
      <w:bookmarkStart w:id="263" w:name="_Toc458171885"/>
      <w:r>
        <w:rPr>
          <w:rFonts w:eastAsia="楷体"/>
        </w:rPr>
        <w:t>第三节</w:t>
      </w:r>
      <w:r>
        <w:rPr>
          <w:rFonts w:hint="eastAsia" w:eastAsia="楷体"/>
        </w:rPr>
        <w:t xml:space="preserve"> </w:t>
      </w:r>
      <w:r>
        <w:rPr>
          <w:rFonts w:eastAsia="楷体"/>
        </w:rPr>
        <w:t>全面推进重大项目实施</w:t>
      </w:r>
      <w:bookmarkEnd w:id="261"/>
      <w:bookmarkEnd w:id="262"/>
      <w:bookmarkEnd w:id="263"/>
    </w:p>
    <w:p>
      <w:pPr>
        <w:spacing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发挥重大建设项目对经济增长的引领拉动作用，围绕城市基础设施建设、产业升级增效、民生保障改善、生态文明建设等四大重点建设领域规划实施37项重大项目，其中32个项目总投资额约33.4亿元。</w:t>
      </w:r>
    </w:p>
    <w:p>
      <w:pPr>
        <w:spacing w:line="600" w:lineRule="exact"/>
        <w:ind w:firstLine="643" w:firstLineChars="200"/>
        <w:rPr>
          <w:rFonts w:ascii="Times New Roman" w:hAnsi="Times New Roman" w:eastAsia="仿宋_GB2312"/>
          <w:color w:val="000000" w:themeColor="text1"/>
          <w:sz w:val="32"/>
          <w:szCs w:val="32"/>
          <w14:textFill>
            <w14:solidFill>
              <w14:schemeClr w14:val="tx1"/>
            </w14:solidFill>
          </w14:textFill>
        </w:rPr>
      </w:pPr>
      <w:bookmarkStart w:id="264" w:name="_Toc440026020"/>
      <w:r>
        <w:rPr>
          <w:rFonts w:ascii="Times New Roman" w:hAnsi="Times New Roman" w:eastAsia="仿宋_GB2312"/>
          <w:b/>
          <w:color w:val="000000" w:themeColor="text1"/>
          <w:sz w:val="32"/>
          <w:szCs w:val="32"/>
          <w14:textFill>
            <w14:solidFill>
              <w14:schemeClr w14:val="tx1"/>
            </w14:solidFill>
          </w14:textFill>
        </w:rPr>
        <w:t>明确责任</w:t>
      </w:r>
      <w:r>
        <w:rPr>
          <w:rFonts w:hint="eastAsia" w:ascii="Times New Roman" w:hAnsi="Times New Roman" w:eastAsia="仿宋_GB2312"/>
          <w:b/>
          <w:color w:val="000000" w:themeColor="text1"/>
          <w:sz w:val="32"/>
          <w:szCs w:val="32"/>
          <w14:textFill>
            <w14:solidFill>
              <w14:schemeClr w14:val="tx1"/>
            </w14:solidFill>
          </w14:textFill>
        </w:rPr>
        <w:t>统筹</w:t>
      </w:r>
      <w:r>
        <w:rPr>
          <w:rFonts w:ascii="Times New Roman" w:hAnsi="Times New Roman" w:eastAsia="仿宋_GB2312"/>
          <w:b/>
          <w:color w:val="000000" w:themeColor="text1"/>
          <w:sz w:val="32"/>
          <w:szCs w:val="32"/>
          <w14:textFill>
            <w14:solidFill>
              <w14:schemeClr w14:val="tx1"/>
            </w14:solidFill>
          </w14:textFill>
        </w:rPr>
        <w:t>协调</w:t>
      </w:r>
      <w:bookmarkEnd w:id="264"/>
      <w:r>
        <w:rPr>
          <w:rFonts w:ascii="Times New Roman" w:hAnsi="Times New Roman" w:eastAsia="仿宋_GB2312"/>
          <w:b/>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建立逐年落实、动态实施的重大项目工作机制，逐年分解落实规划目标和工作任务；明确工作任务的责任主体，</w:t>
      </w:r>
      <w:r>
        <w:rPr>
          <w:rFonts w:hint="eastAsia" w:ascii="Times New Roman" w:hAnsi="Times New Roman" w:eastAsia="仿宋_GB2312"/>
          <w:color w:val="000000" w:themeColor="text1"/>
          <w:sz w:val="32"/>
          <w:szCs w:val="32"/>
          <w14:textFill>
            <w14:solidFill>
              <w14:schemeClr w14:val="tx1"/>
            </w14:solidFill>
          </w14:textFill>
        </w:rPr>
        <w:t>新区管委会</w:t>
      </w:r>
      <w:r>
        <w:rPr>
          <w:rFonts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直属</w:t>
      </w:r>
      <w:r>
        <w:rPr>
          <w:rFonts w:ascii="Times New Roman" w:hAnsi="Times New Roman" w:eastAsia="仿宋_GB2312"/>
          <w:color w:val="000000" w:themeColor="text1"/>
          <w:sz w:val="32"/>
          <w:szCs w:val="32"/>
          <w14:textFill>
            <w14:solidFill>
              <w14:schemeClr w14:val="tx1"/>
            </w14:solidFill>
          </w14:textFill>
        </w:rPr>
        <w:t>部门加强与项目业主的沟通和协调，优化服务，形成合力，共同促进重大建设项目顺利实施。</w:t>
      </w:r>
    </w:p>
    <w:p>
      <w:pPr>
        <w:spacing w:line="600" w:lineRule="exact"/>
        <w:ind w:firstLine="643" w:firstLineChars="200"/>
        <w:rPr>
          <w:rFonts w:ascii="Times New Roman" w:hAnsi="Times New Roman" w:eastAsia="仿宋_GB2312"/>
          <w:color w:val="000000" w:themeColor="text1"/>
          <w:spacing w:val="-4"/>
          <w:sz w:val="32"/>
          <w:szCs w:val="32"/>
          <w14:textFill>
            <w14:solidFill>
              <w14:schemeClr w14:val="tx1"/>
            </w14:solidFill>
          </w14:textFill>
        </w:rPr>
      </w:pPr>
      <w:bookmarkStart w:id="265" w:name="_Toc440026021"/>
      <w:r>
        <w:rPr>
          <w:rFonts w:ascii="Times New Roman" w:hAnsi="Times New Roman" w:eastAsia="仿宋_GB2312"/>
          <w:b/>
          <w:color w:val="000000" w:themeColor="text1"/>
          <w:sz w:val="32"/>
          <w:szCs w:val="32"/>
          <w14:textFill>
            <w14:solidFill>
              <w14:schemeClr w14:val="tx1"/>
            </w14:solidFill>
          </w14:textFill>
        </w:rPr>
        <w:t>落实资金保障用地</w:t>
      </w:r>
      <w:bookmarkEnd w:id="265"/>
      <w:r>
        <w:rPr>
          <w:rFonts w:ascii="Times New Roman" w:hAnsi="Times New Roman" w:eastAsia="仿宋_GB2312"/>
          <w:b/>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对纳入规划的重大项目加大财政支持力度，加强与银行的战略合作</w:t>
      </w:r>
      <w:r>
        <w:rPr>
          <w:rFonts w:hint="eastAsia" w:ascii="Times New Roman" w:hAnsi="Times New Roman" w:eastAsia="仿宋_GB2312"/>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构筑政银企合作平台，发展建立股权和创业投资基金，积极协助企业通过上市、发行债券等方式多渠道筹措资金。完善重大项目土地供应制度，编制用地计划，对列</w:t>
      </w:r>
      <w:r>
        <w:rPr>
          <w:rFonts w:ascii="Times New Roman" w:hAnsi="Times New Roman" w:eastAsia="仿宋_GB2312"/>
          <w:color w:val="000000" w:themeColor="text1"/>
          <w:spacing w:val="-4"/>
          <w:sz w:val="32"/>
          <w:szCs w:val="32"/>
          <w14:textFill>
            <w14:solidFill>
              <w14:schemeClr w14:val="tx1"/>
            </w14:solidFill>
          </w14:textFill>
        </w:rPr>
        <w:t>入规划的重大项目优先安排土地利用指标、保障项目用地。</w:t>
      </w:r>
    </w:p>
    <w:p>
      <w:pPr>
        <w:spacing w:line="600" w:lineRule="exact"/>
        <w:ind w:firstLine="643" w:firstLineChars="200"/>
        <w:rPr>
          <w:rFonts w:ascii="Times New Roman" w:hAnsi="Times New Roman" w:eastAsia="仿宋_GB2312"/>
          <w:color w:val="000000" w:themeColor="text1"/>
          <w:sz w:val="32"/>
          <w:szCs w:val="32"/>
          <w14:textFill>
            <w14:solidFill>
              <w14:schemeClr w14:val="tx1"/>
            </w14:solidFill>
          </w14:textFill>
        </w:rPr>
      </w:pPr>
      <w:bookmarkStart w:id="266" w:name="_Toc440026022"/>
      <w:r>
        <w:rPr>
          <w:rFonts w:ascii="Times New Roman" w:hAnsi="Times New Roman" w:eastAsia="仿宋_GB2312"/>
          <w:b/>
          <w:color w:val="000000" w:themeColor="text1"/>
          <w:sz w:val="32"/>
          <w:szCs w:val="32"/>
          <w14:textFill>
            <w14:solidFill>
              <w14:schemeClr w14:val="tx1"/>
            </w14:solidFill>
          </w14:textFill>
        </w:rPr>
        <w:t>加强储备强化管理</w:t>
      </w:r>
      <w:bookmarkEnd w:id="266"/>
      <w:r>
        <w:rPr>
          <w:rFonts w:ascii="Times New Roman" w:hAnsi="Times New Roman" w:eastAsia="仿宋_GB2312"/>
          <w:b/>
          <w:color w:val="000000" w:themeColor="text1"/>
          <w:sz w:val="32"/>
          <w:szCs w:val="32"/>
          <w14:textFill>
            <w14:solidFill>
              <w14:schemeClr w14:val="tx1"/>
            </w14:solidFill>
          </w14:textFill>
        </w:rPr>
        <w:t>。</w:t>
      </w:r>
      <w:r>
        <w:rPr>
          <w:rFonts w:ascii="Times New Roman" w:hAnsi="Times New Roman" w:eastAsia="仿宋_GB2312"/>
          <w:color w:val="000000" w:themeColor="text1"/>
          <w:sz w:val="32"/>
          <w:szCs w:val="32"/>
          <w14:textFill>
            <w14:solidFill>
              <w14:schemeClr w14:val="tx1"/>
            </w14:solidFill>
          </w14:textFill>
        </w:rPr>
        <w:t>突出项目前期工作的刚性，对规划提出的项目加快前期工作，有重点开展前瞻性研究和项目策划，不断扩充项目储备库。加强重大项目管理，严格执行项目法人责任制、项目资本金制、项目招投标制、工程建设监理制、项目环境监督制等项目建设管理制度。加强重大项目督查力度，建立重大项目督办和落实检查制度，确保项目的规范推进和资金的有效使用。</w:t>
      </w:r>
    </w:p>
    <w:p>
      <w:pPr>
        <w:spacing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600" w:lineRule="exact"/>
        <w:ind w:firstLine="640" w:firstLineChars="200"/>
        <w:rPr>
          <w:rFonts w:hint="eastAsia" w:ascii="Times New Roman" w:hAnsi="Times New Roman" w:eastAsia="仿宋_GB2312"/>
          <w:color w:val="000000" w:themeColor="text1"/>
          <w:sz w:val="32"/>
          <w:szCs w:val="32"/>
          <w14:textFill>
            <w14:solidFill>
              <w14:schemeClr w14:val="tx1"/>
            </w14:solidFill>
          </w14:textFill>
        </w:rPr>
      </w:pPr>
    </w:p>
    <w:p>
      <w:pPr>
        <w:spacing w:line="600" w:lineRule="exact"/>
        <w:ind w:firstLine="640" w:firstLineChars="200"/>
        <w:rPr>
          <w:rFonts w:ascii="Times New Roman" w:hAnsi="Times New Roman" w:eastAsia="仿宋_GB2312"/>
          <w:color w:val="000000" w:themeColor="text1"/>
          <w:sz w:val="32"/>
          <w:szCs w:val="32"/>
          <w14:textFill>
            <w14:solidFill>
              <w14:schemeClr w14:val="tx1"/>
            </w14:solidFill>
          </w14:textFill>
        </w:rPr>
      </w:pPr>
    </w:p>
    <w:p>
      <w:pPr>
        <w:spacing w:line="600" w:lineRule="exact"/>
        <w:ind w:firstLine="560" w:firstLineChars="200"/>
        <w:rPr>
          <w:rFonts w:ascii="Times New Roman" w:hAnsi="Times New Roman" w:eastAsia="仿宋_GB2312"/>
          <w:color w:val="000000" w:themeColor="text1"/>
          <w:szCs w:val="32"/>
          <w14:textFill>
            <w14:solidFill>
              <w14:schemeClr w14:val="tx1"/>
            </w14:solidFill>
          </w14:textFill>
        </w:rPr>
      </w:pPr>
      <w:r>
        <w:rPr>
          <w:rFonts w:hint="eastAsia" w:ascii="Times New Roman" w:hAnsi="Times New Roman" w:eastAsia="仿宋_GB2312"/>
          <w:color w:val="000000" w:themeColor="text1"/>
          <w:szCs w:val="32"/>
          <w14:textFill>
            <w14:solidFill>
              <w14:schemeClr w14:val="tx1"/>
            </w14:solidFill>
          </w14:textFill>
        </w:rPr>
        <w:t>“十三五”重大项目列表</w:t>
      </w:r>
    </w:p>
    <w:tbl>
      <w:tblPr>
        <w:tblStyle w:val="27"/>
        <w:tblW w:w="8625" w:type="dxa"/>
        <w:jc w:val="center"/>
        <w:tblLayout w:type="fixed"/>
        <w:tblCellMar>
          <w:top w:w="0" w:type="dxa"/>
          <w:left w:w="108" w:type="dxa"/>
          <w:bottom w:w="0" w:type="dxa"/>
          <w:right w:w="108" w:type="dxa"/>
        </w:tblCellMar>
      </w:tblPr>
      <w:tblGrid>
        <w:gridCol w:w="737"/>
        <w:gridCol w:w="3232"/>
        <w:gridCol w:w="1434"/>
        <w:gridCol w:w="1696"/>
        <w:gridCol w:w="1526"/>
      </w:tblGrid>
      <w:tr>
        <w:tblPrEx>
          <w:tblCellMar>
            <w:top w:w="0" w:type="dxa"/>
            <w:left w:w="108" w:type="dxa"/>
            <w:bottom w:w="0" w:type="dxa"/>
            <w:right w:w="108" w:type="dxa"/>
          </w:tblCellMar>
        </w:tblPrEx>
        <w:trPr>
          <w:trHeight w:val="945" w:hRule="atLeast"/>
          <w:jc w:val="center"/>
        </w:trPr>
        <w:tc>
          <w:tcPr>
            <w:tcW w:w="73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序号</w:t>
            </w:r>
          </w:p>
        </w:tc>
        <w:tc>
          <w:tcPr>
            <w:tcW w:w="3232"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项目名称</w:t>
            </w:r>
          </w:p>
        </w:tc>
        <w:tc>
          <w:tcPr>
            <w:tcW w:w="1434"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总投资（万元）</w:t>
            </w:r>
          </w:p>
        </w:tc>
        <w:tc>
          <w:tcPr>
            <w:tcW w:w="1696"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计划开工时间</w:t>
            </w:r>
          </w:p>
        </w:tc>
        <w:tc>
          <w:tcPr>
            <w:tcW w:w="1526" w:type="dxa"/>
            <w:tcBorders>
              <w:top w:val="single" w:color="auto" w:sz="4" w:space="0"/>
              <w:left w:val="single" w:color="auto" w:sz="4" w:space="0"/>
              <w:bottom w:val="single" w:color="000000"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计划竣工时间</w:t>
            </w:r>
          </w:p>
        </w:tc>
      </w:tr>
      <w:tr>
        <w:tblPrEx>
          <w:tblCellMar>
            <w:top w:w="0" w:type="dxa"/>
            <w:left w:w="108" w:type="dxa"/>
            <w:bottom w:w="0" w:type="dxa"/>
            <w:right w:w="108" w:type="dxa"/>
          </w:tblCellMar>
        </w:tblPrEx>
        <w:trPr>
          <w:trHeight w:val="348" w:hRule="atLeast"/>
          <w:jc w:val="center"/>
        </w:trPr>
        <w:tc>
          <w:tcPr>
            <w:tcW w:w="7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24"/>
                <w:szCs w:val="24"/>
              </w:rPr>
            </w:pPr>
          </w:p>
        </w:tc>
        <w:tc>
          <w:tcPr>
            <w:tcW w:w="3232"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总计</w:t>
            </w:r>
          </w:p>
        </w:tc>
        <w:tc>
          <w:tcPr>
            <w:tcW w:w="1434"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3343931.67</w:t>
            </w:r>
          </w:p>
        </w:tc>
        <w:tc>
          <w:tcPr>
            <w:tcW w:w="1696"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348" w:hRule="atLeast"/>
          <w:jc w:val="center"/>
        </w:trPr>
        <w:tc>
          <w:tcPr>
            <w:tcW w:w="7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24"/>
                <w:szCs w:val="24"/>
              </w:rPr>
            </w:pPr>
          </w:p>
        </w:tc>
        <w:tc>
          <w:tcPr>
            <w:tcW w:w="3232"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一、基础设施</w:t>
            </w:r>
          </w:p>
        </w:tc>
        <w:tc>
          <w:tcPr>
            <w:tcW w:w="1434"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1297070.97</w:t>
            </w:r>
          </w:p>
        </w:tc>
        <w:tc>
          <w:tcPr>
            <w:tcW w:w="1696"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348" w:hRule="atLeast"/>
          <w:jc w:val="center"/>
        </w:trPr>
        <w:tc>
          <w:tcPr>
            <w:tcW w:w="7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kern w:val="0"/>
                <w:sz w:val="24"/>
                <w:szCs w:val="24"/>
              </w:rPr>
            </w:pPr>
          </w:p>
        </w:tc>
        <w:tc>
          <w:tcPr>
            <w:tcW w:w="3232"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1）交通</w:t>
            </w:r>
          </w:p>
        </w:tc>
        <w:tc>
          <w:tcPr>
            <w:tcW w:w="1434"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1087314.8</w:t>
            </w:r>
          </w:p>
        </w:tc>
        <w:tc>
          <w:tcPr>
            <w:tcW w:w="169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231"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柳州港官塘作业区一期工程</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136363</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2015</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335"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2</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柳州港官塘作业区二期工程</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25000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2020</w:t>
            </w:r>
          </w:p>
        </w:tc>
      </w:tr>
      <w:tr>
        <w:tblPrEx>
          <w:tblCellMar>
            <w:top w:w="0" w:type="dxa"/>
            <w:left w:w="108" w:type="dxa"/>
            <w:bottom w:w="0" w:type="dxa"/>
            <w:right w:w="108" w:type="dxa"/>
          </w:tblCellMar>
        </w:tblPrEx>
        <w:trPr>
          <w:trHeight w:val="269"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3</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柳州港官塘作业区三期工程</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100000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2020</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2022</w:t>
            </w:r>
          </w:p>
        </w:tc>
      </w:tr>
      <w:tr>
        <w:tblPrEx>
          <w:tblCellMar>
            <w:top w:w="0" w:type="dxa"/>
            <w:left w:w="108" w:type="dxa"/>
            <w:bottom w:w="0" w:type="dxa"/>
            <w:right w:w="108" w:type="dxa"/>
          </w:tblCellMar>
        </w:tblPrEx>
        <w:trPr>
          <w:trHeight w:val="372"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4</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柳州官塘物流港铁路货运枢纽项目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66000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2020</w:t>
            </w:r>
          </w:p>
        </w:tc>
      </w:tr>
      <w:tr>
        <w:tblPrEx>
          <w:tblCellMar>
            <w:top w:w="0" w:type="dxa"/>
            <w:left w:w="108" w:type="dxa"/>
            <w:bottom w:w="0" w:type="dxa"/>
            <w:right w:w="108" w:type="dxa"/>
          </w:tblCellMar>
        </w:tblPrEx>
        <w:trPr>
          <w:trHeight w:val="265"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5</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雒容至东泉段一级公路</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133581.26</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2019</w:t>
            </w:r>
          </w:p>
        </w:tc>
      </w:tr>
      <w:tr>
        <w:tblPrEx>
          <w:tblCellMar>
            <w:top w:w="0" w:type="dxa"/>
            <w:left w:w="108" w:type="dxa"/>
            <w:bottom w:w="0" w:type="dxa"/>
            <w:right w:w="108" w:type="dxa"/>
          </w:tblCellMar>
        </w:tblPrEx>
        <w:trPr>
          <w:trHeight w:val="241"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6</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江口至导江工程(柳东段）</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2014</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331"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7</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龙岭大道</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26082.95</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293"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8</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东外环柳东段项目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229037.49</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2011</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85"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9</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曙光大道</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245132.87</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2011</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203"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10</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花岭大道东延长线</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14087.19</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307"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11</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东外环柳东段延长线</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12030.04</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2015</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269"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12</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官塘大桥</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100000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2014</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w:t>
            </w: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3232"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2）市政基础设施</w:t>
            </w:r>
          </w:p>
        </w:tc>
        <w:tc>
          <w:tcPr>
            <w:tcW w:w="1434"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209756.17</w:t>
            </w:r>
          </w:p>
        </w:tc>
        <w:tc>
          <w:tcPr>
            <w:tcW w:w="169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438"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13</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柳东防洪工程(防洪堤工程)</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30516.17</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2015</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700"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14</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广西柳州汽车城坪龙防洪排涝滞洪区综合整治工程（龙湖）</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47000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2014</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284"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15</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柳东新区文化广场</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132240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2019</w:t>
            </w:r>
          </w:p>
        </w:tc>
      </w:tr>
      <w:tr>
        <w:tblPrEx>
          <w:tblCellMar>
            <w:top w:w="0" w:type="dxa"/>
            <w:left w:w="108" w:type="dxa"/>
            <w:bottom w:w="0" w:type="dxa"/>
            <w:right w:w="108" w:type="dxa"/>
          </w:tblCellMar>
        </w:tblPrEx>
        <w:trPr>
          <w:trHeight w:val="284"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16</w:t>
            </w:r>
          </w:p>
        </w:tc>
        <w:tc>
          <w:tcPr>
            <w:tcW w:w="3232"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地下综合管廊柳东新区项目</w:t>
            </w:r>
          </w:p>
        </w:tc>
        <w:tc>
          <w:tcPr>
            <w:tcW w:w="1434"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待定</w:t>
            </w:r>
          </w:p>
        </w:tc>
        <w:tc>
          <w:tcPr>
            <w:tcW w:w="1696"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待定</w:t>
            </w:r>
          </w:p>
        </w:tc>
        <w:tc>
          <w:tcPr>
            <w:tcW w:w="1526"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待定</w:t>
            </w: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p>
        </w:tc>
        <w:tc>
          <w:tcPr>
            <w:tcW w:w="3232"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二、产业</w:t>
            </w:r>
          </w:p>
        </w:tc>
        <w:tc>
          <w:tcPr>
            <w:tcW w:w="1434"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1827472.7</w:t>
            </w:r>
          </w:p>
        </w:tc>
        <w:tc>
          <w:tcPr>
            <w:tcW w:w="1696"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3232"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1）千亿元产业</w:t>
            </w:r>
          </w:p>
        </w:tc>
        <w:tc>
          <w:tcPr>
            <w:tcW w:w="1434"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871942.7</w:t>
            </w:r>
          </w:p>
        </w:tc>
        <w:tc>
          <w:tcPr>
            <w:tcW w:w="169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132"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17</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技术中心试验室建设项目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185690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2015</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378"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18</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上汽通用五菱宝骏二期整车产能建设项目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180000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2015</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r>
      <w:tr>
        <w:tblPrEx>
          <w:tblCellMar>
            <w:top w:w="0" w:type="dxa"/>
            <w:left w:w="108" w:type="dxa"/>
            <w:bottom w:w="0" w:type="dxa"/>
            <w:right w:w="108" w:type="dxa"/>
          </w:tblCellMar>
        </w:tblPrEx>
        <w:trPr>
          <w:trHeight w:val="458"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19</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上汽通用五菱柳州发动机五期工程建设项目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143281.7</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2014</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r>
      <w:tr>
        <w:tblPrEx>
          <w:tblCellMar>
            <w:top w:w="0" w:type="dxa"/>
            <w:left w:w="108" w:type="dxa"/>
            <w:bottom w:w="0" w:type="dxa"/>
            <w:right w:w="108" w:type="dxa"/>
          </w:tblCellMar>
        </w:tblPrEx>
        <w:trPr>
          <w:trHeight w:val="395"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柳东乘用车基地发动机项目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40325</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2014</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r>
      <w:tr>
        <w:tblPrEx>
          <w:tblCellMar>
            <w:top w:w="0" w:type="dxa"/>
            <w:left w:w="108" w:type="dxa"/>
            <w:bottom w:w="0" w:type="dxa"/>
            <w:right w:w="108" w:type="dxa"/>
          </w:tblCellMar>
        </w:tblPrEx>
        <w:trPr>
          <w:trHeight w:val="414"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21</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柳东基地研发中心项目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27191</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265"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22</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柳东乘用车基地搬迁二期项目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101870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2015</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383"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23</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柳东商用车基地搬迁技术改造项目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140695</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133"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24</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乘用车SX5车型工艺开发项目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52890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3232"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2）战略性新兴产业</w:t>
            </w:r>
          </w:p>
        </w:tc>
        <w:tc>
          <w:tcPr>
            <w:tcW w:w="1434"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302000</w:t>
            </w:r>
          </w:p>
        </w:tc>
        <w:tc>
          <w:tcPr>
            <w:tcW w:w="169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144"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25</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柳东新区科技园</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300000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2015</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261"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26</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3D打印工业制造服务及研发平台</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2019</w:t>
            </w:r>
          </w:p>
        </w:tc>
      </w:tr>
      <w:tr>
        <w:tblPrEx>
          <w:tblCellMar>
            <w:top w:w="0" w:type="dxa"/>
            <w:left w:w="108" w:type="dxa"/>
            <w:bottom w:w="0" w:type="dxa"/>
            <w:right w:w="108" w:type="dxa"/>
          </w:tblCellMar>
        </w:tblPrEx>
        <w:trPr>
          <w:trHeight w:val="85" w:hRule="atLeast"/>
          <w:jc w:val="center"/>
        </w:trPr>
        <w:tc>
          <w:tcPr>
            <w:tcW w:w="737"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rPr>
            </w:pPr>
          </w:p>
        </w:tc>
        <w:tc>
          <w:tcPr>
            <w:tcW w:w="3232"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rPr>
            </w:pPr>
            <w:r>
              <w:rPr>
                <w:rFonts w:hint="eastAsia" w:ascii="仿宋" w:hAnsi="仿宋" w:eastAsia="仿宋" w:cs="宋体"/>
                <w:b/>
                <w:bCs/>
                <w:kern w:val="0"/>
                <w:sz w:val="24"/>
                <w:szCs w:val="24"/>
              </w:rPr>
              <w:t>3）现代服务业</w:t>
            </w:r>
          </w:p>
        </w:tc>
        <w:tc>
          <w:tcPr>
            <w:tcW w:w="1434"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rPr>
            </w:pPr>
            <w:r>
              <w:rPr>
                <w:rFonts w:hint="eastAsia" w:ascii="仿宋" w:hAnsi="仿宋" w:eastAsia="仿宋" w:cs="宋体"/>
                <w:b/>
                <w:bCs/>
                <w:kern w:val="0"/>
                <w:sz w:val="24"/>
                <w:szCs w:val="24"/>
              </w:rPr>
              <w:t>653530</w:t>
            </w:r>
          </w:p>
        </w:tc>
        <w:tc>
          <w:tcPr>
            <w:tcW w:w="169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rPr>
            </w:pPr>
          </w:p>
        </w:tc>
        <w:tc>
          <w:tcPr>
            <w:tcW w:w="152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rPr>
            </w:pPr>
          </w:p>
        </w:tc>
      </w:tr>
      <w:tr>
        <w:tblPrEx>
          <w:tblCellMar>
            <w:top w:w="0" w:type="dxa"/>
            <w:left w:w="108" w:type="dxa"/>
            <w:bottom w:w="0" w:type="dxa"/>
            <w:right w:w="108" w:type="dxa"/>
          </w:tblCellMar>
        </w:tblPrEx>
        <w:trPr>
          <w:trHeight w:val="326"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bCs/>
                <w:kern w:val="0"/>
                <w:sz w:val="24"/>
                <w:szCs w:val="24"/>
              </w:rPr>
              <w:t>27</w:t>
            </w:r>
          </w:p>
        </w:tc>
        <w:tc>
          <w:tcPr>
            <w:tcW w:w="3232" w:type="dxa"/>
            <w:tcBorders>
              <w:top w:val="nil"/>
              <w:left w:val="nil"/>
              <w:bottom w:val="single" w:color="auto" w:sz="4" w:space="0"/>
              <w:right w:val="single" w:color="auto" w:sz="4" w:space="0"/>
            </w:tcBorders>
            <w:shd w:val="clear" w:color="auto"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雒容古镇</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143000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2020</w:t>
            </w: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28</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汽车城汽车物流贸易园（广西柳州汽车主题公园）</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169000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2020</w:t>
            </w:r>
          </w:p>
        </w:tc>
      </w:tr>
      <w:tr>
        <w:tblPrEx>
          <w:tblCellMar>
            <w:top w:w="0" w:type="dxa"/>
            <w:left w:w="108" w:type="dxa"/>
            <w:bottom w:w="0" w:type="dxa"/>
            <w:right w:w="108" w:type="dxa"/>
          </w:tblCellMar>
        </w:tblPrEx>
        <w:trPr>
          <w:trHeight w:val="337"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Cs/>
                <w:kern w:val="0"/>
                <w:sz w:val="24"/>
                <w:szCs w:val="24"/>
              </w:rPr>
            </w:pPr>
            <w:r>
              <w:rPr>
                <w:rFonts w:hint="eastAsia" w:ascii="仿宋" w:hAnsi="仿宋" w:eastAsia="仿宋" w:cs="宋体"/>
                <w:kern w:val="0"/>
                <w:sz w:val="24"/>
                <w:szCs w:val="24"/>
              </w:rPr>
              <w:t>29</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bCs/>
                <w:kern w:val="0"/>
                <w:sz w:val="24"/>
                <w:szCs w:val="24"/>
              </w:rPr>
            </w:pPr>
            <w:r>
              <w:rPr>
                <w:rFonts w:hint="eastAsia" w:ascii="仿宋" w:hAnsi="仿宋" w:eastAsia="仿宋" w:cs="宋体"/>
                <w:kern w:val="0"/>
                <w:sz w:val="24"/>
                <w:szCs w:val="24"/>
              </w:rPr>
              <w:t>柳州国际会展中心二期工程</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bCs/>
                <w:kern w:val="0"/>
                <w:sz w:val="24"/>
                <w:szCs w:val="24"/>
              </w:rPr>
            </w:pPr>
            <w:r>
              <w:rPr>
                <w:rFonts w:hint="eastAsia" w:ascii="仿宋" w:hAnsi="仿宋" w:eastAsia="仿宋" w:cs="宋体"/>
                <w:kern w:val="0"/>
                <w:sz w:val="24"/>
                <w:szCs w:val="24"/>
              </w:rPr>
              <w:t>90491</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bCs/>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bCs/>
                <w:kern w:val="0"/>
                <w:sz w:val="24"/>
                <w:szCs w:val="24"/>
              </w:rPr>
            </w:pPr>
            <w:r>
              <w:rPr>
                <w:rFonts w:hint="eastAsia" w:ascii="仿宋" w:hAnsi="仿宋" w:eastAsia="仿宋" w:cs="宋体"/>
                <w:kern w:val="0"/>
                <w:sz w:val="24"/>
                <w:szCs w:val="24"/>
              </w:rPr>
              <w:t>2019</w:t>
            </w:r>
          </w:p>
        </w:tc>
      </w:tr>
      <w:tr>
        <w:tblPrEx>
          <w:tblCellMar>
            <w:top w:w="0" w:type="dxa"/>
            <w:left w:w="108" w:type="dxa"/>
            <w:bottom w:w="0" w:type="dxa"/>
            <w:right w:w="108" w:type="dxa"/>
          </w:tblCellMar>
        </w:tblPrEx>
        <w:trPr>
          <w:trHeight w:val="285"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30</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柳州国际会展中心三期工程</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71039</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2020</w:t>
            </w:r>
          </w:p>
        </w:tc>
      </w:tr>
      <w:tr>
        <w:tblPrEx>
          <w:tblCellMar>
            <w:top w:w="0" w:type="dxa"/>
            <w:left w:w="108" w:type="dxa"/>
            <w:bottom w:w="0" w:type="dxa"/>
            <w:right w:w="108" w:type="dxa"/>
          </w:tblCellMar>
        </w:tblPrEx>
        <w:trPr>
          <w:trHeight w:val="375"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31</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国家汽车质量监督检验中心</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180000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2013</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266"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32</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柳州市官塘综合保税区</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r>
      <w:tr>
        <w:tblPrEx>
          <w:tblCellMar>
            <w:top w:w="0" w:type="dxa"/>
            <w:left w:w="108" w:type="dxa"/>
            <w:bottom w:w="0" w:type="dxa"/>
            <w:right w:w="108" w:type="dxa"/>
          </w:tblCellMar>
        </w:tblPrEx>
        <w:trPr>
          <w:trHeight w:val="243" w:hRule="atLeast"/>
          <w:jc w:val="center"/>
        </w:trPr>
        <w:tc>
          <w:tcPr>
            <w:tcW w:w="737" w:type="dxa"/>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kern w:val="0"/>
                <w:sz w:val="24"/>
                <w:szCs w:val="24"/>
              </w:rPr>
            </w:pPr>
          </w:p>
        </w:tc>
        <w:tc>
          <w:tcPr>
            <w:tcW w:w="3232"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kern w:val="0"/>
                <w:sz w:val="24"/>
                <w:szCs w:val="24"/>
              </w:rPr>
            </w:pPr>
            <w:r>
              <w:rPr>
                <w:rFonts w:hint="eastAsia" w:ascii="仿宋" w:hAnsi="仿宋" w:eastAsia="仿宋" w:cs="宋体"/>
                <w:b/>
                <w:bCs/>
                <w:kern w:val="0"/>
                <w:sz w:val="24"/>
                <w:szCs w:val="24"/>
              </w:rPr>
              <w:t>三、社会民生</w:t>
            </w:r>
          </w:p>
        </w:tc>
        <w:tc>
          <w:tcPr>
            <w:tcW w:w="1434"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kern w:val="0"/>
                <w:sz w:val="24"/>
                <w:szCs w:val="24"/>
              </w:rPr>
            </w:pPr>
            <w:r>
              <w:rPr>
                <w:rFonts w:hint="eastAsia" w:ascii="仿宋" w:hAnsi="仿宋" w:eastAsia="仿宋" w:cs="宋体"/>
                <w:b/>
                <w:bCs/>
                <w:kern w:val="0"/>
                <w:sz w:val="24"/>
                <w:szCs w:val="24"/>
              </w:rPr>
              <w:t>219388</w:t>
            </w:r>
          </w:p>
        </w:tc>
        <w:tc>
          <w:tcPr>
            <w:tcW w:w="1696"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kern w:val="0"/>
                <w:sz w:val="24"/>
                <w:szCs w:val="24"/>
              </w:rPr>
            </w:pPr>
          </w:p>
        </w:tc>
        <w:tc>
          <w:tcPr>
            <w:tcW w:w="1526" w:type="dxa"/>
            <w:tcBorders>
              <w:top w:val="nil"/>
              <w:left w:val="nil"/>
              <w:bottom w:val="single" w:color="auto" w:sz="4" w:space="0"/>
              <w:right w:val="single" w:color="auto" w:sz="4" w:space="0"/>
            </w:tcBorders>
            <w:shd w:val="clear" w:color="auto" w:fill="D8D8D8" w:themeFill="background1" w:themeFillShade="D9"/>
            <w:vAlign w:val="center"/>
          </w:tcPr>
          <w:p>
            <w:pPr>
              <w:widowControl/>
              <w:jc w:val="center"/>
              <w:rPr>
                <w:rFonts w:ascii="仿宋" w:hAnsi="仿宋" w:eastAsia="仿宋" w:cs="宋体"/>
                <w:kern w:val="0"/>
                <w:sz w:val="24"/>
                <w:szCs w:val="24"/>
              </w:rPr>
            </w:pP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highlight w:val="yellow"/>
              </w:rPr>
            </w:pPr>
          </w:p>
        </w:tc>
        <w:tc>
          <w:tcPr>
            <w:tcW w:w="3232"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highlight w:val="yellow"/>
              </w:rPr>
            </w:pPr>
            <w:r>
              <w:rPr>
                <w:rFonts w:hint="eastAsia" w:ascii="仿宋" w:hAnsi="仿宋" w:eastAsia="仿宋" w:cs="宋体"/>
                <w:b/>
                <w:bCs/>
                <w:kern w:val="0"/>
                <w:sz w:val="24"/>
                <w:szCs w:val="24"/>
              </w:rPr>
              <w:t>1）教育</w:t>
            </w:r>
          </w:p>
        </w:tc>
        <w:tc>
          <w:tcPr>
            <w:tcW w:w="1434"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highlight w:val="yellow"/>
              </w:rPr>
            </w:pPr>
            <w:r>
              <w:rPr>
                <w:rFonts w:hint="eastAsia" w:ascii="仿宋" w:hAnsi="仿宋" w:eastAsia="仿宋" w:cs="宋体"/>
                <w:b/>
                <w:bCs/>
                <w:kern w:val="0"/>
                <w:sz w:val="24"/>
                <w:szCs w:val="24"/>
              </w:rPr>
              <w:t>70000</w:t>
            </w:r>
          </w:p>
        </w:tc>
        <w:tc>
          <w:tcPr>
            <w:tcW w:w="169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rPr>
            </w:pPr>
          </w:p>
        </w:tc>
        <w:tc>
          <w:tcPr>
            <w:tcW w:w="152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kern w:val="0"/>
                <w:sz w:val="24"/>
                <w:szCs w:val="24"/>
              </w:rPr>
            </w:pP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33</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广西科技大学——柳东校区建设项目</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70000</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2017</w:t>
            </w:r>
          </w:p>
        </w:tc>
      </w:tr>
      <w:tr>
        <w:tblPrEx>
          <w:tblCellMar>
            <w:top w:w="0" w:type="dxa"/>
            <w:left w:w="108" w:type="dxa"/>
            <w:bottom w:w="0" w:type="dxa"/>
            <w:right w:w="108" w:type="dxa"/>
          </w:tblCellMar>
        </w:tblPrEx>
        <w:trPr>
          <w:trHeight w:val="348" w:hRule="atLeast"/>
          <w:jc w:val="center"/>
        </w:trPr>
        <w:tc>
          <w:tcPr>
            <w:tcW w:w="737" w:type="dxa"/>
            <w:tcBorders>
              <w:top w:val="nil"/>
              <w:left w:val="single" w:color="auto" w:sz="4" w:space="0"/>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3232"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2）其他社会民生</w:t>
            </w:r>
          </w:p>
        </w:tc>
        <w:tc>
          <w:tcPr>
            <w:tcW w:w="1434"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r>
              <w:rPr>
                <w:rFonts w:hint="eastAsia" w:ascii="仿宋" w:hAnsi="仿宋" w:eastAsia="仿宋" w:cs="宋体"/>
                <w:b/>
                <w:bCs/>
                <w:kern w:val="0"/>
                <w:sz w:val="24"/>
                <w:szCs w:val="24"/>
              </w:rPr>
              <w:t>149388</w:t>
            </w:r>
          </w:p>
        </w:tc>
        <w:tc>
          <w:tcPr>
            <w:tcW w:w="169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c>
          <w:tcPr>
            <w:tcW w:w="1526" w:type="dxa"/>
            <w:tcBorders>
              <w:top w:val="nil"/>
              <w:left w:val="nil"/>
              <w:bottom w:val="single" w:color="auto" w:sz="4" w:space="0"/>
              <w:right w:val="single" w:color="auto" w:sz="4" w:space="0"/>
            </w:tcBorders>
            <w:shd w:val="clear" w:color="auto" w:fill="F1F1F1" w:themeFill="background1" w:themeFillShade="F2"/>
            <w:vAlign w:val="center"/>
          </w:tcPr>
          <w:p>
            <w:pPr>
              <w:widowControl/>
              <w:jc w:val="center"/>
              <w:rPr>
                <w:rFonts w:ascii="仿宋" w:hAnsi="仿宋" w:eastAsia="仿宋" w:cs="宋体"/>
                <w:b/>
                <w:bCs/>
                <w:kern w:val="0"/>
                <w:sz w:val="24"/>
                <w:szCs w:val="24"/>
              </w:rPr>
            </w:pPr>
          </w:p>
        </w:tc>
      </w:tr>
      <w:tr>
        <w:tblPrEx>
          <w:tblCellMar>
            <w:top w:w="0" w:type="dxa"/>
            <w:left w:w="108" w:type="dxa"/>
            <w:bottom w:w="0" w:type="dxa"/>
            <w:right w:w="108" w:type="dxa"/>
          </w:tblCellMar>
        </w:tblPrEx>
        <w:trPr>
          <w:trHeight w:val="485" w:hRule="atLeast"/>
          <w:jc w:val="center"/>
        </w:trPr>
        <w:tc>
          <w:tcPr>
            <w:tcW w:w="737" w:type="dxa"/>
            <w:tcBorders>
              <w:top w:val="nil"/>
              <w:left w:val="single" w:color="auto" w:sz="4" w:space="0"/>
              <w:bottom w:val="single" w:color="auto" w:sz="4" w:space="0"/>
              <w:right w:val="single" w:color="auto" w:sz="4" w:space="0"/>
            </w:tcBorders>
            <w:shd w:val="clear" w:color="auto" w:fill="FFFFFF"/>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34</w:t>
            </w:r>
          </w:p>
        </w:tc>
        <w:tc>
          <w:tcPr>
            <w:tcW w:w="3232"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南庆安置二期</w:t>
            </w:r>
          </w:p>
        </w:tc>
        <w:tc>
          <w:tcPr>
            <w:tcW w:w="1434"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44388</w:t>
            </w:r>
          </w:p>
        </w:tc>
        <w:tc>
          <w:tcPr>
            <w:tcW w:w="169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2016</w:t>
            </w:r>
          </w:p>
        </w:tc>
        <w:tc>
          <w:tcPr>
            <w:tcW w:w="1526"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2018</w:t>
            </w:r>
          </w:p>
        </w:tc>
      </w:tr>
      <w:tr>
        <w:tblPrEx>
          <w:tblCellMar>
            <w:top w:w="0" w:type="dxa"/>
            <w:left w:w="108" w:type="dxa"/>
            <w:bottom w:w="0" w:type="dxa"/>
            <w:right w:w="108" w:type="dxa"/>
          </w:tblCellMar>
        </w:tblPrEx>
        <w:trPr>
          <w:trHeight w:val="348"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35</w:t>
            </w:r>
          </w:p>
        </w:tc>
        <w:tc>
          <w:tcPr>
            <w:tcW w:w="323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平地居住安置</w:t>
            </w:r>
          </w:p>
        </w:tc>
        <w:tc>
          <w:tcPr>
            <w:tcW w:w="143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105000</w:t>
            </w:r>
          </w:p>
        </w:tc>
        <w:tc>
          <w:tcPr>
            <w:tcW w:w="169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2017</w:t>
            </w:r>
          </w:p>
        </w:tc>
        <w:tc>
          <w:tcPr>
            <w:tcW w:w="152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4"/>
                <w:szCs w:val="24"/>
              </w:rPr>
            </w:pPr>
            <w:r>
              <w:rPr>
                <w:rFonts w:hint="eastAsia" w:ascii="仿宋" w:hAnsi="仿宋" w:eastAsia="仿宋" w:cs="宋体"/>
                <w:kern w:val="0"/>
                <w:sz w:val="24"/>
                <w:szCs w:val="24"/>
              </w:rPr>
              <w:t>2020</w:t>
            </w:r>
          </w:p>
        </w:tc>
      </w:tr>
      <w:tr>
        <w:tblPrEx>
          <w:tblCellMar>
            <w:top w:w="0" w:type="dxa"/>
            <w:left w:w="108" w:type="dxa"/>
            <w:bottom w:w="0" w:type="dxa"/>
            <w:right w:w="108" w:type="dxa"/>
          </w:tblCellMar>
        </w:tblPrEx>
        <w:trPr>
          <w:trHeight w:val="348"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36</w:t>
            </w:r>
          </w:p>
        </w:tc>
        <w:tc>
          <w:tcPr>
            <w:tcW w:w="32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双仁安置小区</w:t>
            </w:r>
          </w:p>
        </w:tc>
        <w:tc>
          <w:tcPr>
            <w:tcW w:w="143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c>
          <w:tcPr>
            <w:tcW w:w="169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c>
          <w:tcPr>
            <w:tcW w:w="152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r>
      <w:tr>
        <w:tblPrEx>
          <w:tblCellMar>
            <w:top w:w="0" w:type="dxa"/>
            <w:left w:w="108" w:type="dxa"/>
            <w:bottom w:w="0" w:type="dxa"/>
            <w:right w:w="108" w:type="dxa"/>
          </w:tblCellMar>
        </w:tblPrEx>
        <w:trPr>
          <w:trHeight w:val="348" w:hRule="atLeast"/>
          <w:jc w:val="center"/>
        </w:trPr>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37</w:t>
            </w:r>
          </w:p>
        </w:tc>
        <w:tc>
          <w:tcPr>
            <w:tcW w:w="323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kern w:val="0"/>
                <w:sz w:val="24"/>
                <w:szCs w:val="24"/>
              </w:rPr>
            </w:pPr>
            <w:r>
              <w:rPr>
                <w:rFonts w:hint="eastAsia" w:ascii="仿宋" w:hAnsi="仿宋" w:eastAsia="仿宋" w:cs="宋体"/>
                <w:kern w:val="0"/>
                <w:sz w:val="24"/>
                <w:szCs w:val="24"/>
              </w:rPr>
              <w:t>蚂蟥屯安置小区</w:t>
            </w:r>
          </w:p>
        </w:tc>
        <w:tc>
          <w:tcPr>
            <w:tcW w:w="143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c>
          <w:tcPr>
            <w:tcW w:w="169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c>
          <w:tcPr>
            <w:tcW w:w="152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kern w:val="0"/>
                <w:sz w:val="24"/>
                <w:szCs w:val="24"/>
              </w:rPr>
            </w:pPr>
            <w:r>
              <w:rPr>
                <w:rFonts w:hint="eastAsia" w:ascii="仿宋" w:hAnsi="仿宋" w:eastAsia="仿宋" w:cs="宋体"/>
                <w:kern w:val="0"/>
                <w:sz w:val="24"/>
                <w:szCs w:val="24"/>
              </w:rPr>
              <w:t>待定</w:t>
            </w:r>
          </w:p>
        </w:tc>
      </w:tr>
    </w:tbl>
    <w:p>
      <w:pPr>
        <w:spacing w:line="600" w:lineRule="exact"/>
        <w:ind w:firstLine="560" w:firstLineChars="200"/>
        <w:rPr>
          <w:rFonts w:ascii="Times New Roman" w:hAnsi="Times New Roman"/>
          <w:color w:val="000000" w:themeColor="text1"/>
          <w14:textFill>
            <w14:solidFill>
              <w14:schemeClr w14:val="tx1"/>
            </w14:solidFill>
          </w14:textFill>
        </w:rPr>
      </w:pPr>
    </w:p>
    <w:p>
      <w:pPr>
        <w:tabs>
          <w:tab w:val="left" w:pos="720"/>
        </w:tabs>
        <w:spacing w:line="360" w:lineRule="atLeast"/>
        <w:rPr>
          <w:szCs w:val="28"/>
        </w:rPr>
      </w:pPr>
    </w:p>
    <w:sectPr>
      <w:headerReference r:id="rId3" w:type="default"/>
      <w:footerReference r:id="rId5"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方正楷体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372568"/>
      <w:docPartObj>
        <w:docPartGallery w:val="autotext"/>
      </w:docPartObj>
    </w:sdtPr>
    <w:sdtContent>
      <w:p>
        <w:pPr>
          <w:pStyle w:val="16"/>
          <w:jc w:val="right"/>
        </w:pPr>
        <w:r>
          <w:fldChar w:fldCharType="begin"/>
        </w:r>
        <w:r>
          <w:instrText xml:space="preserve">PAGE   \* MERGEFORMAT</w:instrText>
        </w:r>
        <w:r>
          <w:fldChar w:fldCharType="separate"/>
        </w:r>
        <w:r>
          <w:rPr>
            <w:lang w:val="zh-CN"/>
          </w:rPr>
          <w:t>63</w:t>
        </w:r>
        <w:r>
          <w:rPr>
            <w:lang w:val="zh-CN"/>
          </w:rPr>
          <w:fldChar w:fldCharType="end"/>
        </w:r>
      </w:p>
    </w:sdtContent>
  </w:sdt>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jMWExZTYwZjkwYmM4YTY4MDBkMDJhMWNjYzAwOTIifQ=="/>
  </w:docVars>
  <w:rsids>
    <w:rsidRoot w:val="001541F6"/>
    <w:rsid w:val="00001B44"/>
    <w:rsid w:val="000045EC"/>
    <w:rsid w:val="00006910"/>
    <w:rsid w:val="00012A2E"/>
    <w:rsid w:val="000155A7"/>
    <w:rsid w:val="00020433"/>
    <w:rsid w:val="00020D4F"/>
    <w:rsid w:val="000261E0"/>
    <w:rsid w:val="00030DE6"/>
    <w:rsid w:val="0003213A"/>
    <w:rsid w:val="00033449"/>
    <w:rsid w:val="000345DF"/>
    <w:rsid w:val="0003473D"/>
    <w:rsid w:val="000416F6"/>
    <w:rsid w:val="00043E18"/>
    <w:rsid w:val="00050BFF"/>
    <w:rsid w:val="0005158B"/>
    <w:rsid w:val="000515AA"/>
    <w:rsid w:val="00054B42"/>
    <w:rsid w:val="00064244"/>
    <w:rsid w:val="000659C1"/>
    <w:rsid w:val="0008072F"/>
    <w:rsid w:val="0008156A"/>
    <w:rsid w:val="00082C10"/>
    <w:rsid w:val="00083B04"/>
    <w:rsid w:val="000844BB"/>
    <w:rsid w:val="00086056"/>
    <w:rsid w:val="0008694C"/>
    <w:rsid w:val="00090A2D"/>
    <w:rsid w:val="00090AA0"/>
    <w:rsid w:val="00090DE6"/>
    <w:rsid w:val="000A00E8"/>
    <w:rsid w:val="000A4274"/>
    <w:rsid w:val="000A4637"/>
    <w:rsid w:val="000B0148"/>
    <w:rsid w:val="000B216B"/>
    <w:rsid w:val="000B4348"/>
    <w:rsid w:val="000B736C"/>
    <w:rsid w:val="000B76C3"/>
    <w:rsid w:val="000C75E1"/>
    <w:rsid w:val="000D1C30"/>
    <w:rsid w:val="000E1657"/>
    <w:rsid w:val="000E1AB3"/>
    <w:rsid w:val="000F0482"/>
    <w:rsid w:val="000F1193"/>
    <w:rsid w:val="00100422"/>
    <w:rsid w:val="0010503C"/>
    <w:rsid w:val="001059BE"/>
    <w:rsid w:val="001101B0"/>
    <w:rsid w:val="00116352"/>
    <w:rsid w:val="00117579"/>
    <w:rsid w:val="00125133"/>
    <w:rsid w:val="00130EA2"/>
    <w:rsid w:val="00132D46"/>
    <w:rsid w:val="00132F9C"/>
    <w:rsid w:val="00144F2E"/>
    <w:rsid w:val="00153388"/>
    <w:rsid w:val="001541F6"/>
    <w:rsid w:val="001621DC"/>
    <w:rsid w:val="00162307"/>
    <w:rsid w:val="00162B9C"/>
    <w:rsid w:val="001632CF"/>
    <w:rsid w:val="00175B65"/>
    <w:rsid w:val="001800B0"/>
    <w:rsid w:val="00180F0F"/>
    <w:rsid w:val="00182539"/>
    <w:rsid w:val="00184398"/>
    <w:rsid w:val="001848E4"/>
    <w:rsid w:val="00187132"/>
    <w:rsid w:val="00192C97"/>
    <w:rsid w:val="001A05E3"/>
    <w:rsid w:val="001A1746"/>
    <w:rsid w:val="001A2454"/>
    <w:rsid w:val="001A4C51"/>
    <w:rsid w:val="001A6112"/>
    <w:rsid w:val="001A7EDA"/>
    <w:rsid w:val="001B115D"/>
    <w:rsid w:val="001B2877"/>
    <w:rsid w:val="001B4F5B"/>
    <w:rsid w:val="001B59C3"/>
    <w:rsid w:val="001B764D"/>
    <w:rsid w:val="001C21A7"/>
    <w:rsid w:val="001C45FD"/>
    <w:rsid w:val="001C67D1"/>
    <w:rsid w:val="001C696F"/>
    <w:rsid w:val="001C75E6"/>
    <w:rsid w:val="001E5AE5"/>
    <w:rsid w:val="00213F70"/>
    <w:rsid w:val="00225ABD"/>
    <w:rsid w:val="00226CEF"/>
    <w:rsid w:val="00233866"/>
    <w:rsid w:val="00235289"/>
    <w:rsid w:val="002358C3"/>
    <w:rsid w:val="00245A56"/>
    <w:rsid w:val="00247D5E"/>
    <w:rsid w:val="00251040"/>
    <w:rsid w:val="0025160C"/>
    <w:rsid w:val="002545C5"/>
    <w:rsid w:val="00267324"/>
    <w:rsid w:val="002712AC"/>
    <w:rsid w:val="00271B78"/>
    <w:rsid w:val="002726FF"/>
    <w:rsid w:val="00275009"/>
    <w:rsid w:val="0027743D"/>
    <w:rsid w:val="002804F8"/>
    <w:rsid w:val="002837FC"/>
    <w:rsid w:val="002872AB"/>
    <w:rsid w:val="002872BD"/>
    <w:rsid w:val="00287D83"/>
    <w:rsid w:val="0029029C"/>
    <w:rsid w:val="00296075"/>
    <w:rsid w:val="002B08CE"/>
    <w:rsid w:val="002B1086"/>
    <w:rsid w:val="002B7E35"/>
    <w:rsid w:val="002C0A8D"/>
    <w:rsid w:val="002C0D74"/>
    <w:rsid w:val="002C310A"/>
    <w:rsid w:val="002D35A8"/>
    <w:rsid w:val="002D40C8"/>
    <w:rsid w:val="002E3F87"/>
    <w:rsid w:val="002E4F18"/>
    <w:rsid w:val="002F0422"/>
    <w:rsid w:val="002F1C36"/>
    <w:rsid w:val="002F240F"/>
    <w:rsid w:val="002F5C2C"/>
    <w:rsid w:val="002F607E"/>
    <w:rsid w:val="00310ADA"/>
    <w:rsid w:val="00311360"/>
    <w:rsid w:val="003123D3"/>
    <w:rsid w:val="003171F3"/>
    <w:rsid w:val="00325694"/>
    <w:rsid w:val="00326FAC"/>
    <w:rsid w:val="00327715"/>
    <w:rsid w:val="00332142"/>
    <w:rsid w:val="003366B0"/>
    <w:rsid w:val="00337375"/>
    <w:rsid w:val="00337E2A"/>
    <w:rsid w:val="0034099E"/>
    <w:rsid w:val="00343E9A"/>
    <w:rsid w:val="00347134"/>
    <w:rsid w:val="00350918"/>
    <w:rsid w:val="00355704"/>
    <w:rsid w:val="00356E38"/>
    <w:rsid w:val="003602A0"/>
    <w:rsid w:val="003618EE"/>
    <w:rsid w:val="003641E6"/>
    <w:rsid w:val="00364A26"/>
    <w:rsid w:val="00372DF7"/>
    <w:rsid w:val="003736CC"/>
    <w:rsid w:val="00375DEE"/>
    <w:rsid w:val="0037751B"/>
    <w:rsid w:val="00380F21"/>
    <w:rsid w:val="003816FF"/>
    <w:rsid w:val="00383DD3"/>
    <w:rsid w:val="0038731C"/>
    <w:rsid w:val="0038743C"/>
    <w:rsid w:val="00390745"/>
    <w:rsid w:val="00390C5D"/>
    <w:rsid w:val="0039646C"/>
    <w:rsid w:val="00397427"/>
    <w:rsid w:val="003A04CA"/>
    <w:rsid w:val="003B0EAB"/>
    <w:rsid w:val="003C0F6C"/>
    <w:rsid w:val="003D2773"/>
    <w:rsid w:val="003E10B7"/>
    <w:rsid w:val="003F2E8D"/>
    <w:rsid w:val="003F4A6C"/>
    <w:rsid w:val="00401863"/>
    <w:rsid w:val="0040310C"/>
    <w:rsid w:val="00411669"/>
    <w:rsid w:val="00422DFB"/>
    <w:rsid w:val="00424017"/>
    <w:rsid w:val="0044194A"/>
    <w:rsid w:val="00450121"/>
    <w:rsid w:val="00461DDD"/>
    <w:rsid w:val="00462FE5"/>
    <w:rsid w:val="004636AB"/>
    <w:rsid w:val="004663CC"/>
    <w:rsid w:val="00467A66"/>
    <w:rsid w:val="00472768"/>
    <w:rsid w:val="0047393E"/>
    <w:rsid w:val="00474E1E"/>
    <w:rsid w:val="00482034"/>
    <w:rsid w:val="00490858"/>
    <w:rsid w:val="00492B0C"/>
    <w:rsid w:val="004946ED"/>
    <w:rsid w:val="004A37BA"/>
    <w:rsid w:val="004A43D2"/>
    <w:rsid w:val="004A56BD"/>
    <w:rsid w:val="004B51FE"/>
    <w:rsid w:val="004B7A7C"/>
    <w:rsid w:val="004B7FF3"/>
    <w:rsid w:val="004C1609"/>
    <w:rsid w:val="004C328B"/>
    <w:rsid w:val="004C6896"/>
    <w:rsid w:val="004C6BEA"/>
    <w:rsid w:val="004D039A"/>
    <w:rsid w:val="004D1A16"/>
    <w:rsid w:val="004D22F6"/>
    <w:rsid w:val="004D25E8"/>
    <w:rsid w:val="004D2AF1"/>
    <w:rsid w:val="004D6371"/>
    <w:rsid w:val="004E2B93"/>
    <w:rsid w:val="004E4007"/>
    <w:rsid w:val="004F5EAB"/>
    <w:rsid w:val="004F6780"/>
    <w:rsid w:val="005039BD"/>
    <w:rsid w:val="005129BC"/>
    <w:rsid w:val="005132F7"/>
    <w:rsid w:val="00517F82"/>
    <w:rsid w:val="00523C18"/>
    <w:rsid w:val="0053031C"/>
    <w:rsid w:val="005370CA"/>
    <w:rsid w:val="005449E0"/>
    <w:rsid w:val="0054767E"/>
    <w:rsid w:val="005558C0"/>
    <w:rsid w:val="0056110A"/>
    <w:rsid w:val="005622D3"/>
    <w:rsid w:val="00565AFB"/>
    <w:rsid w:val="00565E63"/>
    <w:rsid w:val="00566A1B"/>
    <w:rsid w:val="00566CEF"/>
    <w:rsid w:val="00566F46"/>
    <w:rsid w:val="00571DB8"/>
    <w:rsid w:val="005812AD"/>
    <w:rsid w:val="00586678"/>
    <w:rsid w:val="00593315"/>
    <w:rsid w:val="00593888"/>
    <w:rsid w:val="005948FE"/>
    <w:rsid w:val="0059762F"/>
    <w:rsid w:val="0059783F"/>
    <w:rsid w:val="005A0C88"/>
    <w:rsid w:val="005A17A4"/>
    <w:rsid w:val="005A23DD"/>
    <w:rsid w:val="005A4670"/>
    <w:rsid w:val="005A62B4"/>
    <w:rsid w:val="005B0AED"/>
    <w:rsid w:val="005B271A"/>
    <w:rsid w:val="005B78D3"/>
    <w:rsid w:val="005C46E3"/>
    <w:rsid w:val="005D00BD"/>
    <w:rsid w:val="005D10FE"/>
    <w:rsid w:val="005D1C21"/>
    <w:rsid w:val="005D4C0B"/>
    <w:rsid w:val="005E1631"/>
    <w:rsid w:val="005E1635"/>
    <w:rsid w:val="005E64AC"/>
    <w:rsid w:val="005E72C8"/>
    <w:rsid w:val="005F42F5"/>
    <w:rsid w:val="005F47EE"/>
    <w:rsid w:val="00600E50"/>
    <w:rsid w:val="00605AC6"/>
    <w:rsid w:val="00606901"/>
    <w:rsid w:val="006076B7"/>
    <w:rsid w:val="0061114B"/>
    <w:rsid w:val="00613432"/>
    <w:rsid w:val="006146A1"/>
    <w:rsid w:val="006153CD"/>
    <w:rsid w:val="00622209"/>
    <w:rsid w:val="00632CB3"/>
    <w:rsid w:val="00633384"/>
    <w:rsid w:val="006347F3"/>
    <w:rsid w:val="00637FD6"/>
    <w:rsid w:val="00644472"/>
    <w:rsid w:val="00644BAE"/>
    <w:rsid w:val="006510DB"/>
    <w:rsid w:val="00652DCE"/>
    <w:rsid w:val="0065436D"/>
    <w:rsid w:val="0065494F"/>
    <w:rsid w:val="00677DF4"/>
    <w:rsid w:val="006840EF"/>
    <w:rsid w:val="00687E8A"/>
    <w:rsid w:val="006A268A"/>
    <w:rsid w:val="006A58A5"/>
    <w:rsid w:val="006B3B56"/>
    <w:rsid w:val="006B69F9"/>
    <w:rsid w:val="006C00ED"/>
    <w:rsid w:val="006C0551"/>
    <w:rsid w:val="006C39CC"/>
    <w:rsid w:val="006C58C6"/>
    <w:rsid w:val="006D08E8"/>
    <w:rsid w:val="006D0DE0"/>
    <w:rsid w:val="006D2F17"/>
    <w:rsid w:val="006E0FE0"/>
    <w:rsid w:val="006E5529"/>
    <w:rsid w:val="006E67CD"/>
    <w:rsid w:val="006E6DCD"/>
    <w:rsid w:val="006E7719"/>
    <w:rsid w:val="006F0FF4"/>
    <w:rsid w:val="006F14CA"/>
    <w:rsid w:val="006F7001"/>
    <w:rsid w:val="007000BA"/>
    <w:rsid w:val="00701384"/>
    <w:rsid w:val="007040C0"/>
    <w:rsid w:val="007121C0"/>
    <w:rsid w:val="007124D1"/>
    <w:rsid w:val="00721168"/>
    <w:rsid w:val="00722BFE"/>
    <w:rsid w:val="00726543"/>
    <w:rsid w:val="00727936"/>
    <w:rsid w:val="00736CE0"/>
    <w:rsid w:val="007376B8"/>
    <w:rsid w:val="007505DE"/>
    <w:rsid w:val="0075277E"/>
    <w:rsid w:val="00754A76"/>
    <w:rsid w:val="00755A66"/>
    <w:rsid w:val="00756C47"/>
    <w:rsid w:val="00757353"/>
    <w:rsid w:val="00763529"/>
    <w:rsid w:val="00765B88"/>
    <w:rsid w:val="00776D4B"/>
    <w:rsid w:val="00780A9A"/>
    <w:rsid w:val="00780EBD"/>
    <w:rsid w:val="00781588"/>
    <w:rsid w:val="00783F6F"/>
    <w:rsid w:val="00791891"/>
    <w:rsid w:val="0079273E"/>
    <w:rsid w:val="0079447B"/>
    <w:rsid w:val="007968E3"/>
    <w:rsid w:val="007A28BF"/>
    <w:rsid w:val="007A6E0C"/>
    <w:rsid w:val="007B3528"/>
    <w:rsid w:val="007B4D77"/>
    <w:rsid w:val="007B7FED"/>
    <w:rsid w:val="007C1E19"/>
    <w:rsid w:val="007C296E"/>
    <w:rsid w:val="007C30B3"/>
    <w:rsid w:val="007C42C6"/>
    <w:rsid w:val="007C787B"/>
    <w:rsid w:val="007D50EA"/>
    <w:rsid w:val="007D5EF2"/>
    <w:rsid w:val="007E064B"/>
    <w:rsid w:val="007E0D00"/>
    <w:rsid w:val="007E58CE"/>
    <w:rsid w:val="0081518E"/>
    <w:rsid w:val="0082152D"/>
    <w:rsid w:val="008223AF"/>
    <w:rsid w:val="00826FF0"/>
    <w:rsid w:val="008345FF"/>
    <w:rsid w:val="008356E3"/>
    <w:rsid w:val="008366A3"/>
    <w:rsid w:val="00841E17"/>
    <w:rsid w:val="00843DD8"/>
    <w:rsid w:val="008457E4"/>
    <w:rsid w:val="008577CB"/>
    <w:rsid w:val="00861072"/>
    <w:rsid w:val="0086647F"/>
    <w:rsid w:val="00877F7D"/>
    <w:rsid w:val="008806E0"/>
    <w:rsid w:val="008807BF"/>
    <w:rsid w:val="0088191A"/>
    <w:rsid w:val="008826DA"/>
    <w:rsid w:val="00884F7F"/>
    <w:rsid w:val="00886FCB"/>
    <w:rsid w:val="008871AF"/>
    <w:rsid w:val="00890BC5"/>
    <w:rsid w:val="008932DA"/>
    <w:rsid w:val="00894C99"/>
    <w:rsid w:val="00894F2D"/>
    <w:rsid w:val="00895307"/>
    <w:rsid w:val="008A00B3"/>
    <w:rsid w:val="008A0D39"/>
    <w:rsid w:val="008A2BD4"/>
    <w:rsid w:val="008A4841"/>
    <w:rsid w:val="008B4256"/>
    <w:rsid w:val="008D29A7"/>
    <w:rsid w:val="008D30C3"/>
    <w:rsid w:val="008D625F"/>
    <w:rsid w:val="008D6632"/>
    <w:rsid w:val="008E38CF"/>
    <w:rsid w:val="008F2F4B"/>
    <w:rsid w:val="008F38D6"/>
    <w:rsid w:val="00900FBA"/>
    <w:rsid w:val="00914381"/>
    <w:rsid w:val="00916A7D"/>
    <w:rsid w:val="00920BD9"/>
    <w:rsid w:val="0092225F"/>
    <w:rsid w:val="00922CE0"/>
    <w:rsid w:val="00924168"/>
    <w:rsid w:val="00932A6B"/>
    <w:rsid w:val="00934418"/>
    <w:rsid w:val="00935FB4"/>
    <w:rsid w:val="00942394"/>
    <w:rsid w:val="00956188"/>
    <w:rsid w:val="0096334C"/>
    <w:rsid w:val="00963535"/>
    <w:rsid w:val="00973FF8"/>
    <w:rsid w:val="009809B1"/>
    <w:rsid w:val="009822A9"/>
    <w:rsid w:val="009872DC"/>
    <w:rsid w:val="00994CFB"/>
    <w:rsid w:val="00997028"/>
    <w:rsid w:val="009A4A49"/>
    <w:rsid w:val="009B2B6E"/>
    <w:rsid w:val="009B37E9"/>
    <w:rsid w:val="009B3970"/>
    <w:rsid w:val="009B55DC"/>
    <w:rsid w:val="009B5BF5"/>
    <w:rsid w:val="009C0F31"/>
    <w:rsid w:val="009C2FA2"/>
    <w:rsid w:val="009C473F"/>
    <w:rsid w:val="009E53AB"/>
    <w:rsid w:val="00A00A8E"/>
    <w:rsid w:val="00A045B8"/>
    <w:rsid w:val="00A11484"/>
    <w:rsid w:val="00A14547"/>
    <w:rsid w:val="00A14DE1"/>
    <w:rsid w:val="00A31BD4"/>
    <w:rsid w:val="00A34E37"/>
    <w:rsid w:val="00A36410"/>
    <w:rsid w:val="00A417FD"/>
    <w:rsid w:val="00A53F23"/>
    <w:rsid w:val="00A55354"/>
    <w:rsid w:val="00A60CAB"/>
    <w:rsid w:val="00A71A04"/>
    <w:rsid w:val="00A84B3C"/>
    <w:rsid w:val="00A85211"/>
    <w:rsid w:val="00A86D05"/>
    <w:rsid w:val="00A920EE"/>
    <w:rsid w:val="00AA0F0B"/>
    <w:rsid w:val="00AA38C6"/>
    <w:rsid w:val="00AA578F"/>
    <w:rsid w:val="00AB0218"/>
    <w:rsid w:val="00AB1E84"/>
    <w:rsid w:val="00AB53E8"/>
    <w:rsid w:val="00AC3341"/>
    <w:rsid w:val="00AC3363"/>
    <w:rsid w:val="00AD5EB7"/>
    <w:rsid w:val="00AD662E"/>
    <w:rsid w:val="00AE0232"/>
    <w:rsid w:val="00AE6FB3"/>
    <w:rsid w:val="00AF24AD"/>
    <w:rsid w:val="00B00093"/>
    <w:rsid w:val="00B018C4"/>
    <w:rsid w:val="00B032C4"/>
    <w:rsid w:val="00B03D8F"/>
    <w:rsid w:val="00B11BF1"/>
    <w:rsid w:val="00B14E67"/>
    <w:rsid w:val="00B23AA4"/>
    <w:rsid w:val="00B23CCD"/>
    <w:rsid w:val="00B25F98"/>
    <w:rsid w:val="00B26B90"/>
    <w:rsid w:val="00B308D0"/>
    <w:rsid w:val="00B37418"/>
    <w:rsid w:val="00B47B1C"/>
    <w:rsid w:val="00B5349D"/>
    <w:rsid w:val="00B61F3C"/>
    <w:rsid w:val="00B631E7"/>
    <w:rsid w:val="00B637E2"/>
    <w:rsid w:val="00B63C07"/>
    <w:rsid w:val="00B75646"/>
    <w:rsid w:val="00B8077C"/>
    <w:rsid w:val="00B8775E"/>
    <w:rsid w:val="00B9489F"/>
    <w:rsid w:val="00BA164F"/>
    <w:rsid w:val="00BA637B"/>
    <w:rsid w:val="00BB03B2"/>
    <w:rsid w:val="00BB050F"/>
    <w:rsid w:val="00BB2CE8"/>
    <w:rsid w:val="00BB2F63"/>
    <w:rsid w:val="00BB33C3"/>
    <w:rsid w:val="00BB57DE"/>
    <w:rsid w:val="00BC6998"/>
    <w:rsid w:val="00BD267C"/>
    <w:rsid w:val="00BD28AE"/>
    <w:rsid w:val="00BD6690"/>
    <w:rsid w:val="00BE3097"/>
    <w:rsid w:val="00BE3199"/>
    <w:rsid w:val="00BE5CCF"/>
    <w:rsid w:val="00BE7991"/>
    <w:rsid w:val="00BF160F"/>
    <w:rsid w:val="00BF4683"/>
    <w:rsid w:val="00BF5C59"/>
    <w:rsid w:val="00C05680"/>
    <w:rsid w:val="00C07F72"/>
    <w:rsid w:val="00C1015C"/>
    <w:rsid w:val="00C1242A"/>
    <w:rsid w:val="00C1512A"/>
    <w:rsid w:val="00C15133"/>
    <w:rsid w:val="00C159C6"/>
    <w:rsid w:val="00C240A7"/>
    <w:rsid w:val="00C3420B"/>
    <w:rsid w:val="00C346AA"/>
    <w:rsid w:val="00C4197F"/>
    <w:rsid w:val="00C41C12"/>
    <w:rsid w:val="00C43773"/>
    <w:rsid w:val="00C52EFC"/>
    <w:rsid w:val="00C5513D"/>
    <w:rsid w:val="00C63E87"/>
    <w:rsid w:val="00C80A88"/>
    <w:rsid w:val="00C83384"/>
    <w:rsid w:val="00C85C09"/>
    <w:rsid w:val="00C86F96"/>
    <w:rsid w:val="00C91680"/>
    <w:rsid w:val="00C95D82"/>
    <w:rsid w:val="00C95F38"/>
    <w:rsid w:val="00C973B3"/>
    <w:rsid w:val="00CA255B"/>
    <w:rsid w:val="00CA365C"/>
    <w:rsid w:val="00CB1F2D"/>
    <w:rsid w:val="00CB1FC1"/>
    <w:rsid w:val="00CB4421"/>
    <w:rsid w:val="00CB5A38"/>
    <w:rsid w:val="00CC3DE5"/>
    <w:rsid w:val="00CC4AE9"/>
    <w:rsid w:val="00CC5C84"/>
    <w:rsid w:val="00CC61E6"/>
    <w:rsid w:val="00CD2704"/>
    <w:rsid w:val="00CE1978"/>
    <w:rsid w:val="00CE47D7"/>
    <w:rsid w:val="00CE6411"/>
    <w:rsid w:val="00CE727A"/>
    <w:rsid w:val="00CF0C61"/>
    <w:rsid w:val="00CF2F3A"/>
    <w:rsid w:val="00D05255"/>
    <w:rsid w:val="00D12AE5"/>
    <w:rsid w:val="00D33E23"/>
    <w:rsid w:val="00D46C99"/>
    <w:rsid w:val="00D51E6E"/>
    <w:rsid w:val="00D52B2C"/>
    <w:rsid w:val="00D6197F"/>
    <w:rsid w:val="00D61B84"/>
    <w:rsid w:val="00D6287B"/>
    <w:rsid w:val="00D630DC"/>
    <w:rsid w:val="00D63C86"/>
    <w:rsid w:val="00D6451A"/>
    <w:rsid w:val="00D6578B"/>
    <w:rsid w:val="00D723A4"/>
    <w:rsid w:val="00D748B1"/>
    <w:rsid w:val="00D76F86"/>
    <w:rsid w:val="00D81A67"/>
    <w:rsid w:val="00D82B60"/>
    <w:rsid w:val="00D859CE"/>
    <w:rsid w:val="00D872E0"/>
    <w:rsid w:val="00D9152E"/>
    <w:rsid w:val="00D92292"/>
    <w:rsid w:val="00D944E8"/>
    <w:rsid w:val="00DA3D29"/>
    <w:rsid w:val="00DA4F32"/>
    <w:rsid w:val="00DA517D"/>
    <w:rsid w:val="00DA5DCC"/>
    <w:rsid w:val="00DB0B67"/>
    <w:rsid w:val="00DB0C45"/>
    <w:rsid w:val="00DC25A5"/>
    <w:rsid w:val="00DC65C6"/>
    <w:rsid w:val="00DC6A21"/>
    <w:rsid w:val="00DD564A"/>
    <w:rsid w:val="00DD5925"/>
    <w:rsid w:val="00DD66C3"/>
    <w:rsid w:val="00DE22FE"/>
    <w:rsid w:val="00DE2561"/>
    <w:rsid w:val="00DE2E85"/>
    <w:rsid w:val="00DE7AB0"/>
    <w:rsid w:val="00DF414F"/>
    <w:rsid w:val="00DF47B6"/>
    <w:rsid w:val="00DF5B01"/>
    <w:rsid w:val="00DF7CF8"/>
    <w:rsid w:val="00E034F6"/>
    <w:rsid w:val="00E041DC"/>
    <w:rsid w:val="00E106C1"/>
    <w:rsid w:val="00E127C9"/>
    <w:rsid w:val="00E13BED"/>
    <w:rsid w:val="00E14049"/>
    <w:rsid w:val="00E14087"/>
    <w:rsid w:val="00E14F06"/>
    <w:rsid w:val="00E221D9"/>
    <w:rsid w:val="00E23BAE"/>
    <w:rsid w:val="00E262DA"/>
    <w:rsid w:val="00E31FAC"/>
    <w:rsid w:val="00E41218"/>
    <w:rsid w:val="00E413E2"/>
    <w:rsid w:val="00E41AD6"/>
    <w:rsid w:val="00E4216B"/>
    <w:rsid w:val="00E42E1E"/>
    <w:rsid w:val="00E43195"/>
    <w:rsid w:val="00E44D74"/>
    <w:rsid w:val="00E549D1"/>
    <w:rsid w:val="00E555A1"/>
    <w:rsid w:val="00E66CAF"/>
    <w:rsid w:val="00E67C22"/>
    <w:rsid w:val="00E7285C"/>
    <w:rsid w:val="00E73611"/>
    <w:rsid w:val="00E73FE2"/>
    <w:rsid w:val="00E74B4E"/>
    <w:rsid w:val="00E7537F"/>
    <w:rsid w:val="00E766C4"/>
    <w:rsid w:val="00E82B17"/>
    <w:rsid w:val="00E837B2"/>
    <w:rsid w:val="00E841A3"/>
    <w:rsid w:val="00E86DF6"/>
    <w:rsid w:val="00E91F90"/>
    <w:rsid w:val="00EB116F"/>
    <w:rsid w:val="00EB5865"/>
    <w:rsid w:val="00EB74D1"/>
    <w:rsid w:val="00EC232A"/>
    <w:rsid w:val="00ED0BDB"/>
    <w:rsid w:val="00ED15B1"/>
    <w:rsid w:val="00ED2B9C"/>
    <w:rsid w:val="00ED4342"/>
    <w:rsid w:val="00EE6EAF"/>
    <w:rsid w:val="00EF0401"/>
    <w:rsid w:val="00EF13FC"/>
    <w:rsid w:val="00EF1FC6"/>
    <w:rsid w:val="00EF53B7"/>
    <w:rsid w:val="00F10BE8"/>
    <w:rsid w:val="00F13E33"/>
    <w:rsid w:val="00F1517D"/>
    <w:rsid w:val="00F22B43"/>
    <w:rsid w:val="00F34FF5"/>
    <w:rsid w:val="00F354CE"/>
    <w:rsid w:val="00F45354"/>
    <w:rsid w:val="00F47027"/>
    <w:rsid w:val="00F5047E"/>
    <w:rsid w:val="00F511AA"/>
    <w:rsid w:val="00F532FA"/>
    <w:rsid w:val="00F625BB"/>
    <w:rsid w:val="00F651D9"/>
    <w:rsid w:val="00F70FC9"/>
    <w:rsid w:val="00F74211"/>
    <w:rsid w:val="00F777A5"/>
    <w:rsid w:val="00F869AE"/>
    <w:rsid w:val="00F90641"/>
    <w:rsid w:val="00F9589F"/>
    <w:rsid w:val="00FA1628"/>
    <w:rsid w:val="00FA50A4"/>
    <w:rsid w:val="00FA5E50"/>
    <w:rsid w:val="00FB7EB7"/>
    <w:rsid w:val="00FC0CF9"/>
    <w:rsid w:val="00FC1440"/>
    <w:rsid w:val="00FD0822"/>
    <w:rsid w:val="00FD1C0C"/>
    <w:rsid w:val="00FD1EAA"/>
    <w:rsid w:val="00FD2F4D"/>
    <w:rsid w:val="00FE0839"/>
    <w:rsid w:val="00FE50E0"/>
    <w:rsid w:val="00FF095E"/>
    <w:rsid w:val="00FF0A9D"/>
    <w:rsid w:val="00FF4B6F"/>
    <w:rsid w:val="00FF6F56"/>
    <w:rsid w:val="1D7A4605"/>
    <w:rsid w:val="26670069"/>
    <w:rsid w:val="33C023C4"/>
    <w:rsid w:val="7E165CC1"/>
    <w:rsid w:val="7F8E6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link w:val="38"/>
    <w:unhideWhenUsed/>
    <w:qFormat/>
    <w:uiPriority w:val="9"/>
    <w:pPr>
      <w:keepNext/>
      <w:keepLines/>
      <w:spacing w:before="280" w:after="290" w:line="376" w:lineRule="auto"/>
      <w:outlineLvl w:val="4"/>
    </w:pPr>
    <w:rPr>
      <w:b/>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sz w:val="21"/>
    </w:rPr>
  </w:style>
  <w:style w:type="paragraph" w:styleId="8">
    <w:name w:val="Document Map"/>
    <w:basedOn w:val="1"/>
    <w:link w:val="52"/>
    <w:semiHidden/>
    <w:unhideWhenUsed/>
    <w:qFormat/>
    <w:uiPriority w:val="99"/>
    <w:rPr>
      <w:rFonts w:ascii="宋体" w:eastAsia="宋体"/>
      <w:sz w:val="18"/>
      <w:szCs w:val="18"/>
    </w:rPr>
  </w:style>
  <w:style w:type="paragraph" w:styleId="9">
    <w:name w:val="annotation text"/>
    <w:basedOn w:val="1"/>
    <w:link w:val="45"/>
    <w:semiHidden/>
    <w:unhideWhenUsed/>
    <w:qFormat/>
    <w:uiPriority w:val="99"/>
    <w:pPr>
      <w:jc w:val="left"/>
    </w:pPr>
  </w:style>
  <w:style w:type="paragraph" w:styleId="10">
    <w:name w:val="toc 5"/>
    <w:basedOn w:val="1"/>
    <w:next w:val="1"/>
    <w:unhideWhenUsed/>
    <w:qFormat/>
    <w:uiPriority w:val="39"/>
    <w:pPr>
      <w:ind w:left="1680" w:leftChars="800"/>
    </w:pPr>
    <w:rPr>
      <w:sz w:val="21"/>
    </w:rPr>
  </w:style>
  <w:style w:type="paragraph" w:styleId="11">
    <w:name w:val="toc 3"/>
    <w:basedOn w:val="1"/>
    <w:next w:val="1"/>
    <w:unhideWhenUsed/>
    <w:qFormat/>
    <w:uiPriority w:val="39"/>
    <w:pPr>
      <w:ind w:left="840" w:leftChars="400"/>
    </w:pPr>
  </w:style>
  <w:style w:type="paragraph" w:styleId="12">
    <w:name w:val="Plain Text"/>
    <w:basedOn w:val="1"/>
    <w:link w:val="44"/>
    <w:semiHidden/>
    <w:qFormat/>
    <w:uiPriority w:val="0"/>
    <w:pPr>
      <w:spacing w:line="360" w:lineRule="auto"/>
      <w:ind w:firstLine="480" w:firstLineChars="200"/>
      <w:jc w:val="left"/>
    </w:pPr>
    <w:rPr>
      <w:rFonts w:ascii="宋体" w:hAnsi="Courier New" w:eastAsia="宋体" w:cs="Times New Roman"/>
      <w:sz w:val="24"/>
      <w:szCs w:val="20"/>
    </w:rPr>
  </w:style>
  <w:style w:type="paragraph" w:styleId="13">
    <w:name w:val="toc 8"/>
    <w:basedOn w:val="1"/>
    <w:next w:val="1"/>
    <w:unhideWhenUsed/>
    <w:qFormat/>
    <w:uiPriority w:val="39"/>
    <w:pPr>
      <w:ind w:left="2940" w:leftChars="1400"/>
    </w:pPr>
    <w:rPr>
      <w:sz w:val="21"/>
    </w:rPr>
  </w:style>
  <w:style w:type="paragraph" w:styleId="14">
    <w:name w:val="Date"/>
    <w:basedOn w:val="1"/>
    <w:next w:val="1"/>
    <w:link w:val="42"/>
    <w:semiHidden/>
    <w:unhideWhenUsed/>
    <w:qFormat/>
    <w:uiPriority w:val="99"/>
    <w:pPr>
      <w:ind w:left="100" w:leftChars="2500"/>
    </w:pPr>
  </w:style>
  <w:style w:type="paragraph" w:styleId="15">
    <w:name w:val="Balloon Text"/>
    <w:basedOn w:val="1"/>
    <w:link w:val="43"/>
    <w:semiHidden/>
    <w:unhideWhenUsed/>
    <w:qFormat/>
    <w:uiPriority w:val="99"/>
    <w:rPr>
      <w:sz w:val="18"/>
      <w:szCs w:val="18"/>
    </w:rPr>
  </w:style>
  <w:style w:type="paragraph" w:styleId="16">
    <w:name w:val="footer"/>
    <w:basedOn w:val="1"/>
    <w:link w:val="41"/>
    <w:unhideWhenUsed/>
    <w:qFormat/>
    <w:uiPriority w:val="99"/>
    <w:pPr>
      <w:tabs>
        <w:tab w:val="center" w:pos="4153"/>
        <w:tab w:val="right" w:pos="8306"/>
      </w:tabs>
      <w:snapToGrid w:val="0"/>
      <w:jc w:val="left"/>
    </w:pPr>
    <w:rPr>
      <w:sz w:val="18"/>
      <w:szCs w:val="18"/>
    </w:rPr>
  </w:style>
  <w:style w:type="paragraph" w:styleId="17">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footnote text"/>
    <w:basedOn w:val="1"/>
    <w:link w:val="49"/>
    <w:semiHidden/>
    <w:unhideWhenUsed/>
    <w:qFormat/>
    <w:uiPriority w:val="99"/>
    <w:pPr>
      <w:snapToGrid w:val="0"/>
      <w:jc w:val="left"/>
    </w:pPr>
    <w:rPr>
      <w:sz w:val="18"/>
      <w:szCs w:val="18"/>
    </w:rPr>
  </w:style>
  <w:style w:type="paragraph" w:styleId="21">
    <w:name w:val="toc 6"/>
    <w:basedOn w:val="1"/>
    <w:next w:val="1"/>
    <w:unhideWhenUsed/>
    <w:qFormat/>
    <w:uiPriority w:val="39"/>
    <w:pPr>
      <w:ind w:left="2100" w:leftChars="1000"/>
    </w:pPr>
    <w:rPr>
      <w:sz w:val="21"/>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sz w:val="21"/>
    </w:rPr>
  </w:style>
  <w:style w:type="paragraph" w:styleId="24">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5">
    <w:name w:val="Title"/>
    <w:basedOn w:val="1"/>
    <w:next w:val="1"/>
    <w:link w:val="53"/>
    <w:qFormat/>
    <w:uiPriority w:val="0"/>
    <w:pPr>
      <w:spacing w:before="240" w:after="60"/>
      <w:jc w:val="center"/>
      <w:outlineLvl w:val="0"/>
    </w:pPr>
    <w:rPr>
      <w:rFonts w:ascii="Calibri Light" w:hAnsi="Calibri Light" w:eastAsia="宋体" w:cs="Times New Roman"/>
      <w:b/>
      <w:bCs/>
      <w:kern w:val="0"/>
      <w:sz w:val="32"/>
      <w:szCs w:val="32"/>
      <w:lang w:val="zh-CN" w:eastAsia="zh-CN"/>
    </w:rPr>
  </w:style>
  <w:style w:type="paragraph" w:styleId="26">
    <w:name w:val="annotation subject"/>
    <w:basedOn w:val="9"/>
    <w:next w:val="9"/>
    <w:link w:val="46"/>
    <w:semiHidden/>
    <w:unhideWhenUsed/>
    <w:qFormat/>
    <w:uiPriority w:val="99"/>
    <w:rPr>
      <w:b/>
      <w:bCs/>
    </w:rPr>
  </w:style>
  <w:style w:type="table" w:styleId="28">
    <w:name w:val="Table Grid"/>
    <w:basedOn w:val="27"/>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Hyperlink"/>
    <w:basedOn w:val="29"/>
    <w:unhideWhenUsed/>
    <w:qFormat/>
    <w:uiPriority w:val="99"/>
    <w:rPr>
      <w:color w:val="0000FF"/>
      <w:u w:val="single"/>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character" w:customStyle="1" w:styleId="34">
    <w:name w:val="标题 1 Char"/>
    <w:basedOn w:val="29"/>
    <w:link w:val="2"/>
    <w:qFormat/>
    <w:uiPriority w:val="0"/>
    <w:rPr>
      <w:b/>
      <w:bCs/>
      <w:kern w:val="44"/>
      <w:sz w:val="44"/>
      <w:szCs w:val="44"/>
    </w:rPr>
  </w:style>
  <w:style w:type="character" w:customStyle="1" w:styleId="35">
    <w:name w:val="标题 2 Char"/>
    <w:basedOn w:val="29"/>
    <w:link w:val="3"/>
    <w:qFormat/>
    <w:uiPriority w:val="9"/>
    <w:rPr>
      <w:rFonts w:asciiTheme="majorHAnsi" w:hAnsiTheme="majorHAnsi" w:eastAsiaTheme="majorEastAsia" w:cstheme="majorBidi"/>
      <w:b/>
      <w:bCs/>
      <w:sz w:val="32"/>
      <w:szCs w:val="32"/>
    </w:rPr>
  </w:style>
  <w:style w:type="character" w:customStyle="1" w:styleId="36">
    <w:name w:val="标题 3 Char"/>
    <w:basedOn w:val="29"/>
    <w:link w:val="4"/>
    <w:qFormat/>
    <w:uiPriority w:val="9"/>
    <w:rPr>
      <w:b/>
      <w:bCs/>
      <w:sz w:val="32"/>
      <w:szCs w:val="32"/>
    </w:rPr>
  </w:style>
  <w:style w:type="character" w:customStyle="1" w:styleId="37">
    <w:name w:val="标题 4 Char"/>
    <w:basedOn w:val="29"/>
    <w:link w:val="5"/>
    <w:qFormat/>
    <w:uiPriority w:val="9"/>
    <w:rPr>
      <w:rFonts w:asciiTheme="majorHAnsi" w:hAnsiTheme="majorHAnsi" w:eastAsiaTheme="majorEastAsia" w:cstheme="majorBidi"/>
      <w:b/>
      <w:bCs/>
      <w:sz w:val="28"/>
      <w:szCs w:val="28"/>
    </w:rPr>
  </w:style>
  <w:style w:type="character" w:customStyle="1" w:styleId="38">
    <w:name w:val="标题 5 Char"/>
    <w:basedOn w:val="29"/>
    <w:link w:val="6"/>
    <w:qFormat/>
    <w:uiPriority w:val="9"/>
    <w:rPr>
      <w:b/>
      <w:bCs/>
      <w:sz w:val="28"/>
      <w:szCs w:val="28"/>
    </w:rPr>
  </w:style>
  <w:style w:type="paragraph" w:styleId="39">
    <w:name w:val="List Paragraph"/>
    <w:basedOn w:val="1"/>
    <w:qFormat/>
    <w:uiPriority w:val="34"/>
    <w:pPr>
      <w:ind w:firstLine="420" w:firstLineChars="200"/>
    </w:pPr>
  </w:style>
  <w:style w:type="character" w:customStyle="1" w:styleId="40">
    <w:name w:val="页眉 Char"/>
    <w:basedOn w:val="29"/>
    <w:link w:val="17"/>
    <w:qFormat/>
    <w:uiPriority w:val="99"/>
    <w:rPr>
      <w:sz w:val="18"/>
      <w:szCs w:val="18"/>
    </w:rPr>
  </w:style>
  <w:style w:type="character" w:customStyle="1" w:styleId="41">
    <w:name w:val="页脚 Char"/>
    <w:basedOn w:val="29"/>
    <w:link w:val="16"/>
    <w:qFormat/>
    <w:uiPriority w:val="99"/>
    <w:rPr>
      <w:sz w:val="18"/>
      <w:szCs w:val="18"/>
    </w:rPr>
  </w:style>
  <w:style w:type="character" w:customStyle="1" w:styleId="42">
    <w:name w:val="日期 Char"/>
    <w:basedOn w:val="29"/>
    <w:link w:val="14"/>
    <w:semiHidden/>
    <w:qFormat/>
    <w:uiPriority w:val="99"/>
  </w:style>
  <w:style w:type="character" w:customStyle="1" w:styleId="43">
    <w:name w:val="批注框文本 Char"/>
    <w:basedOn w:val="29"/>
    <w:link w:val="15"/>
    <w:semiHidden/>
    <w:qFormat/>
    <w:uiPriority w:val="99"/>
    <w:rPr>
      <w:sz w:val="18"/>
      <w:szCs w:val="18"/>
    </w:rPr>
  </w:style>
  <w:style w:type="character" w:customStyle="1" w:styleId="44">
    <w:name w:val="纯文本 Char"/>
    <w:basedOn w:val="29"/>
    <w:link w:val="12"/>
    <w:semiHidden/>
    <w:qFormat/>
    <w:uiPriority w:val="0"/>
    <w:rPr>
      <w:rFonts w:ascii="宋体" w:hAnsi="Courier New" w:eastAsia="宋体" w:cs="Times New Roman"/>
      <w:sz w:val="24"/>
      <w:szCs w:val="20"/>
    </w:rPr>
  </w:style>
  <w:style w:type="character" w:customStyle="1" w:styleId="45">
    <w:name w:val="批注文字 Char"/>
    <w:basedOn w:val="29"/>
    <w:link w:val="9"/>
    <w:semiHidden/>
    <w:qFormat/>
    <w:uiPriority w:val="99"/>
  </w:style>
  <w:style w:type="character" w:customStyle="1" w:styleId="46">
    <w:name w:val="批注主题 Char"/>
    <w:basedOn w:val="45"/>
    <w:link w:val="26"/>
    <w:semiHidden/>
    <w:qFormat/>
    <w:uiPriority w:val="99"/>
    <w:rPr>
      <w:b/>
      <w:bCs/>
    </w:rPr>
  </w:style>
  <w:style w:type="paragraph" w:customStyle="1" w:styleId="47">
    <w:name w:val="文本正文缩进"/>
    <w:basedOn w:val="1"/>
    <w:qFormat/>
    <w:uiPriority w:val="0"/>
    <w:pPr>
      <w:spacing w:beforeLines="60" w:afterLines="60" w:line="360" w:lineRule="auto"/>
      <w:ind w:firstLine="200" w:firstLineChars="200"/>
    </w:pPr>
    <w:rPr>
      <w:rFonts w:ascii="Times New Roman" w:hAnsi="Times New Roman" w:eastAsia="宋体" w:cs="Times New Roman"/>
      <w:sz w:val="24"/>
      <w:szCs w:val="21"/>
    </w:rPr>
  </w:style>
  <w:style w:type="table" w:customStyle="1" w:styleId="48">
    <w:name w:val="网格型1"/>
    <w:basedOn w:val="27"/>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9">
    <w:name w:val="脚注文本 Char"/>
    <w:basedOn w:val="29"/>
    <w:link w:val="20"/>
    <w:semiHidden/>
    <w:qFormat/>
    <w:uiPriority w:val="99"/>
    <w:rPr>
      <w:sz w:val="18"/>
      <w:szCs w:val="18"/>
    </w:rPr>
  </w:style>
  <w:style w:type="paragraph" w:customStyle="1" w:styleId="50">
    <w:name w:val="样式 纯文本 + 黑体 首行缩进:  2 字符 Char"/>
    <w:basedOn w:val="12"/>
    <w:qFormat/>
    <w:uiPriority w:val="0"/>
    <w:rPr>
      <w:rFonts w:ascii="黑体" w:cs="宋体"/>
    </w:rPr>
  </w:style>
  <w:style w:type="paragraph" w:customStyle="1" w:styleId="51">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2">
    <w:name w:val="文档结构图 Char"/>
    <w:basedOn w:val="29"/>
    <w:link w:val="8"/>
    <w:semiHidden/>
    <w:qFormat/>
    <w:uiPriority w:val="99"/>
    <w:rPr>
      <w:rFonts w:ascii="宋体" w:eastAsia="宋体"/>
      <w:sz w:val="18"/>
      <w:szCs w:val="18"/>
    </w:rPr>
  </w:style>
  <w:style w:type="character" w:customStyle="1" w:styleId="53">
    <w:name w:val="标题 Char"/>
    <w:basedOn w:val="29"/>
    <w:link w:val="25"/>
    <w:qFormat/>
    <w:uiPriority w:val="0"/>
    <w:rPr>
      <w:rFonts w:ascii="Calibri Light" w:hAnsi="Calibri Light" w:eastAsia="宋体" w:cs="Times New Roman"/>
      <w:b/>
      <w:bCs/>
      <w:kern w:val="0"/>
      <w:sz w:val="32"/>
      <w:szCs w:val="32"/>
      <w:lang w:val="zh-CN" w:eastAsia="zh-CN"/>
    </w:rPr>
  </w:style>
  <w:style w:type="character" w:customStyle="1" w:styleId="54">
    <w:name w:val="标题 3 Char1"/>
    <w:qFormat/>
    <w:locked/>
    <w:uiPriority w:val="0"/>
    <w:rPr>
      <w:rFonts w:ascii="Times New Roman" w:hAnsi="Times New Roman" w:eastAsia="方正楷体简体" w:cs="Times New Roman"/>
      <w:b/>
      <w:bCs/>
      <w:kern w:val="0"/>
      <w:sz w:val="32"/>
      <w:szCs w:val="32"/>
      <w:lang w:val="zh-CN" w:eastAsia="zh-CN"/>
    </w:rPr>
  </w:style>
  <w:style w:type="paragraph" w:customStyle="1" w:styleId="55">
    <w:name w:val="报告正文"/>
    <w:qFormat/>
    <w:uiPriority w:val="0"/>
    <w:pPr>
      <w:tabs>
        <w:tab w:val="left" w:pos="1350"/>
      </w:tabs>
      <w:spacing w:line="600" w:lineRule="exact"/>
      <w:ind w:firstLine="640" w:firstLineChars="200"/>
      <w:jc w:val="both"/>
    </w:pPr>
    <w:rPr>
      <w:rFonts w:ascii="仿宋_GB2312" w:hAnsi="Times New Roman" w:eastAsia="仿宋_GB2312" w:cs="Times New Roman"/>
      <w:color w:val="000000" w:themeColor="text1"/>
      <w:kern w:val="2"/>
      <w:sz w:val="32"/>
      <w:szCs w:val="32"/>
      <w:lang w:val="en-US" w:eastAsia="zh-CN" w:bidi="ar-SA"/>
      <w14:textFill>
        <w14:solidFill>
          <w14:schemeClr w14:val="tx1"/>
        </w14:solidFill>
      </w14:textFill>
    </w:rPr>
  </w:style>
  <w:style w:type="paragraph" w:customStyle="1" w:styleId="56">
    <w:name w:val=" Char Char Char Char"/>
    <w:basedOn w:val="8"/>
    <w:qFormat/>
    <w:uiPriority w:val="0"/>
    <w:pPr>
      <w:widowControl/>
      <w:shd w:val="clear" w:color="auto" w:fill="000080"/>
      <w:ind w:firstLineChars="200"/>
    </w:pPr>
    <w:rPr>
      <w:rFonts w:ascii="Calibri" w:hAnsi="Calibri"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55381F-448D-4FCD-B007-6C90F2C56B4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141</Pages>
  <Words>67834</Words>
  <Characters>68926</Characters>
  <Lines>554</Lines>
  <Paragraphs>156</Paragraphs>
  <TotalTime>3245</TotalTime>
  <ScaleCrop>false</ScaleCrop>
  <LinksUpToDate>false</LinksUpToDate>
  <CharactersWithSpaces>69559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2016-06-14T02:47:00Z</dcterms:created>
  <dc:creator>duansurui</dc:creator>
  <cp:lastModifiedBy>Zzz.W</cp:lastModifiedBy>
  <dcterms:modified xsi:type="dcterms:W3CDTF">2023-07-18T02:43:15Z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69C1ECF2944D40D5B1C40F05129D4E51_13</vt:lpwstr>
  </property>
</Properties>
</file>