
<file path=[Content_Types].xml><?xml version="1.0" encoding="utf-8"?>
<Types xmlns="http://schemas.openxmlformats.org/package/2006/content-types">
  <Default Extension="xml" ContentType="application/xml"/>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黑体" w:hAnsi="黑体" w:eastAsia="黑体" w:cs="微软雅黑"/>
          <w:color w:val="000000" w:themeColor="text1"/>
          <w:sz w:val="48"/>
          <w:szCs w:val="48"/>
          <w14:textFill>
            <w14:solidFill>
              <w14:schemeClr w14:val="tx1"/>
            </w14:solidFill>
          </w14:textFill>
        </w:rPr>
      </w:pPr>
    </w:p>
    <w:p>
      <w:pPr>
        <w:jc w:val="center"/>
        <w:rPr>
          <w:rFonts w:ascii="黑体" w:hAnsi="黑体" w:eastAsia="黑体" w:cs="微软雅黑"/>
          <w:color w:val="000000" w:themeColor="text1"/>
          <w:sz w:val="48"/>
          <w:szCs w:val="48"/>
          <w14:textFill>
            <w14:solidFill>
              <w14:schemeClr w14:val="tx1"/>
            </w14:solidFill>
          </w14:textFill>
        </w:rPr>
      </w:pPr>
    </w:p>
    <w:p>
      <w:pPr>
        <w:jc w:val="center"/>
        <w:rPr>
          <w:rFonts w:ascii="黑体" w:hAnsi="黑体" w:eastAsia="黑体" w:cs="微软雅黑"/>
          <w:color w:val="000000" w:themeColor="text1"/>
          <w:sz w:val="48"/>
          <w:szCs w:val="48"/>
          <w14:textFill>
            <w14:solidFill>
              <w14:schemeClr w14:val="tx1"/>
            </w14:solidFill>
          </w14:textFill>
        </w:rPr>
      </w:pPr>
    </w:p>
    <w:p>
      <w:pPr>
        <w:jc w:val="center"/>
        <w:rPr>
          <w:rFonts w:ascii="黑体" w:hAnsi="黑体" w:eastAsia="黑体" w:cs="微软雅黑"/>
          <w:color w:val="000000" w:themeColor="text1"/>
          <w:sz w:val="44"/>
          <w:szCs w:val="44"/>
          <w14:textFill>
            <w14:solidFill>
              <w14:schemeClr w14:val="tx1"/>
            </w14:solidFill>
          </w14:textFill>
        </w:rPr>
      </w:pPr>
      <w:r>
        <w:rPr>
          <w:rFonts w:hint="eastAsia" w:ascii="黑体" w:hAnsi="黑体" w:eastAsia="黑体" w:cs="微软雅黑"/>
          <w:color w:val="000000" w:themeColor="text1"/>
          <w:sz w:val="44"/>
          <w:szCs w:val="44"/>
          <w14:textFill>
            <w14:solidFill>
              <w14:schemeClr w14:val="tx1"/>
            </w14:solidFill>
          </w14:textFill>
        </w:rPr>
        <w:t>柳州市柳东新区国民经济</w:t>
      </w:r>
      <w:r>
        <w:rPr>
          <w:rFonts w:hint="eastAsia" w:ascii="黑体" w:hAnsi="黑体" w:eastAsia="黑体" w:cs="微软雅黑"/>
          <w:color w:val="000000" w:themeColor="text1"/>
          <w:sz w:val="44"/>
          <w:szCs w:val="44"/>
          <w:lang w:val="en-US" w:eastAsia="zh-CN"/>
          <w14:textFill>
            <w14:solidFill>
              <w14:schemeClr w14:val="tx1"/>
            </w14:solidFill>
          </w14:textFill>
        </w:rPr>
        <w:t>和</w:t>
      </w:r>
      <w:r>
        <w:rPr>
          <w:rFonts w:hint="eastAsia" w:ascii="黑体" w:hAnsi="黑体" w:eastAsia="黑体" w:cs="微软雅黑"/>
          <w:color w:val="000000" w:themeColor="text1"/>
          <w:sz w:val="44"/>
          <w:szCs w:val="44"/>
          <w14:textFill>
            <w14:solidFill>
              <w14:schemeClr w14:val="tx1"/>
            </w14:solidFill>
          </w14:textFill>
        </w:rPr>
        <w:t>社会发展</w:t>
      </w:r>
    </w:p>
    <w:p>
      <w:pPr>
        <w:ind w:left="-199" w:leftChars="-95" w:right="-218" w:rightChars="-104"/>
        <w:jc w:val="center"/>
        <w:rPr>
          <w:rFonts w:ascii="黑体" w:hAnsi="黑体" w:eastAsia="黑体" w:cs="微软雅黑"/>
          <w:color w:val="000000" w:themeColor="text1"/>
          <w:sz w:val="44"/>
          <w:szCs w:val="44"/>
          <w14:textFill>
            <w14:solidFill>
              <w14:schemeClr w14:val="tx1"/>
            </w14:solidFill>
          </w14:textFill>
        </w:rPr>
      </w:pPr>
      <w:r>
        <w:rPr>
          <w:rFonts w:hint="eastAsia" w:ascii="黑体" w:hAnsi="黑体" w:eastAsia="黑体" w:cs="微软雅黑"/>
          <w:color w:val="000000" w:themeColor="text1"/>
          <w:sz w:val="44"/>
          <w:szCs w:val="44"/>
          <w14:textFill>
            <w14:solidFill>
              <w14:schemeClr w14:val="tx1"/>
            </w14:solidFill>
          </w14:textFill>
        </w:rPr>
        <w:t>第十四个五年规划和2035年远景目标纲要</w:t>
      </w:r>
    </w:p>
    <w:p>
      <w:pPr>
        <w:pStyle w:val="9"/>
        <w:rPr>
          <w:color w:val="000000" w:themeColor="text1"/>
          <w14:textFill>
            <w14:solidFill>
              <w14:schemeClr w14:val="tx1"/>
            </w14:solidFill>
          </w14:textFill>
        </w:rPr>
      </w:pPr>
    </w:p>
    <w:p>
      <w:pPr>
        <w:jc w:val="center"/>
        <w:rPr>
          <w:rFonts w:ascii="黑体" w:hAnsi="黑体" w:eastAsia="黑体" w:cs="微软雅黑"/>
          <w:color w:val="000000" w:themeColor="text1"/>
          <w:sz w:val="44"/>
          <w:szCs w:val="44"/>
          <w14:textFill>
            <w14:solidFill>
              <w14:schemeClr w14:val="tx1"/>
            </w14:solidFill>
          </w14:textFill>
        </w:rPr>
      </w:pPr>
    </w:p>
    <w:p>
      <w:pPr>
        <w:jc w:val="center"/>
        <w:rPr>
          <w:rFonts w:ascii="黑体" w:hAnsi="黑体" w:eastAsia="黑体" w:cs="微软雅黑"/>
          <w:color w:val="000000" w:themeColor="text1"/>
          <w:sz w:val="48"/>
          <w:szCs w:val="48"/>
          <w14:textFill>
            <w14:solidFill>
              <w14:schemeClr w14:val="tx1"/>
            </w14:solidFill>
          </w14:textFill>
        </w:rPr>
      </w:pPr>
    </w:p>
    <w:p>
      <w:pPr>
        <w:jc w:val="center"/>
        <w:rPr>
          <w:rFonts w:ascii="黑体" w:hAnsi="黑体" w:eastAsia="黑体" w:cs="微软雅黑"/>
          <w:color w:val="000000" w:themeColor="text1"/>
          <w:sz w:val="48"/>
          <w:szCs w:val="48"/>
          <w14:textFill>
            <w14:solidFill>
              <w14:schemeClr w14:val="tx1"/>
            </w14:solidFill>
          </w14:textFill>
        </w:rPr>
      </w:pPr>
    </w:p>
    <w:p>
      <w:pPr>
        <w:jc w:val="center"/>
        <w:rPr>
          <w:rFonts w:ascii="黑体" w:hAnsi="黑体" w:eastAsia="黑体" w:cs="微软雅黑"/>
          <w:color w:val="000000" w:themeColor="text1"/>
          <w:sz w:val="48"/>
          <w:szCs w:val="48"/>
          <w14:textFill>
            <w14:solidFill>
              <w14:schemeClr w14:val="tx1"/>
            </w14:solidFill>
          </w14:textFill>
        </w:rPr>
      </w:pPr>
    </w:p>
    <w:p>
      <w:pPr>
        <w:jc w:val="center"/>
        <w:rPr>
          <w:rFonts w:ascii="黑体" w:hAnsi="黑体" w:eastAsia="黑体" w:cs="微软雅黑"/>
          <w:color w:val="000000" w:themeColor="text1"/>
          <w:sz w:val="48"/>
          <w:szCs w:val="48"/>
          <w14:textFill>
            <w14:solidFill>
              <w14:schemeClr w14:val="tx1"/>
            </w14:solidFill>
          </w14:textFill>
        </w:rPr>
      </w:pPr>
    </w:p>
    <w:p>
      <w:pPr>
        <w:jc w:val="center"/>
        <w:rPr>
          <w:rFonts w:ascii="黑体" w:hAnsi="黑体" w:eastAsia="黑体" w:cs="微软雅黑"/>
          <w:color w:val="000000" w:themeColor="text1"/>
          <w:sz w:val="48"/>
          <w:szCs w:val="48"/>
          <w14:textFill>
            <w14:solidFill>
              <w14:schemeClr w14:val="tx1"/>
            </w14:solidFill>
          </w14:textFill>
        </w:rPr>
      </w:pPr>
    </w:p>
    <w:p>
      <w:pPr>
        <w:jc w:val="center"/>
        <w:rPr>
          <w:rFonts w:ascii="黑体" w:hAnsi="黑体" w:eastAsia="黑体" w:cs="微软雅黑"/>
          <w:color w:val="000000" w:themeColor="text1"/>
          <w:sz w:val="48"/>
          <w:szCs w:val="48"/>
          <w14:textFill>
            <w14:solidFill>
              <w14:schemeClr w14:val="tx1"/>
            </w14:solidFill>
          </w14:textFill>
        </w:rPr>
      </w:pPr>
    </w:p>
    <w:p>
      <w:pPr>
        <w:jc w:val="center"/>
        <w:rPr>
          <w:rFonts w:ascii="黑体" w:hAnsi="黑体" w:eastAsia="黑体" w:cs="微软雅黑"/>
          <w:color w:val="000000" w:themeColor="text1"/>
          <w:sz w:val="48"/>
          <w:szCs w:val="48"/>
          <w14:textFill>
            <w14:solidFill>
              <w14:schemeClr w14:val="tx1"/>
            </w14:solidFill>
          </w14:textFill>
        </w:rPr>
      </w:pPr>
    </w:p>
    <w:p>
      <w:pPr>
        <w:jc w:val="center"/>
        <w:rPr>
          <w:rFonts w:ascii="黑体" w:hAnsi="黑体" w:eastAsia="黑体" w:cs="微软雅黑"/>
          <w:color w:val="000000" w:themeColor="text1"/>
          <w:sz w:val="48"/>
          <w:szCs w:val="48"/>
          <w14:textFill>
            <w14:solidFill>
              <w14:schemeClr w14:val="tx1"/>
            </w14:solidFill>
          </w14:textFill>
        </w:rPr>
      </w:pPr>
    </w:p>
    <w:p>
      <w:pPr>
        <w:jc w:val="center"/>
        <w:rPr>
          <w:rFonts w:ascii="黑体" w:hAnsi="黑体" w:eastAsia="黑体" w:cs="微软雅黑"/>
          <w:color w:val="000000" w:themeColor="text1"/>
          <w:sz w:val="48"/>
          <w:szCs w:val="48"/>
          <w14:textFill>
            <w14:solidFill>
              <w14:schemeClr w14:val="tx1"/>
            </w14:solidFill>
          </w14:textFill>
        </w:rPr>
      </w:pPr>
    </w:p>
    <w:p>
      <w:pPr>
        <w:spacing w:line="240" w:lineRule="atLeast"/>
        <w:jc w:val="center"/>
        <w:rPr>
          <w:rFonts w:eastAsia="黑体"/>
          <w:color w:val="000000" w:themeColor="text1"/>
          <w:sz w:val="36"/>
          <w:szCs w:val="36"/>
          <w14:textFill>
            <w14:solidFill>
              <w14:schemeClr w14:val="tx1"/>
            </w14:solidFill>
          </w14:textFill>
        </w:rPr>
      </w:pPr>
      <w:r>
        <w:rPr>
          <w:rFonts w:hint="eastAsia" w:eastAsia="黑体"/>
          <w:color w:val="000000" w:themeColor="text1"/>
          <w:sz w:val="36"/>
          <w:szCs w:val="36"/>
          <w14:textFill>
            <w14:solidFill>
              <w14:schemeClr w14:val="tx1"/>
            </w14:solidFill>
          </w14:textFill>
        </w:rPr>
        <w:t>柳州市柳东新区管理委员会</w:t>
      </w:r>
    </w:p>
    <w:p>
      <w:pPr>
        <w:pStyle w:val="9"/>
        <w:jc w:val="center"/>
        <w:rPr>
          <w:color w:val="000000" w:themeColor="text1"/>
          <w14:textFill>
            <w14:solidFill>
              <w14:schemeClr w14:val="tx1"/>
            </w14:solidFill>
          </w14:textFill>
        </w:rPr>
      </w:pPr>
      <w:r>
        <w:rPr>
          <w:rFonts w:hint="eastAsia" w:eastAsia="黑体"/>
          <w:color w:val="000000" w:themeColor="text1"/>
          <w:sz w:val="36"/>
          <w:szCs w:val="36"/>
          <w14:textFill>
            <w14:solidFill>
              <w14:schemeClr w14:val="tx1"/>
            </w14:solidFill>
          </w14:textFill>
        </w:rPr>
        <w:t>2021年12月</w:t>
      </w:r>
    </w:p>
    <w:p>
      <w:pPr>
        <w:pStyle w:val="3"/>
        <w:overflowPunct w:val="0"/>
        <w:ind w:firstLine="640" w:firstLineChars="200"/>
        <w:jc w:val="center"/>
        <w:rPr>
          <w:rFonts w:ascii="黑体" w:hAnsi="黑体" w:eastAsia="黑体" w:cs="Times New Roman"/>
          <w:b w:val="0"/>
          <w:color w:val="000000" w:themeColor="text1"/>
          <w:sz w:val="32"/>
          <w:szCs w:val="32"/>
          <w14:textFill>
            <w14:solidFill>
              <w14:schemeClr w14:val="tx1"/>
            </w14:solidFill>
          </w14:textFill>
        </w:rPr>
      </w:pPr>
      <w:bookmarkStart w:id="0" w:name="_Toc13293"/>
      <w:bookmarkStart w:id="1" w:name="_Toc30976"/>
    </w:p>
    <w:sdt>
      <w:sdtPr>
        <w:rPr>
          <w:rFonts w:ascii="宋体" w:hAnsi="宋体" w:eastAsia="宋体"/>
          <w:color w:val="000000" w:themeColor="text1"/>
          <w14:textFill>
            <w14:solidFill>
              <w14:schemeClr w14:val="tx1"/>
            </w14:solidFill>
          </w14:textFill>
        </w:rPr>
        <w:id w:val="147472927"/>
        <w:docPartObj>
          <w:docPartGallery w:val="Table of Contents"/>
          <w:docPartUnique/>
        </w:docPartObj>
      </w:sdtPr>
      <w:sdtEndPr>
        <w:rPr>
          <w:rFonts w:hint="eastAsia" w:asciiTheme="minorHAnsi" w:hAnsiTheme="minorHAnsi" w:eastAsiaTheme="minorEastAsia"/>
          <w:b/>
          <w:color w:val="000000" w:themeColor="text1"/>
          <w14:textFill>
            <w14:solidFill>
              <w14:schemeClr w14:val="tx1"/>
            </w14:solidFill>
          </w14:textFill>
        </w:rPr>
      </w:sdtEndPr>
      <w:sdtContent>
        <w:p>
          <w:pPr>
            <w:jc w:val="center"/>
            <w:rPr>
              <w:rFonts w:ascii="宋体" w:hAnsi="宋体" w:eastAsia="宋体"/>
              <w:color w:val="000000" w:themeColor="text1"/>
              <w14:textFill>
                <w14:solidFill>
                  <w14:schemeClr w14:val="tx1"/>
                </w14:solidFill>
              </w14:textFill>
            </w:rPr>
          </w:pPr>
        </w:p>
        <w:p>
          <w:pPr>
            <w:jc w:val="left"/>
            <w:rPr>
              <w:rFonts w:ascii="宋体" w:hAnsi="宋体" w:eastAsia="宋体"/>
              <w:color w:val="000000" w:themeColor="text1"/>
              <w14:textFill>
                <w14:solidFill>
                  <w14:schemeClr w14:val="tx1"/>
                </w14:solidFill>
              </w14:textFill>
            </w:rPr>
          </w:pPr>
          <w:r>
            <w:rPr>
              <w:rFonts w:ascii="宋体" w:hAnsi="宋体" w:eastAsia="宋体"/>
              <w:color w:val="000000" w:themeColor="text1"/>
              <w14:textFill>
                <w14:solidFill>
                  <w14:schemeClr w14:val="tx1"/>
                </w14:solidFill>
              </w14:textFill>
            </w:rPr>
            <w:br w:type="page"/>
          </w:r>
        </w:p>
        <w:p>
          <w:pPr>
            <w:jc w:val="center"/>
            <w:rPr>
              <w:rFonts w:ascii="黑体" w:hAnsi="黑体" w:eastAsia="黑体" w:cs="黑体"/>
              <w:color w:val="000000" w:themeColor="text1"/>
              <w:sz w:val="36"/>
              <w:szCs w:val="36"/>
              <w14:textFill>
                <w14:solidFill>
                  <w14:schemeClr w14:val="tx1"/>
                </w14:solidFill>
              </w14:textFill>
            </w:rPr>
          </w:pPr>
          <w:r>
            <w:rPr>
              <w:rFonts w:hint="eastAsia" w:ascii="黑体" w:hAnsi="黑体" w:eastAsia="黑体" w:cs="黑体"/>
              <w:color w:val="000000" w:themeColor="text1"/>
              <w:sz w:val="36"/>
              <w:szCs w:val="36"/>
              <w14:textFill>
                <w14:solidFill>
                  <w14:schemeClr w14:val="tx1"/>
                </w14:solidFill>
              </w14:textFill>
            </w:rPr>
            <w:t>目录</w:t>
          </w:r>
        </w:p>
        <w:p>
          <w:pPr>
            <w:pStyle w:val="14"/>
            <w:keepNext w:val="0"/>
            <w:keepLines w:val="0"/>
            <w:pageBreakBefore w:val="0"/>
            <w:tabs>
              <w:tab w:val="right" w:leader="dot" w:pos="8400"/>
            </w:tabs>
            <w:kinsoku/>
            <w:wordWrap/>
            <w:topLinePunct w:val="0"/>
            <w:autoSpaceDE/>
            <w:autoSpaceDN/>
            <w:bidi w:val="0"/>
            <w:adjustRightInd/>
            <w:snapToGrid/>
            <w:spacing w:after="0" w:line="560" w:lineRule="exact"/>
            <w:textAlignment w:val="auto"/>
            <w:rPr>
              <w:rFonts w:hint="eastAsia" w:ascii="仿宋_GB2312" w:hAnsi="仿宋_GB2312" w:eastAsia="仿宋_GB2312" w:cs="仿宋_GB2312"/>
              <w:sz w:val="30"/>
              <w:szCs w:val="30"/>
            </w:rPr>
          </w:pPr>
          <w:r>
            <w:rPr>
              <w:rFonts w:hint="eastAsia" w:ascii="仿宋_GB2312" w:hAnsi="仿宋_GB2312" w:eastAsia="仿宋_GB2312" w:cs="仿宋_GB2312"/>
              <w:color w:val="000000" w:themeColor="text1"/>
              <w:sz w:val="30"/>
              <w:szCs w:val="30"/>
              <w14:textFill>
                <w14:solidFill>
                  <w14:schemeClr w14:val="tx1"/>
                </w14:solidFill>
              </w14:textFill>
            </w:rPr>
            <w:fldChar w:fldCharType="begin"/>
          </w:r>
          <w:r>
            <w:rPr>
              <w:rFonts w:hint="eastAsia" w:ascii="仿宋_GB2312" w:hAnsi="仿宋_GB2312" w:eastAsia="仿宋_GB2312" w:cs="仿宋_GB2312"/>
              <w:color w:val="000000" w:themeColor="text1"/>
              <w:sz w:val="30"/>
              <w:szCs w:val="30"/>
              <w14:textFill>
                <w14:solidFill>
                  <w14:schemeClr w14:val="tx1"/>
                </w14:solidFill>
              </w14:textFill>
            </w:rPr>
            <w:instrText xml:space="preserve">TOC \o "1-2" \h \u </w:instrText>
          </w:r>
          <w:r>
            <w:rPr>
              <w:rFonts w:hint="eastAsia" w:ascii="仿宋_GB2312" w:hAnsi="仿宋_GB2312" w:eastAsia="仿宋_GB2312" w:cs="仿宋_GB2312"/>
              <w:color w:val="000000" w:themeColor="text1"/>
              <w:sz w:val="30"/>
              <w:szCs w:val="30"/>
              <w14:textFill>
                <w14:solidFill>
                  <w14:schemeClr w14:val="tx1"/>
                </w14:solidFill>
              </w14:textFill>
            </w:rPr>
            <w:fldChar w:fldCharType="separate"/>
          </w:r>
          <w:r>
            <w:rPr>
              <w:rFonts w:hint="eastAsia" w:ascii="仿宋_GB2312" w:hAnsi="仿宋_GB2312" w:eastAsia="仿宋_GB2312" w:cs="仿宋_GB2312"/>
              <w:color w:val="000000" w:themeColor="text1"/>
              <w:sz w:val="30"/>
              <w:szCs w:val="30"/>
              <w14:textFill>
                <w14:solidFill>
                  <w14:schemeClr w14:val="tx1"/>
                </w14:solidFill>
              </w14:textFill>
            </w:rPr>
            <w:fldChar w:fldCharType="begin"/>
          </w:r>
          <w:r>
            <w:rPr>
              <w:rFonts w:hint="eastAsia" w:ascii="仿宋_GB2312" w:hAnsi="仿宋_GB2312" w:eastAsia="仿宋_GB2312" w:cs="仿宋_GB2312"/>
              <w:sz w:val="30"/>
              <w:szCs w:val="30"/>
            </w:rPr>
            <w:instrText xml:space="preserve"> HYPERLINK \l _Toc7519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前言</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_Toc7519 \h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1</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color w:val="000000" w:themeColor="text1"/>
              <w:sz w:val="30"/>
              <w:szCs w:val="30"/>
              <w14:textFill>
                <w14:solidFill>
                  <w14:schemeClr w14:val="tx1"/>
                </w14:solidFill>
              </w14:textFill>
            </w:rPr>
            <w:fldChar w:fldCharType="end"/>
          </w:r>
        </w:p>
        <w:p>
          <w:pPr>
            <w:pStyle w:val="14"/>
            <w:keepNext w:val="0"/>
            <w:keepLines w:val="0"/>
            <w:pageBreakBefore w:val="0"/>
            <w:tabs>
              <w:tab w:val="right" w:leader="dot" w:pos="8400"/>
            </w:tabs>
            <w:kinsoku/>
            <w:wordWrap/>
            <w:topLinePunct w:val="0"/>
            <w:autoSpaceDE/>
            <w:autoSpaceDN/>
            <w:bidi w:val="0"/>
            <w:adjustRightInd/>
            <w:snapToGrid/>
            <w:spacing w:after="0" w:line="560" w:lineRule="exact"/>
            <w:textAlignment w:val="auto"/>
            <w:rPr>
              <w:rFonts w:hint="eastAsia" w:ascii="仿宋_GB2312" w:hAnsi="仿宋_GB2312" w:eastAsia="仿宋_GB2312" w:cs="仿宋_GB2312"/>
              <w:sz w:val="30"/>
              <w:szCs w:val="30"/>
            </w:rPr>
          </w:pPr>
          <w:r>
            <w:rPr>
              <w:rFonts w:hint="eastAsia" w:ascii="仿宋_GB2312" w:hAnsi="仿宋_GB2312" w:eastAsia="仿宋_GB2312" w:cs="仿宋_GB2312"/>
              <w:color w:val="000000" w:themeColor="text1"/>
              <w:sz w:val="30"/>
              <w:szCs w:val="30"/>
              <w14:textFill>
                <w14:solidFill>
                  <w14:schemeClr w14:val="tx1"/>
                </w14:solidFill>
              </w14:textFill>
            </w:rPr>
            <w:fldChar w:fldCharType="begin"/>
          </w:r>
          <w:r>
            <w:rPr>
              <w:rFonts w:hint="eastAsia" w:ascii="仿宋_GB2312" w:hAnsi="仿宋_GB2312" w:eastAsia="仿宋_GB2312" w:cs="仿宋_GB2312"/>
              <w:sz w:val="30"/>
              <w:szCs w:val="30"/>
            </w:rPr>
            <w:instrText xml:space="preserve"> HYPERLINK \l _Toc983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第一章 夯实发展基础，直面重大变局</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_Toc983 \h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2</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color w:val="000000" w:themeColor="text1"/>
              <w:sz w:val="30"/>
              <w:szCs w:val="30"/>
              <w14:textFill>
                <w14:solidFill>
                  <w14:schemeClr w14:val="tx1"/>
                </w14:solidFill>
              </w14:textFill>
            </w:rPr>
            <w:fldChar w:fldCharType="end"/>
          </w:r>
        </w:p>
        <w:p>
          <w:pPr>
            <w:pStyle w:val="16"/>
            <w:keepNext w:val="0"/>
            <w:keepLines w:val="0"/>
            <w:pageBreakBefore w:val="0"/>
            <w:tabs>
              <w:tab w:val="right" w:leader="dot" w:pos="8400"/>
            </w:tabs>
            <w:kinsoku/>
            <w:wordWrap/>
            <w:topLinePunct w:val="0"/>
            <w:autoSpaceDE/>
            <w:autoSpaceDN/>
            <w:bidi w:val="0"/>
            <w:adjustRightInd/>
            <w:snapToGrid/>
            <w:spacing w:after="0" w:line="560" w:lineRule="exact"/>
            <w:textAlignment w:val="auto"/>
            <w:rPr>
              <w:rFonts w:hint="eastAsia" w:ascii="仿宋_GB2312" w:hAnsi="仿宋_GB2312" w:eastAsia="仿宋_GB2312" w:cs="仿宋_GB2312"/>
              <w:sz w:val="30"/>
              <w:szCs w:val="30"/>
            </w:rPr>
          </w:pPr>
          <w:r>
            <w:rPr>
              <w:rFonts w:hint="eastAsia" w:ascii="仿宋_GB2312" w:hAnsi="仿宋_GB2312" w:eastAsia="仿宋_GB2312" w:cs="仿宋_GB2312"/>
              <w:color w:val="000000" w:themeColor="text1"/>
              <w:sz w:val="30"/>
              <w:szCs w:val="30"/>
              <w14:textFill>
                <w14:solidFill>
                  <w14:schemeClr w14:val="tx1"/>
                </w14:solidFill>
              </w14:textFill>
            </w:rPr>
            <w:fldChar w:fldCharType="begin"/>
          </w:r>
          <w:r>
            <w:rPr>
              <w:rFonts w:hint="eastAsia" w:ascii="仿宋_GB2312" w:hAnsi="仿宋_GB2312" w:eastAsia="仿宋_GB2312" w:cs="仿宋_GB2312"/>
              <w:sz w:val="30"/>
              <w:szCs w:val="30"/>
            </w:rPr>
            <w:instrText xml:space="preserve"> HYPERLINK \l _Toc5575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第一节 “十三五”发展成效</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_Toc5575 \h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2</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color w:val="000000" w:themeColor="text1"/>
              <w:sz w:val="30"/>
              <w:szCs w:val="30"/>
              <w14:textFill>
                <w14:solidFill>
                  <w14:schemeClr w14:val="tx1"/>
                </w14:solidFill>
              </w14:textFill>
            </w:rPr>
            <w:fldChar w:fldCharType="end"/>
          </w:r>
        </w:p>
        <w:p>
          <w:pPr>
            <w:pStyle w:val="16"/>
            <w:keepNext w:val="0"/>
            <w:keepLines w:val="0"/>
            <w:pageBreakBefore w:val="0"/>
            <w:tabs>
              <w:tab w:val="right" w:leader="dot" w:pos="8400"/>
            </w:tabs>
            <w:kinsoku/>
            <w:wordWrap/>
            <w:topLinePunct w:val="0"/>
            <w:autoSpaceDE/>
            <w:autoSpaceDN/>
            <w:bidi w:val="0"/>
            <w:adjustRightInd/>
            <w:snapToGrid/>
            <w:spacing w:after="0" w:line="560" w:lineRule="exact"/>
            <w:textAlignment w:val="auto"/>
            <w:rPr>
              <w:rFonts w:hint="eastAsia" w:ascii="仿宋_GB2312" w:hAnsi="仿宋_GB2312" w:eastAsia="仿宋_GB2312" w:cs="仿宋_GB2312"/>
              <w:sz w:val="30"/>
              <w:szCs w:val="30"/>
            </w:rPr>
          </w:pPr>
          <w:r>
            <w:rPr>
              <w:rFonts w:hint="eastAsia" w:ascii="仿宋_GB2312" w:hAnsi="仿宋_GB2312" w:eastAsia="仿宋_GB2312" w:cs="仿宋_GB2312"/>
              <w:color w:val="000000" w:themeColor="text1"/>
              <w:sz w:val="30"/>
              <w:szCs w:val="30"/>
              <w14:textFill>
                <w14:solidFill>
                  <w14:schemeClr w14:val="tx1"/>
                </w14:solidFill>
              </w14:textFill>
            </w:rPr>
            <w:fldChar w:fldCharType="begin"/>
          </w:r>
          <w:r>
            <w:rPr>
              <w:rFonts w:hint="eastAsia" w:ascii="仿宋_GB2312" w:hAnsi="仿宋_GB2312" w:eastAsia="仿宋_GB2312" w:cs="仿宋_GB2312"/>
              <w:sz w:val="30"/>
              <w:szCs w:val="30"/>
            </w:rPr>
            <w:instrText xml:space="preserve"> HYPERLINK \l _Toc8605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第二节 “十四五”发展环境</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_Toc8605 \h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11</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color w:val="000000" w:themeColor="text1"/>
              <w:sz w:val="30"/>
              <w:szCs w:val="30"/>
              <w14:textFill>
                <w14:solidFill>
                  <w14:schemeClr w14:val="tx1"/>
                </w14:solidFill>
              </w14:textFill>
            </w:rPr>
            <w:fldChar w:fldCharType="end"/>
          </w:r>
        </w:p>
        <w:p>
          <w:pPr>
            <w:pStyle w:val="14"/>
            <w:keepNext w:val="0"/>
            <w:keepLines w:val="0"/>
            <w:pageBreakBefore w:val="0"/>
            <w:tabs>
              <w:tab w:val="right" w:leader="dot" w:pos="8400"/>
            </w:tabs>
            <w:kinsoku/>
            <w:wordWrap/>
            <w:topLinePunct w:val="0"/>
            <w:autoSpaceDE/>
            <w:autoSpaceDN/>
            <w:bidi w:val="0"/>
            <w:adjustRightInd/>
            <w:snapToGrid/>
            <w:spacing w:after="0" w:line="560" w:lineRule="exact"/>
            <w:textAlignment w:val="auto"/>
            <w:rPr>
              <w:rFonts w:hint="eastAsia" w:ascii="仿宋_GB2312" w:hAnsi="仿宋_GB2312" w:eastAsia="仿宋_GB2312" w:cs="仿宋_GB2312"/>
              <w:sz w:val="30"/>
              <w:szCs w:val="30"/>
            </w:rPr>
          </w:pPr>
          <w:r>
            <w:rPr>
              <w:rFonts w:hint="eastAsia" w:ascii="仿宋_GB2312" w:hAnsi="仿宋_GB2312" w:eastAsia="仿宋_GB2312" w:cs="仿宋_GB2312"/>
              <w:color w:val="000000" w:themeColor="text1"/>
              <w:sz w:val="30"/>
              <w:szCs w:val="30"/>
              <w14:textFill>
                <w14:solidFill>
                  <w14:schemeClr w14:val="tx1"/>
                </w14:solidFill>
              </w14:textFill>
            </w:rPr>
            <w:fldChar w:fldCharType="begin"/>
          </w:r>
          <w:r>
            <w:rPr>
              <w:rFonts w:hint="eastAsia" w:ascii="仿宋_GB2312" w:hAnsi="仿宋_GB2312" w:eastAsia="仿宋_GB2312" w:cs="仿宋_GB2312"/>
              <w:sz w:val="30"/>
              <w:szCs w:val="30"/>
            </w:rPr>
            <w:instrText xml:space="preserve"> HYPERLINK \l _Toc17432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第二章 增强发展动能，主动肩负使命</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_Toc17432 \h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15</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color w:val="000000" w:themeColor="text1"/>
              <w:sz w:val="30"/>
              <w:szCs w:val="30"/>
              <w14:textFill>
                <w14:solidFill>
                  <w14:schemeClr w14:val="tx1"/>
                </w14:solidFill>
              </w14:textFill>
            </w:rPr>
            <w:fldChar w:fldCharType="end"/>
          </w:r>
        </w:p>
        <w:p>
          <w:pPr>
            <w:pStyle w:val="16"/>
            <w:keepNext w:val="0"/>
            <w:keepLines w:val="0"/>
            <w:pageBreakBefore w:val="0"/>
            <w:tabs>
              <w:tab w:val="right" w:leader="dot" w:pos="8400"/>
            </w:tabs>
            <w:kinsoku/>
            <w:wordWrap/>
            <w:topLinePunct w:val="0"/>
            <w:autoSpaceDE/>
            <w:autoSpaceDN/>
            <w:bidi w:val="0"/>
            <w:adjustRightInd/>
            <w:snapToGrid/>
            <w:spacing w:after="0" w:line="560" w:lineRule="exact"/>
            <w:textAlignment w:val="auto"/>
            <w:rPr>
              <w:rFonts w:hint="eastAsia" w:ascii="仿宋_GB2312" w:hAnsi="仿宋_GB2312" w:eastAsia="仿宋_GB2312" w:cs="仿宋_GB2312"/>
              <w:sz w:val="30"/>
              <w:szCs w:val="30"/>
            </w:rPr>
          </w:pPr>
          <w:r>
            <w:rPr>
              <w:rFonts w:hint="eastAsia" w:ascii="仿宋_GB2312" w:hAnsi="仿宋_GB2312" w:eastAsia="仿宋_GB2312" w:cs="仿宋_GB2312"/>
              <w:color w:val="000000" w:themeColor="text1"/>
              <w:sz w:val="30"/>
              <w:szCs w:val="30"/>
              <w14:textFill>
                <w14:solidFill>
                  <w14:schemeClr w14:val="tx1"/>
                </w14:solidFill>
              </w14:textFill>
            </w:rPr>
            <w:fldChar w:fldCharType="begin"/>
          </w:r>
          <w:r>
            <w:rPr>
              <w:rFonts w:hint="eastAsia" w:ascii="仿宋_GB2312" w:hAnsi="仿宋_GB2312" w:eastAsia="仿宋_GB2312" w:cs="仿宋_GB2312"/>
              <w:sz w:val="30"/>
              <w:szCs w:val="30"/>
            </w:rPr>
            <w:instrText xml:space="preserve"> HYPERLINK \l _Toc10718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第一节 指导思想</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_Toc10718 \h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15</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color w:val="000000" w:themeColor="text1"/>
              <w:sz w:val="30"/>
              <w:szCs w:val="30"/>
              <w14:textFill>
                <w14:solidFill>
                  <w14:schemeClr w14:val="tx1"/>
                </w14:solidFill>
              </w14:textFill>
            </w:rPr>
            <w:fldChar w:fldCharType="end"/>
          </w:r>
        </w:p>
        <w:p>
          <w:pPr>
            <w:pStyle w:val="16"/>
            <w:keepNext w:val="0"/>
            <w:keepLines w:val="0"/>
            <w:pageBreakBefore w:val="0"/>
            <w:tabs>
              <w:tab w:val="right" w:leader="dot" w:pos="8400"/>
            </w:tabs>
            <w:kinsoku/>
            <w:wordWrap/>
            <w:topLinePunct w:val="0"/>
            <w:autoSpaceDE/>
            <w:autoSpaceDN/>
            <w:bidi w:val="0"/>
            <w:adjustRightInd/>
            <w:snapToGrid/>
            <w:spacing w:after="0" w:line="560" w:lineRule="exact"/>
            <w:textAlignment w:val="auto"/>
            <w:rPr>
              <w:rFonts w:hint="eastAsia" w:ascii="仿宋_GB2312" w:hAnsi="仿宋_GB2312" w:eastAsia="仿宋_GB2312" w:cs="仿宋_GB2312"/>
              <w:sz w:val="30"/>
              <w:szCs w:val="30"/>
            </w:rPr>
          </w:pPr>
          <w:r>
            <w:rPr>
              <w:rFonts w:hint="eastAsia" w:ascii="仿宋_GB2312" w:hAnsi="仿宋_GB2312" w:eastAsia="仿宋_GB2312" w:cs="仿宋_GB2312"/>
              <w:color w:val="000000" w:themeColor="text1"/>
              <w:sz w:val="30"/>
              <w:szCs w:val="30"/>
              <w14:textFill>
                <w14:solidFill>
                  <w14:schemeClr w14:val="tx1"/>
                </w14:solidFill>
              </w14:textFill>
            </w:rPr>
            <w:fldChar w:fldCharType="begin"/>
          </w:r>
          <w:r>
            <w:rPr>
              <w:rFonts w:hint="eastAsia" w:ascii="仿宋_GB2312" w:hAnsi="仿宋_GB2312" w:eastAsia="仿宋_GB2312" w:cs="仿宋_GB2312"/>
              <w:sz w:val="30"/>
              <w:szCs w:val="30"/>
            </w:rPr>
            <w:instrText xml:space="preserve"> HYPERLINK \l _Toc29531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第二节 发展定位</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_Toc29531 \h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16</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color w:val="000000" w:themeColor="text1"/>
              <w:sz w:val="30"/>
              <w:szCs w:val="30"/>
              <w14:textFill>
                <w14:solidFill>
                  <w14:schemeClr w14:val="tx1"/>
                </w14:solidFill>
              </w14:textFill>
            </w:rPr>
            <w:fldChar w:fldCharType="end"/>
          </w:r>
        </w:p>
        <w:p>
          <w:pPr>
            <w:pStyle w:val="16"/>
            <w:keepNext w:val="0"/>
            <w:keepLines w:val="0"/>
            <w:pageBreakBefore w:val="0"/>
            <w:tabs>
              <w:tab w:val="right" w:leader="dot" w:pos="8400"/>
            </w:tabs>
            <w:kinsoku/>
            <w:wordWrap/>
            <w:topLinePunct w:val="0"/>
            <w:autoSpaceDE/>
            <w:autoSpaceDN/>
            <w:bidi w:val="0"/>
            <w:adjustRightInd/>
            <w:snapToGrid/>
            <w:spacing w:after="0" w:line="560" w:lineRule="exact"/>
            <w:textAlignment w:val="auto"/>
            <w:rPr>
              <w:rFonts w:hint="eastAsia" w:ascii="仿宋_GB2312" w:hAnsi="仿宋_GB2312" w:eastAsia="仿宋_GB2312" w:cs="仿宋_GB2312"/>
              <w:sz w:val="30"/>
              <w:szCs w:val="30"/>
            </w:rPr>
          </w:pPr>
          <w:r>
            <w:rPr>
              <w:rFonts w:hint="eastAsia" w:ascii="仿宋_GB2312" w:hAnsi="仿宋_GB2312" w:eastAsia="仿宋_GB2312" w:cs="仿宋_GB2312"/>
              <w:color w:val="000000" w:themeColor="text1"/>
              <w:sz w:val="30"/>
              <w:szCs w:val="30"/>
              <w14:textFill>
                <w14:solidFill>
                  <w14:schemeClr w14:val="tx1"/>
                </w14:solidFill>
              </w14:textFill>
            </w:rPr>
            <w:fldChar w:fldCharType="begin"/>
          </w:r>
          <w:r>
            <w:rPr>
              <w:rFonts w:hint="eastAsia" w:ascii="仿宋_GB2312" w:hAnsi="仿宋_GB2312" w:eastAsia="仿宋_GB2312" w:cs="仿宋_GB2312"/>
              <w:sz w:val="30"/>
              <w:szCs w:val="30"/>
            </w:rPr>
            <w:instrText xml:space="preserve"> HYPERLINK \l _Toc16168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第三节 二〇三五年远景目标</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_Toc16168 \h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17</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color w:val="000000" w:themeColor="text1"/>
              <w:sz w:val="30"/>
              <w:szCs w:val="30"/>
              <w14:textFill>
                <w14:solidFill>
                  <w14:schemeClr w14:val="tx1"/>
                </w14:solidFill>
              </w14:textFill>
            </w:rPr>
            <w:fldChar w:fldCharType="end"/>
          </w:r>
        </w:p>
        <w:p>
          <w:pPr>
            <w:pStyle w:val="16"/>
            <w:keepNext w:val="0"/>
            <w:keepLines w:val="0"/>
            <w:pageBreakBefore w:val="0"/>
            <w:tabs>
              <w:tab w:val="right" w:leader="dot" w:pos="8400"/>
            </w:tabs>
            <w:kinsoku/>
            <w:wordWrap/>
            <w:topLinePunct w:val="0"/>
            <w:autoSpaceDE/>
            <w:autoSpaceDN/>
            <w:bidi w:val="0"/>
            <w:adjustRightInd/>
            <w:snapToGrid/>
            <w:spacing w:after="0" w:line="560" w:lineRule="exact"/>
            <w:textAlignment w:val="auto"/>
            <w:rPr>
              <w:rFonts w:hint="eastAsia" w:ascii="仿宋_GB2312" w:hAnsi="仿宋_GB2312" w:eastAsia="仿宋_GB2312" w:cs="仿宋_GB2312"/>
              <w:sz w:val="30"/>
              <w:szCs w:val="30"/>
            </w:rPr>
          </w:pPr>
          <w:r>
            <w:rPr>
              <w:rFonts w:hint="eastAsia" w:ascii="仿宋_GB2312" w:hAnsi="仿宋_GB2312" w:eastAsia="仿宋_GB2312" w:cs="仿宋_GB2312"/>
              <w:color w:val="000000" w:themeColor="text1"/>
              <w:sz w:val="30"/>
              <w:szCs w:val="30"/>
              <w14:textFill>
                <w14:solidFill>
                  <w14:schemeClr w14:val="tx1"/>
                </w14:solidFill>
              </w14:textFill>
            </w:rPr>
            <w:fldChar w:fldCharType="begin"/>
          </w:r>
          <w:r>
            <w:rPr>
              <w:rFonts w:hint="eastAsia" w:ascii="仿宋_GB2312" w:hAnsi="仿宋_GB2312" w:eastAsia="仿宋_GB2312" w:cs="仿宋_GB2312"/>
              <w:sz w:val="30"/>
              <w:szCs w:val="30"/>
            </w:rPr>
            <w:instrText xml:space="preserve"> HYPERLINK \l _Toc22756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第四节 “十四五”发展目标</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_Toc22756 \h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18</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color w:val="000000" w:themeColor="text1"/>
              <w:sz w:val="30"/>
              <w:szCs w:val="30"/>
              <w14:textFill>
                <w14:solidFill>
                  <w14:schemeClr w14:val="tx1"/>
                </w14:solidFill>
              </w14:textFill>
            </w:rPr>
            <w:fldChar w:fldCharType="end"/>
          </w:r>
        </w:p>
        <w:p>
          <w:pPr>
            <w:pStyle w:val="16"/>
            <w:keepNext w:val="0"/>
            <w:keepLines w:val="0"/>
            <w:pageBreakBefore w:val="0"/>
            <w:tabs>
              <w:tab w:val="right" w:leader="dot" w:pos="8400"/>
            </w:tabs>
            <w:kinsoku/>
            <w:wordWrap/>
            <w:topLinePunct w:val="0"/>
            <w:autoSpaceDE/>
            <w:autoSpaceDN/>
            <w:bidi w:val="0"/>
            <w:adjustRightInd/>
            <w:snapToGrid/>
            <w:spacing w:after="0" w:line="560" w:lineRule="exact"/>
            <w:textAlignment w:val="auto"/>
            <w:rPr>
              <w:rFonts w:hint="eastAsia" w:ascii="仿宋_GB2312" w:hAnsi="仿宋_GB2312" w:eastAsia="仿宋_GB2312" w:cs="仿宋_GB2312"/>
              <w:sz w:val="30"/>
              <w:szCs w:val="30"/>
            </w:rPr>
          </w:pPr>
          <w:r>
            <w:rPr>
              <w:rFonts w:hint="eastAsia" w:ascii="仿宋_GB2312" w:hAnsi="仿宋_GB2312" w:eastAsia="仿宋_GB2312" w:cs="仿宋_GB2312"/>
              <w:color w:val="000000" w:themeColor="text1"/>
              <w:sz w:val="30"/>
              <w:szCs w:val="30"/>
              <w14:textFill>
                <w14:solidFill>
                  <w14:schemeClr w14:val="tx1"/>
                </w14:solidFill>
              </w14:textFill>
            </w:rPr>
            <w:fldChar w:fldCharType="begin"/>
          </w:r>
          <w:r>
            <w:rPr>
              <w:rFonts w:hint="eastAsia" w:ascii="仿宋_GB2312" w:hAnsi="仿宋_GB2312" w:eastAsia="仿宋_GB2312" w:cs="仿宋_GB2312"/>
              <w:sz w:val="30"/>
              <w:szCs w:val="30"/>
            </w:rPr>
            <w:instrText xml:space="preserve"> HYPERLINK \l _Toc29305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第五节 发展战略</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_Toc29305 \h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21</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color w:val="000000" w:themeColor="text1"/>
              <w:sz w:val="30"/>
              <w:szCs w:val="30"/>
              <w14:textFill>
                <w14:solidFill>
                  <w14:schemeClr w14:val="tx1"/>
                </w14:solidFill>
              </w14:textFill>
            </w:rPr>
            <w:fldChar w:fldCharType="end"/>
          </w:r>
        </w:p>
        <w:p>
          <w:pPr>
            <w:pStyle w:val="14"/>
            <w:keepNext w:val="0"/>
            <w:keepLines w:val="0"/>
            <w:pageBreakBefore w:val="0"/>
            <w:tabs>
              <w:tab w:val="right" w:leader="dot" w:pos="8400"/>
            </w:tabs>
            <w:kinsoku/>
            <w:wordWrap/>
            <w:topLinePunct w:val="0"/>
            <w:autoSpaceDE/>
            <w:autoSpaceDN/>
            <w:bidi w:val="0"/>
            <w:adjustRightInd/>
            <w:snapToGrid/>
            <w:spacing w:after="0" w:line="560" w:lineRule="exact"/>
            <w:textAlignment w:val="auto"/>
            <w:rPr>
              <w:rFonts w:hint="eastAsia" w:ascii="仿宋_GB2312" w:hAnsi="仿宋_GB2312" w:eastAsia="仿宋_GB2312" w:cs="仿宋_GB2312"/>
              <w:sz w:val="30"/>
              <w:szCs w:val="30"/>
            </w:rPr>
          </w:pPr>
          <w:r>
            <w:rPr>
              <w:rFonts w:hint="eastAsia" w:ascii="仿宋_GB2312" w:hAnsi="仿宋_GB2312" w:eastAsia="仿宋_GB2312" w:cs="仿宋_GB2312"/>
              <w:color w:val="000000" w:themeColor="text1"/>
              <w:sz w:val="30"/>
              <w:szCs w:val="30"/>
              <w14:textFill>
                <w14:solidFill>
                  <w14:schemeClr w14:val="tx1"/>
                </w14:solidFill>
              </w14:textFill>
            </w:rPr>
            <w:fldChar w:fldCharType="begin"/>
          </w:r>
          <w:r>
            <w:rPr>
              <w:rFonts w:hint="eastAsia" w:ascii="仿宋_GB2312" w:hAnsi="仿宋_GB2312" w:eastAsia="仿宋_GB2312" w:cs="仿宋_GB2312"/>
              <w:sz w:val="30"/>
              <w:szCs w:val="30"/>
            </w:rPr>
            <w:instrText xml:space="preserve"> HYPERLINK \l _Toc5835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第三章 突出创新引领，打造柳州创新创业领航区</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_Toc5835 \h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24</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color w:val="000000" w:themeColor="text1"/>
              <w:sz w:val="30"/>
              <w:szCs w:val="30"/>
              <w14:textFill>
                <w14:solidFill>
                  <w14:schemeClr w14:val="tx1"/>
                </w14:solidFill>
              </w14:textFill>
            </w:rPr>
            <w:fldChar w:fldCharType="end"/>
          </w:r>
        </w:p>
        <w:p>
          <w:pPr>
            <w:pStyle w:val="16"/>
            <w:keepNext w:val="0"/>
            <w:keepLines w:val="0"/>
            <w:pageBreakBefore w:val="0"/>
            <w:tabs>
              <w:tab w:val="right" w:leader="dot" w:pos="8400"/>
            </w:tabs>
            <w:kinsoku/>
            <w:wordWrap/>
            <w:topLinePunct w:val="0"/>
            <w:autoSpaceDE/>
            <w:autoSpaceDN/>
            <w:bidi w:val="0"/>
            <w:adjustRightInd/>
            <w:snapToGrid/>
            <w:spacing w:after="0" w:line="560" w:lineRule="exact"/>
            <w:textAlignment w:val="auto"/>
            <w:rPr>
              <w:rFonts w:hint="eastAsia" w:ascii="仿宋_GB2312" w:hAnsi="仿宋_GB2312" w:eastAsia="仿宋_GB2312" w:cs="仿宋_GB2312"/>
              <w:sz w:val="30"/>
              <w:szCs w:val="30"/>
            </w:rPr>
          </w:pPr>
          <w:r>
            <w:rPr>
              <w:rFonts w:hint="eastAsia" w:ascii="仿宋_GB2312" w:hAnsi="仿宋_GB2312" w:eastAsia="仿宋_GB2312" w:cs="仿宋_GB2312"/>
              <w:color w:val="000000" w:themeColor="text1"/>
              <w:sz w:val="30"/>
              <w:szCs w:val="30"/>
              <w14:textFill>
                <w14:solidFill>
                  <w14:schemeClr w14:val="tx1"/>
                </w14:solidFill>
              </w14:textFill>
            </w:rPr>
            <w:fldChar w:fldCharType="begin"/>
          </w:r>
          <w:r>
            <w:rPr>
              <w:rFonts w:hint="eastAsia" w:ascii="仿宋_GB2312" w:hAnsi="仿宋_GB2312" w:eastAsia="仿宋_GB2312" w:cs="仿宋_GB2312"/>
              <w:sz w:val="30"/>
              <w:szCs w:val="30"/>
            </w:rPr>
            <w:instrText xml:space="preserve"> HYPERLINK \l _Toc9813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第一节 增强技术创新能力</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_Toc9813 \h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24</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color w:val="000000" w:themeColor="text1"/>
              <w:sz w:val="30"/>
              <w:szCs w:val="30"/>
              <w14:textFill>
                <w14:solidFill>
                  <w14:schemeClr w14:val="tx1"/>
                </w14:solidFill>
              </w14:textFill>
            </w:rPr>
            <w:fldChar w:fldCharType="end"/>
          </w:r>
        </w:p>
        <w:p>
          <w:pPr>
            <w:pStyle w:val="16"/>
            <w:keepNext w:val="0"/>
            <w:keepLines w:val="0"/>
            <w:pageBreakBefore w:val="0"/>
            <w:tabs>
              <w:tab w:val="right" w:leader="dot" w:pos="8400"/>
            </w:tabs>
            <w:kinsoku/>
            <w:wordWrap/>
            <w:topLinePunct w:val="0"/>
            <w:autoSpaceDE/>
            <w:autoSpaceDN/>
            <w:bidi w:val="0"/>
            <w:adjustRightInd/>
            <w:snapToGrid/>
            <w:spacing w:after="0" w:line="560" w:lineRule="exact"/>
            <w:textAlignment w:val="auto"/>
            <w:rPr>
              <w:rFonts w:hint="eastAsia" w:ascii="仿宋_GB2312" w:hAnsi="仿宋_GB2312" w:eastAsia="仿宋_GB2312" w:cs="仿宋_GB2312"/>
              <w:sz w:val="30"/>
              <w:szCs w:val="30"/>
            </w:rPr>
          </w:pPr>
          <w:r>
            <w:rPr>
              <w:rFonts w:hint="eastAsia" w:ascii="仿宋_GB2312" w:hAnsi="仿宋_GB2312" w:eastAsia="仿宋_GB2312" w:cs="仿宋_GB2312"/>
              <w:color w:val="000000" w:themeColor="text1"/>
              <w:sz w:val="30"/>
              <w:szCs w:val="30"/>
              <w14:textFill>
                <w14:solidFill>
                  <w14:schemeClr w14:val="tx1"/>
                </w14:solidFill>
              </w14:textFill>
            </w:rPr>
            <w:fldChar w:fldCharType="begin"/>
          </w:r>
          <w:r>
            <w:rPr>
              <w:rFonts w:hint="eastAsia" w:ascii="仿宋_GB2312" w:hAnsi="仿宋_GB2312" w:eastAsia="仿宋_GB2312" w:cs="仿宋_GB2312"/>
              <w:sz w:val="30"/>
              <w:szCs w:val="30"/>
            </w:rPr>
            <w:instrText xml:space="preserve"> HYPERLINK \l _Toc21288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第二节 促进科技成果转化</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_Toc21288 \h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26</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color w:val="000000" w:themeColor="text1"/>
              <w:sz w:val="30"/>
              <w:szCs w:val="30"/>
              <w14:textFill>
                <w14:solidFill>
                  <w14:schemeClr w14:val="tx1"/>
                </w14:solidFill>
              </w14:textFill>
            </w:rPr>
            <w:fldChar w:fldCharType="end"/>
          </w:r>
        </w:p>
        <w:p>
          <w:pPr>
            <w:pStyle w:val="16"/>
            <w:keepNext w:val="0"/>
            <w:keepLines w:val="0"/>
            <w:pageBreakBefore w:val="0"/>
            <w:tabs>
              <w:tab w:val="right" w:leader="dot" w:pos="8400"/>
            </w:tabs>
            <w:kinsoku/>
            <w:wordWrap/>
            <w:topLinePunct w:val="0"/>
            <w:autoSpaceDE/>
            <w:autoSpaceDN/>
            <w:bidi w:val="0"/>
            <w:adjustRightInd/>
            <w:snapToGrid/>
            <w:spacing w:after="0" w:line="560" w:lineRule="exact"/>
            <w:textAlignment w:val="auto"/>
            <w:rPr>
              <w:rFonts w:hint="eastAsia" w:ascii="仿宋_GB2312" w:hAnsi="仿宋_GB2312" w:eastAsia="仿宋_GB2312" w:cs="仿宋_GB2312"/>
              <w:sz w:val="30"/>
              <w:szCs w:val="30"/>
            </w:rPr>
          </w:pPr>
          <w:r>
            <w:rPr>
              <w:rFonts w:hint="eastAsia" w:ascii="仿宋_GB2312" w:hAnsi="仿宋_GB2312" w:eastAsia="仿宋_GB2312" w:cs="仿宋_GB2312"/>
              <w:color w:val="000000" w:themeColor="text1"/>
              <w:sz w:val="30"/>
              <w:szCs w:val="30"/>
              <w14:textFill>
                <w14:solidFill>
                  <w14:schemeClr w14:val="tx1"/>
                </w14:solidFill>
              </w14:textFill>
            </w:rPr>
            <w:fldChar w:fldCharType="begin"/>
          </w:r>
          <w:r>
            <w:rPr>
              <w:rFonts w:hint="eastAsia" w:ascii="仿宋_GB2312" w:hAnsi="仿宋_GB2312" w:eastAsia="仿宋_GB2312" w:cs="仿宋_GB2312"/>
              <w:sz w:val="30"/>
              <w:szCs w:val="30"/>
            </w:rPr>
            <w:instrText xml:space="preserve"> HYPERLINK \l _Toc1931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第三节 完善创新创业环境</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_Toc1931 \h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28</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color w:val="000000" w:themeColor="text1"/>
              <w:sz w:val="30"/>
              <w:szCs w:val="30"/>
              <w14:textFill>
                <w14:solidFill>
                  <w14:schemeClr w14:val="tx1"/>
                </w14:solidFill>
              </w14:textFill>
            </w:rPr>
            <w:fldChar w:fldCharType="end"/>
          </w:r>
        </w:p>
        <w:p>
          <w:pPr>
            <w:pStyle w:val="16"/>
            <w:keepNext w:val="0"/>
            <w:keepLines w:val="0"/>
            <w:pageBreakBefore w:val="0"/>
            <w:tabs>
              <w:tab w:val="right" w:leader="dot" w:pos="8400"/>
            </w:tabs>
            <w:kinsoku/>
            <w:wordWrap/>
            <w:topLinePunct w:val="0"/>
            <w:autoSpaceDE/>
            <w:autoSpaceDN/>
            <w:bidi w:val="0"/>
            <w:adjustRightInd/>
            <w:snapToGrid/>
            <w:spacing w:after="0" w:line="560" w:lineRule="exact"/>
            <w:textAlignment w:val="auto"/>
            <w:rPr>
              <w:rFonts w:hint="eastAsia" w:ascii="仿宋_GB2312" w:hAnsi="仿宋_GB2312" w:eastAsia="仿宋_GB2312" w:cs="仿宋_GB2312"/>
              <w:sz w:val="30"/>
              <w:szCs w:val="30"/>
            </w:rPr>
          </w:pPr>
          <w:r>
            <w:rPr>
              <w:rFonts w:hint="eastAsia" w:ascii="仿宋_GB2312" w:hAnsi="仿宋_GB2312" w:eastAsia="仿宋_GB2312" w:cs="仿宋_GB2312"/>
              <w:color w:val="000000" w:themeColor="text1"/>
              <w:sz w:val="30"/>
              <w:szCs w:val="30"/>
              <w14:textFill>
                <w14:solidFill>
                  <w14:schemeClr w14:val="tx1"/>
                </w14:solidFill>
              </w14:textFill>
            </w:rPr>
            <w:fldChar w:fldCharType="begin"/>
          </w:r>
          <w:r>
            <w:rPr>
              <w:rFonts w:hint="eastAsia" w:ascii="仿宋_GB2312" w:hAnsi="仿宋_GB2312" w:eastAsia="仿宋_GB2312" w:cs="仿宋_GB2312"/>
              <w:sz w:val="30"/>
              <w:szCs w:val="30"/>
            </w:rPr>
            <w:instrText xml:space="preserve"> HYPERLINK \l _Toc4673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第四节 汇聚创新创业人才</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_Toc4673 \h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30</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color w:val="000000" w:themeColor="text1"/>
              <w:sz w:val="30"/>
              <w:szCs w:val="30"/>
              <w14:textFill>
                <w14:solidFill>
                  <w14:schemeClr w14:val="tx1"/>
                </w14:solidFill>
              </w14:textFill>
            </w:rPr>
            <w:fldChar w:fldCharType="end"/>
          </w:r>
        </w:p>
        <w:p>
          <w:pPr>
            <w:pStyle w:val="14"/>
            <w:keepNext w:val="0"/>
            <w:keepLines w:val="0"/>
            <w:pageBreakBefore w:val="0"/>
            <w:tabs>
              <w:tab w:val="right" w:leader="dot" w:pos="8400"/>
            </w:tabs>
            <w:kinsoku/>
            <w:wordWrap/>
            <w:topLinePunct w:val="0"/>
            <w:autoSpaceDE/>
            <w:autoSpaceDN/>
            <w:bidi w:val="0"/>
            <w:adjustRightInd/>
            <w:snapToGrid/>
            <w:spacing w:after="0" w:line="560" w:lineRule="exact"/>
            <w:textAlignment w:val="auto"/>
            <w:rPr>
              <w:rFonts w:hint="eastAsia" w:ascii="仿宋_GB2312" w:hAnsi="仿宋_GB2312" w:eastAsia="仿宋_GB2312" w:cs="仿宋_GB2312"/>
              <w:sz w:val="30"/>
              <w:szCs w:val="30"/>
            </w:rPr>
          </w:pPr>
          <w:r>
            <w:rPr>
              <w:rFonts w:hint="eastAsia" w:ascii="仿宋_GB2312" w:hAnsi="仿宋_GB2312" w:eastAsia="仿宋_GB2312" w:cs="仿宋_GB2312"/>
              <w:color w:val="000000" w:themeColor="text1"/>
              <w:sz w:val="30"/>
              <w:szCs w:val="30"/>
              <w14:textFill>
                <w14:solidFill>
                  <w14:schemeClr w14:val="tx1"/>
                </w14:solidFill>
              </w14:textFill>
            </w:rPr>
            <w:fldChar w:fldCharType="begin"/>
          </w:r>
          <w:r>
            <w:rPr>
              <w:rFonts w:hint="eastAsia" w:ascii="仿宋_GB2312" w:hAnsi="仿宋_GB2312" w:eastAsia="仿宋_GB2312" w:cs="仿宋_GB2312"/>
              <w:sz w:val="30"/>
              <w:szCs w:val="30"/>
            </w:rPr>
            <w:instrText xml:space="preserve"> HYPERLINK \l _Toc12597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第四章 聚力高质量发展，打造升级版广西柳州汽车城</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_Toc12597 \h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33</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color w:val="000000" w:themeColor="text1"/>
              <w:sz w:val="30"/>
              <w:szCs w:val="30"/>
              <w14:textFill>
                <w14:solidFill>
                  <w14:schemeClr w14:val="tx1"/>
                </w14:solidFill>
              </w14:textFill>
            </w:rPr>
            <w:fldChar w:fldCharType="end"/>
          </w:r>
        </w:p>
        <w:p>
          <w:pPr>
            <w:pStyle w:val="16"/>
            <w:keepNext w:val="0"/>
            <w:keepLines w:val="0"/>
            <w:pageBreakBefore w:val="0"/>
            <w:tabs>
              <w:tab w:val="right" w:leader="dot" w:pos="8400"/>
            </w:tabs>
            <w:kinsoku/>
            <w:wordWrap/>
            <w:topLinePunct w:val="0"/>
            <w:autoSpaceDE/>
            <w:autoSpaceDN/>
            <w:bidi w:val="0"/>
            <w:adjustRightInd/>
            <w:snapToGrid/>
            <w:spacing w:after="0" w:line="560" w:lineRule="exact"/>
            <w:textAlignment w:val="auto"/>
            <w:rPr>
              <w:rFonts w:hint="eastAsia" w:ascii="仿宋_GB2312" w:hAnsi="仿宋_GB2312" w:eastAsia="仿宋_GB2312" w:cs="仿宋_GB2312"/>
              <w:sz w:val="30"/>
              <w:szCs w:val="30"/>
            </w:rPr>
          </w:pPr>
          <w:r>
            <w:rPr>
              <w:rFonts w:hint="eastAsia" w:ascii="仿宋_GB2312" w:hAnsi="仿宋_GB2312" w:eastAsia="仿宋_GB2312" w:cs="仿宋_GB2312"/>
              <w:color w:val="000000" w:themeColor="text1"/>
              <w:sz w:val="30"/>
              <w:szCs w:val="30"/>
              <w14:textFill>
                <w14:solidFill>
                  <w14:schemeClr w14:val="tx1"/>
                </w14:solidFill>
              </w14:textFill>
            </w:rPr>
            <w:fldChar w:fldCharType="begin"/>
          </w:r>
          <w:r>
            <w:rPr>
              <w:rFonts w:hint="eastAsia" w:ascii="仿宋_GB2312" w:hAnsi="仿宋_GB2312" w:eastAsia="仿宋_GB2312" w:cs="仿宋_GB2312"/>
              <w:sz w:val="30"/>
              <w:szCs w:val="30"/>
            </w:rPr>
            <w:instrText xml:space="preserve"> HYPERLINK \l _Toc13061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第一节 全速驱动汽车产业跨越升级</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_Toc13061 \h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33</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color w:val="000000" w:themeColor="text1"/>
              <w:sz w:val="30"/>
              <w:szCs w:val="30"/>
              <w14:textFill>
                <w14:solidFill>
                  <w14:schemeClr w14:val="tx1"/>
                </w14:solidFill>
              </w14:textFill>
            </w:rPr>
            <w:fldChar w:fldCharType="end"/>
          </w:r>
        </w:p>
        <w:p>
          <w:pPr>
            <w:pStyle w:val="16"/>
            <w:keepNext w:val="0"/>
            <w:keepLines w:val="0"/>
            <w:pageBreakBefore w:val="0"/>
            <w:tabs>
              <w:tab w:val="right" w:leader="dot" w:pos="8400"/>
            </w:tabs>
            <w:kinsoku/>
            <w:wordWrap/>
            <w:topLinePunct w:val="0"/>
            <w:autoSpaceDE/>
            <w:autoSpaceDN/>
            <w:bidi w:val="0"/>
            <w:adjustRightInd/>
            <w:snapToGrid/>
            <w:spacing w:after="0" w:line="560" w:lineRule="exact"/>
            <w:textAlignment w:val="auto"/>
            <w:rPr>
              <w:rFonts w:hint="eastAsia" w:ascii="仿宋_GB2312" w:hAnsi="仿宋_GB2312" w:eastAsia="仿宋_GB2312" w:cs="仿宋_GB2312"/>
              <w:sz w:val="30"/>
              <w:szCs w:val="30"/>
            </w:rPr>
          </w:pPr>
          <w:r>
            <w:rPr>
              <w:rFonts w:hint="eastAsia" w:ascii="仿宋_GB2312" w:hAnsi="仿宋_GB2312" w:eastAsia="仿宋_GB2312" w:cs="仿宋_GB2312"/>
              <w:color w:val="000000" w:themeColor="text1"/>
              <w:sz w:val="30"/>
              <w:szCs w:val="30"/>
              <w14:textFill>
                <w14:solidFill>
                  <w14:schemeClr w14:val="tx1"/>
                </w14:solidFill>
              </w14:textFill>
            </w:rPr>
            <w:fldChar w:fldCharType="begin"/>
          </w:r>
          <w:r>
            <w:rPr>
              <w:rFonts w:hint="eastAsia" w:ascii="仿宋_GB2312" w:hAnsi="仿宋_GB2312" w:eastAsia="仿宋_GB2312" w:cs="仿宋_GB2312"/>
              <w:sz w:val="30"/>
              <w:szCs w:val="30"/>
            </w:rPr>
            <w:instrText xml:space="preserve"> HYPERLINK \l _Toc32188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第二节 培育壮大三大战略性新兴产业</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_Toc32188 \h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37</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color w:val="000000" w:themeColor="text1"/>
              <w:sz w:val="30"/>
              <w:szCs w:val="30"/>
              <w14:textFill>
                <w14:solidFill>
                  <w14:schemeClr w14:val="tx1"/>
                </w14:solidFill>
              </w14:textFill>
            </w:rPr>
            <w:fldChar w:fldCharType="end"/>
          </w:r>
        </w:p>
        <w:p>
          <w:pPr>
            <w:pStyle w:val="16"/>
            <w:keepNext w:val="0"/>
            <w:keepLines w:val="0"/>
            <w:pageBreakBefore w:val="0"/>
            <w:tabs>
              <w:tab w:val="right" w:leader="dot" w:pos="8400"/>
            </w:tabs>
            <w:kinsoku/>
            <w:wordWrap/>
            <w:topLinePunct w:val="0"/>
            <w:autoSpaceDE/>
            <w:autoSpaceDN/>
            <w:bidi w:val="0"/>
            <w:adjustRightInd/>
            <w:snapToGrid/>
            <w:spacing w:after="0" w:line="560" w:lineRule="exact"/>
            <w:textAlignment w:val="auto"/>
            <w:rPr>
              <w:rFonts w:hint="eastAsia" w:ascii="仿宋_GB2312" w:hAnsi="仿宋_GB2312" w:eastAsia="仿宋_GB2312" w:cs="仿宋_GB2312"/>
              <w:sz w:val="30"/>
              <w:szCs w:val="30"/>
            </w:rPr>
          </w:pPr>
          <w:r>
            <w:rPr>
              <w:rFonts w:hint="eastAsia" w:ascii="仿宋_GB2312" w:hAnsi="仿宋_GB2312" w:eastAsia="仿宋_GB2312" w:cs="仿宋_GB2312"/>
              <w:color w:val="000000" w:themeColor="text1"/>
              <w:sz w:val="30"/>
              <w:szCs w:val="30"/>
              <w14:textFill>
                <w14:solidFill>
                  <w14:schemeClr w14:val="tx1"/>
                </w14:solidFill>
              </w14:textFill>
            </w:rPr>
            <w:fldChar w:fldCharType="begin"/>
          </w:r>
          <w:r>
            <w:rPr>
              <w:rFonts w:hint="eastAsia" w:ascii="仿宋_GB2312" w:hAnsi="仿宋_GB2312" w:eastAsia="仿宋_GB2312" w:cs="仿宋_GB2312"/>
              <w:sz w:val="30"/>
              <w:szCs w:val="30"/>
            </w:rPr>
            <w:instrText xml:space="preserve"> HYPERLINK \l _Toc10383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第三节 推动现代服务业集聚发展</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_Toc10383 \h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42</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color w:val="000000" w:themeColor="text1"/>
              <w:sz w:val="30"/>
              <w:szCs w:val="30"/>
              <w14:textFill>
                <w14:solidFill>
                  <w14:schemeClr w14:val="tx1"/>
                </w14:solidFill>
              </w14:textFill>
            </w:rPr>
            <w:fldChar w:fldCharType="end"/>
          </w:r>
        </w:p>
        <w:p>
          <w:pPr>
            <w:pStyle w:val="16"/>
            <w:keepNext w:val="0"/>
            <w:keepLines w:val="0"/>
            <w:pageBreakBefore w:val="0"/>
            <w:tabs>
              <w:tab w:val="right" w:leader="dot" w:pos="8400"/>
            </w:tabs>
            <w:kinsoku/>
            <w:wordWrap/>
            <w:topLinePunct w:val="0"/>
            <w:autoSpaceDE/>
            <w:autoSpaceDN/>
            <w:bidi w:val="0"/>
            <w:adjustRightInd/>
            <w:snapToGrid/>
            <w:spacing w:after="0" w:line="560" w:lineRule="exact"/>
            <w:textAlignment w:val="auto"/>
            <w:rPr>
              <w:rFonts w:hint="eastAsia" w:ascii="仿宋_GB2312" w:hAnsi="仿宋_GB2312" w:eastAsia="仿宋_GB2312" w:cs="仿宋_GB2312"/>
              <w:sz w:val="30"/>
              <w:szCs w:val="30"/>
            </w:rPr>
          </w:pPr>
          <w:r>
            <w:rPr>
              <w:rFonts w:hint="eastAsia" w:ascii="仿宋_GB2312" w:hAnsi="仿宋_GB2312" w:eastAsia="仿宋_GB2312" w:cs="仿宋_GB2312"/>
              <w:color w:val="000000" w:themeColor="text1"/>
              <w:sz w:val="30"/>
              <w:szCs w:val="30"/>
              <w14:textFill>
                <w14:solidFill>
                  <w14:schemeClr w14:val="tx1"/>
                </w14:solidFill>
              </w14:textFill>
            </w:rPr>
            <w:fldChar w:fldCharType="begin"/>
          </w:r>
          <w:r>
            <w:rPr>
              <w:rFonts w:hint="eastAsia" w:ascii="仿宋_GB2312" w:hAnsi="仿宋_GB2312" w:eastAsia="仿宋_GB2312" w:cs="仿宋_GB2312"/>
              <w:sz w:val="30"/>
              <w:szCs w:val="30"/>
            </w:rPr>
            <w:instrText xml:space="preserve"> HYPERLINK \l _Toc21729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第四节 积极布局培育前沿性产业</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_Toc21729 \h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47</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color w:val="000000" w:themeColor="text1"/>
              <w:sz w:val="30"/>
              <w:szCs w:val="30"/>
              <w14:textFill>
                <w14:solidFill>
                  <w14:schemeClr w14:val="tx1"/>
                </w14:solidFill>
              </w14:textFill>
            </w:rPr>
            <w:fldChar w:fldCharType="end"/>
          </w:r>
        </w:p>
        <w:p>
          <w:pPr>
            <w:pStyle w:val="16"/>
            <w:keepNext w:val="0"/>
            <w:keepLines w:val="0"/>
            <w:pageBreakBefore w:val="0"/>
            <w:tabs>
              <w:tab w:val="right" w:leader="dot" w:pos="8400"/>
            </w:tabs>
            <w:kinsoku/>
            <w:wordWrap/>
            <w:topLinePunct w:val="0"/>
            <w:autoSpaceDE/>
            <w:autoSpaceDN/>
            <w:bidi w:val="0"/>
            <w:adjustRightInd/>
            <w:snapToGrid/>
            <w:spacing w:after="0" w:line="560" w:lineRule="exact"/>
            <w:textAlignment w:val="auto"/>
            <w:rPr>
              <w:rFonts w:hint="eastAsia" w:ascii="仿宋_GB2312" w:hAnsi="仿宋_GB2312" w:eastAsia="仿宋_GB2312" w:cs="仿宋_GB2312"/>
              <w:sz w:val="30"/>
              <w:szCs w:val="30"/>
            </w:rPr>
          </w:pPr>
          <w:r>
            <w:rPr>
              <w:rFonts w:hint="eastAsia" w:ascii="仿宋_GB2312" w:hAnsi="仿宋_GB2312" w:eastAsia="仿宋_GB2312" w:cs="仿宋_GB2312"/>
              <w:color w:val="000000" w:themeColor="text1"/>
              <w:sz w:val="30"/>
              <w:szCs w:val="30"/>
              <w14:textFill>
                <w14:solidFill>
                  <w14:schemeClr w14:val="tx1"/>
                </w14:solidFill>
              </w14:textFill>
            </w:rPr>
            <w:fldChar w:fldCharType="begin"/>
          </w:r>
          <w:r>
            <w:rPr>
              <w:rFonts w:hint="eastAsia" w:ascii="仿宋_GB2312" w:hAnsi="仿宋_GB2312" w:eastAsia="仿宋_GB2312" w:cs="仿宋_GB2312"/>
              <w:sz w:val="30"/>
              <w:szCs w:val="30"/>
            </w:rPr>
            <w:instrText xml:space="preserve"> HYPERLINK \l _Toc8319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第五节 推动产业转型和高质发展</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_Toc8319 \h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49</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color w:val="000000" w:themeColor="text1"/>
              <w:sz w:val="30"/>
              <w:szCs w:val="30"/>
              <w14:textFill>
                <w14:solidFill>
                  <w14:schemeClr w14:val="tx1"/>
                </w14:solidFill>
              </w14:textFill>
            </w:rPr>
            <w:fldChar w:fldCharType="end"/>
          </w:r>
        </w:p>
        <w:p>
          <w:pPr>
            <w:pStyle w:val="16"/>
            <w:keepNext w:val="0"/>
            <w:keepLines w:val="0"/>
            <w:pageBreakBefore w:val="0"/>
            <w:tabs>
              <w:tab w:val="right" w:leader="dot" w:pos="8400"/>
            </w:tabs>
            <w:kinsoku/>
            <w:wordWrap/>
            <w:topLinePunct w:val="0"/>
            <w:autoSpaceDE/>
            <w:autoSpaceDN/>
            <w:bidi w:val="0"/>
            <w:adjustRightInd/>
            <w:snapToGrid/>
            <w:spacing w:after="0" w:line="560" w:lineRule="exact"/>
            <w:textAlignment w:val="auto"/>
            <w:rPr>
              <w:rFonts w:hint="eastAsia" w:ascii="仿宋_GB2312" w:hAnsi="仿宋_GB2312" w:eastAsia="仿宋_GB2312" w:cs="仿宋_GB2312"/>
              <w:sz w:val="30"/>
              <w:szCs w:val="30"/>
            </w:rPr>
          </w:pPr>
          <w:r>
            <w:rPr>
              <w:rFonts w:hint="eastAsia" w:ascii="仿宋_GB2312" w:hAnsi="仿宋_GB2312" w:eastAsia="仿宋_GB2312" w:cs="仿宋_GB2312"/>
              <w:color w:val="000000" w:themeColor="text1"/>
              <w:sz w:val="30"/>
              <w:szCs w:val="30"/>
              <w14:textFill>
                <w14:solidFill>
                  <w14:schemeClr w14:val="tx1"/>
                </w14:solidFill>
              </w14:textFill>
            </w:rPr>
            <w:fldChar w:fldCharType="begin"/>
          </w:r>
          <w:r>
            <w:rPr>
              <w:rFonts w:hint="eastAsia" w:ascii="仿宋_GB2312" w:hAnsi="仿宋_GB2312" w:eastAsia="仿宋_GB2312" w:cs="仿宋_GB2312"/>
              <w:sz w:val="30"/>
              <w:szCs w:val="30"/>
            </w:rPr>
            <w:instrText xml:space="preserve"> HYPERLINK \l _Toc1813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第六节 统筹“三片四园七区”布局</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_Toc1813 \h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51</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color w:val="000000" w:themeColor="text1"/>
              <w:sz w:val="30"/>
              <w:szCs w:val="30"/>
              <w14:textFill>
                <w14:solidFill>
                  <w14:schemeClr w14:val="tx1"/>
                </w14:solidFill>
              </w14:textFill>
            </w:rPr>
            <w:fldChar w:fldCharType="end"/>
          </w:r>
        </w:p>
        <w:p>
          <w:pPr>
            <w:pStyle w:val="14"/>
            <w:keepNext w:val="0"/>
            <w:keepLines w:val="0"/>
            <w:pageBreakBefore w:val="0"/>
            <w:tabs>
              <w:tab w:val="right" w:leader="dot" w:pos="8400"/>
            </w:tabs>
            <w:kinsoku/>
            <w:wordWrap/>
            <w:topLinePunct w:val="0"/>
            <w:autoSpaceDE/>
            <w:autoSpaceDN/>
            <w:bidi w:val="0"/>
            <w:adjustRightInd/>
            <w:snapToGrid/>
            <w:spacing w:after="0" w:line="560" w:lineRule="exact"/>
            <w:textAlignment w:val="auto"/>
            <w:rPr>
              <w:rFonts w:hint="eastAsia" w:ascii="仿宋_GB2312" w:hAnsi="仿宋_GB2312" w:eastAsia="仿宋_GB2312" w:cs="仿宋_GB2312"/>
              <w:sz w:val="30"/>
              <w:szCs w:val="30"/>
            </w:rPr>
          </w:pPr>
          <w:r>
            <w:rPr>
              <w:rFonts w:hint="eastAsia" w:ascii="仿宋_GB2312" w:hAnsi="仿宋_GB2312" w:eastAsia="仿宋_GB2312" w:cs="仿宋_GB2312"/>
              <w:color w:val="000000" w:themeColor="text1"/>
              <w:sz w:val="30"/>
              <w:szCs w:val="30"/>
              <w14:textFill>
                <w14:solidFill>
                  <w14:schemeClr w14:val="tx1"/>
                </w14:solidFill>
              </w14:textFill>
            </w:rPr>
            <w:fldChar w:fldCharType="begin"/>
          </w:r>
          <w:r>
            <w:rPr>
              <w:rFonts w:hint="eastAsia" w:ascii="仿宋_GB2312" w:hAnsi="仿宋_GB2312" w:eastAsia="仿宋_GB2312" w:cs="仿宋_GB2312"/>
              <w:sz w:val="30"/>
              <w:szCs w:val="30"/>
            </w:rPr>
            <w:instrText xml:space="preserve"> HYPERLINK \l _Toc1394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第五章 加快产城融合，实现新区品质全面提升</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_Toc1394 \h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56</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color w:val="000000" w:themeColor="text1"/>
              <w:sz w:val="30"/>
              <w:szCs w:val="30"/>
              <w14:textFill>
                <w14:solidFill>
                  <w14:schemeClr w14:val="tx1"/>
                </w14:solidFill>
              </w14:textFill>
            </w:rPr>
            <w:fldChar w:fldCharType="end"/>
          </w:r>
        </w:p>
        <w:p>
          <w:pPr>
            <w:pStyle w:val="16"/>
            <w:keepNext w:val="0"/>
            <w:keepLines w:val="0"/>
            <w:pageBreakBefore w:val="0"/>
            <w:tabs>
              <w:tab w:val="right" w:leader="dot" w:pos="8400"/>
            </w:tabs>
            <w:kinsoku/>
            <w:wordWrap/>
            <w:topLinePunct w:val="0"/>
            <w:autoSpaceDE/>
            <w:autoSpaceDN/>
            <w:bidi w:val="0"/>
            <w:adjustRightInd/>
            <w:snapToGrid/>
            <w:spacing w:after="0" w:line="560" w:lineRule="exact"/>
            <w:textAlignment w:val="auto"/>
            <w:rPr>
              <w:rFonts w:hint="eastAsia" w:ascii="仿宋_GB2312" w:hAnsi="仿宋_GB2312" w:eastAsia="仿宋_GB2312" w:cs="仿宋_GB2312"/>
              <w:sz w:val="30"/>
              <w:szCs w:val="30"/>
            </w:rPr>
          </w:pPr>
          <w:r>
            <w:rPr>
              <w:rFonts w:hint="eastAsia" w:ascii="仿宋_GB2312" w:hAnsi="仿宋_GB2312" w:eastAsia="仿宋_GB2312" w:cs="仿宋_GB2312"/>
              <w:color w:val="000000" w:themeColor="text1"/>
              <w:sz w:val="30"/>
              <w:szCs w:val="30"/>
              <w14:textFill>
                <w14:solidFill>
                  <w14:schemeClr w14:val="tx1"/>
                </w14:solidFill>
              </w14:textFill>
            </w:rPr>
            <w:fldChar w:fldCharType="begin"/>
          </w:r>
          <w:r>
            <w:rPr>
              <w:rFonts w:hint="eastAsia" w:ascii="仿宋_GB2312" w:hAnsi="仿宋_GB2312" w:eastAsia="仿宋_GB2312" w:cs="仿宋_GB2312"/>
              <w:sz w:val="30"/>
              <w:szCs w:val="30"/>
            </w:rPr>
            <w:instrText xml:space="preserve"> HYPERLINK \l _Toc2225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第一节 全域统筹提升新区发展新高度</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_Toc2225 \h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56</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color w:val="000000" w:themeColor="text1"/>
              <w:sz w:val="30"/>
              <w:szCs w:val="30"/>
              <w14:textFill>
                <w14:solidFill>
                  <w14:schemeClr w14:val="tx1"/>
                </w14:solidFill>
              </w14:textFill>
            </w:rPr>
            <w:fldChar w:fldCharType="end"/>
          </w:r>
        </w:p>
        <w:p>
          <w:pPr>
            <w:pStyle w:val="16"/>
            <w:keepNext w:val="0"/>
            <w:keepLines w:val="0"/>
            <w:pageBreakBefore w:val="0"/>
            <w:tabs>
              <w:tab w:val="right" w:leader="dot" w:pos="8400"/>
            </w:tabs>
            <w:kinsoku/>
            <w:wordWrap/>
            <w:topLinePunct w:val="0"/>
            <w:autoSpaceDE/>
            <w:autoSpaceDN/>
            <w:bidi w:val="0"/>
            <w:adjustRightInd/>
            <w:snapToGrid/>
            <w:spacing w:after="0" w:line="560" w:lineRule="exact"/>
            <w:textAlignment w:val="auto"/>
            <w:rPr>
              <w:rFonts w:hint="eastAsia" w:ascii="仿宋_GB2312" w:hAnsi="仿宋_GB2312" w:eastAsia="仿宋_GB2312" w:cs="仿宋_GB2312"/>
              <w:sz w:val="30"/>
              <w:szCs w:val="30"/>
            </w:rPr>
          </w:pPr>
          <w:r>
            <w:rPr>
              <w:rFonts w:hint="eastAsia" w:ascii="仿宋_GB2312" w:hAnsi="仿宋_GB2312" w:eastAsia="仿宋_GB2312" w:cs="仿宋_GB2312"/>
              <w:color w:val="000000" w:themeColor="text1"/>
              <w:sz w:val="30"/>
              <w:szCs w:val="30"/>
              <w14:textFill>
                <w14:solidFill>
                  <w14:schemeClr w14:val="tx1"/>
                </w14:solidFill>
              </w14:textFill>
            </w:rPr>
            <w:fldChar w:fldCharType="begin"/>
          </w:r>
          <w:r>
            <w:rPr>
              <w:rFonts w:hint="eastAsia" w:ascii="仿宋_GB2312" w:hAnsi="仿宋_GB2312" w:eastAsia="仿宋_GB2312" w:cs="仿宋_GB2312"/>
              <w:sz w:val="30"/>
              <w:szCs w:val="30"/>
            </w:rPr>
            <w:instrText xml:space="preserve"> HYPERLINK \l _Toc1503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第二节 完善基础设施塑造城市新品质</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_Toc1503 \h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60</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color w:val="000000" w:themeColor="text1"/>
              <w:sz w:val="30"/>
              <w:szCs w:val="30"/>
              <w14:textFill>
                <w14:solidFill>
                  <w14:schemeClr w14:val="tx1"/>
                </w14:solidFill>
              </w14:textFill>
            </w:rPr>
            <w:fldChar w:fldCharType="end"/>
          </w:r>
        </w:p>
        <w:p>
          <w:pPr>
            <w:pStyle w:val="16"/>
            <w:keepNext w:val="0"/>
            <w:keepLines w:val="0"/>
            <w:pageBreakBefore w:val="0"/>
            <w:tabs>
              <w:tab w:val="right" w:leader="dot" w:pos="8400"/>
            </w:tabs>
            <w:kinsoku/>
            <w:wordWrap/>
            <w:topLinePunct w:val="0"/>
            <w:autoSpaceDE/>
            <w:autoSpaceDN/>
            <w:bidi w:val="0"/>
            <w:adjustRightInd/>
            <w:snapToGrid/>
            <w:spacing w:after="0" w:line="560" w:lineRule="exact"/>
            <w:textAlignment w:val="auto"/>
            <w:rPr>
              <w:rFonts w:hint="eastAsia" w:ascii="仿宋_GB2312" w:hAnsi="仿宋_GB2312" w:eastAsia="仿宋_GB2312" w:cs="仿宋_GB2312"/>
              <w:sz w:val="30"/>
              <w:szCs w:val="30"/>
            </w:rPr>
          </w:pPr>
          <w:r>
            <w:rPr>
              <w:rFonts w:hint="eastAsia" w:ascii="仿宋_GB2312" w:hAnsi="仿宋_GB2312" w:eastAsia="仿宋_GB2312" w:cs="仿宋_GB2312"/>
              <w:color w:val="000000" w:themeColor="text1"/>
              <w:sz w:val="30"/>
              <w:szCs w:val="30"/>
              <w14:textFill>
                <w14:solidFill>
                  <w14:schemeClr w14:val="tx1"/>
                </w14:solidFill>
              </w14:textFill>
            </w:rPr>
            <w:fldChar w:fldCharType="begin"/>
          </w:r>
          <w:r>
            <w:rPr>
              <w:rFonts w:hint="eastAsia" w:ascii="仿宋_GB2312" w:hAnsi="仿宋_GB2312" w:eastAsia="仿宋_GB2312" w:cs="仿宋_GB2312"/>
              <w:sz w:val="30"/>
              <w:szCs w:val="30"/>
            </w:rPr>
            <w:instrText xml:space="preserve"> HYPERLINK \l _Toc13258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第三节 统筹构建城乡融合发展新格局</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_Toc13258 \h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64</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color w:val="000000" w:themeColor="text1"/>
              <w:sz w:val="30"/>
              <w:szCs w:val="30"/>
              <w14:textFill>
                <w14:solidFill>
                  <w14:schemeClr w14:val="tx1"/>
                </w14:solidFill>
              </w14:textFill>
            </w:rPr>
            <w:fldChar w:fldCharType="end"/>
          </w:r>
        </w:p>
        <w:p>
          <w:pPr>
            <w:pStyle w:val="14"/>
            <w:keepNext w:val="0"/>
            <w:keepLines w:val="0"/>
            <w:pageBreakBefore w:val="0"/>
            <w:tabs>
              <w:tab w:val="right" w:leader="dot" w:pos="8400"/>
            </w:tabs>
            <w:kinsoku/>
            <w:wordWrap/>
            <w:topLinePunct w:val="0"/>
            <w:autoSpaceDE/>
            <w:autoSpaceDN/>
            <w:bidi w:val="0"/>
            <w:adjustRightInd/>
            <w:snapToGrid/>
            <w:spacing w:after="0" w:line="560" w:lineRule="exact"/>
            <w:textAlignment w:val="auto"/>
            <w:rPr>
              <w:rFonts w:hint="eastAsia" w:ascii="仿宋_GB2312" w:hAnsi="仿宋_GB2312" w:eastAsia="仿宋_GB2312" w:cs="仿宋_GB2312"/>
              <w:sz w:val="30"/>
              <w:szCs w:val="30"/>
            </w:rPr>
          </w:pPr>
          <w:r>
            <w:rPr>
              <w:rFonts w:hint="eastAsia" w:ascii="仿宋_GB2312" w:hAnsi="仿宋_GB2312" w:eastAsia="仿宋_GB2312" w:cs="仿宋_GB2312"/>
              <w:color w:val="000000" w:themeColor="text1"/>
              <w:sz w:val="30"/>
              <w:szCs w:val="30"/>
              <w14:textFill>
                <w14:solidFill>
                  <w14:schemeClr w14:val="tx1"/>
                </w14:solidFill>
              </w14:textFill>
            </w:rPr>
            <w:fldChar w:fldCharType="begin"/>
          </w:r>
          <w:r>
            <w:rPr>
              <w:rFonts w:hint="eastAsia" w:ascii="仿宋_GB2312" w:hAnsi="仿宋_GB2312" w:eastAsia="仿宋_GB2312" w:cs="仿宋_GB2312"/>
              <w:sz w:val="30"/>
              <w:szCs w:val="30"/>
            </w:rPr>
            <w:instrText xml:space="preserve"> HYPERLINK \l _Toc19224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第六章 深化改革开放，开拓区域协同发展新局面</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_Toc19224 \h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69</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color w:val="000000" w:themeColor="text1"/>
              <w:sz w:val="30"/>
              <w:szCs w:val="30"/>
              <w14:textFill>
                <w14:solidFill>
                  <w14:schemeClr w14:val="tx1"/>
                </w14:solidFill>
              </w14:textFill>
            </w:rPr>
            <w:fldChar w:fldCharType="end"/>
          </w:r>
        </w:p>
        <w:p>
          <w:pPr>
            <w:pStyle w:val="16"/>
            <w:keepNext w:val="0"/>
            <w:keepLines w:val="0"/>
            <w:pageBreakBefore w:val="0"/>
            <w:tabs>
              <w:tab w:val="right" w:leader="dot" w:pos="8400"/>
            </w:tabs>
            <w:kinsoku/>
            <w:wordWrap/>
            <w:topLinePunct w:val="0"/>
            <w:autoSpaceDE/>
            <w:autoSpaceDN/>
            <w:bidi w:val="0"/>
            <w:adjustRightInd/>
            <w:snapToGrid/>
            <w:spacing w:after="0" w:line="560" w:lineRule="exact"/>
            <w:textAlignment w:val="auto"/>
            <w:rPr>
              <w:rFonts w:hint="eastAsia" w:ascii="仿宋_GB2312" w:hAnsi="仿宋_GB2312" w:eastAsia="仿宋_GB2312" w:cs="仿宋_GB2312"/>
              <w:sz w:val="30"/>
              <w:szCs w:val="30"/>
            </w:rPr>
          </w:pPr>
          <w:r>
            <w:rPr>
              <w:rFonts w:hint="eastAsia" w:ascii="仿宋_GB2312" w:hAnsi="仿宋_GB2312" w:eastAsia="仿宋_GB2312" w:cs="仿宋_GB2312"/>
              <w:color w:val="000000" w:themeColor="text1"/>
              <w:sz w:val="30"/>
              <w:szCs w:val="30"/>
              <w14:textFill>
                <w14:solidFill>
                  <w14:schemeClr w14:val="tx1"/>
                </w14:solidFill>
              </w14:textFill>
            </w:rPr>
            <w:fldChar w:fldCharType="begin"/>
          </w:r>
          <w:r>
            <w:rPr>
              <w:rFonts w:hint="eastAsia" w:ascii="仿宋_GB2312" w:hAnsi="仿宋_GB2312" w:eastAsia="仿宋_GB2312" w:cs="仿宋_GB2312"/>
              <w:sz w:val="30"/>
              <w:szCs w:val="30"/>
            </w:rPr>
            <w:instrText xml:space="preserve"> HYPERLINK \l _Toc11694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第一节 争创新区改革发展新优势</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_Toc11694 \h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69</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color w:val="000000" w:themeColor="text1"/>
              <w:sz w:val="30"/>
              <w:szCs w:val="30"/>
              <w14:textFill>
                <w14:solidFill>
                  <w14:schemeClr w14:val="tx1"/>
                </w14:solidFill>
              </w14:textFill>
            </w:rPr>
            <w:fldChar w:fldCharType="end"/>
          </w:r>
        </w:p>
        <w:p>
          <w:pPr>
            <w:pStyle w:val="16"/>
            <w:keepNext w:val="0"/>
            <w:keepLines w:val="0"/>
            <w:pageBreakBefore w:val="0"/>
            <w:tabs>
              <w:tab w:val="right" w:leader="dot" w:pos="8400"/>
            </w:tabs>
            <w:kinsoku/>
            <w:wordWrap/>
            <w:topLinePunct w:val="0"/>
            <w:autoSpaceDE/>
            <w:autoSpaceDN/>
            <w:bidi w:val="0"/>
            <w:adjustRightInd/>
            <w:snapToGrid/>
            <w:spacing w:after="0" w:line="560" w:lineRule="exact"/>
            <w:textAlignment w:val="auto"/>
            <w:rPr>
              <w:rFonts w:hint="eastAsia" w:ascii="仿宋_GB2312" w:hAnsi="仿宋_GB2312" w:eastAsia="仿宋_GB2312" w:cs="仿宋_GB2312"/>
              <w:sz w:val="30"/>
              <w:szCs w:val="30"/>
            </w:rPr>
          </w:pPr>
          <w:r>
            <w:rPr>
              <w:rFonts w:hint="eastAsia" w:ascii="仿宋_GB2312" w:hAnsi="仿宋_GB2312" w:eastAsia="仿宋_GB2312" w:cs="仿宋_GB2312"/>
              <w:color w:val="000000" w:themeColor="text1"/>
              <w:sz w:val="30"/>
              <w:szCs w:val="30"/>
              <w14:textFill>
                <w14:solidFill>
                  <w14:schemeClr w14:val="tx1"/>
                </w14:solidFill>
              </w14:textFill>
            </w:rPr>
            <w:fldChar w:fldCharType="begin"/>
          </w:r>
          <w:r>
            <w:rPr>
              <w:rFonts w:hint="eastAsia" w:ascii="仿宋_GB2312" w:hAnsi="仿宋_GB2312" w:eastAsia="仿宋_GB2312" w:cs="仿宋_GB2312"/>
              <w:sz w:val="30"/>
              <w:szCs w:val="30"/>
            </w:rPr>
            <w:instrText xml:space="preserve"> HYPERLINK \l _Toc10581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第二节 打造开放合作的新平台</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_Toc10581 \h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72</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color w:val="000000" w:themeColor="text1"/>
              <w:sz w:val="30"/>
              <w:szCs w:val="30"/>
              <w14:textFill>
                <w14:solidFill>
                  <w14:schemeClr w14:val="tx1"/>
                </w14:solidFill>
              </w14:textFill>
            </w:rPr>
            <w:fldChar w:fldCharType="end"/>
          </w:r>
        </w:p>
        <w:p>
          <w:pPr>
            <w:pStyle w:val="16"/>
            <w:keepNext w:val="0"/>
            <w:keepLines w:val="0"/>
            <w:pageBreakBefore w:val="0"/>
            <w:tabs>
              <w:tab w:val="right" w:leader="dot" w:pos="8400"/>
            </w:tabs>
            <w:kinsoku/>
            <w:wordWrap/>
            <w:topLinePunct w:val="0"/>
            <w:autoSpaceDE/>
            <w:autoSpaceDN/>
            <w:bidi w:val="0"/>
            <w:adjustRightInd/>
            <w:snapToGrid/>
            <w:spacing w:after="0" w:line="560" w:lineRule="exact"/>
            <w:textAlignment w:val="auto"/>
            <w:rPr>
              <w:rFonts w:hint="eastAsia" w:ascii="仿宋_GB2312" w:hAnsi="仿宋_GB2312" w:eastAsia="仿宋_GB2312" w:cs="仿宋_GB2312"/>
              <w:sz w:val="30"/>
              <w:szCs w:val="30"/>
            </w:rPr>
          </w:pPr>
          <w:r>
            <w:rPr>
              <w:rFonts w:hint="eastAsia" w:ascii="仿宋_GB2312" w:hAnsi="仿宋_GB2312" w:eastAsia="仿宋_GB2312" w:cs="仿宋_GB2312"/>
              <w:color w:val="000000" w:themeColor="text1"/>
              <w:sz w:val="30"/>
              <w:szCs w:val="30"/>
              <w14:textFill>
                <w14:solidFill>
                  <w14:schemeClr w14:val="tx1"/>
                </w14:solidFill>
              </w14:textFill>
            </w:rPr>
            <w:fldChar w:fldCharType="begin"/>
          </w:r>
          <w:r>
            <w:rPr>
              <w:rFonts w:hint="eastAsia" w:ascii="仿宋_GB2312" w:hAnsi="仿宋_GB2312" w:eastAsia="仿宋_GB2312" w:cs="仿宋_GB2312"/>
              <w:sz w:val="30"/>
              <w:szCs w:val="30"/>
            </w:rPr>
            <w:instrText xml:space="preserve"> HYPERLINK \l _Toc13654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第三节 全面对接粤港澳大湾区</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_Toc13654 \h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75</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color w:val="000000" w:themeColor="text1"/>
              <w:sz w:val="30"/>
              <w:szCs w:val="30"/>
              <w14:textFill>
                <w14:solidFill>
                  <w14:schemeClr w14:val="tx1"/>
                </w14:solidFill>
              </w14:textFill>
            </w:rPr>
            <w:fldChar w:fldCharType="end"/>
          </w:r>
        </w:p>
        <w:p>
          <w:pPr>
            <w:pStyle w:val="14"/>
            <w:keepNext w:val="0"/>
            <w:keepLines w:val="0"/>
            <w:pageBreakBefore w:val="0"/>
            <w:tabs>
              <w:tab w:val="right" w:leader="dot" w:pos="8400"/>
            </w:tabs>
            <w:kinsoku/>
            <w:wordWrap/>
            <w:topLinePunct w:val="0"/>
            <w:autoSpaceDE/>
            <w:autoSpaceDN/>
            <w:bidi w:val="0"/>
            <w:adjustRightInd/>
            <w:snapToGrid/>
            <w:spacing w:after="0" w:line="560" w:lineRule="exact"/>
            <w:textAlignment w:val="auto"/>
            <w:rPr>
              <w:rFonts w:hint="eastAsia" w:ascii="仿宋_GB2312" w:hAnsi="仿宋_GB2312" w:eastAsia="仿宋_GB2312" w:cs="仿宋_GB2312"/>
              <w:sz w:val="30"/>
              <w:szCs w:val="30"/>
            </w:rPr>
          </w:pPr>
          <w:r>
            <w:rPr>
              <w:rFonts w:hint="eastAsia" w:ascii="仿宋_GB2312" w:hAnsi="仿宋_GB2312" w:eastAsia="仿宋_GB2312" w:cs="仿宋_GB2312"/>
              <w:color w:val="000000" w:themeColor="text1"/>
              <w:sz w:val="30"/>
              <w:szCs w:val="30"/>
              <w14:textFill>
                <w14:solidFill>
                  <w14:schemeClr w14:val="tx1"/>
                </w14:solidFill>
              </w14:textFill>
            </w:rPr>
            <w:fldChar w:fldCharType="begin"/>
          </w:r>
          <w:r>
            <w:rPr>
              <w:rFonts w:hint="eastAsia" w:ascii="仿宋_GB2312" w:hAnsi="仿宋_GB2312" w:eastAsia="仿宋_GB2312" w:cs="仿宋_GB2312"/>
              <w:sz w:val="30"/>
              <w:szCs w:val="30"/>
            </w:rPr>
            <w:instrText xml:space="preserve"> HYPERLINK \l _Toc2634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第七章 共治共建共享，打造民生幸福和谐家园</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_Toc2634 \h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77</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color w:val="000000" w:themeColor="text1"/>
              <w:sz w:val="30"/>
              <w:szCs w:val="30"/>
              <w14:textFill>
                <w14:solidFill>
                  <w14:schemeClr w14:val="tx1"/>
                </w14:solidFill>
              </w14:textFill>
            </w:rPr>
            <w:fldChar w:fldCharType="end"/>
          </w:r>
        </w:p>
        <w:p>
          <w:pPr>
            <w:pStyle w:val="16"/>
            <w:keepNext w:val="0"/>
            <w:keepLines w:val="0"/>
            <w:pageBreakBefore w:val="0"/>
            <w:tabs>
              <w:tab w:val="right" w:leader="dot" w:pos="8400"/>
            </w:tabs>
            <w:kinsoku/>
            <w:wordWrap/>
            <w:topLinePunct w:val="0"/>
            <w:autoSpaceDE/>
            <w:autoSpaceDN/>
            <w:bidi w:val="0"/>
            <w:adjustRightInd/>
            <w:snapToGrid/>
            <w:spacing w:after="0" w:line="560" w:lineRule="exact"/>
            <w:textAlignment w:val="auto"/>
            <w:rPr>
              <w:rFonts w:hint="eastAsia" w:ascii="仿宋_GB2312" w:hAnsi="仿宋_GB2312" w:eastAsia="仿宋_GB2312" w:cs="仿宋_GB2312"/>
              <w:sz w:val="30"/>
              <w:szCs w:val="30"/>
            </w:rPr>
          </w:pPr>
          <w:r>
            <w:rPr>
              <w:rFonts w:hint="eastAsia" w:ascii="仿宋_GB2312" w:hAnsi="仿宋_GB2312" w:eastAsia="仿宋_GB2312" w:cs="仿宋_GB2312"/>
              <w:color w:val="000000" w:themeColor="text1"/>
              <w:sz w:val="30"/>
              <w:szCs w:val="30"/>
              <w14:textFill>
                <w14:solidFill>
                  <w14:schemeClr w14:val="tx1"/>
                </w14:solidFill>
              </w14:textFill>
            </w:rPr>
            <w:fldChar w:fldCharType="begin"/>
          </w:r>
          <w:r>
            <w:rPr>
              <w:rFonts w:hint="eastAsia" w:ascii="仿宋_GB2312" w:hAnsi="仿宋_GB2312" w:eastAsia="仿宋_GB2312" w:cs="仿宋_GB2312"/>
              <w:sz w:val="30"/>
              <w:szCs w:val="30"/>
            </w:rPr>
            <w:instrText xml:space="preserve"> HYPERLINK \l _Toc2530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第一节 社会治理共建共治共享</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_Toc2530 \h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77</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color w:val="000000" w:themeColor="text1"/>
              <w:sz w:val="30"/>
              <w:szCs w:val="30"/>
              <w14:textFill>
                <w14:solidFill>
                  <w14:schemeClr w14:val="tx1"/>
                </w14:solidFill>
              </w14:textFill>
            </w:rPr>
            <w:fldChar w:fldCharType="end"/>
          </w:r>
        </w:p>
        <w:p>
          <w:pPr>
            <w:pStyle w:val="16"/>
            <w:keepNext w:val="0"/>
            <w:keepLines w:val="0"/>
            <w:pageBreakBefore w:val="0"/>
            <w:tabs>
              <w:tab w:val="right" w:leader="dot" w:pos="8400"/>
            </w:tabs>
            <w:kinsoku/>
            <w:wordWrap/>
            <w:topLinePunct w:val="0"/>
            <w:autoSpaceDE/>
            <w:autoSpaceDN/>
            <w:bidi w:val="0"/>
            <w:adjustRightInd/>
            <w:snapToGrid/>
            <w:spacing w:after="0" w:line="560" w:lineRule="exact"/>
            <w:textAlignment w:val="auto"/>
            <w:rPr>
              <w:rFonts w:hint="eastAsia" w:ascii="仿宋_GB2312" w:hAnsi="仿宋_GB2312" w:eastAsia="仿宋_GB2312" w:cs="仿宋_GB2312"/>
              <w:sz w:val="30"/>
              <w:szCs w:val="30"/>
            </w:rPr>
          </w:pPr>
          <w:r>
            <w:rPr>
              <w:rFonts w:hint="eastAsia" w:ascii="仿宋_GB2312" w:hAnsi="仿宋_GB2312" w:eastAsia="仿宋_GB2312" w:cs="仿宋_GB2312"/>
              <w:color w:val="000000" w:themeColor="text1"/>
              <w:sz w:val="30"/>
              <w:szCs w:val="30"/>
              <w14:textFill>
                <w14:solidFill>
                  <w14:schemeClr w14:val="tx1"/>
                </w14:solidFill>
              </w14:textFill>
            </w:rPr>
            <w:fldChar w:fldCharType="begin"/>
          </w:r>
          <w:r>
            <w:rPr>
              <w:rFonts w:hint="eastAsia" w:ascii="仿宋_GB2312" w:hAnsi="仿宋_GB2312" w:eastAsia="仿宋_GB2312" w:cs="仿宋_GB2312"/>
              <w:sz w:val="30"/>
              <w:szCs w:val="30"/>
            </w:rPr>
            <w:instrText xml:space="preserve"> HYPERLINK \l _Toc22477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第二节 加强社会公共安全建设</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_Toc22477 \h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80</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color w:val="000000" w:themeColor="text1"/>
              <w:sz w:val="30"/>
              <w:szCs w:val="30"/>
              <w14:textFill>
                <w14:solidFill>
                  <w14:schemeClr w14:val="tx1"/>
                </w14:solidFill>
              </w14:textFill>
            </w:rPr>
            <w:fldChar w:fldCharType="end"/>
          </w:r>
        </w:p>
        <w:p>
          <w:pPr>
            <w:pStyle w:val="16"/>
            <w:keepNext w:val="0"/>
            <w:keepLines w:val="0"/>
            <w:pageBreakBefore w:val="0"/>
            <w:tabs>
              <w:tab w:val="right" w:leader="dot" w:pos="8400"/>
            </w:tabs>
            <w:kinsoku/>
            <w:wordWrap/>
            <w:topLinePunct w:val="0"/>
            <w:autoSpaceDE/>
            <w:autoSpaceDN/>
            <w:bidi w:val="0"/>
            <w:adjustRightInd/>
            <w:snapToGrid/>
            <w:spacing w:after="0" w:line="560" w:lineRule="exact"/>
            <w:textAlignment w:val="auto"/>
            <w:rPr>
              <w:rFonts w:hint="eastAsia" w:ascii="仿宋_GB2312" w:hAnsi="仿宋_GB2312" w:eastAsia="仿宋_GB2312" w:cs="仿宋_GB2312"/>
              <w:sz w:val="30"/>
              <w:szCs w:val="30"/>
            </w:rPr>
          </w:pPr>
          <w:r>
            <w:rPr>
              <w:rFonts w:hint="eastAsia" w:ascii="仿宋_GB2312" w:hAnsi="仿宋_GB2312" w:eastAsia="仿宋_GB2312" w:cs="仿宋_GB2312"/>
              <w:color w:val="000000" w:themeColor="text1"/>
              <w:sz w:val="30"/>
              <w:szCs w:val="30"/>
              <w14:textFill>
                <w14:solidFill>
                  <w14:schemeClr w14:val="tx1"/>
                </w14:solidFill>
              </w14:textFill>
            </w:rPr>
            <w:fldChar w:fldCharType="begin"/>
          </w:r>
          <w:r>
            <w:rPr>
              <w:rFonts w:hint="eastAsia" w:ascii="仿宋_GB2312" w:hAnsi="仿宋_GB2312" w:eastAsia="仿宋_GB2312" w:cs="仿宋_GB2312"/>
              <w:sz w:val="30"/>
              <w:szCs w:val="30"/>
            </w:rPr>
            <w:instrText xml:space="preserve"> HYPERLINK \l _Toc28515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第三节 加大均衡优质公共服务</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_Toc28515 \h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82</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color w:val="000000" w:themeColor="text1"/>
              <w:sz w:val="30"/>
              <w:szCs w:val="30"/>
              <w14:textFill>
                <w14:solidFill>
                  <w14:schemeClr w14:val="tx1"/>
                </w14:solidFill>
              </w14:textFill>
            </w:rPr>
            <w:fldChar w:fldCharType="end"/>
          </w:r>
        </w:p>
        <w:p>
          <w:pPr>
            <w:pStyle w:val="16"/>
            <w:keepNext w:val="0"/>
            <w:keepLines w:val="0"/>
            <w:pageBreakBefore w:val="0"/>
            <w:tabs>
              <w:tab w:val="right" w:leader="dot" w:pos="8400"/>
            </w:tabs>
            <w:kinsoku/>
            <w:wordWrap/>
            <w:topLinePunct w:val="0"/>
            <w:autoSpaceDE/>
            <w:autoSpaceDN/>
            <w:bidi w:val="0"/>
            <w:adjustRightInd/>
            <w:snapToGrid/>
            <w:spacing w:after="0" w:line="560" w:lineRule="exact"/>
            <w:textAlignment w:val="auto"/>
            <w:rPr>
              <w:rFonts w:hint="eastAsia" w:ascii="仿宋_GB2312" w:hAnsi="仿宋_GB2312" w:eastAsia="仿宋_GB2312" w:cs="仿宋_GB2312"/>
              <w:sz w:val="30"/>
              <w:szCs w:val="30"/>
            </w:rPr>
          </w:pPr>
          <w:r>
            <w:rPr>
              <w:rFonts w:hint="eastAsia" w:ascii="仿宋_GB2312" w:hAnsi="仿宋_GB2312" w:eastAsia="仿宋_GB2312" w:cs="仿宋_GB2312"/>
              <w:color w:val="000000" w:themeColor="text1"/>
              <w:sz w:val="30"/>
              <w:szCs w:val="30"/>
              <w14:textFill>
                <w14:solidFill>
                  <w14:schemeClr w14:val="tx1"/>
                </w14:solidFill>
              </w14:textFill>
            </w:rPr>
            <w:fldChar w:fldCharType="begin"/>
          </w:r>
          <w:r>
            <w:rPr>
              <w:rFonts w:hint="eastAsia" w:ascii="仿宋_GB2312" w:hAnsi="仿宋_GB2312" w:eastAsia="仿宋_GB2312" w:cs="仿宋_GB2312"/>
              <w:sz w:val="30"/>
              <w:szCs w:val="30"/>
            </w:rPr>
            <w:instrText xml:space="preserve"> HYPERLINK \l _Toc11855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第四节 构建有温度的社会保障</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_Toc11855 \h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87</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color w:val="000000" w:themeColor="text1"/>
              <w:sz w:val="30"/>
              <w:szCs w:val="30"/>
              <w14:textFill>
                <w14:solidFill>
                  <w14:schemeClr w14:val="tx1"/>
                </w14:solidFill>
              </w14:textFill>
            </w:rPr>
            <w:fldChar w:fldCharType="end"/>
          </w:r>
        </w:p>
        <w:p>
          <w:pPr>
            <w:pStyle w:val="14"/>
            <w:keepNext w:val="0"/>
            <w:keepLines w:val="0"/>
            <w:pageBreakBefore w:val="0"/>
            <w:tabs>
              <w:tab w:val="right" w:leader="dot" w:pos="8400"/>
            </w:tabs>
            <w:kinsoku/>
            <w:wordWrap/>
            <w:topLinePunct w:val="0"/>
            <w:autoSpaceDE/>
            <w:autoSpaceDN/>
            <w:bidi w:val="0"/>
            <w:adjustRightInd/>
            <w:snapToGrid/>
            <w:spacing w:after="0" w:line="560" w:lineRule="exact"/>
            <w:textAlignment w:val="auto"/>
            <w:rPr>
              <w:rFonts w:hint="eastAsia" w:ascii="仿宋_GB2312" w:hAnsi="仿宋_GB2312" w:eastAsia="仿宋_GB2312" w:cs="仿宋_GB2312"/>
              <w:sz w:val="30"/>
              <w:szCs w:val="30"/>
            </w:rPr>
          </w:pPr>
          <w:r>
            <w:rPr>
              <w:rFonts w:hint="eastAsia" w:ascii="仿宋_GB2312" w:hAnsi="仿宋_GB2312" w:eastAsia="仿宋_GB2312" w:cs="仿宋_GB2312"/>
              <w:color w:val="000000" w:themeColor="text1"/>
              <w:sz w:val="30"/>
              <w:szCs w:val="30"/>
              <w14:textFill>
                <w14:solidFill>
                  <w14:schemeClr w14:val="tx1"/>
                </w14:solidFill>
              </w14:textFill>
            </w:rPr>
            <w:fldChar w:fldCharType="begin"/>
          </w:r>
          <w:r>
            <w:rPr>
              <w:rFonts w:hint="eastAsia" w:ascii="仿宋_GB2312" w:hAnsi="仿宋_GB2312" w:eastAsia="仿宋_GB2312" w:cs="仿宋_GB2312"/>
              <w:sz w:val="30"/>
              <w:szCs w:val="30"/>
            </w:rPr>
            <w:instrText xml:space="preserve"> HYPERLINK \l _Toc885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第八章 涵养好山好水，构建生态美好典范区</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_Toc885 \h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91</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color w:val="000000" w:themeColor="text1"/>
              <w:sz w:val="30"/>
              <w:szCs w:val="30"/>
              <w14:textFill>
                <w14:solidFill>
                  <w14:schemeClr w14:val="tx1"/>
                </w14:solidFill>
              </w14:textFill>
            </w:rPr>
            <w:fldChar w:fldCharType="end"/>
          </w:r>
        </w:p>
        <w:p>
          <w:pPr>
            <w:pStyle w:val="16"/>
            <w:keepNext w:val="0"/>
            <w:keepLines w:val="0"/>
            <w:pageBreakBefore w:val="0"/>
            <w:tabs>
              <w:tab w:val="right" w:leader="dot" w:pos="8400"/>
            </w:tabs>
            <w:kinsoku/>
            <w:wordWrap/>
            <w:topLinePunct w:val="0"/>
            <w:autoSpaceDE/>
            <w:autoSpaceDN/>
            <w:bidi w:val="0"/>
            <w:adjustRightInd/>
            <w:snapToGrid/>
            <w:spacing w:after="0" w:line="560" w:lineRule="exact"/>
            <w:textAlignment w:val="auto"/>
            <w:rPr>
              <w:rFonts w:hint="eastAsia" w:ascii="仿宋_GB2312" w:hAnsi="仿宋_GB2312" w:eastAsia="仿宋_GB2312" w:cs="仿宋_GB2312"/>
              <w:sz w:val="30"/>
              <w:szCs w:val="30"/>
            </w:rPr>
          </w:pPr>
          <w:r>
            <w:rPr>
              <w:rFonts w:hint="eastAsia" w:ascii="仿宋_GB2312" w:hAnsi="仿宋_GB2312" w:eastAsia="仿宋_GB2312" w:cs="仿宋_GB2312"/>
              <w:color w:val="000000" w:themeColor="text1"/>
              <w:sz w:val="30"/>
              <w:szCs w:val="30"/>
              <w14:textFill>
                <w14:solidFill>
                  <w14:schemeClr w14:val="tx1"/>
                </w14:solidFill>
              </w14:textFill>
            </w:rPr>
            <w:fldChar w:fldCharType="begin"/>
          </w:r>
          <w:r>
            <w:rPr>
              <w:rFonts w:hint="eastAsia" w:ascii="仿宋_GB2312" w:hAnsi="仿宋_GB2312" w:eastAsia="仿宋_GB2312" w:cs="仿宋_GB2312"/>
              <w:sz w:val="30"/>
              <w:szCs w:val="30"/>
            </w:rPr>
            <w:instrText xml:space="preserve"> HYPERLINK \l _Toc9582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第一节 打造生态美丽柳东新区</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_Toc9582 \h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91</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color w:val="000000" w:themeColor="text1"/>
              <w:sz w:val="30"/>
              <w:szCs w:val="30"/>
              <w14:textFill>
                <w14:solidFill>
                  <w14:schemeClr w14:val="tx1"/>
                </w14:solidFill>
              </w14:textFill>
            </w:rPr>
            <w:fldChar w:fldCharType="end"/>
          </w:r>
        </w:p>
        <w:p>
          <w:pPr>
            <w:pStyle w:val="16"/>
            <w:keepNext w:val="0"/>
            <w:keepLines w:val="0"/>
            <w:pageBreakBefore w:val="0"/>
            <w:tabs>
              <w:tab w:val="right" w:leader="dot" w:pos="8400"/>
            </w:tabs>
            <w:kinsoku/>
            <w:wordWrap/>
            <w:topLinePunct w:val="0"/>
            <w:autoSpaceDE/>
            <w:autoSpaceDN/>
            <w:bidi w:val="0"/>
            <w:adjustRightInd/>
            <w:snapToGrid/>
            <w:spacing w:after="0" w:line="560" w:lineRule="exact"/>
            <w:textAlignment w:val="auto"/>
            <w:rPr>
              <w:rFonts w:hint="eastAsia" w:ascii="仿宋_GB2312" w:hAnsi="仿宋_GB2312" w:eastAsia="仿宋_GB2312" w:cs="仿宋_GB2312"/>
              <w:sz w:val="30"/>
              <w:szCs w:val="30"/>
            </w:rPr>
          </w:pPr>
          <w:r>
            <w:rPr>
              <w:rFonts w:hint="eastAsia" w:ascii="仿宋_GB2312" w:hAnsi="仿宋_GB2312" w:eastAsia="仿宋_GB2312" w:cs="仿宋_GB2312"/>
              <w:color w:val="000000" w:themeColor="text1"/>
              <w:sz w:val="30"/>
              <w:szCs w:val="30"/>
              <w14:textFill>
                <w14:solidFill>
                  <w14:schemeClr w14:val="tx1"/>
                </w14:solidFill>
              </w14:textFill>
            </w:rPr>
            <w:fldChar w:fldCharType="begin"/>
          </w:r>
          <w:r>
            <w:rPr>
              <w:rFonts w:hint="eastAsia" w:ascii="仿宋_GB2312" w:hAnsi="仿宋_GB2312" w:eastAsia="仿宋_GB2312" w:cs="仿宋_GB2312"/>
              <w:sz w:val="30"/>
              <w:szCs w:val="30"/>
            </w:rPr>
            <w:instrText xml:space="preserve"> HYPERLINK \l _Toc5552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第二节 加强生态环境治理保护</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_Toc5552 \h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94</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color w:val="000000" w:themeColor="text1"/>
              <w:sz w:val="30"/>
              <w:szCs w:val="30"/>
              <w14:textFill>
                <w14:solidFill>
                  <w14:schemeClr w14:val="tx1"/>
                </w14:solidFill>
              </w14:textFill>
            </w:rPr>
            <w:fldChar w:fldCharType="end"/>
          </w:r>
        </w:p>
        <w:p>
          <w:pPr>
            <w:pStyle w:val="16"/>
            <w:keepNext w:val="0"/>
            <w:keepLines w:val="0"/>
            <w:pageBreakBefore w:val="0"/>
            <w:tabs>
              <w:tab w:val="right" w:leader="dot" w:pos="8400"/>
            </w:tabs>
            <w:kinsoku/>
            <w:wordWrap/>
            <w:topLinePunct w:val="0"/>
            <w:autoSpaceDE/>
            <w:autoSpaceDN/>
            <w:bidi w:val="0"/>
            <w:adjustRightInd/>
            <w:snapToGrid/>
            <w:spacing w:after="0" w:line="560" w:lineRule="exact"/>
            <w:textAlignment w:val="auto"/>
            <w:rPr>
              <w:rFonts w:hint="eastAsia" w:ascii="仿宋_GB2312" w:hAnsi="仿宋_GB2312" w:eastAsia="仿宋_GB2312" w:cs="仿宋_GB2312"/>
              <w:sz w:val="30"/>
              <w:szCs w:val="30"/>
            </w:rPr>
          </w:pPr>
          <w:r>
            <w:rPr>
              <w:rFonts w:hint="eastAsia" w:ascii="仿宋_GB2312" w:hAnsi="仿宋_GB2312" w:eastAsia="仿宋_GB2312" w:cs="仿宋_GB2312"/>
              <w:color w:val="000000" w:themeColor="text1"/>
              <w:sz w:val="30"/>
              <w:szCs w:val="30"/>
              <w14:textFill>
                <w14:solidFill>
                  <w14:schemeClr w14:val="tx1"/>
                </w14:solidFill>
              </w14:textFill>
            </w:rPr>
            <w:fldChar w:fldCharType="begin"/>
          </w:r>
          <w:r>
            <w:rPr>
              <w:rFonts w:hint="eastAsia" w:ascii="仿宋_GB2312" w:hAnsi="仿宋_GB2312" w:eastAsia="仿宋_GB2312" w:cs="仿宋_GB2312"/>
              <w:sz w:val="30"/>
              <w:szCs w:val="30"/>
            </w:rPr>
            <w:instrText xml:space="preserve"> HYPERLINK \l _Toc21270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第三节 积极推动绿色低碳发展</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_Toc21270 \h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97</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color w:val="000000" w:themeColor="text1"/>
              <w:sz w:val="30"/>
              <w:szCs w:val="30"/>
              <w14:textFill>
                <w14:solidFill>
                  <w14:schemeClr w14:val="tx1"/>
                </w14:solidFill>
              </w14:textFill>
            </w:rPr>
            <w:fldChar w:fldCharType="end"/>
          </w:r>
        </w:p>
        <w:p>
          <w:pPr>
            <w:pStyle w:val="14"/>
            <w:keepNext w:val="0"/>
            <w:keepLines w:val="0"/>
            <w:pageBreakBefore w:val="0"/>
            <w:tabs>
              <w:tab w:val="right" w:leader="dot" w:pos="8400"/>
            </w:tabs>
            <w:kinsoku/>
            <w:wordWrap/>
            <w:topLinePunct w:val="0"/>
            <w:autoSpaceDE/>
            <w:autoSpaceDN/>
            <w:bidi w:val="0"/>
            <w:adjustRightInd/>
            <w:snapToGrid/>
            <w:spacing w:after="0" w:line="560" w:lineRule="exact"/>
            <w:textAlignment w:val="auto"/>
            <w:rPr>
              <w:rFonts w:hint="eastAsia" w:ascii="仿宋_GB2312" w:hAnsi="仿宋_GB2312" w:eastAsia="仿宋_GB2312" w:cs="仿宋_GB2312"/>
              <w:sz w:val="30"/>
              <w:szCs w:val="30"/>
            </w:rPr>
          </w:pPr>
          <w:r>
            <w:rPr>
              <w:rFonts w:hint="eastAsia" w:ascii="仿宋_GB2312" w:hAnsi="仿宋_GB2312" w:eastAsia="仿宋_GB2312" w:cs="仿宋_GB2312"/>
              <w:color w:val="000000" w:themeColor="text1"/>
              <w:sz w:val="30"/>
              <w:szCs w:val="30"/>
              <w14:textFill>
                <w14:solidFill>
                  <w14:schemeClr w14:val="tx1"/>
                </w14:solidFill>
              </w14:textFill>
            </w:rPr>
            <w:fldChar w:fldCharType="begin"/>
          </w:r>
          <w:r>
            <w:rPr>
              <w:rFonts w:hint="eastAsia" w:ascii="仿宋_GB2312" w:hAnsi="仿宋_GB2312" w:eastAsia="仿宋_GB2312" w:cs="仿宋_GB2312"/>
              <w:sz w:val="30"/>
              <w:szCs w:val="30"/>
            </w:rPr>
            <w:instrText xml:space="preserve"> HYPERLINK \l _Toc32341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第九章 保障措施与机制</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_Toc32341 \h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100</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color w:val="000000" w:themeColor="text1"/>
              <w:sz w:val="30"/>
              <w:szCs w:val="30"/>
              <w14:textFill>
                <w14:solidFill>
                  <w14:schemeClr w14:val="tx1"/>
                </w14:solidFill>
              </w14:textFill>
            </w:rPr>
            <w:fldChar w:fldCharType="end"/>
          </w:r>
        </w:p>
        <w:p>
          <w:pPr>
            <w:pStyle w:val="16"/>
            <w:keepNext w:val="0"/>
            <w:keepLines w:val="0"/>
            <w:pageBreakBefore w:val="0"/>
            <w:tabs>
              <w:tab w:val="right" w:leader="dot" w:pos="8400"/>
            </w:tabs>
            <w:kinsoku/>
            <w:wordWrap/>
            <w:topLinePunct w:val="0"/>
            <w:autoSpaceDE/>
            <w:autoSpaceDN/>
            <w:bidi w:val="0"/>
            <w:adjustRightInd/>
            <w:snapToGrid/>
            <w:spacing w:after="0" w:line="560" w:lineRule="exact"/>
            <w:textAlignment w:val="auto"/>
            <w:rPr>
              <w:rFonts w:hint="eastAsia" w:ascii="仿宋_GB2312" w:hAnsi="仿宋_GB2312" w:eastAsia="仿宋_GB2312" w:cs="仿宋_GB2312"/>
              <w:sz w:val="30"/>
              <w:szCs w:val="30"/>
            </w:rPr>
          </w:pPr>
          <w:r>
            <w:rPr>
              <w:rFonts w:hint="eastAsia" w:ascii="仿宋_GB2312" w:hAnsi="仿宋_GB2312" w:eastAsia="仿宋_GB2312" w:cs="仿宋_GB2312"/>
              <w:color w:val="000000" w:themeColor="text1"/>
              <w:sz w:val="30"/>
              <w:szCs w:val="30"/>
              <w14:textFill>
                <w14:solidFill>
                  <w14:schemeClr w14:val="tx1"/>
                </w14:solidFill>
              </w14:textFill>
            </w:rPr>
            <w:fldChar w:fldCharType="begin"/>
          </w:r>
          <w:r>
            <w:rPr>
              <w:rFonts w:hint="eastAsia" w:ascii="仿宋_GB2312" w:hAnsi="仿宋_GB2312" w:eastAsia="仿宋_GB2312" w:cs="仿宋_GB2312"/>
              <w:sz w:val="30"/>
              <w:szCs w:val="30"/>
            </w:rPr>
            <w:instrText xml:space="preserve"> HYPERLINK \l _Toc26744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第一节 强化规划实施组织协调</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_Toc26744 \h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100</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color w:val="000000" w:themeColor="text1"/>
              <w:sz w:val="30"/>
              <w:szCs w:val="30"/>
              <w14:textFill>
                <w14:solidFill>
                  <w14:schemeClr w14:val="tx1"/>
                </w14:solidFill>
              </w14:textFill>
            </w:rPr>
            <w:fldChar w:fldCharType="end"/>
          </w:r>
        </w:p>
        <w:p>
          <w:pPr>
            <w:pStyle w:val="16"/>
            <w:keepNext w:val="0"/>
            <w:keepLines w:val="0"/>
            <w:pageBreakBefore w:val="0"/>
            <w:tabs>
              <w:tab w:val="right" w:leader="dot" w:pos="8400"/>
            </w:tabs>
            <w:kinsoku/>
            <w:wordWrap/>
            <w:topLinePunct w:val="0"/>
            <w:autoSpaceDE/>
            <w:autoSpaceDN/>
            <w:bidi w:val="0"/>
            <w:adjustRightInd/>
            <w:snapToGrid/>
            <w:spacing w:after="0" w:line="560" w:lineRule="exact"/>
            <w:textAlignment w:val="auto"/>
            <w:rPr>
              <w:rFonts w:hint="eastAsia" w:ascii="仿宋_GB2312" w:hAnsi="仿宋_GB2312" w:eastAsia="仿宋_GB2312" w:cs="仿宋_GB2312"/>
              <w:sz w:val="30"/>
              <w:szCs w:val="30"/>
            </w:rPr>
          </w:pPr>
          <w:r>
            <w:rPr>
              <w:rFonts w:hint="eastAsia" w:ascii="仿宋_GB2312" w:hAnsi="仿宋_GB2312" w:eastAsia="仿宋_GB2312" w:cs="仿宋_GB2312"/>
              <w:color w:val="000000" w:themeColor="text1"/>
              <w:sz w:val="30"/>
              <w:szCs w:val="30"/>
              <w14:textFill>
                <w14:solidFill>
                  <w14:schemeClr w14:val="tx1"/>
                </w14:solidFill>
              </w14:textFill>
            </w:rPr>
            <w:fldChar w:fldCharType="begin"/>
          </w:r>
          <w:r>
            <w:rPr>
              <w:rFonts w:hint="eastAsia" w:ascii="仿宋_GB2312" w:hAnsi="仿宋_GB2312" w:eastAsia="仿宋_GB2312" w:cs="仿宋_GB2312"/>
              <w:sz w:val="30"/>
              <w:szCs w:val="30"/>
            </w:rPr>
            <w:instrText xml:space="preserve"> HYPERLINK \l _Toc25563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第二节 强化规划实施重大支撑</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_Toc25563 \h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101</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color w:val="000000" w:themeColor="text1"/>
              <w:sz w:val="30"/>
              <w:szCs w:val="30"/>
              <w14:textFill>
                <w14:solidFill>
                  <w14:schemeClr w14:val="tx1"/>
                </w14:solidFill>
              </w14:textFill>
            </w:rPr>
            <w:fldChar w:fldCharType="end"/>
          </w:r>
        </w:p>
        <w:p>
          <w:pPr>
            <w:pStyle w:val="16"/>
            <w:keepNext w:val="0"/>
            <w:keepLines w:val="0"/>
            <w:pageBreakBefore w:val="0"/>
            <w:tabs>
              <w:tab w:val="right" w:leader="dot" w:pos="8400"/>
            </w:tabs>
            <w:kinsoku/>
            <w:wordWrap/>
            <w:topLinePunct w:val="0"/>
            <w:autoSpaceDE/>
            <w:autoSpaceDN/>
            <w:bidi w:val="0"/>
            <w:adjustRightInd/>
            <w:snapToGrid/>
            <w:spacing w:after="0" w:line="560" w:lineRule="exact"/>
            <w:textAlignment w:val="auto"/>
            <w:rPr>
              <w:rFonts w:hint="eastAsia" w:ascii="仿宋_GB2312" w:hAnsi="仿宋_GB2312" w:eastAsia="仿宋_GB2312" w:cs="仿宋_GB2312"/>
              <w:sz w:val="30"/>
              <w:szCs w:val="30"/>
            </w:rPr>
          </w:pPr>
          <w:r>
            <w:rPr>
              <w:rFonts w:hint="eastAsia" w:ascii="仿宋_GB2312" w:hAnsi="仿宋_GB2312" w:eastAsia="仿宋_GB2312" w:cs="仿宋_GB2312"/>
              <w:color w:val="000000" w:themeColor="text1"/>
              <w:sz w:val="30"/>
              <w:szCs w:val="30"/>
              <w14:textFill>
                <w14:solidFill>
                  <w14:schemeClr w14:val="tx1"/>
                </w14:solidFill>
              </w14:textFill>
            </w:rPr>
            <w:fldChar w:fldCharType="begin"/>
          </w:r>
          <w:r>
            <w:rPr>
              <w:rFonts w:hint="eastAsia" w:ascii="仿宋_GB2312" w:hAnsi="仿宋_GB2312" w:eastAsia="仿宋_GB2312" w:cs="仿宋_GB2312"/>
              <w:sz w:val="30"/>
              <w:szCs w:val="30"/>
            </w:rPr>
            <w:instrText xml:space="preserve"> HYPERLINK \l _Toc3065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第三节 强化规划实施监测评估</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_Toc3065 \h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103</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color w:val="000000" w:themeColor="text1"/>
              <w:sz w:val="30"/>
              <w:szCs w:val="30"/>
              <w14:textFill>
                <w14:solidFill>
                  <w14:schemeClr w14:val="tx1"/>
                </w14:solidFill>
              </w14:textFill>
            </w:rPr>
            <w:fldChar w:fldCharType="end"/>
          </w:r>
        </w:p>
        <w:p>
          <w:pPr>
            <w:pStyle w:val="16"/>
            <w:keepNext w:val="0"/>
            <w:keepLines w:val="0"/>
            <w:pageBreakBefore w:val="0"/>
            <w:tabs>
              <w:tab w:val="right" w:leader="dot" w:pos="8400"/>
            </w:tabs>
            <w:kinsoku/>
            <w:wordWrap/>
            <w:topLinePunct w:val="0"/>
            <w:autoSpaceDE/>
            <w:autoSpaceDN/>
            <w:bidi w:val="0"/>
            <w:adjustRightInd/>
            <w:snapToGrid/>
            <w:spacing w:after="0" w:line="560" w:lineRule="exact"/>
            <w:textAlignment w:val="auto"/>
            <w:rPr>
              <w:rFonts w:hint="eastAsia" w:ascii="仿宋_GB2312" w:hAnsi="仿宋_GB2312" w:eastAsia="仿宋_GB2312" w:cs="仿宋_GB2312"/>
              <w:sz w:val="30"/>
              <w:szCs w:val="30"/>
            </w:rPr>
          </w:pPr>
          <w:r>
            <w:rPr>
              <w:rFonts w:hint="eastAsia" w:ascii="仿宋_GB2312" w:hAnsi="仿宋_GB2312" w:eastAsia="仿宋_GB2312" w:cs="仿宋_GB2312"/>
              <w:color w:val="000000" w:themeColor="text1"/>
              <w:sz w:val="30"/>
              <w:szCs w:val="30"/>
              <w14:textFill>
                <w14:solidFill>
                  <w14:schemeClr w14:val="tx1"/>
                </w14:solidFill>
              </w14:textFill>
            </w:rPr>
            <w:fldChar w:fldCharType="begin"/>
          </w:r>
          <w:r>
            <w:rPr>
              <w:rFonts w:hint="eastAsia" w:ascii="仿宋_GB2312" w:hAnsi="仿宋_GB2312" w:eastAsia="仿宋_GB2312" w:cs="仿宋_GB2312"/>
              <w:sz w:val="30"/>
              <w:szCs w:val="30"/>
            </w:rPr>
            <w:instrText xml:space="preserve"> HYPERLINK \l _Toc11710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附</w:t>
          </w:r>
          <w:r>
            <w:rPr>
              <w:rFonts w:hint="eastAsia" w:ascii="仿宋_GB2312" w:hAnsi="仿宋_GB2312" w:eastAsia="仿宋_GB2312" w:cs="仿宋_GB2312"/>
              <w:sz w:val="30"/>
              <w:szCs w:val="30"/>
              <w:lang w:eastAsia="zh-CN"/>
            </w:rPr>
            <w:t>件</w:t>
          </w:r>
          <w:r>
            <w:rPr>
              <w:rFonts w:hint="eastAsia" w:ascii="仿宋_GB2312" w:hAnsi="仿宋_GB2312" w:eastAsia="仿宋_GB2312" w:cs="仿宋_GB2312"/>
              <w:sz w:val="30"/>
              <w:szCs w:val="30"/>
            </w:rPr>
            <w:t>.柳东新区“十四五”指标预测说明</w:t>
          </w:r>
          <w:r>
            <w:rPr>
              <w:rFonts w:hint="eastAsia" w:ascii="仿宋_GB2312" w:hAnsi="仿宋_GB2312" w:eastAsia="仿宋_GB2312" w:cs="仿宋_GB2312"/>
              <w:sz w:val="30"/>
              <w:szCs w:val="30"/>
            </w:rPr>
            <w:tab/>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PAGEREF _Toc11710 \h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104</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color w:val="000000" w:themeColor="text1"/>
              <w:sz w:val="30"/>
              <w:szCs w:val="30"/>
              <w14:textFill>
                <w14:solidFill>
                  <w14:schemeClr w14:val="tx1"/>
                </w14:solidFill>
              </w14:textFill>
            </w:rPr>
            <w:fldChar w:fldCharType="end"/>
          </w:r>
        </w:p>
        <w:p>
          <w:pPr>
            <w:keepNext w:val="0"/>
            <w:keepLines w:val="0"/>
            <w:pageBreakBefore w:val="0"/>
            <w:kinsoku/>
            <w:wordWrap/>
            <w:overflowPunct w:val="0"/>
            <w:topLinePunct w:val="0"/>
            <w:autoSpaceDE/>
            <w:autoSpaceDN/>
            <w:bidi w:val="0"/>
            <w:adjustRightInd/>
            <w:snapToGrid/>
            <w:spacing w:line="560" w:lineRule="exact"/>
            <w:ind w:firstLine="600" w:firstLineChars="200"/>
            <w:textAlignment w:val="auto"/>
            <w:rPr>
              <w:color w:val="000000" w:themeColor="text1"/>
              <w14:textFill>
                <w14:solidFill>
                  <w14:schemeClr w14:val="tx1"/>
                </w14:solidFill>
              </w14:textFill>
            </w:rPr>
            <w:sectPr>
              <w:footerReference r:id="rId3" w:type="default"/>
              <w:pgSz w:w="11906" w:h="16838"/>
              <w:pgMar w:top="1440" w:right="1706" w:bottom="1440" w:left="1800" w:header="851" w:footer="992" w:gutter="0"/>
              <w:pgNumType w:start="1"/>
              <w:cols w:space="425" w:num="1"/>
              <w:docGrid w:type="lines" w:linePitch="312" w:charSpace="0"/>
            </w:sectPr>
          </w:pPr>
          <w:r>
            <w:rPr>
              <w:rFonts w:hint="eastAsia" w:ascii="仿宋_GB2312" w:hAnsi="仿宋_GB2312" w:eastAsia="仿宋_GB2312" w:cs="仿宋_GB2312"/>
              <w:color w:val="000000" w:themeColor="text1"/>
              <w:sz w:val="30"/>
              <w:szCs w:val="30"/>
              <w14:textFill>
                <w14:solidFill>
                  <w14:schemeClr w14:val="tx1"/>
                </w14:solidFill>
              </w14:textFill>
            </w:rPr>
            <w:fldChar w:fldCharType="end"/>
          </w:r>
        </w:p>
      </w:sdtContent>
    </w:sdt>
    <w:p>
      <w:pPr>
        <w:pStyle w:val="3"/>
        <w:spacing w:before="0" w:after="0" w:line="240" w:lineRule="auto"/>
        <w:jc w:val="center"/>
        <w:rPr>
          <w:rFonts w:ascii="黑体" w:hAnsi="黑体" w:eastAsia="黑体" w:cs="Times New Roman"/>
          <w:b w:val="0"/>
          <w:color w:val="000000" w:themeColor="text1"/>
          <w:sz w:val="32"/>
          <w:szCs w:val="32"/>
          <w14:textFill>
            <w14:solidFill>
              <w14:schemeClr w14:val="tx1"/>
            </w14:solidFill>
          </w14:textFill>
        </w:rPr>
      </w:pPr>
      <w:bookmarkStart w:id="2" w:name="_Toc7728"/>
      <w:bookmarkStart w:id="3" w:name="_Toc75341651"/>
      <w:bookmarkStart w:id="4" w:name="_Toc22"/>
      <w:bookmarkStart w:id="5" w:name="_Toc12727"/>
      <w:bookmarkStart w:id="6" w:name="_Toc9461"/>
      <w:bookmarkStart w:id="7" w:name="_Toc14996"/>
      <w:bookmarkStart w:id="8" w:name="_Toc30895"/>
      <w:bookmarkStart w:id="9" w:name="_Toc12181"/>
      <w:bookmarkStart w:id="10" w:name="_Toc13249"/>
      <w:bookmarkStart w:id="11" w:name="_Toc25749"/>
      <w:bookmarkStart w:id="12" w:name="_Toc477"/>
      <w:bookmarkStart w:id="13" w:name="_Toc24116"/>
      <w:bookmarkStart w:id="14" w:name="_Toc21284"/>
      <w:bookmarkStart w:id="15" w:name="_Toc7519"/>
      <w:bookmarkStart w:id="16" w:name="_Toc14326"/>
      <w:bookmarkStart w:id="17" w:name="_Toc6472"/>
      <w:bookmarkStart w:id="18" w:name="_Toc9566"/>
      <w:bookmarkStart w:id="19" w:name="_Toc7583"/>
      <w:bookmarkStart w:id="20" w:name="_Toc26292"/>
      <w:bookmarkStart w:id="21" w:name="_Toc1977"/>
      <w:bookmarkStart w:id="22" w:name="_Toc416"/>
      <w:bookmarkStart w:id="23" w:name="_Toc31842"/>
      <w:r>
        <w:rPr>
          <w:rFonts w:hint="eastAsia" w:ascii="黑体" w:hAnsi="黑体" w:eastAsia="黑体" w:cs="Times New Roman"/>
          <w:b w:val="0"/>
          <w:color w:val="000000" w:themeColor="text1"/>
          <w:sz w:val="32"/>
          <w:szCs w:val="32"/>
          <w14:textFill>
            <w14:solidFill>
              <w14:schemeClr w14:val="tx1"/>
            </w14:solidFill>
          </w14:textFill>
        </w:rPr>
        <w:t>前言</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p>
    <w:p>
      <w:pPr>
        <w:overflowPunct w:val="0"/>
        <w:ind w:firstLine="640" w:firstLineChars="200"/>
        <w:rPr>
          <w:rFonts w:ascii="仿宋_GB2312" w:hAnsi="仿宋" w:eastAsia="仿宋_GB2312" w:cs="仿宋_GB2312"/>
          <w:color w:val="000000" w:themeColor="text1"/>
          <w:sz w:val="32"/>
          <w:szCs w:val="32"/>
          <w14:textFill>
            <w14:solidFill>
              <w14:schemeClr w14:val="tx1"/>
            </w14:solidFill>
          </w14:textFill>
        </w:rPr>
      </w:pPr>
    </w:p>
    <w:p>
      <w:pPr>
        <w:overflowPunct w:val="0"/>
        <w:spacing w:line="360" w:lineRule="auto"/>
        <w:ind w:firstLine="640" w:firstLineChars="200"/>
        <w:rPr>
          <w:rFonts w:ascii="仿宋_GB2312" w:hAnsi="仿宋" w:eastAsia="仿宋_GB2312" w:cs="仿宋_GB2312"/>
          <w:color w:val="000000" w:themeColor="text1"/>
          <w:sz w:val="32"/>
          <w:szCs w:val="32"/>
          <w14:textFill>
            <w14:solidFill>
              <w14:schemeClr w14:val="tx1"/>
            </w14:solidFill>
          </w14:textFill>
        </w:rPr>
      </w:pPr>
      <w:r>
        <w:rPr>
          <w:rFonts w:hint="eastAsia" w:ascii="仿宋_GB2312" w:hAnsi="仿宋" w:eastAsia="仿宋_GB2312" w:cs="仿宋_GB2312"/>
          <w:color w:val="000000" w:themeColor="text1"/>
          <w:sz w:val="32"/>
          <w:szCs w:val="32"/>
          <w14:textFill>
            <w14:solidFill>
              <w14:schemeClr w14:val="tx1"/>
            </w14:solidFill>
          </w14:textFill>
        </w:rPr>
        <w:t>“十三五”时期，面对发展环境、发展阶段带来的深刻变化和复杂挑战，在柳州市委、市政府的坚强领导下，柳东新区齐心合力、坚定信心、攻坚克难、砥砺前行，奋力完成各项重大任务，较好实现总体发展目标。“十四五”时期，是我国全面建成小康社会、实现第一个百年奋斗目标之后，乘势而上开启全面建设社会主义现代化国家新征程、向第二个百年奋斗目标进军的第一个五年</w:t>
      </w:r>
      <w:r>
        <w:rPr>
          <w:rFonts w:hint="eastAsia" w:ascii="仿宋_GB2312" w:hAnsi="仿宋" w:eastAsia="仿宋_GB2312"/>
          <w:color w:val="000000" w:themeColor="text1"/>
          <w:sz w:val="32"/>
          <w:szCs w:val="32"/>
          <w14:textFill>
            <w14:solidFill>
              <w14:schemeClr w14:val="tx1"/>
            </w14:solidFill>
          </w14:textFill>
        </w:rPr>
        <w:t>；是柳州市立足新发展阶段、贯彻新发展理念、融入新发展格局，加快建设现代制造城的关键五年；</w:t>
      </w:r>
      <w:r>
        <w:rPr>
          <w:rFonts w:hint="eastAsia" w:ascii="仿宋_GB2312" w:hAnsi="仿宋" w:eastAsia="仿宋_GB2312" w:cs="仿宋_GB2312"/>
          <w:color w:val="000000" w:themeColor="text1"/>
          <w:sz w:val="32"/>
          <w:szCs w:val="32"/>
          <w14:textFill>
            <w14:solidFill>
              <w14:schemeClr w14:val="tx1"/>
            </w14:solidFill>
          </w14:textFill>
        </w:rPr>
        <w:t>也是柳东新区建设广西柳州汽车城升级版，打造柳州现代制造城核心区的攻坚期。深入贯彻习近平总书记视察广西时的重要讲话和重要指示精神，按照党中央和自治区党委的部署要求，扎实推动“十四五”高质量发展，科学编制并实施好《柳东新区国民经济和社会发展第十四个五年规划和2035年远景目标纲要》，意义重大、影响深远。</w:t>
      </w:r>
    </w:p>
    <w:p>
      <w:pPr>
        <w:overflowPunct w:val="0"/>
        <w:spacing w:line="360" w:lineRule="auto"/>
        <w:ind w:firstLine="640" w:firstLineChars="200"/>
        <w:rPr>
          <w:rFonts w:ascii="仿宋_GB2312" w:hAnsi="仿宋" w:eastAsia="仿宋_GB2312" w:cs="仿宋_GB2312"/>
          <w:color w:val="000000" w:themeColor="text1"/>
          <w:sz w:val="32"/>
          <w:szCs w:val="32"/>
          <w14:textFill>
            <w14:solidFill>
              <w14:schemeClr w14:val="tx1"/>
            </w14:solidFill>
          </w14:textFill>
        </w:rPr>
      </w:pPr>
    </w:p>
    <w:p>
      <w:pPr>
        <w:ind w:firstLine="640" w:firstLineChars="200"/>
        <w:rPr>
          <w:rFonts w:ascii="仿宋_GB2312" w:hAnsi="仿宋" w:eastAsia="仿宋_GB2312" w:cs="仿宋_GB2312"/>
          <w:color w:val="000000" w:themeColor="text1"/>
          <w:sz w:val="32"/>
          <w:szCs w:val="32"/>
          <w14:textFill>
            <w14:solidFill>
              <w14:schemeClr w14:val="tx1"/>
            </w14:solidFill>
          </w14:textFill>
        </w:rPr>
      </w:pPr>
      <w:r>
        <w:rPr>
          <w:rFonts w:ascii="仿宋_GB2312" w:hAnsi="仿宋" w:eastAsia="仿宋_GB2312" w:cs="仿宋_GB2312"/>
          <w:color w:val="000000" w:themeColor="text1"/>
          <w:sz w:val="32"/>
          <w:szCs w:val="32"/>
          <w14:textFill>
            <w14:solidFill>
              <w14:schemeClr w14:val="tx1"/>
            </w14:solidFill>
          </w14:textFill>
        </w:rPr>
        <w:br w:type="page"/>
      </w:r>
    </w:p>
    <w:p>
      <w:pPr>
        <w:pStyle w:val="3"/>
        <w:spacing w:before="0" w:afterLines="100" w:line="240" w:lineRule="auto"/>
        <w:jc w:val="center"/>
        <w:rPr>
          <w:rFonts w:ascii="黑体" w:hAnsi="黑体" w:eastAsia="黑体" w:cs="Times New Roman"/>
          <w:b w:val="0"/>
          <w:color w:val="000000" w:themeColor="text1"/>
          <w:sz w:val="32"/>
          <w:szCs w:val="32"/>
          <w14:textFill>
            <w14:solidFill>
              <w14:schemeClr w14:val="tx1"/>
            </w14:solidFill>
          </w14:textFill>
        </w:rPr>
      </w:pPr>
      <w:bookmarkStart w:id="24" w:name="_Toc29428"/>
      <w:bookmarkStart w:id="25" w:name="_Toc27974"/>
      <w:bookmarkStart w:id="26" w:name="_Toc25733"/>
      <w:bookmarkStart w:id="27" w:name="_Toc18494"/>
      <w:bookmarkStart w:id="28" w:name="_Toc7936"/>
      <w:bookmarkStart w:id="29" w:name="_Toc983"/>
      <w:bookmarkStart w:id="30" w:name="_Toc3295"/>
      <w:bookmarkStart w:id="31" w:name="_Toc31072"/>
      <w:bookmarkStart w:id="32" w:name="_Toc20650"/>
      <w:bookmarkStart w:id="33" w:name="_Toc177"/>
      <w:bookmarkStart w:id="34" w:name="_Toc21499"/>
      <w:bookmarkStart w:id="35" w:name="_Toc12450"/>
      <w:bookmarkStart w:id="36" w:name="_Toc29153"/>
      <w:bookmarkStart w:id="37" w:name="_Toc26041"/>
      <w:bookmarkStart w:id="38" w:name="_Toc9696"/>
      <w:bookmarkStart w:id="39" w:name="_Toc3060"/>
      <w:bookmarkStart w:id="40" w:name="_Toc21932"/>
      <w:bookmarkStart w:id="41" w:name="_Toc25806"/>
      <w:bookmarkStart w:id="42" w:name="_Toc75341652"/>
      <w:bookmarkStart w:id="43" w:name="_Toc16393"/>
      <w:bookmarkStart w:id="44" w:name="_Toc2114"/>
      <w:bookmarkStart w:id="45" w:name="_Toc16508"/>
      <w:bookmarkStart w:id="46" w:name="_Toc6225"/>
      <w:bookmarkStart w:id="47" w:name="_Toc11170"/>
      <w:r>
        <w:rPr>
          <w:rFonts w:hint="eastAsia" w:ascii="黑体" w:hAnsi="黑体" w:eastAsia="黑体" w:cs="Times New Roman"/>
          <w:b w:val="0"/>
          <w:color w:val="000000" w:themeColor="text1"/>
          <w:sz w:val="32"/>
          <w:szCs w:val="32"/>
          <w14:textFill>
            <w14:solidFill>
              <w14:schemeClr w14:val="tx1"/>
            </w14:solidFill>
          </w14:textFill>
        </w:rPr>
        <w:t>第一章 夯实发展基础，直面重大变局</w:t>
      </w:r>
      <w:bookmarkEnd w:id="24"/>
      <w:bookmarkEnd w:id="25"/>
      <w:bookmarkEnd w:id="26"/>
      <w:bookmarkEnd w:id="27"/>
      <w:bookmarkEnd w:id="28"/>
      <w:bookmarkEnd w:id="29"/>
    </w:p>
    <w:p>
      <w:pPr>
        <w:overflowPunct w:val="0"/>
        <w:spacing w:line="560" w:lineRule="exact"/>
        <w:ind w:firstLine="640" w:firstLineChars="200"/>
        <w:rPr>
          <w:rFonts w:ascii="仿宋_GB2312" w:hAnsi="仿宋" w:eastAsia="仿宋_GB2312" w:cs="仿宋_GB2312"/>
          <w:color w:val="000000" w:themeColor="text1"/>
          <w:sz w:val="32"/>
          <w:szCs w:val="32"/>
          <w14:textFill>
            <w14:solidFill>
              <w14:schemeClr w14:val="tx1"/>
            </w14:solidFill>
          </w14:textFill>
        </w:rPr>
      </w:pPr>
      <w:r>
        <w:rPr>
          <w:rFonts w:hint="eastAsia" w:ascii="仿宋_GB2312" w:hAnsi="仿宋" w:eastAsia="仿宋_GB2312" w:cs="仿宋_GB2312"/>
          <w:color w:val="000000" w:themeColor="text1"/>
          <w:sz w:val="32"/>
          <w:szCs w:val="32"/>
          <w14:textFill>
            <w14:solidFill>
              <w14:schemeClr w14:val="tx1"/>
            </w14:solidFill>
          </w14:textFill>
        </w:rPr>
        <w:t>“十三五”时期，柳东新区坚定不移贯彻新发展理念，</w:t>
      </w:r>
      <w:r>
        <w:rPr>
          <w:rFonts w:hint="eastAsia" w:ascii="仿宋_GB2312" w:hAnsi="宋体" w:eastAsia="仿宋_GB2312"/>
          <w:color w:val="000000" w:themeColor="text1"/>
          <w:sz w:val="32"/>
          <w:szCs w:val="32"/>
          <w14:textFill>
            <w14:solidFill>
              <w14:schemeClr w14:val="tx1"/>
            </w14:solidFill>
          </w14:textFill>
        </w:rPr>
        <w:t>以建设“国内一流，世界先进”汽车城为目标，以“产城融合、生态引领、创新驱动、特色新城”为导向，</w:t>
      </w:r>
      <w:r>
        <w:rPr>
          <w:rFonts w:hint="eastAsia" w:ascii="仿宋_GB2312" w:hAnsi="仿宋" w:eastAsia="仿宋_GB2312" w:cs="仿宋_GB2312"/>
          <w:color w:val="000000" w:themeColor="text1"/>
          <w:sz w:val="32"/>
          <w:szCs w:val="32"/>
          <w14:textFill>
            <w14:solidFill>
              <w14:schemeClr w14:val="tx1"/>
            </w14:solidFill>
          </w14:textFill>
        </w:rPr>
        <w:t>干在实处，走在前列，较好地完成了“十三五”规划各项目标任务，为“十四五”发展奠定了坚实基础。</w:t>
      </w:r>
    </w:p>
    <w:p>
      <w:pPr>
        <w:pStyle w:val="4"/>
        <w:jc w:val="center"/>
        <w:rPr>
          <w:rFonts w:ascii="黑体" w:hAnsi="黑体" w:eastAsia="黑体" w:cs="Times New Roman"/>
          <w:b w:val="0"/>
          <w:color w:val="000000" w:themeColor="text1"/>
          <w14:textFill>
            <w14:solidFill>
              <w14:schemeClr w14:val="tx1"/>
            </w14:solidFill>
          </w14:textFill>
        </w:rPr>
      </w:pPr>
      <w:bookmarkStart w:id="48" w:name="_Toc19054"/>
      <w:bookmarkStart w:id="49" w:name="_Toc22307"/>
      <w:bookmarkStart w:id="50" w:name="_Toc20981"/>
      <w:bookmarkStart w:id="51" w:name="_Toc2685"/>
      <w:bookmarkStart w:id="52" w:name="_Toc26871"/>
      <w:bookmarkStart w:id="53" w:name="_Toc5575"/>
      <w:r>
        <w:rPr>
          <w:rFonts w:hint="eastAsia" w:ascii="黑体" w:hAnsi="黑体" w:eastAsia="黑体" w:cs="Times New Roman"/>
          <w:b w:val="0"/>
          <w:color w:val="000000" w:themeColor="text1"/>
          <w14:textFill>
            <w14:solidFill>
              <w14:schemeClr w14:val="tx1"/>
            </w14:solidFill>
          </w14:textFill>
        </w:rPr>
        <w:t xml:space="preserve">第一节 </w:t>
      </w:r>
      <w:r>
        <w:rPr>
          <w:rFonts w:ascii="黑体" w:hAnsi="黑体" w:eastAsia="黑体" w:cs="Times New Roman"/>
          <w:b w:val="0"/>
          <w:color w:val="000000" w:themeColor="text1"/>
          <w14:textFill>
            <w14:solidFill>
              <w14:schemeClr w14:val="tx1"/>
            </w14:solidFill>
          </w14:textFill>
        </w:rPr>
        <w:t>“</w:t>
      </w:r>
      <w:r>
        <w:rPr>
          <w:rFonts w:hint="eastAsia" w:ascii="黑体" w:hAnsi="黑体" w:eastAsia="黑体" w:cs="Times New Roman"/>
          <w:b w:val="0"/>
          <w:color w:val="000000" w:themeColor="text1"/>
          <w14:textFill>
            <w14:solidFill>
              <w14:schemeClr w14:val="tx1"/>
            </w14:solidFill>
          </w14:textFill>
        </w:rPr>
        <w:t>十三五”发展成效</w:t>
      </w:r>
      <w:bookmarkEnd w:id="48"/>
      <w:bookmarkEnd w:id="49"/>
      <w:bookmarkEnd w:id="50"/>
      <w:bookmarkEnd w:id="51"/>
      <w:bookmarkEnd w:id="52"/>
      <w:bookmarkEnd w:id="53"/>
    </w:p>
    <w:p>
      <w:pPr>
        <w:pStyle w:val="5"/>
        <w:spacing w:before="120" w:after="0" w:line="240" w:lineRule="auto"/>
        <w:ind w:firstLine="640" w:firstLineChars="200"/>
        <w:rPr>
          <w:rFonts w:ascii="黑体" w:hAnsi="黑体" w:eastAsia="黑体"/>
          <w:b w:val="0"/>
          <w:color w:val="000000" w:themeColor="text1"/>
          <w14:textFill>
            <w14:solidFill>
              <w14:schemeClr w14:val="tx1"/>
            </w14:solidFill>
          </w14:textFill>
        </w:rPr>
      </w:pPr>
      <w:r>
        <w:rPr>
          <w:rFonts w:hint="eastAsia" w:ascii="黑体" w:hAnsi="黑体" w:eastAsia="黑体"/>
          <w:b w:val="0"/>
          <w:color w:val="000000" w:themeColor="text1"/>
          <w14:textFill>
            <w14:solidFill>
              <w14:schemeClr w14:val="tx1"/>
            </w14:solidFill>
          </w14:textFill>
        </w:rPr>
        <w:t>一、经济实力跨越升级</w:t>
      </w:r>
    </w:p>
    <w:p>
      <w:pPr>
        <w:overflowPunct w:val="0"/>
        <w:spacing w:line="560" w:lineRule="exact"/>
        <w:ind w:firstLine="640" w:firstLineChars="200"/>
        <w:rPr>
          <w:rFonts w:ascii="仿宋_GB2312" w:hAnsi="宋体" w:eastAsia="仿宋_GB2312"/>
          <w:color w:val="000000" w:themeColor="text1"/>
          <w:sz w:val="32"/>
          <w:szCs w:val="32"/>
          <w14:textFill>
            <w14:solidFill>
              <w14:schemeClr w14:val="tx1"/>
            </w14:solidFill>
          </w14:textFill>
        </w:rPr>
      </w:pPr>
      <w:r>
        <w:rPr>
          <w:rFonts w:hint="eastAsia" w:ascii="仿宋_GB2312" w:hAnsi="宋体" w:eastAsia="仿宋_GB2312"/>
          <w:color w:val="000000" w:themeColor="text1"/>
          <w:sz w:val="32"/>
          <w:szCs w:val="32"/>
          <w14:textFill>
            <w14:solidFill>
              <w14:schemeClr w14:val="tx1"/>
            </w14:solidFill>
          </w14:textFill>
        </w:rPr>
        <w:t>“十三五”期间，柳东新区经济结构全面优化，经济规模持续壮大，经济效益显著提高，主要经济成果基本符合规划预期：2019年，新区地区生产总值（GDP）实现295亿元，2016-2019年年均增长约8.40%；农林牧渔业总产值4.26亿元，年均增长3.77%；规上工业企业总产值完成1001.39亿元，年均增长12.67%；社会消费品零售总额完成90.2亿元，年均增长13.2%；固定资产投资完成383.54亿元，年均增长13%；财政收入完成50.68亿元，年均增长19.58%，全年新区汽车产量达49.5万辆。2020年面对新冠肺炎疫情的剧烈冲击，新区经济强势破局，展现蓬勃活力与强大韧性：全年新区地区生产总值实现283.2亿元（“十三五”年均增速约6.0%），农林牧渔业总产值完成4.57亿元，本级规上工业企业总产值完成326.37亿元，社会消费品零售总额完成94.63亿元，固定资产投资完成385.32亿元，财政收入完成52.22亿元，汽车产业完成产量46.13万辆，稳增长目标胜利实现。</w:t>
      </w:r>
    </w:p>
    <w:p>
      <w:pPr>
        <w:pStyle w:val="5"/>
        <w:numPr>
          <w:ilvl w:val="0"/>
          <w:numId w:val="1"/>
        </w:numPr>
        <w:spacing w:before="120" w:after="0" w:line="240" w:lineRule="auto"/>
        <w:ind w:firstLine="640" w:firstLineChars="200"/>
        <w:rPr>
          <w:rFonts w:ascii="黑体" w:hAnsi="黑体" w:eastAsia="黑体"/>
          <w:b w:val="0"/>
          <w:color w:val="000000" w:themeColor="text1"/>
          <w14:textFill>
            <w14:solidFill>
              <w14:schemeClr w14:val="tx1"/>
            </w14:solidFill>
          </w14:textFill>
        </w:rPr>
      </w:pPr>
      <w:r>
        <w:rPr>
          <w:rFonts w:hint="eastAsia" w:ascii="黑体" w:hAnsi="黑体" w:eastAsia="黑体"/>
          <w:b w:val="0"/>
          <w:color w:val="000000" w:themeColor="text1"/>
          <w14:textFill>
            <w14:solidFill>
              <w14:schemeClr w14:val="tx1"/>
            </w14:solidFill>
          </w14:textFill>
        </w:rPr>
        <w:t>实业柳东强势崛起</w:t>
      </w:r>
    </w:p>
    <w:p>
      <w:pPr>
        <w:ind w:firstLine="640" w:firstLineChars="200"/>
        <w:rPr>
          <w:rFonts w:ascii="仿宋_GB2312" w:hAnsi="仿宋" w:eastAsia="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“十三五”期间，柳东新区</w:t>
      </w:r>
      <w:r>
        <w:rPr>
          <w:rFonts w:ascii="仿宋_GB2312" w:hAnsi="仿宋_GB2312" w:eastAsia="仿宋_GB2312" w:cs="仿宋_GB2312"/>
          <w:color w:val="000000" w:themeColor="text1"/>
          <w:sz w:val="32"/>
          <w:szCs w:val="32"/>
          <w14:textFill>
            <w14:solidFill>
              <w14:schemeClr w14:val="tx1"/>
            </w14:solidFill>
          </w14:textFill>
        </w:rPr>
        <w:t>坚持做实做强做优实体</w:t>
      </w:r>
      <w:r>
        <w:rPr>
          <w:rFonts w:hint="eastAsia" w:ascii="仿宋_GB2312" w:hAnsi="仿宋_GB2312" w:eastAsia="仿宋_GB2312" w:cs="仿宋_GB2312"/>
          <w:color w:val="000000" w:themeColor="text1"/>
          <w:sz w:val="32"/>
          <w:szCs w:val="32"/>
          <w14:textFill>
            <w14:solidFill>
              <w14:schemeClr w14:val="tx1"/>
            </w14:solidFill>
          </w14:textFill>
        </w:rPr>
        <w:t>经济，加快</w:t>
      </w:r>
      <w:r>
        <w:rPr>
          <w:rFonts w:hint="eastAsia" w:ascii="仿宋_GB2312" w:eastAsia="仿宋_GB2312"/>
          <w:color w:val="000000" w:themeColor="text1"/>
          <w:sz w:val="32"/>
          <w:szCs w:val="32"/>
          <w14:textFill>
            <w14:solidFill>
              <w14:schemeClr w14:val="tx1"/>
            </w14:solidFill>
          </w14:textFill>
        </w:rPr>
        <w:t>构建现代产业体系</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仿宋_GB2312" w:hAnsi="宋体" w:eastAsia="仿宋_GB2312"/>
          <w:color w:val="000000" w:themeColor="text1"/>
          <w:sz w:val="32"/>
          <w:szCs w:val="32"/>
          <w14:textFill>
            <w14:solidFill>
              <w14:schemeClr w14:val="tx1"/>
            </w14:solidFill>
          </w14:textFill>
        </w:rPr>
        <w:t>优化提升产业结构和发展层次，推进</w:t>
      </w:r>
      <w:r>
        <w:rPr>
          <w:rFonts w:hint="eastAsia" w:ascii="仿宋_GB2312" w:hAnsi="仿宋_GB2312" w:eastAsia="仿宋_GB2312" w:cs="仿宋_GB2312"/>
          <w:color w:val="000000" w:themeColor="text1"/>
          <w:sz w:val="32"/>
          <w:szCs w:val="32"/>
          <w14:textFill>
            <w14:solidFill>
              <w14:schemeClr w14:val="tx1"/>
            </w14:solidFill>
          </w14:textFill>
        </w:rPr>
        <w:t>实业柳东固本强基、高质量崛起。在工业领域，统筹推进</w:t>
      </w:r>
      <w:r>
        <w:rPr>
          <w:rFonts w:ascii="仿宋_GB2312" w:hAnsi="仿宋_GB2312" w:eastAsia="仿宋_GB2312" w:cs="仿宋_GB2312"/>
          <w:color w:val="000000" w:themeColor="text1"/>
          <w:sz w:val="32"/>
          <w:szCs w:val="32"/>
          <w14:textFill>
            <w14:solidFill>
              <w14:schemeClr w14:val="tx1"/>
            </w14:solidFill>
          </w14:textFill>
        </w:rPr>
        <w:t>传统产业转型升级</w:t>
      </w:r>
      <w:r>
        <w:rPr>
          <w:rFonts w:hint="eastAsia" w:ascii="仿宋_GB2312" w:hAnsi="仿宋_GB2312" w:eastAsia="仿宋_GB2312" w:cs="仿宋_GB2312"/>
          <w:color w:val="000000" w:themeColor="text1"/>
          <w:sz w:val="32"/>
          <w:szCs w:val="32"/>
          <w14:textFill>
            <w14:solidFill>
              <w14:schemeClr w14:val="tx1"/>
            </w14:solidFill>
          </w14:textFill>
        </w:rPr>
        <w:t>和</w:t>
      </w:r>
      <w:r>
        <w:rPr>
          <w:rFonts w:ascii="仿宋_GB2312" w:hAnsi="仿宋_GB2312" w:eastAsia="仿宋_GB2312" w:cs="仿宋_GB2312"/>
          <w:color w:val="000000" w:themeColor="text1"/>
          <w:sz w:val="32"/>
          <w:szCs w:val="32"/>
          <w14:textFill>
            <w14:solidFill>
              <w14:schemeClr w14:val="tx1"/>
            </w14:solidFill>
          </w14:textFill>
        </w:rPr>
        <w:t>战略性新兴产业发展壮大，</w:t>
      </w:r>
      <w:r>
        <w:rPr>
          <w:rFonts w:hint="eastAsia" w:ascii="仿宋_GB2312" w:hAnsi="仿宋_GB2312" w:eastAsia="仿宋_GB2312" w:cs="仿宋_GB2312"/>
          <w:color w:val="000000" w:themeColor="text1"/>
          <w:sz w:val="32"/>
          <w:szCs w:val="32"/>
          <w14:textFill>
            <w14:solidFill>
              <w14:schemeClr w14:val="tx1"/>
            </w14:solidFill>
          </w14:textFill>
        </w:rPr>
        <w:t>扎实构建汽车和零部件产业为主导</w:t>
      </w:r>
      <w:r>
        <w:rPr>
          <w:rFonts w:hint="eastAsia" w:ascii="仿宋_GB2312" w:eastAsia="仿宋_GB2312"/>
          <w:color w:val="000000" w:themeColor="text1"/>
          <w:sz w:val="32"/>
          <w:szCs w:val="32"/>
          <w14:textFill>
            <w14:solidFill>
              <w14:schemeClr w14:val="tx1"/>
            </w14:solidFill>
          </w14:textFill>
        </w:rPr>
        <w:t>，战略性新兴产业联动发展的“3+3+1”产业格局，2019年二产增加值达222.93亿元，规上工业总产值突破千亿元，2020年二产增加值达201.32亿元，规上工业企业达154家。大力实施广西柳州汽车城再升级战略，四大整车基地全面崛起，传统技术升级换代和“新四化”技术应用突飞猛进，驱动整车制造规模和产品结构持续突破，全产业链蓬勃发展，乘用车整车生产本地配套率超过50%，成为国家级创新型新能源汽车及零部件产业集群培育试点。战略性新兴产业生机盎然，2020年新区本级规上战略性新兴产业企业达53家，产值占规上企业总产值的45.86%。智能轨道交通产业落地生根，跨坐式单轨车厢顺利下线，形成</w:t>
      </w:r>
      <w:r>
        <w:rPr>
          <w:rFonts w:ascii="Times New Roman" w:hAnsi="Times New Roman" w:eastAsia="仿宋_GB2312" w:cs="Times New Roman"/>
          <w:color w:val="000000" w:themeColor="text1"/>
          <w:sz w:val="32"/>
          <w:szCs w:val="32"/>
          <w14:textFill>
            <w14:solidFill>
              <w14:schemeClr w14:val="tx1"/>
            </w14:solidFill>
          </w14:textFill>
        </w:rPr>
        <w:t>年产</w:t>
      </w:r>
      <w:r>
        <w:rPr>
          <w:rFonts w:ascii="仿宋_GB2312" w:hAnsi="仿宋" w:eastAsia="仿宋_GB2312"/>
          <w:color w:val="000000" w:themeColor="text1"/>
          <w:sz w:val="32"/>
          <w:szCs w:val="32"/>
          <w14:textFill>
            <w14:solidFill>
              <w14:schemeClr w14:val="tx1"/>
            </w14:solidFill>
          </w14:textFill>
        </w:rPr>
        <w:t>200辆跨座式单轨车辆能力</w:t>
      </w:r>
      <w:r>
        <w:rPr>
          <w:rFonts w:hint="eastAsia" w:ascii="仿宋_GB2312" w:hAnsi="仿宋" w:eastAsia="仿宋_GB2312"/>
          <w:color w:val="000000" w:themeColor="text1"/>
          <w:sz w:val="32"/>
          <w:szCs w:val="32"/>
          <w14:textFill>
            <w14:solidFill>
              <w14:schemeClr w14:val="tx1"/>
            </w14:solidFill>
          </w14:textFill>
        </w:rPr>
        <w:t>；</w:t>
      </w:r>
      <w:r>
        <w:rPr>
          <w:rFonts w:ascii="仿宋_GB2312" w:hAnsi="仿宋" w:eastAsia="仿宋_GB2312"/>
          <w:color w:val="000000" w:themeColor="text1"/>
          <w:sz w:val="32"/>
          <w:szCs w:val="32"/>
          <w14:textFill>
            <w14:solidFill>
              <w14:schemeClr w14:val="tx1"/>
            </w14:solidFill>
          </w14:textFill>
        </w:rPr>
        <w:t>新能源</w:t>
      </w:r>
      <w:r>
        <w:rPr>
          <w:rFonts w:hint="eastAsia" w:ascii="仿宋_GB2312" w:hAnsi="仿宋" w:eastAsia="仿宋_GB2312"/>
          <w:color w:val="000000" w:themeColor="text1"/>
          <w:sz w:val="32"/>
          <w:szCs w:val="32"/>
          <w14:textFill>
            <w14:solidFill>
              <w14:schemeClr w14:val="tx1"/>
            </w14:solidFill>
          </w14:textFill>
        </w:rPr>
        <w:t>电池重大</w:t>
      </w:r>
      <w:r>
        <w:rPr>
          <w:rFonts w:ascii="仿宋_GB2312" w:hAnsi="仿宋" w:eastAsia="仿宋_GB2312"/>
          <w:color w:val="000000" w:themeColor="text1"/>
          <w:sz w:val="32"/>
          <w:szCs w:val="32"/>
          <w14:textFill>
            <w14:solidFill>
              <w14:schemeClr w14:val="tx1"/>
            </w14:solidFill>
          </w14:textFill>
        </w:rPr>
        <w:t>项目</w:t>
      </w:r>
      <w:r>
        <w:rPr>
          <w:rFonts w:hint="eastAsia" w:ascii="仿宋_GB2312" w:hAnsi="仿宋" w:eastAsia="仿宋_GB2312"/>
          <w:color w:val="000000" w:themeColor="text1"/>
          <w:sz w:val="32"/>
          <w:szCs w:val="32"/>
          <w14:textFill>
            <w14:solidFill>
              <w14:schemeClr w14:val="tx1"/>
            </w14:solidFill>
          </w14:textFill>
        </w:rPr>
        <w:t>强势</w:t>
      </w:r>
      <w:r>
        <w:rPr>
          <w:rFonts w:ascii="仿宋_GB2312" w:hAnsi="仿宋" w:eastAsia="仿宋_GB2312"/>
          <w:color w:val="000000" w:themeColor="text1"/>
          <w:sz w:val="32"/>
          <w:szCs w:val="32"/>
          <w14:textFill>
            <w14:solidFill>
              <w14:schemeClr w14:val="tx1"/>
            </w14:solidFill>
          </w14:textFill>
        </w:rPr>
        <w:t>入驻，产业</w:t>
      </w:r>
      <w:r>
        <w:rPr>
          <w:rFonts w:hint="eastAsia" w:ascii="仿宋_GB2312" w:hAnsi="仿宋" w:eastAsia="仿宋_GB2312"/>
          <w:color w:val="000000" w:themeColor="text1"/>
          <w:sz w:val="32"/>
          <w:szCs w:val="32"/>
          <w14:textFill>
            <w14:solidFill>
              <w14:schemeClr w14:val="tx1"/>
            </w14:solidFill>
          </w14:textFill>
        </w:rPr>
        <w:t>发展风生水起；</w:t>
      </w:r>
      <w:r>
        <w:rPr>
          <w:rFonts w:hint="eastAsia" w:ascii="仿宋_GB2312" w:hAnsi="仿宋" w:eastAsia="仿宋_GB2312" w:cs="Times New Roman"/>
          <w:color w:val="000000" w:themeColor="text1"/>
          <w:sz w:val="32"/>
          <w:szCs w:val="32"/>
          <w14:textFill>
            <w14:solidFill>
              <w14:schemeClr w14:val="tx1"/>
            </w14:solidFill>
          </w14:textFill>
        </w:rPr>
        <w:t>新能源汽车产业</w:t>
      </w:r>
      <w:r>
        <w:rPr>
          <w:rFonts w:hint="eastAsia" w:ascii="仿宋_GB2312" w:hAnsi="仿宋" w:eastAsia="仿宋_GB2312"/>
          <w:color w:val="000000" w:themeColor="text1"/>
          <w:sz w:val="32"/>
          <w:szCs w:val="32"/>
          <w14:textFill>
            <w14:solidFill>
              <w14:schemeClr w14:val="tx1"/>
            </w14:solidFill>
          </w14:textFill>
        </w:rPr>
        <w:t>异军突起，产品迭代升级产销两旺，</w:t>
      </w:r>
      <w:r>
        <w:rPr>
          <w:rFonts w:hint="eastAsia" w:ascii="仿宋_GB2312" w:hAnsi="仿宋" w:eastAsia="仿宋_GB2312" w:cs="Times New Roman"/>
          <w:color w:val="000000" w:themeColor="text1"/>
          <w:sz w:val="32"/>
          <w:szCs w:val="32"/>
          <w14:textFill>
            <w14:solidFill>
              <w14:schemeClr w14:val="tx1"/>
            </w14:solidFill>
          </w14:textFill>
        </w:rPr>
        <w:t>氢能源车样车</w:t>
      </w:r>
      <w:r>
        <w:rPr>
          <w:rFonts w:hint="eastAsia" w:ascii="仿宋_GB2312" w:hAnsi="仿宋" w:eastAsia="仿宋_GB2312"/>
          <w:color w:val="000000" w:themeColor="text1"/>
          <w:sz w:val="32"/>
          <w:szCs w:val="32"/>
          <w14:textFill>
            <w14:solidFill>
              <w14:schemeClr w14:val="tx1"/>
            </w14:solidFill>
          </w14:textFill>
        </w:rPr>
        <w:t>实现</w:t>
      </w:r>
      <w:r>
        <w:rPr>
          <w:rFonts w:hint="eastAsia" w:ascii="仿宋_GB2312" w:hAnsi="仿宋" w:eastAsia="仿宋_GB2312" w:cs="Times New Roman"/>
          <w:color w:val="000000" w:themeColor="text1"/>
          <w:sz w:val="32"/>
          <w:szCs w:val="32"/>
          <w14:textFill>
            <w14:solidFill>
              <w14:schemeClr w14:val="tx1"/>
            </w14:solidFill>
          </w14:textFill>
        </w:rPr>
        <w:t>试跑。电子光电产业</w:t>
      </w:r>
      <w:r>
        <w:rPr>
          <w:rFonts w:hint="eastAsia" w:ascii="仿宋_GB2312" w:hAnsi="仿宋" w:eastAsia="仿宋_GB2312"/>
          <w:color w:val="000000" w:themeColor="text1"/>
          <w:sz w:val="32"/>
          <w:szCs w:val="32"/>
          <w14:textFill>
            <w14:solidFill>
              <w14:schemeClr w14:val="tx1"/>
            </w14:solidFill>
          </w14:textFill>
        </w:rPr>
        <w:t>存量升级、增量引育，</w:t>
      </w:r>
      <w:r>
        <w:rPr>
          <w:rFonts w:hint="eastAsia" w:ascii="仿宋_GB2312" w:hAnsi="仿宋" w:eastAsia="仿宋_GB2312" w:cs="Times New Roman"/>
          <w:color w:val="000000" w:themeColor="text1"/>
          <w:sz w:val="32"/>
          <w:szCs w:val="32"/>
          <w14:textFill>
            <w14:solidFill>
              <w14:schemeClr w14:val="tx1"/>
            </w14:solidFill>
          </w14:textFill>
        </w:rPr>
        <w:t>千亿级产业集群</w:t>
      </w:r>
      <w:r>
        <w:rPr>
          <w:rFonts w:hint="eastAsia" w:ascii="仿宋_GB2312" w:hAnsi="仿宋" w:eastAsia="仿宋_GB2312"/>
          <w:color w:val="000000" w:themeColor="text1"/>
          <w:sz w:val="32"/>
          <w:szCs w:val="32"/>
          <w14:textFill>
            <w14:solidFill>
              <w14:schemeClr w14:val="tx1"/>
            </w14:solidFill>
          </w14:textFill>
        </w:rPr>
        <w:t>蓄势待发</w:t>
      </w:r>
      <w:r>
        <w:rPr>
          <w:rFonts w:hint="eastAsia" w:ascii="仿宋_GB2312" w:hAnsi="仿宋" w:eastAsia="仿宋_GB2312" w:cs="Times New Roman"/>
          <w:color w:val="000000" w:themeColor="text1"/>
          <w:sz w:val="32"/>
          <w:szCs w:val="32"/>
          <w14:textFill>
            <w14:solidFill>
              <w14:schemeClr w14:val="tx1"/>
            </w14:solidFill>
          </w14:textFill>
        </w:rPr>
        <w:t>。</w:t>
      </w:r>
      <w:r>
        <w:rPr>
          <w:rFonts w:ascii="仿宋_GB2312" w:hAnsi="仿宋" w:eastAsia="仿宋_GB2312" w:cs="Times New Roman"/>
          <w:color w:val="000000" w:themeColor="text1"/>
          <w:sz w:val="32"/>
          <w:szCs w:val="32"/>
          <w14:textFill>
            <w14:solidFill>
              <w14:schemeClr w14:val="tx1"/>
            </w14:solidFill>
          </w14:textFill>
        </w:rPr>
        <w:t>新一代信息技术</w:t>
      </w:r>
      <w:r>
        <w:rPr>
          <w:rFonts w:hint="eastAsia" w:ascii="仿宋_GB2312" w:hAnsi="仿宋" w:eastAsia="仿宋_GB2312"/>
          <w:color w:val="000000" w:themeColor="text1"/>
          <w:sz w:val="32"/>
          <w:szCs w:val="32"/>
          <w14:textFill>
            <w14:solidFill>
              <w14:schemeClr w14:val="tx1"/>
            </w14:solidFill>
          </w14:textFill>
        </w:rPr>
        <w:t>、</w:t>
      </w:r>
      <w:r>
        <w:rPr>
          <w:rFonts w:ascii="仿宋_GB2312" w:hAnsi="仿宋" w:eastAsia="仿宋_GB2312" w:cs="Times New Roman"/>
          <w:color w:val="000000" w:themeColor="text1"/>
          <w:sz w:val="32"/>
          <w:szCs w:val="32"/>
          <w14:textFill>
            <w14:solidFill>
              <w14:schemeClr w14:val="tx1"/>
            </w14:solidFill>
          </w14:textFill>
        </w:rPr>
        <w:t>高端装备制造、新材料</w:t>
      </w:r>
      <w:r>
        <w:rPr>
          <w:rFonts w:hint="eastAsia" w:ascii="仿宋_GB2312" w:hAnsi="仿宋" w:eastAsia="仿宋_GB2312"/>
          <w:color w:val="000000" w:themeColor="text1"/>
          <w:sz w:val="32"/>
          <w:szCs w:val="32"/>
          <w14:textFill>
            <w14:solidFill>
              <w14:schemeClr w14:val="tx1"/>
            </w14:solidFill>
          </w14:textFill>
        </w:rPr>
        <w:t>等产业均有突破性发展。在服务业领域，</w:t>
      </w:r>
      <w:r>
        <w:rPr>
          <w:rFonts w:hint="eastAsia" w:ascii="仿宋_GB2312" w:hAnsi="仿宋_GB2312" w:eastAsia="仿宋_GB2312" w:cs="仿宋_GB2312"/>
          <w:color w:val="000000" w:themeColor="text1"/>
          <w:sz w:val="32"/>
          <w:szCs w:val="32"/>
          <w14:textFill>
            <w14:solidFill>
              <w14:schemeClr w14:val="tx1"/>
            </w14:solidFill>
          </w14:textFill>
        </w:rPr>
        <w:t>2020年新区规上限上服务业企业达81家，</w:t>
      </w:r>
      <w:r>
        <w:rPr>
          <w:rFonts w:hint="eastAsia" w:ascii="仿宋_GB2312" w:eastAsia="仿宋_GB2312"/>
          <w:color w:val="000000" w:themeColor="text1"/>
          <w:sz w:val="32"/>
          <w:szCs w:val="32"/>
          <w14:textFill>
            <w14:solidFill>
              <w14:schemeClr w14:val="tx1"/>
            </w14:solidFill>
          </w14:textFill>
        </w:rPr>
        <w:t>三产增加值达79.26亿元，在经济总量的占比</w:t>
      </w:r>
      <w:r>
        <w:rPr>
          <w:rFonts w:hint="eastAsia" w:ascii="仿宋_GB2312" w:hAnsi="仿宋" w:eastAsia="仿宋_GB2312"/>
          <w:color w:val="000000" w:themeColor="text1"/>
          <w:sz w:val="32"/>
          <w:szCs w:val="32"/>
          <w14:textFill>
            <w14:solidFill>
              <w14:schemeClr w14:val="tx1"/>
            </w14:solidFill>
          </w14:textFill>
        </w:rPr>
        <w:t>稳步攀升。一批</w:t>
      </w:r>
      <w:r>
        <w:rPr>
          <w:rFonts w:hint="eastAsia" w:ascii="仿宋_GB2312" w:hAnsi="仿宋" w:eastAsia="仿宋_GB2312" w:cs="Times New Roman"/>
          <w:color w:val="000000" w:themeColor="text1"/>
          <w:sz w:val="32"/>
          <w:szCs w:val="32"/>
          <w14:textFill>
            <w14:solidFill>
              <w14:schemeClr w14:val="tx1"/>
            </w14:solidFill>
          </w14:textFill>
        </w:rPr>
        <w:t>汽车质量检验</w:t>
      </w:r>
      <w:r>
        <w:rPr>
          <w:rFonts w:hint="eastAsia" w:ascii="仿宋_GB2312" w:hAnsi="仿宋" w:eastAsia="仿宋_GB2312"/>
          <w:color w:val="000000" w:themeColor="text1"/>
          <w:sz w:val="32"/>
          <w:szCs w:val="32"/>
          <w14:textFill>
            <w14:solidFill>
              <w14:schemeClr w14:val="tx1"/>
            </w14:solidFill>
          </w14:textFill>
        </w:rPr>
        <w:t>、技术研发、</w:t>
      </w:r>
      <w:r>
        <w:rPr>
          <w:rFonts w:hint="eastAsia" w:ascii="仿宋_GB2312" w:hAnsi="仿宋" w:eastAsia="仿宋_GB2312" w:cs="Times New Roman"/>
          <w:color w:val="000000" w:themeColor="text1"/>
          <w:sz w:val="32"/>
          <w:szCs w:val="32"/>
          <w14:textFill>
            <w14:solidFill>
              <w14:schemeClr w14:val="tx1"/>
            </w14:solidFill>
          </w14:textFill>
        </w:rPr>
        <w:t>保税物流</w:t>
      </w:r>
      <w:r>
        <w:rPr>
          <w:rFonts w:hint="eastAsia" w:ascii="仿宋_GB2312" w:hAnsi="仿宋" w:eastAsia="仿宋_GB2312"/>
          <w:color w:val="000000" w:themeColor="text1"/>
          <w:sz w:val="32"/>
          <w:szCs w:val="32"/>
          <w14:textFill>
            <w14:solidFill>
              <w14:schemeClr w14:val="tx1"/>
            </w14:solidFill>
          </w14:textFill>
        </w:rPr>
        <w:t>、</w:t>
      </w:r>
      <w:r>
        <w:rPr>
          <w:rFonts w:hint="eastAsia" w:ascii="仿宋_GB2312" w:hAnsi="仿宋" w:eastAsia="仿宋_GB2312" w:cs="Times New Roman"/>
          <w:color w:val="000000" w:themeColor="text1"/>
          <w:sz w:val="32"/>
          <w:szCs w:val="32"/>
          <w14:textFill>
            <w14:solidFill>
              <w14:schemeClr w14:val="tx1"/>
            </w14:solidFill>
          </w14:textFill>
        </w:rPr>
        <w:t>物流配送</w:t>
      </w:r>
      <w:r>
        <w:rPr>
          <w:rFonts w:hint="eastAsia" w:ascii="仿宋_GB2312" w:hAnsi="仿宋" w:eastAsia="仿宋_GB2312"/>
          <w:color w:val="000000" w:themeColor="text1"/>
          <w:sz w:val="32"/>
          <w:szCs w:val="32"/>
          <w14:textFill>
            <w14:solidFill>
              <w14:schemeClr w14:val="tx1"/>
            </w14:solidFill>
          </w14:textFill>
        </w:rPr>
        <w:t>、商务</w:t>
      </w:r>
      <w:r>
        <w:rPr>
          <w:rFonts w:hint="eastAsia" w:ascii="仿宋_GB2312" w:hAnsi="仿宋" w:eastAsia="仿宋_GB2312" w:cs="Times New Roman"/>
          <w:color w:val="000000" w:themeColor="text1"/>
          <w:sz w:val="32"/>
          <w:szCs w:val="32"/>
          <w14:textFill>
            <w14:solidFill>
              <w14:schemeClr w14:val="tx1"/>
            </w14:solidFill>
          </w14:textFill>
        </w:rPr>
        <w:t>会展</w:t>
      </w:r>
      <w:r>
        <w:rPr>
          <w:rFonts w:hint="eastAsia" w:ascii="仿宋_GB2312" w:hAnsi="仿宋" w:eastAsia="仿宋_GB2312"/>
          <w:color w:val="000000" w:themeColor="text1"/>
          <w:sz w:val="32"/>
          <w:szCs w:val="32"/>
          <w14:textFill>
            <w14:solidFill>
              <w14:schemeClr w14:val="tx1"/>
            </w14:solidFill>
          </w14:textFill>
        </w:rPr>
        <w:t>等服务载体全面建成使用，生产性服务业欣欣向荣、支撑有力；业态多元、</w:t>
      </w:r>
      <w:r>
        <w:rPr>
          <w:rFonts w:hint="eastAsia" w:ascii="仿宋_GB2312" w:hAnsi="仿宋_GB2312" w:eastAsia="仿宋_GB2312" w:cs="仿宋_GB2312"/>
          <w:color w:val="000000" w:themeColor="text1"/>
          <w:sz w:val="32"/>
          <w:szCs w:val="32"/>
          <w14:textFill>
            <w14:solidFill>
              <w14:schemeClr w14:val="tx1"/>
            </w14:solidFill>
          </w14:textFill>
        </w:rPr>
        <w:t>功能复合、特色</w:t>
      </w:r>
      <w:r>
        <w:rPr>
          <w:rFonts w:hint="eastAsia" w:ascii="仿宋_GB2312" w:hAnsi="仿宋_GB2312" w:eastAsia="仿宋_GB2312" w:cs="仿宋_GB2312"/>
          <w:color w:val="000000" w:themeColor="text1"/>
          <w:sz w:val="32"/>
          <w:szCs w:val="32"/>
          <w:lang w:eastAsia="zh-CN"/>
          <w14:textFill>
            <w14:solidFill>
              <w14:schemeClr w14:val="tx1"/>
            </w14:solidFill>
          </w14:textFill>
        </w:rPr>
        <w:t>突出</w:t>
      </w:r>
      <w:r>
        <w:rPr>
          <w:rFonts w:hint="eastAsia" w:ascii="仿宋_GB2312" w:hAnsi="仿宋_GB2312" w:eastAsia="仿宋_GB2312" w:cs="仿宋_GB2312"/>
          <w:color w:val="000000" w:themeColor="text1"/>
          <w:sz w:val="32"/>
          <w:szCs w:val="32"/>
          <w14:textFill>
            <w14:solidFill>
              <w14:schemeClr w14:val="tx1"/>
            </w14:solidFill>
          </w14:textFill>
        </w:rPr>
        <w:t>的</w:t>
      </w:r>
      <w:r>
        <w:rPr>
          <w:rFonts w:hint="eastAsia" w:ascii="仿宋_GB2312" w:hAnsi="仿宋" w:eastAsia="仿宋_GB2312"/>
          <w:color w:val="000000" w:themeColor="text1"/>
          <w:sz w:val="32"/>
          <w:szCs w:val="32"/>
          <w14:textFill>
            <w14:solidFill>
              <w14:schemeClr w14:val="tx1"/>
            </w14:solidFill>
          </w14:textFill>
        </w:rPr>
        <w:t>生活性服务业、文旅产业齐头并进，批零住餐和</w:t>
      </w:r>
      <w:r>
        <w:rPr>
          <w:rFonts w:ascii="仿宋_GB2312" w:hAnsi="仿宋" w:eastAsia="仿宋_GB2312"/>
          <w:color w:val="000000" w:themeColor="text1"/>
          <w:sz w:val="32"/>
          <w:szCs w:val="32"/>
          <w14:textFill>
            <w14:solidFill>
              <w14:schemeClr w14:val="tx1"/>
            </w14:solidFill>
          </w14:textFill>
        </w:rPr>
        <w:t>其他营利性服务业</w:t>
      </w:r>
      <w:r>
        <w:rPr>
          <w:rFonts w:hint="eastAsia" w:ascii="仿宋_GB2312" w:hAnsi="仿宋" w:eastAsia="仿宋_GB2312"/>
          <w:color w:val="000000" w:themeColor="text1"/>
          <w:sz w:val="32"/>
          <w:szCs w:val="32"/>
          <w14:textFill>
            <w14:solidFill>
              <w14:schemeClr w14:val="tx1"/>
            </w14:solidFill>
          </w14:textFill>
        </w:rPr>
        <w:t>有力拉动经济上行，</w:t>
      </w:r>
      <w:r>
        <w:rPr>
          <w:rFonts w:hint="eastAsia" w:ascii="仿宋_GB2312" w:eastAsia="仿宋_GB2312"/>
          <w:bCs/>
          <w:color w:val="000000" w:themeColor="text1"/>
          <w:sz w:val="32"/>
          <w:szCs w:val="32"/>
          <w14:textFill>
            <w14:solidFill>
              <w14:schemeClr w14:val="tx1"/>
            </w14:solidFill>
          </w14:textFill>
        </w:rPr>
        <w:t>全境游客</w:t>
      </w:r>
      <w:r>
        <w:rPr>
          <w:rFonts w:hint="eastAsia" w:ascii="仿宋_GB2312" w:hAnsi="仿宋" w:eastAsia="仿宋_GB2312"/>
          <w:color w:val="000000" w:themeColor="text1"/>
          <w:sz w:val="32"/>
          <w:szCs w:val="32"/>
          <w14:textFill>
            <w14:solidFill>
              <w14:schemeClr w14:val="tx1"/>
            </w14:solidFill>
          </w14:textFill>
        </w:rPr>
        <w:t>最高年度突破</w:t>
      </w:r>
      <w:r>
        <w:rPr>
          <w:rFonts w:ascii="仿宋_GB2312" w:eastAsia="仿宋_GB2312"/>
          <w:bCs/>
          <w:color w:val="000000" w:themeColor="text1"/>
          <w:sz w:val="32"/>
          <w:szCs w:val="32"/>
          <w14:textFill>
            <w14:solidFill>
              <w14:schemeClr w14:val="tx1"/>
            </w14:solidFill>
          </w14:textFill>
        </w:rPr>
        <w:t>250</w:t>
      </w:r>
      <w:r>
        <w:rPr>
          <w:rFonts w:hint="eastAsia" w:ascii="仿宋_GB2312" w:eastAsia="仿宋_GB2312"/>
          <w:bCs/>
          <w:color w:val="000000" w:themeColor="text1"/>
          <w:sz w:val="32"/>
          <w:szCs w:val="32"/>
          <w14:textFill>
            <w14:solidFill>
              <w14:schemeClr w14:val="tx1"/>
            </w14:solidFill>
          </w14:textFill>
        </w:rPr>
        <w:t>万人次，年旅游收入</w:t>
      </w:r>
      <w:r>
        <w:rPr>
          <w:rFonts w:ascii="仿宋_GB2312" w:eastAsia="仿宋_GB2312"/>
          <w:bCs/>
          <w:color w:val="000000" w:themeColor="text1"/>
          <w:sz w:val="32"/>
          <w:szCs w:val="32"/>
          <w14:textFill>
            <w14:solidFill>
              <w14:schemeClr w14:val="tx1"/>
            </w14:solidFill>
          </w14:textFill>
        </w:rPr>
        <w:t>1</w:t>
      </w:r>
      <w:r>
        <w:rPr>
          <w:rFonts w:hint="eastAsia" w:ascii="仿宋_GB2312" w:eastAsia="仿宋_GB2312"/>
          <w:bCs/>
          <w:color w:val="000000" w:themeColor="text1"/>
          <w:sz w:val="32"/>
          <w:szCs w:val="32"/>
          <w14:textFill>
            <w14:solidFill>
              <w14:schemeClr w14:val="tx1"/>
            </w14:solidFill>
          </w14:textFill>
        </w:rPr>
        <w:t>亿元</w:t>
      </w:r>
      <w:r>
        <w:rPr>
          <w:rFonts w:hint="eastAsia" w:ascii="仿宋_GB2312" w:hAnsi="仿宋" w:eastAsia="仿宋_GB2312"/>
          <w:color w:val="000000" w:themeColor="text1"/>
          <w:sz w:val="32"/>
          <w:szCs w:val="32"/>
          <w14:textFill>
            <w14:solidFill>
              <w14:schemeClr w14:val="tx1"/>
            </w14:solidFill>
          </w14:textFill>
        </w:rPr>
        <w:t>。4个友邻汇项目、4家AAAA级景区汇聚客流，一批</w:t>
      </w:r>
      <w:r>
        <w:rPr>
          <w:rFonts w:ascii="Times New Roman" w:hAnsi="Times New Roman" w:eastAsia="仿宋_GB2312" w:cs="Times New Roman"/>
          <w:color w:val="000000" w:themeColor="text1"/>
          <w:sz w:val="32"/>
          <w:szCs w:val="32"/>
          <w14:textFill>
            <w14:solidFill>
              <w14:schemeClr w14:val="tx1"/>
            </w14:solidFill>
          </w14:textFill>
        </w:rPr>
        <w:t>农贸市场</w:t>
      </w:r>
      <w:r>
        <w:rPr>
          <w:rFonts w:hint="eastAsia" w:ascii="Times New Roman" w:hAnsi="Times New Roman" w:eastAsia="仿宋_GB2312" w:cs="Times New Roman"/>
          <w:color w:val="000000" w:themeColor="text1"/>
          <w:sz w:val="32"/>
          <w:szCs w:val="32"/>
          <w14:textFill>
            <w14:solidFill>
              <w14:schemeClr w14:val="tx1"/>
            </w14:solidFill>
          </w14:textFill>
        </w:rPr>
        <w:t>、</w:t>
      </w:r>
      <w:r>
        <w:rPr>
          <w:rFonts w:hint="eastAsia" w:ascii="仿宋_GB2312" w:hAnsi="仿宋" w:eastAsia="仿宋_GB2312"/>
          <w:color w:val="000000" w:themeColor="text1"/>
          <w:sz w:val="32"/>
          <w:szCs w:val="32"/>
          <w14:textFill>
            <w14:solidFill>
              <w14:schemeClr w14:val="tx1"/>
            </w14:solidFill>
          </w14:textFill>
        </w:rPr>
        <w:t>乡村旅游区、商务酒店、主</w:t>
      </w:r>
      <w:r>
        <w:rPr>
          <w:rFonts w:hint="eastAsia" w:ascii="仿宋_GB2312" w:eastAsia="仿宋_GB2312"/>
          <w:color w:val="000000" w:themeColor="text1"/>
          <w:sz w:val="32"/>
          <w:szCs w:val="32"/>
          <w14:textFill>
            <w14:solidFill>
              <w14:schemeClr w14:val="tx1"/>
            </w14:solidFill>
          </w14:textFill>
        </w:rPr>
        <w:t>题酒店错落布局，消费服务业渐入佳境。在农业领域，农业经济规模持续壮大，2020年一产增加值达2.61亿元，连续五年稳定增长，</w:t>
      </w:r>
      <w:r>
        <w:rPr>
          <w:rFonts w:ascii="仿宋_GB2312" w:eastAsia="仿宋_GB2312"/>
          <w:color w:val="000000" w:themeColor="text1"/>
          <w:sz w:val="32"/>
          <w:szCs w:val="32"/>
          <w14:textFill>
            <w14:solidFill>
              <w14:schemeClr w14:val="tx1"/>
            </w14:solidFill>
          </w14:textFill>
        </w:rPr>
        <w:t>粮食、蔗糖、水果、蔬菜、</w:t>
      </w:r>
      <w:r>
        <w:rPr>
          <w:rFonts w:hint="eastAsia" w:ascii="仿宋_GB2312" w:eastAsia="仿宋_GB2312"/>
          <w:color w:val="000000" w:themeColor="text1"/>
          <w:sz w:val="32"/>
          <w:szCs w:val="32"/>
          <w14:textFill>
            <w14:solidFill>
              <w14:schemeClr w14:val="tx1"/>
            </w14:solidFill>
          </w14:textFill>
        </w:rPr>
        <w:t>林木</w:t>
      </w:r>
      <w:r>
        <w:rPr>
          <w:rFonts w:ascii="仿宋_GB2312" w:eastAsia="仿宋_GB2312"/>
          <w:color w:val="000000" w:themeColor="text1"/>
          <w:sz w:val="32"/>
          <w:szCs w:val="32"/>
          <w14:textFill>
            <w14:solidFill>
              <w14:schemeClr w14:val="tx1"/>
            </w14:solidFill>
          </w14:textFill>
        </w:rPr>
        <w:t>、优质家畜</w:t>
      </w:r>
      <w:r>
        <w:rPr>
          <w:rFonts w:hint="eastAsia" w:ascii="仿宋_GB2312" w:eastAsia="仿宋_GB2312"/>
          <w:color w:val="000000" w:themeColor="text1"/>
          <w:sz w:val="32"/>
          <w:szCs w:val="32"/>
          <w14:textFill>
            <w14:solidFill>
              <w14:schemeClr w14:val="tx1"/>
            </w14:solidFill>
          </w14:textFill>
        </w:rPr>
        <w:t>等产业保持健康发展。以</w:t>
      </w:r>
      <w:r>
        <w:rPr>
          <w:rFonts w:ascii="仿宋_GB2312" w:eastAsia="仿宋_GB2312"/>
          <w:color w:val="000000" w:themeColor="text1"/>
          <w:sz w:val="32"/>
          <w:szCs w:val="32"/>
          <w14:textFill>
            <w14:solidFill>
              <w14:schemeClr w14:val="tx1"/>
            </w14:solidFill>
          </w14:textFill>
        </w:rPr>
        <w:t>乡村振兴战略</w:t>
      </w:r>
      <w:r>
        <w:rPr>
          <w:rFonts w:hint="eastAsia" w:ascii="仿宋_GB2312" w:eastAsia="仿宋_GB2312"/>
          <w:color w:val="000000" w:themeColor="text1"/>
          <w:sz w:val="32"/>
          <w:szCs w:val="32"/>
          <w14:textFill>
            <w14:solidFill>
              <w14:schemeClr w14:val="tx1"/>
            </w14:solidFill>
          </w14:textFill>
        </w:rPr>
        <w:t>引领农业高质量发展</w:t>
      </w:r>
      <w:r>
        <w:rPr>
          <w:rFonts w:ascii="仿宋_GB2312" w:eastAsia="仿宋_GB2312"/>
          <w:color w:val="000000" w:themeColor="text1"/>
          <w:sz w:val="32"/>
          <w:szCs w:val="32"/>
          <w14:textFill>
            <w14:solidFill>
              <w14:schemeClr w14:val="tx1"/>
            </w14:solidFill>
          </w14:textFill>
        </w:rPr>
        <w:t>，</w:t>
      </w:r>
      <w:r>
        <w:rPr>
          <w:rFonts w:hint="eastAsia" w:ascii="仿宋_GB2312" w:eastAsia="仿宋_GB2312"/>
          <w:color w:val="000000" w:themeColor="text1"/>
          <w:sz w:val="32"/>
          <w:szCs w:val="32"/>
          <w14:textFill>
            <w14:solidFill>
              <w14:schemeClr w14:val="tx1"/>
            </w14:solidFill>
          </w14:textFill>
        </w:rPr>
        <w:t>新区农业产业产品结构持续调整优化，</w:t>
      </w:r>
      <w:r>
        <w:rPr>
          <w:rFonts w:ascii="仿宋_GB2312" w:eastAsia="仿宋_GB2312"/>
          <w:color w:val="000000" w:themeColor="text1"/>
          <w:sz w:val="32"/>
          <w:szCs w:val="32"/>
          <w14:textFill>
            <w14:solidFill>
              <w14:schemeClr w14:val="tx1"/>
            </w14:solidFill>
          </w14:textFill>
        </w:rPr>
        <w:t>农产品</w:t>
      </w:r>
      <w:r>
        <w:rPr>
          <w:rFonts w:hint="eastAsia" w:ascii="仿宋_GB2312" w:eastAsia="仿宋_GB2312"/>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三品一标</w:t>
      </w:r>
      <w:r>
        <w:rPr>
          <w:rFonts w:hint="eastAsia" w:ascii="Times New Roman" w:hAnsi="Times New Roman" w:eastAsia="仿宋_GB2312"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认证</w:t>
      </w:r>
      <w:r>
        <w:rPr>
          <w:rFonts w:hint="eastAsia" w:ascii="Times New Roman" w:hAnsi="Times New Roman" w:eastAsia="仿宋_GB2312" w:cs="Times New Roman"/>
          <w:color w:val="000000" w:themeColor="text1"/>
          <w:sz w:val="32"/>
          <w:szCs w:val="32"/>
          <w14:textFill>
            <w14:solidFill>
              <w14:schemeClr w14:val="tx1"/>
            </w14:solidFill>
          </w14:textFill>
        </w:rPr>
        <w:t>、知名</w:t>
      </w:r>
      <w:r>
        <w:rPr>
          <w:rFonts w:ascii="Times New Roman" w:hAnsi="Times New Roman" w:eastAsia="仿宋_GB2312" w:cs="Times New Roman"/>
          <w:color w:val="000000" w:themeColor="text1"/>
          <w:sz w:val="32"/>
          <w:szCs w:val="32"/>
          <w14:textFill>
            <w14:solidFill>
              <w14:schemeClr w14:val="tx1"/>
            </w14:solidFill>
          </w14:textFill>
        </w:rPr>
        <w:t>品牌</w:t>
      </w:r>
      <w:r>
        <w:rPr>
          <w:rFonts w:hint="eastAsia" w:ascii="Times New Roman" w:hAnsi="Times New Roman" w:eastAsia="仿宋_GB2312" w:cs="Times New Roman"/>
          <w:color w:val="000000" w:themeColor="text1"/>
          <w:sz w:val="32"/>
          <w:szCs w:val="32"/>
          <w14:textFill>
            <w14:solidFill>
              <w14:schemeClr w14:val="tx1"/>
            </w14:solidFill>
          </w14:textFill>
        </w:rPr>
        <w:t>建设稳步实施，</w:t>
      </w:r>
      <w:r>
        <w:rPr>
          <w:rFonts w:ascii="Times New Roman" w:hAnsi="Times New Roman" w:eastAsia="仿宋_GB2312" w:cs="Times New Roman"/>
          <w:color w:val="000000" w:themeColor="text1"/>
          <w:sz w:val="32"/>
          <w:szCs w:val="32"/>
          <w14:textFill>
            <w14:solidFill>
              <w14:schemeClr w14:val="tx1"/>
            </w14:solidFill>
          </w14:textFill>
        </w:rPr>
        <w:t>现代特色农业示范区、乡级现代特色农业示范园</w:t>
      </w:r>
      <w:r>
        <w:rPr>
          <w:rFonts w:hint="eastAsia" w:ascii="Times New Roman" w:hAnsi="Times New Roman" w:eastAsia="仿宋_GB2312" w:cs="Times New Roman"/>
          <w:color w:val="000000" w:themeColor="text1"/>
          <w:sz w:val="32"/>
          <w:szCs w:val="32"/>
          <w14:textFill>
            <w14:solidFill>
              <w14:schemeClr w14:val="tx1"/>
            </w14:solidFill>
          </w14:textFill>
        </w:rPr>
        <w:t>做大做深，</w:t>
      </w:r>
      <w:r>
        <w:rPr>
          <w:rFonts w:hint="eastAsia" w:ascii="仿宋_GB2312" w:hAnsi="仿宋_GB2312" w:eastAsia="仿宋_GB2312" w:cs="仿宋_GB2312"/>
          <w:color w:val="000000" w:themeColor="text1"/>
          <w:sz w:val="32"/>
          <w:szCs w:val="32"/>
          <w14:textFill>
            <w14:solidFill>
              <w14:schemeClr w14:val="tx1"/>
            </w14:solidFill>
          </w14:textFill>
        </w:rPr>
        <w:t>一批特色农产品加快</w:t>
      </w:r>
      <w:r>
        <w:rPr>
          <w:rFonts w:ascii="Times New Roman" w:hAnsi="Times New Roman" w:eastAsia="仿宋_GB2312" w:cs="Times New Roman"/>
          <w:color w:val="000000" w:themeColor="text1"/>
          <w:sz w:val="32"/>
          <w:szCs w:val="32"/>
          <w14:textFill>
            <w14:solidFill>
              <w14:schemeClr w14:val="tx1"/>
            </w14:solidFill>
          </w14:textFill>
        </w:rPr>
        <w:t>集聚发展</w:t>
      </w:r>
      <w:r>
        <w:rPr>
          <w:rFonts w:hint="eastAsia" w:ascii="仿宋_GB2312" w:hAnsi="仿宋_GB2312" w:eastAsia="仿宋_GB2312" w:cs="仿宋_GB2312"/>
          <w:color w:val="000000" w:themeColor="text1"/>
          <w:sz w:val="32"/>
          <w:szCs w:val="32"/>
          <w14:textFill>
            <w14:solidFill>
              <w14:schemeClr w14:val="tx1"/>
            </w14:solidFill>
          </w14:textFill>
        </w:rPr>
        <w:t>，菜</w:t>
      </w:r>
      <w:r>
        <w:rPr>
          <w:rFonts w:hint="eastAsia" w:ascii="仿宋_GB2312" w:hAnsi="仿宋_GB2312" w:eastAsia="仿宋_GB2312" w:cs="仿宋_GB2312"/>
          <w:color w:val="000000" w:themeColor="text1"/>
          <w:sz w:val="32"/>
          <w:szCs w:val="32"/>
          <w:lang w:eastAsia="zh-CN"/>
          <w14:textFill>
            <w14:solidFill>
              <w14:schemeClr w14:val="tx1"/>
            </w14:solidFill>
          </w14:textFill>
        </w:rPr>
        <w:t>篮</w:t>
      </w:r>
      <w:r>
        <w:rPr>
          <w:rFonts w:hint="eastAsia" w:ascii="仿宋_GB2312" w:hAnsi="仿宋_GB2312" w:eastAsia="仿宋_GB2312" w:cs="仿宋_GB2312"/>
          <w:color w:val="000000" w:themeColor="text1"/>
          <w:sz w:val="32"/>
          <w:szCs w:val="32"/>
          <w14:textFill>
            <w14:solidFill>
              <w14:schemeClr w14:val="tx1"/>
            </w14:solidFill>
          </w14:textFill>
        </w:rPr>
        <w:t>子供给日益丰富多样。</w:t>
      </w:r>
    </w:p>
    <w:p>
      <w:pPr>
        <w:pStyle w:val="5"/>
        <w:numPr>
          <w:ilvl w:val="0"/>
          <w:numId w:val="2"/>
        </w:numPr>
        <w:spacing w:before="120" w:after="0" w:line="240" w:lineRule="auto"/>
        <w:ind w:firstLine="640" w:firstLineChars="200"/>
        <w:rPr>
          <w:rFonts w:ascii="黑体" w:hAnsi="黑体" w:eastAsia="黑体"/>
          <w:b w:val="0"/>
          <w:color w:val="000000" w:themeColor="text1"/>
          <w14:textFill>
            <w14:solidFill>
              <w14:schemeClr w14:val="tx1"/>
            </w14:solidFill>
          </w14:textFill>
        </w:rPr>
      </w:pPr>
      <w:r>
        <w:rPr>
          <w:rFonts w:hint="eastAsia" w:ascii="黑体" w:hAnsi="黑体" w:eastAsia="黑体"/>
          <w:b w:val="0"/>
          <w:color w:val="000000" w:themeColor="text1"/>
          <w14:textFill>
            <w14:solidFill>
              <w14:schemeClr w14:val="tx1"/>
            </w14:solidFill>
          </w14:textFill>
        </w:rPr>
        <w:t>创新柳东活力洋溢</w:t>
      </w:r>
    </w:p>
    <w:p>
      <w:pPr>
        <w:ind w:firstLine="640" w:firstLineChars="200"/>
        <w:rPr>
          <w:rFonts w:ascii="仿宋_GB2312" w:hAnsi="仿宋" w:eastAsia="仿宋_GB2312" w:cs="仿宋_GB2312"/>
          <w:bCs/>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“十三五”期间，新区坚持</w:t>
      </w:r>
      <w:r>
        <w:rPr>
          <w:rFonts w:hint="eastAsia" w:ascii="仿宋_GB2312" w:eastAsia="仿宋_GB2312"/>
          <w:color w:val="000000" w:themeColor="text1"/>
          <w:sz w:val="32"/>
          <w:szCs w:val="32"/>
          <w14:textFill>
            <w14:solidFill>
              <w14:schemeClr w14:val="tx1"/>
            </w14:solidFill>
          </w14:textFill>
        </w:rPr>
        <w:t>“汽车产业衍生带动、智慧科技驱动转型”，</w:t>
      </w:r>
      <w:r>
        <w:rPr>
          <w:rFonts w:ascii="仿宋_GB2312" w:hAnsi="仿宋_GB2312" w:eastAsia="仿宋_GB2312" w:cs="仿宋_GB2312"/>
          <w:color w:val="000000" w:themeColor="text1"/>
          <w:sz w:val="32"/>
          <w:szCs w:val="32"/>
          <w14:textFill>
            <w14:solidFill>
              <w14:schemeClr w14:val="tx1"/>
            </w14:solidFill>
          </w14:textFill>
        </w:rPr>
        <w:t>打造一流</w:t>
      </w:r>
      <w:r>
        <w:rPr>
          <w:rFonts w:hint="eastAsia" w:ascii="仿宋_GB2312" w:hAnsi="仿宋_GB2312" w:eastAsia="仿宋_GB2312" w:cs="仿宋_GB2312"/>
          <w:color w:val="000000" w:themeColor="text1"/>
          <w:sz w:val="32"/>
          <w:szCs w:val="32"/>
          <w14:textFill>
            <w14:solidFill>
              <w14:schemeClr w14:val="tx1"/>
            </w14:solidFill>
          </w14:textFill>
        </w:rPr>
        <w:t>科创</w:t>
      </w:r>
      <w:r>
        <w:rPr>
          <w:rFonts w:ascii="仿宋_GB2312" w:hAnsi="仿宋_GB2312" w:eastAsia="仿宋_GB2312" w:cs="仿宋_GB2312"/>
          <w:color w:val="000000" w:themeColor="text1"/>
          <w:sz w:val="32"/>
          <w:szCs w:val="32"/>
          <w14:textFill>
            <w14:solidFill>
              <w14:schemeClr w14:val="tx1"/>
            </w14:solidFill>
          </w14:textFill>
        </w:rPr>
        <w:t>园区</w:t>
      </w:r>
      <w:r>
        <w:rPr>
          <w:rFonts w:hint="eastAsia" w:ascii="仿宋_GB2312" w:hAnsi="仿宋_GB2312" w:eastAsia="仿宋_GB2312" w:cs="仿宋_GB2312"/>
          <w:color w:val="000000" w:themeColor="text1"/>
          <w:sz w:val="32"/>
          <w:szCs w:val="32"/>
          <w14:textFill>
            <w14:solidFill>
              <w14:schemeClr w14:val="tx1"/>
            </w14:solidFill>
          </w14:textFill>
        </w:rPr>
        <w:t>，致力将</w:t>
      </w:r>
      <w:r>
        <w:rPr>
          <w:rFonts w:ascii="仿宋_GB2312" w:hAnsi="仿宋_GB2312" w:eastAsia="仿宋_GB2312" w:cs="仿宋_GB2312"/>
          <w:color w:val="000000" w:themeColor="text1"/>
          <w:sz w:val="32"/>
          <w:szCs w:val="32"/>
          <w14:textFill>
            <w14:solidFill>
              <w14:schemeClr w14:val="tx1"/>
            </w14:solidFill>
          </w14:textFill>
        </w:rPr>
        <w:t>科技创新优势转化为园区发展强势，</w:t>
      </w:r>
      <w:r>
        <w:rPr>
          <w:rFonts w:hint="eastAsia" w:ascii="仿宋_GB2312" w:hAnsi="仿宋_GB2312" w:eastAsia="仿宋_GB2312" w:cs="仿宋_GB2312"/>
          <w:color w:val="000000" w:themeColor="text1"/>
          <w:sz w:val="32"/>
          <w:szCs w:val="32"/>
          <w14:textFill>
            <w14:solidFill>
              <w14:schemeClr w14:val="tx1"/>
            </w14:solidFill>
          </w14:textFill>
        </w:rPr>
        <w:t>科技支撑发展动能全面增强。</w:t>
      </w:r>
      <w:r>
        <w:rPr>
          <w:rFonts w:hint="eastAsia" w:ascii="仿宋_GB2312" w:hAnsi="仿宋_GB2312" w:eastAsia="仿宋_GB2312" w:cs="仿宋_GB2312"/>
          <w:color w:val="000000" w:themeColor="text1"/>
          <w:sz w:val="32"/>
          <w:szCs w:val="40"/>
          <w14:textFill>
            <w14:solidFill>
              <w14:schemeClr w14:val="tx1"/>
            </w14:solidFill>
          </w14:textFill>
        </w:rPr>
        <w:t>柳州高新区综合排名在全国</w:t>
      </w:r>
      <w:r>
        <w:rPr>
          <w:rFonts w:ascii="仿宋_GB2312" w:hAnsi="仿宋_GB2312" w:eastAsia="仿宋_GB2312" w:cs="仿宋_GB2312"/>
          <w:color w:val="000000" w:themeColor="text1"/>
          <w:sz w:val="32"/>
          <w:szCs w:val="40"/>
          <w14:textFill>
            <w14:solidFill>
              <w14:schemeClr w14:val="tx1"/>
            </w14:solidFill>
          </w14:textFill>
        </w:rPr>
        <w:t>169</w:t>
      </w:r>
      <w:r>
        <w:rPr>
          <w:rFonts w:hint="eastAsia" w:ascii="仿宋_GB2312" w:hAnsi="仿宋_GB2312" w:eastAsia="仿宋_GB2312" w:cs="仿宋_GB2312"/>
          <w:color w:val="000000" w:themeColor="text1"/>
          <w:sz w:val="32"/>
          <w:szCs w:val="40"/>
          <w14:textFill>
            <w14:solidFill>
              <w14:schemeClr w14:val="tx1"/>
            </w14:solidFill>
          </w14:textFill>
        </w:rPr>
        <w:t>家国家高新区中排第44位，</w:t>
      </w:r>
      <w:r>
        <w:rPr>
          <w:rFonts w:hint="eastAsia" w:ascii="仿宋_GB2312" w:hAnsi="仿宋" w:eastAsia="仿宋_GB2312" w:cs="仿宋"/>
          <w:color w:val="000000" w:themeColor="text1"/>
          <w:sz w:val="32"/>
          <w:szCs w:val="32"/>
          <w14:textFill>
            <w14:solidFill>
              <w14:schemeClr w14:val="tx1"/>
            </w14:solidFill>
          </w14:textFill>
        </w:rPr>
        <w:t>成为</w:t>
      </w:r>
      <w:r>
        <w:rPr>
          <w:rFonts w:eastAsia="仿宋_GB2312"/>
          <w:color w:val="000000" w:themeColor="text1"/>
          <w:sz w:val="32"/>
          <w:szCs w:val="32"/>
          <w:shd w:val="clear" w:color="auto" w:fill="FFFFFF"/>
          <w14:textFill>
            <w14:solidFill>
              <w14:schemeClr w14:val="tx1"/>
            </w14:solidFill>
          </w14:textFill>
        </w:rPr>
        <w:t>国家知识产权示范园区</w:t>
      </w:r>
      <w:r>
        <w:rPr>
          <w:rFonts w:hint="eastAsia" w:eastAsia="仿宋_GB2312"/>
          <w:color w:val="000000" w:themeColor="text1"/>
          <w:sz w:val="32"/>
          <w:szCs w:val="32"/>
          <w:shd w:val="clear" w:color="auto" w:fill="FFFFFF"/>
          <w14:textFill>
            <w14:solidFill>
              <w14:schemeClr w14:val="tx1"/>
            </w14:solidFill>
          </w14:textFill>
        </w:rPr>
        <w:t>、</w:t>
      </w:r>
      <w:r>
        <w:rPr>
          <w:rFonts w:hint="eastAsia" w:ascii="仿宋_GB2312" w:hAnsi="仿宋" w:eastAsia="仿宋_GB2312" w:cs="仿宋"/>
          <w:color w:val="000000" w:themeColor="text1"/>
          <w:sz w:val="32"/>
          <w:szCs w:val="32"/>
          <w14:textFill>
            <w14:solidFill>
              <w14:schemeClr w14:val="tx1"/>
            </w14:solidFill>
          </w14:textFill>
        </w:rPr>
        <w:t>国家大众创业万众创新示范基地、国家级小型</w:t>
      </w:r>
      <w:r>
        <w:rPr>
          <w:rFonts w:hint="eastAsia" w:ascii="仿宋_GB2312" w:hAnsi="仿宋_GB2312" w:eastAsia="仿宋_GB2312" w:cs="仿宋_GB2312"/>
          <w:color w:val="000000" w:themeColor="text1"/>
          <w:sz w:val="32"/>
          <w:szCs w:val="32"/>
          <w14:textFill>
            <w14:solidFill>
              <w14:schemeClr w14:val="tx1"/>
            </w14:solidFill>
          </w14:textFill>
        </w:rPr>
        <w:t>微型企业创业创新示范基地、</w:t>
      </w:r>
      <w:r>
        <w:rPr>
          <w:rStyle w:val="43"/>
          <w:rFonts w:hint="default"/>
          <w:color w:val="000000" w:themeColor="text1"/>
          <w14:textFill>
            <w14:solidFill>
              <w14:schemeClr w14:val="tx1"/>
            </w14:solidFill>
          </w14:textFill>
        </w:rPr>
        <w:t>国家产业园区发展竞争力百强园区</w:t>
      </w:r>
      <w:r>
        <w:rPr>
          <w:rFonts w:hint="eastAsia" w:ascii="仿宋_GB2312" w:hAnsi="仿宋_GB2312" w:eastAsia="仿宋_GB2312" w:cs="仿宋_GB2312"/>
          <w:color w:val="000000" w:themeColor="text1"/>
          <w:sz w:val="32"/>
          <w:szCs w:val="32"/>
          <w14:textFill>
            <w14:solidFill>
              <w14:schemeClr w14:val="tx1"/>
            </w14:solidFill>
          </w14:textFill>
        </w:rPr>
        <w:t>、</w:t>
      </w:r>
      <w:r>
        <w:rPr>
          <w:rFonts w:ascii="仿宋_GB2312" w:hAnsi="仿宋_GB2312" w:eastAsia="仿宋_GB2312" w:cs="仿宋_GB2312"/>
          <w:color w:val="000000" w:themeColor="text1"/>
          <w:sz w:val="32"/>
          <w:szCs w:val="32"/>
          <w14:textFill>
            <w14:solidFill>
              <w14:schemeClr w14:val="tx1"/>
            </w14:solidFill>
          </w14:textFill>
        </w:rPr>
        <w:t>广西第二批可持续发展实验区</w:t>
      </w:r>
      <w:r>
        <w:rPr>
          <w:rFonts w:hint="eastAsia" w:ascii="仿宋_GB2312" w:hAnsi="仿宋_GB2312" w:eastAsia="仿宋_GB2312" w:cs="仿宋_GB2312"/>
          <w:color w:val="000000" w:themeColor="text1"/>
          <w:sz w:val="32"/>
          <w:szCs w:val="32"/>
          <w14:textFill>
            <w14:solidFill>
              <w14:schemeClr w14:val="tx1"/>
            </w14:solidFill>
          </w14:textFill>
        </w:rPr>
        <w:t>，</w:t>
      </w:r>
      <w:r>
        <w:rPr>
          <w:rFonts w:ascii="仿宋_GB2312" w:hAnsi="仿宋_GB2312" w:eastAsia="仿宋_GB2312" w:cs="仿宋_GB2312"/>
          <w:color w:val="000000" w:themeColor="text1"/>
          <w:sz w:val="32"/>
          <w:szCs w:val="32"/>
          <w14:textFill>
            <w14:solidFill>
              <w14:schemeClr w14:val="tx1"/>
            </w14:solidFill>
          </w14:textFill>
        </w:rPr>
        <w:t>创新型特色园区</w:t>
      </w:r>
      <w:r>
        <w:rPr>
          <w:rFonts w:hint="eastAsia" w:ascii="仿宋_GB2312" w:hAnsi="仿宋_GB2312" w:eastAsia="仿宋_GB2312" w:cs="仿宋_GB2312"/>
          <w:color w:val="000000" w:themeColor="text1"/>
          <w:sz w:val="32"/>
          <w:szCs w:val="32"/>
          <w14:textFill>
            <w14:solidFill>
              <w14:schemeClr w14:val="tx1"/>
            </w14:solidFill>
          </w14:textFill>
        </w:rPr>
        <w:t>建设顺利</w:t>
      </w:r>
      <w:r>
        <w:rPr>
          <w:rFonts w:ascii="仿宋_GB2312" w:hAnsi="仿宋_GB2312" w:eastAsia="仿宋_GB2312" w:cs="仿宋_GB2312"/>
          <w:color w:val="000000" w:themeColor="text1"/>
          <w:sz w:val="32"/>
          <w:szCs w:val="32"/>
          <w14:textFill>
            <w14:solidFill>
              <w14:schemeClr w14:val="tx1"/>
            </w14:solidFill>
          </w14:textFill>
        </w:rPr>
        <w:t>通过自治区</w:t>
      </w:r>
      <w:r>
        <w:rPr>
          <w:rFonts w:eastAsia="仿宋_GB2312"/>
          <w:bCs/>
          <w:color w:val="000000" w:themeColor="text1"/>
          <w:sz w:val="32"/>
          <w:szCs w:val="32"/>
          <w14:textFill>
            <w14:solidFill>
              <w14:schemeClr w14:val="tx1"/>
            </w14:solidFill>
          </w14:textFill>
        </w:rPr>
        <w:t>验收</w:t>
      </w:r>
      <w:r>
        <w:rPr>
          <w:rFonts w:eastAsia="仿宋_GB2312"/>
          <w:color w:val="000000" w:themeColor="text1"/>
          <w:sz w:val="32"/>
          <w:szCs w:val="32"/>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创新主体持续壮大，</w:t>
      </w:r>
      <w:r>
        <w:rPr>
          <w:rFonts w:hint="eastAsia" w:ascii="仿宋_GB2312" w:hAnsi="仿宋_GB2312" w:eastAsia="仿宋_GB2312" w:cs="仿宋_GB2312"/>
          <w:bCs/>
          <w:color w:val="000000" w:themeColor="text1"/>
          <w:sz w:val="32"/>
          <w:szCs w:val="32"/>
          <w14:textFill>
            <w14:solidFill>
              <w14:schemeClr w14:val="tx1"/>
            </w14:solidFill>
          </w14:textFill>
        </w:rPr>
        <w:t>2020年</w:t>
      </w:r>
      <w:r>
        <w:rPr>
          <w:rFonts w:hint="eastAsia" w:ascii="仿宋_GB2312" w:hAnsi="仿宋_GB2312" w:eastAsia="仿宋_GB2312" w:cs="仿宋_GB2312"/>
          <w:color w:val="000000" w:themeColor="text1"/>
          <w:sz w:val="32"/>
          <w:szCs w:val="32"/>
          <w14:textFill>
            <w14:solidFill>
              <w14:schemeClr w14:val="tx1"/>
            </w14:solidFill>
          </w14:textFill>
        </w:rPr>
        <w:t>柳东新区拥有国家高新技术企业达到206家，科技型中小企业</w:t>
      </w:r>
      <w:r>
        <w:rPr>
          <w:rFonts w:ascii="仿宋_GB2312" w:hAnsi="仿宋_GB2312" w:eastAsia="仿宋_GB2312" w:cs="仿宋_GB2312"/>
          <w:color w:val="000000" w:themeColor="text1"/>
          <w:sz w:val="32"/>
          <w:szCs w:val="32"/>
          <w14:textFill>
            <w14:solidFill>
              <w14:schemeClr w14:val="tx1"/>
            </w14:solidFill>
          </w14:textFill>
        </w:rPr>
        <w:t>212</w:t>
      </w:r>
      <w:r>
        <w:rPr>
          <w:rFonts w:hint="eastAsia" w:ascii="仿宋_GB2312" w:hAnsi="仿宋_GB2312" w:eastAsia="仿宋_GB2312" w:cs="仿宋_GB2312"/>
          <w:color w:val="000000" w:themeColor="text1"/>
          <w:sz w:val="32"/>
          <w:szCs w:val="32"/>
          <w14:textFill>
            <w14:solidFill>
              <w14:schemeClr w14:val="tx1"/>
            </w14:solidFill>
          </w14:textFill>
        </w:rPr>
        <w:t>家，新型研发机构5家；</w:t>
      </w:r>
      <w:r>
        <w:rPr>
          <w:rFonts w:hint="eastAsia" w:ascii="仿宋_GB2312" w:hAnsi="仿宋_GB2312" w:eastAsia="仿宋_GB2312" w:cs="仿宋_GB2312"/>
          <w:bCs/>
          <w:color w:val="000000" w:themeColor="text1"/>
          <w:sz w:val="32"/>
          <w:szCs w:val="32"/>
          <w14:textFill>
            <w14:solidFill>
              <w14:schemeClr w14:val="tx1"/>
            </w14:solidFill>
          </w14:textFill>
        </w:rPr>
        <w:t>拥有国家级创新平台6家，市级及以上企业技术中心和工程技术研究中心90 家，国家级科技企业孵化器1家，科技部备案众创空间3家。科技成果产出和转移转化紧密衔接，发明专利申请4954件，授权2156件，PCT国际专利40件，科技成果转化数量和质量均位列全市第一</w:t>
      </w:r>
      <w:r>
        <w:rPr>
          <w:rFonts w:hint="eastAsia" w:ascii="仿宋_GB2312" w:hAnsi="宋体" w:eastAsia="仿宋_GB2312"/>
          <w:color w:val="000000" w:themeColor="text1"/>
          <w:sz w:val="32"/>
          <w:szCs w:val="32"/>
          <w14:textFill>
            <w14:solidFill>
              <w14:schemeClr w14:val="tx1"/>
            </w14:solidFill>
          </w14:textFill>
        </w:rPr>
        <w:t>。新区科技金融、大众创业万众创新、知识产权保护、跨区域协同创新等领域突破发展，滨江智谷、广西汽车研究院等高端项目加快布局。新技术、新产业、新业态蓬勃兴起，特别在数字经济领域，涌现国家信息中心工业大数据应用柳州基地、柳州市车联网先导区、广西智能汽车科技企业孵化器、柳东新区网络信息安全技术实验室、柳州短视频直播创业孵化基地、猪八戒网柳东数字经济产业园、柳州数字文化创意产业园、广西互联网教育产业园以及智能工厂、数字车间等一批成长性好的高端特色载体，“产业数字化、数字产业化”步稳蹄急。</w:t>
      </w:r>
    </w:p>
    <w:p>
      <w:pPr>
        <w:pStyle w:val="5"/>
        <w:spacing w:before="120" w:after="0" w:line="240" w:lineRule="auto"/>
        <w:ind w:firstLine="640" w:firstLineChars="200"/>
        <w:rPr>
          <w:rFonts w:ascii="黑体" w:hAnsi="黑体" w:eastAsia="黑体"/>
          <w:b w:val="0"/>
          <w:color w:val="000000" w:themeColor="text1"/>
          <w14:textFill>
            <w14:solidFill>
              <w14:schemeClr w14:val="tx1"/>
            </w14:solidFill>
          </w14:textFill>
        </w:rPr>
      </w:pPr>
      <w:r>
        <w:rPr>
          <w:rFonts w:hint="eastAsia" w:ascii="黑体" w:hAnsi="黑体" w:eastAsia="黑体"/>
          <w:b w:val="0"/>
          <w:color w:val="000000" w:themeColor="text1"/>
          <w14:textFill>
            <w14:solidFill>
              <w14:schemeClr w14:val="tx1"/>
            </w14:solidFill>
          </w14:textFill>
        </w:rPr>
        <w:t>四、魅力柳东日新月异</w:t>
      </w:r>
    </w:p>
    <w:p>
      <w:pPr>
        <w:overflowPunct w:val="0"/>
        <w:ind w:firstLine="640" w:firstLineChars="200"/>
        <w:rPr>
          <w:rFonts w:ascii="仿宋_GB2312" w:eastAsia="仿宋_GB2312"/>
          <w:color w:val="000000" w:themeColor="text1"/>
          <w:sz w:val="32"/>
          <w:szCs w:val="32"/>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“十三五”期间，新区以产城融合为导向，加快重点片区重点工程建设，城市基础</w:t>
      </w:r>
      <w:r>
        <w:rPr>
          <w:rFonts w:hint="eastAsia" w:ascii="仿宋_GB2312" w:hAnsi="仿宋" w:eastAsia="仿宋_GB2312" w:cs="仿宋_GB2312"/>
          <w:color w:val="000000" w:themeColor="text1"/>
          <w:sz w:val="32"/>
          <w:szCs w:val="32"/>
          <w14:textFill>
            <w14:solidFill>
              <w14:schemeClr w14:val="tx1"/>
            </w14:solidFill>
          </w14:textFill>
        </w:rPr>
        <w:t>设施日益完善，“城市名片”增姿添彩，城市面貌焕然一新，</w:t>
      </w:r>
      <w:r>
        <w:rPr>
          <w:rFonts w:hint="eastAsia" w:ascii="仿宋_GB2312" w:eastAsia="仿宋_GB2312"/>
          <w:color w:val="000000" w:themeColor="text1"/>
          <w:sz w:val="32"/>
          <w:szCs w:val="32"/>
          <w14:textFill>
            <w14:solidFill>
              <w14:schemeClr w14:val="tx1"/>
            </w14:solidFill>
          </w14:textFill>
        </w:rPr>
        <w:t>城市功能品质全面提升，成为国家产城融合示范区</w:t>
      </w:r>
      <w:r>
        <w:rPr>
          <w:rFonts w:hint="eastAsia" w:ascii="仿宋_GB2312" w:hAnsi="仿宋" w:eastAsia="仿宋_GB2312" w:cs="仿宋_GB2312"/>
          <w:color w:val="000000" w:themeColor="text1"/>
          <w:sz w:val="32"/>
          <w:szCs w:val="32"/>
          <w14:textFill>
            <w14:solidFill>
              <w14:schemeClr w14:val="tx1"/>
            </w14:solidFill>
          </w14:textFill>
        </w:rPr>
        <w:t>。</w:t>
      </w:r>
      <w:r>
        <w:rPr>
          <w:rFonts w:hint="eastAsia" w:ascii="仿宋_GB2312" w:eastAsia="仿宋_GB2312"/>
          <w:color w:val="000000" w:themeColor="text1"/>
          <w:sz w:val="32"/>
          <w:szCs w:val="32"/>
          <w14:textFill>
            <w14:solidFill>
              <w14:schemeClr w14:val="tx1"/>
            </w14:solidFill>
          </w14:textFill>
        </w:rPr>
        <w:t>五年来，新增建成区面积 22.4 平方公里，城市框架进一步拉大。优化国土空间布局，完善高铁站片区、秀水片区、中山街片区以及村屯新农村等一批重点片区规划。</w:t>
      </w:r>
      <w:r>
        <w:rPr>
          <w:rFonts w:hint="eastAsia" w:ascii="仿宋_GB2312" w:hAnsi="仿宋_GB2312" w:eastAsia="仿宋_GB2312" w:cs="仿宋_GB2312"/>
          <w:color w:val="000000" w:themeColor="text1"/>
          <w:sz w:val="32"/>
          <w:szCs w:val="32"/>
          <w14:textFill>
            <w14:solidFill>
              <w14:schemeClr w14:val="tx1"/>
            </w14:solidFill>
          </w14:textFill>
        </w:rPr>
        <w:t>内外交通“畅通工程”卓有成效</w:t>
      </w:r>
      <w:r>
        <w:rPr>
          <w:rFonts w:hint="eastAsia" w:ascii="仿宋_GB2312" w:hAnsi="仿宋" w:eastAsia="仿宋_GB2312" w:cs="仿宋_GB2312"/>
          <w:color w:val="000000" w:themeColor="text1"/>
          <w:sz w:val="32"/>
          <w:szCs w:val="32"/>
          <w14:textFill>
            <w14:solidFill>
              <w14:schemeClr w14:val="tx1"/>
            </w14:solidFill>
          </w14:textFill>
        </w:rPr>
        <w:t>，</w:t>
      </w:r>
      <w:r>
        <w:rPr>
          <w:rFonts w:hint="eastAsia" w:ascii="仿宋_GB2312" w:eastAsia="仿宋_GB2312"/>
          <w:color w:val="000000" w:themeColor="text1"/>
          <w:sz w:val="32"/>
          <w:szCs w:val="32"/>
          <w14:textFill>
            <w14:solidFill>
              <w14:schemeClr w14:val="tx1"/>
            </w14:solidFill>
          </w14:textFill>
        </w:rPr>
        <w:t>累计新增通车里程179公里，东外环、官塘大桥、曙光大</w:t>
      </w:r>
      <w:r>
        <w:rPr>
          <w:rFonts w:hint="eastAsia" w:ascii="仿宋_GB2312" w:hAnsi="仿宋_GB2312" w:eastAsia="仿宋_GB2312" w:cs="仿宋_GB2312"/>
          <w:color w:val="000000" w:themeColor="text1"/>
          <w:sz w:val="32"/>
          <w:szCs w:val="32"/>
          <w14:textFill>
            <w14:solidFill>
              <w14:schemeClr w14:val="tx1"/>
            </w14:solidFill>
          </w14:textFill>
        </w:rPr>
        <w:t>道等标志性道路工程建成通车。公交日趋便捷，多条 BRT 公交线与主城区往来穿梭，两条轻轨线在建，共享巴士开通运营，构建起快捷畅通的交通网络。市政设施更加完善，</w:t>
      </w:r>
      <w:r>
        <w:rPr>
          <w:rFonts w:hint="eastAsia" w:ascii="仿宋_GB2312" w:eastAsia="仿宋_GB2312"/>
          <w:color w:val="000000" w:themeColor="text1"/>
          <w:sz w:val="32"/>
          <w:szCs w:val="32"/>
          <w14:textFill>
            <w14:solidFill>
              <w14:schemeClr w14:val="tx1"/>
            </w14:solidFill>
          </w14:textFill>
        </w:rPr>
        <w:t>柳东水厂、</w:t>
      </w:r>
      <w:r>
        <w:rPr>
          <w:rFonts w:hint="eastAsia" w:eastAsia="仿宋_GB2312"/>
          <w:color w:val="000000" w:themeColor="text1"/>
          <w:sz w:val="32"/>
          <w:szCs w:val="32"/>
          <w14:textFill>
            <w14:solidFill>
              <w14:schemeClr w14:val="tx1"/>
            </w14:solidFill>
          </w14:textFill>
        </w:rPr>
        <w:t>污水提升泵站、雒容燃气站等</w:t>
      </w:r>
      <w:r>
        <w:rPr>
          <w:rFonts w:hint="eastAsia" w:ascii="仿宋_GB2312" w:hAnsi="仿宋_GB2312" w:eastAsia="仿宋_GB2312" w:cs="仿宋_GB2312"/>
          <w:color w:val="000000" w:themeColor="text1"/>
          <w:sz w:val="32"/>
          <w:szCs w:val="32"/>
          <w14:textFill>
            <w14:solidFill>
              <w14:schemeClr w14:val="tx1"/>
            </w14:solidFill>
          </w14:textFill>
        </w:rPr>
        <w:t>一批公用事业设施建成并投入使用。宜居配套更加完善，一批友邻汇、农贸市场建成经营，华润商住综合体、红星美凯龙商住综合体等生活配套设施先后落地。公共文体服务异彩纷呈，卡乐星球、克里湾水世界、柳东体育公园、九子岭公园、柳州市文化广场等大型场馆相继建成开放</w:t>
      </w:r>
      <w:r>
        <w:rPr>
          <w:rFonts w:hint="eastAsia" w:ascii="仿宋_GB2312" w:eastAsia="仿宋_GB2312"/>
          <w:color w:val="000000" w:themeColor="text1"/>
          <w:sz w:val="32"/>
          <w:szCs w:val="32"/>
          <w14:textFill>
            <w14:solidFill>
              <w14:schemeClr w14:val="tx1"/>
            </w14:solidFill>
          </w14:textFill>
        </w:rPr>
        <w:t>。</w:t>
      </w:r>
      <w:r>
        <w:rPr>
          <w:rFonts w:hint="eastAsia" w:ascii="仿宋_GB2312" w:hAnsi="Calibri" w:eastAsia="仿宋_GB2312" w:cs="Times New Roman"/>
          <w:color w:val="000000" w:themeColor="text1"/>
          <w:sz w:val="32"/>
          <w:szCs w:val="32"/>
          <w14:textFill>
            <w14:solidFill>
              <w14:schemeClr w14:val="tx1"/>
            </w14:solidFill>
          </w14:textFill>
        </w:rPr>
        <w:t>生态文明建设成果颇丰，</w:t>
      </w:r>
      <w:r>
        <w:rPr>
          <w:rFonts w:hint="eastAsia" w:ascii="仿宋_GB2312" w:eastAsia="仿宋_GB2312"/>
          <w:color w:val="000000" w:themeColor="text1"/>
          <w:sz w:val="32"/>
          <w:szCs w:val="32"/>
          <w14:textFill>
            <w14:solidFill>
              <w14:schemeClr w14:val="tx1"/>
            </w14:solidFill>
          </w14:textFill>
        </w:rPr>
        <w:t>建成河道长约 36.6 公里，绿地面积 423.75 万平方米，绿化覆盖率达44%，</w:t>
      </w:r>
      <w:r>
        <w:rPr>
          <w:rFonts w:hint="eastAsia" w:ascii="仿宋_GB2312" w:hAnsi="Calibri" w:eastAsia="仿宋_GB2312" w:cs="Times New Roman"/>
          <w:color w:val="000000" w:themeColor="text1"/>
          <w:sz w:val="32"/>
          <w:szCs w:val="32"/>
          <w14:textFill>
            <w14:solidFill>
              <w14:schemeClr w14:val="tx1"/>
            </w14:solidFill>
          </w14:textFill>
        </w:rPr>
        <w:t>绿色生态指标名列全市前茅</w:t>
      </w:r>
      <w:r>
        <w:rPr>
          <w:rFonts w:hint="eastAsia" w:ascii="仿宋_GB2312" w:eastAsia="仿宋_GB2312"/>
          <w:color w:val="000000" w:themeColor="text1"/>
          <w:sz w:val="32"/>
          <w:szCs w:val="32"/>
          <w14:textFill>
            <w14:solidFill>
              <w14:schemeClr w14:val="tx1"/>
            </w14:solidFill>
          </w14:textFill>
        </w:rPr>
        <w:t>，成功创建国家级绿色工业园区。智慧城市建设大力推进，城市智能化、精细化管理与服务能力全面提升</w:t>
      </w:r>
      <w:r>
        <w:rPr>
          <w:rFonts w:hint="eastAsia" w:ascii="仿宋_GB2312" w:hAnsi="仿宋_GB2312" w:eastAsia="仿宋_GB2312" w:cs="仿宋_GB2312"/>
          <w:color w:val="000000" w:themeColor="text1"/>
          <w:sz w:val="32"/>
          <w:szCs w:val="32"/>
          <w14:textFill>
            <w14:solidFill>
              <w14:schemeClr w14:val="tx1"/>
            </w14:solidFill>
          </w14:textFill>
        </w:rPr>
        <w:t>。</w:t>
      </w:r>
    </w:p>
    <w:p>
      <w:pPr>
        <w:pStyle w:val="5"/>
        <w:spacing w:before="120" w:after="0" w:line="240" w:lineRule="auto"/>
        <w:ind w:firstLine="640" w:firstLineChars="200"/>
        <w:rPr>
          <w:rFonts w:ascii="黑体" w:hAnsi="黑体" w:eastAsia="黑体" w:cs="Times New Roman"/>
          <w:b w:val="0"/>
          <w:color w:val="000000" w:themeColor="text1"/>
          <w14:textFill>
            <w14:solidFill>
              <w14:schemeClr w14:val="tx1"/>
            </w14:solidFill>
          </w14:textFill>
        </w:rPr>
      </w:pPr>
      <w:r>
        <w:rPr>
          <w:rFonts w:hint="eastAsia" w:ascii="黑体" w:hAnsi="黑体" w:eastAsia="黑体" w:cs="Times New Roman"/>
          <w:b w:val="0"/>
          <w:color w:val="000000" w:themeColor="text1"/>
          <w14:textFill>
            <w14:solidFill>
              <w14:schemeClr w14:val="tx1"/>
            </w14:solidFill>
          </w14:textFill>
        </w:rPr>
        <w:t>五、幸福柳东民生改善</w:t>
      </w:r>
    </w:p>
    <w:p>
      <w:pPr>
        <w:overflowPunct w:val="0"/>
        <w:ind w:firstLine="640" w:firstLineChars="200"/>
        <w:rPr>
          <w:rFonts w:ascii="仿宋_GB2312" w:hAnsi="仿宋" w:eastAsia="仿宋_GB2312"/>
          <w:color w:val="000000" w:themeColor="text1"/>
          <w:sz w:val="32"/>
          <w:szCs w:val="32"/>
          <w14:textFill>
            <w14:solidFill>
              <w14:schemeClr w14:val="tx1"/>
            </w14:solidFill>
          </w14:textFill>
        </w:rPr>
      </w:pPr>
      <w:r>
        <w:rPr>
          <w:rFonts w:hint="eastAsia" w:ascii="仿宋_GB2312" w:hAnsi="Calibri" w:eastAsia="仿宋_GB2312" w:cs="Times New Roman"/>
          <w:color w:val="000000" w:themeColor="text1"/>
          <w:sz w:val="32"/>
          <w:szCs w:val="32"/>
          <w14:textFill>
            <w14:solidFill>
              <w14:schemeClr w14:val="tx1"/>
            </w14:solidFill>
          </w14:textFill>
        </w:rPr>
        <w:t>“十三五”期间，新区始终坚持民生优先，</w:t>
      </w:r>
      <w:r>
        <w:rPr>
          <w:rFonts w:hint="eastAsia" w:ascii="仿宋_GB2312" w:hAnsi="仿宋_GB2312" w:eastAsia="仿宋_GB2312" w:cs="仿宋_GB2312"/>
          <w:color w:val="000000" w:themeColor="text1"/>
          <w:sz w:val="32"/>
          <w:szCs w:val="32"/>
          <w14:textFill>
            <w14:solidFill>
              <w14:schemeClr w14:val="tx1"/>
            </w14:solidFill>
          </w14:textFill>
        </w:rPr>
        <w:t>全面兜好民生底线，</w:t>
      </w:r>
      <w:r>
        <w:rPr>
          <w:rFonts w:hint="eastAsia" w:ascii="仿宋_GB2312" w:hAnsi="Calibri" w:eastAsia="仿宋_GB2312" w:cs="Times New Roman"/>
          <w:color w:val="000000" w:themeColor="text1"/>
          <w:sz w:val="32"/>
          <w:szCs w:val="32"/>
          <w14:textFill>
            <w14:solidFill>
              <w14:schemeClr w14:val="tx1"/>
            </w14:solidFill>
          </w14:textFill>
        </w:rPr>
        <w:t>五年累计投入民生资金 53.57 亿元，</w:t>
      </w:r>
      <w:r>
        <w:rPr>
          <w:rFonts w:hint="eastAsia" w:ascii="仿宋_GB2312" w:eastAsia="仿宋_GB2312"/>
          <w:color w:val="000000" w:themeColor="text1"/>
          <w:sz w:val="32"/>
          <w:szCs w:val="32"/>
          <w14:textFill>
            <w14:solidFill>
              <w14:schemeClr w14:val="tx1"/>
            </w14:solidFill>
          </w14:textFill>
        </w:rPr>
        <w:t>以</w:t>
      </w:r>
      <w:r>
        <w:rPr>
          <w:rFonts w:hint="eastAsia" w:ascii="仿宋_GB2312" w:hAnsi="Calibri" w:eastAsia="仿宋_GB2312" w:cs="Times New Roman"/>
          <w:color w:val="000000" w:themeColor="text1"/>
          <w:sz w:val="32"/>
          <w:szCs w:val="32"/>
          <w14:textFill>
            <w14:solidFill>
              <w14:schemeClr w14:val="tx1"/>
            </w14:solidFill>
          </w14:textFill>
        </w:rPr>
        <w:t>重大民生项目为引领统筹推动社会事业加速发展，推进民生福祉持续改善，城乡居民可支配收入稳步增长，</w:t>
      </w:r>
      <w:r>
        <w:rPr>
          <w:rFonts w:hint="eastAsia" w:eastAsia="仿宋_GB2312"/>
          <w:color w:val="000000" w:themeColor="text1"/>
          <w:sz w:val="32"/>
          <w:szCs w:val="32"/>
          <w14:textFill>
            <w14:solidFill>
              <w14:schemeClr w14:val="tx1"/>
            </w14:solidFill>
          </w14:textFill>
        </w:rPr>
        <w:t>安全感、幸福感、获得感日益增强。教育事业加快发展，广西科技大学汽车学院、</w:t>
      </w:r>
      <w:r>
        <w:rPr>
          <w:rFonts w:eastAsia="仿宋_GB2312"/>
          <w:color w:val="000000" w:themeColor="text1"/>
          <w:sz w:val="32"/>
          <w:szCs w:val="32"/>
          <w14:textFill>
            <w14:solidFill>
              <w14:schemeClr w14:val="tx1"/>
            </w14:solidFill>
          </w14:textFill>
        </w:rPr>
        <w:t>柳州职业技术学院</w:t>
      </w:r>
      <w:r>
        <w:rPr>
          <w:rFonts w:hint="eastAsia" w:eastAsia="仿宋_GB2312"/>
          <w:color w:val="000000" w:themeColor="text1"/>
          <w:sz w:val="32"/>
          <w:szCs w:val="32"/>
          <w14:textFill>
            <w14:solidFill>
              <w14:schemeClr w14:val="tx1"/>
            </w14:solidFill>
          </w14:textFill>
        </w:rPr>
        <w:t>（柳东校区）和一批优质中学、小学、幼儿园陆续建成办学，有效保障学区</w:t>
      </w:r>
      <w:r>
        <w:rPr>
          <w:rFonts w:eastAsia="仿宋_GB2312"/>
          <w:color w:val="000000" w:themeColor="text1"/>
          <w:sz w:val="32"/>
          <w:szCs w:val="32"/>
          <w14:textFill>
            <w14:solidFill>
              <w14:schemeClr w14:val="tx1"/>
            </w14:solidFill>
          </w14:textFill>
        </w:rPr>
        <w:t>学位和优质教育资源供给</w:t>
      </w:r>
      <w:r>
        <w:rPr>
          <w:rFonts w:hint="eastAsia" w:eastAsia="仿宋_GB2312"/>
          <w:color w:val="000000" w:themeColor="text1"/>
          <w:sz w:val="32"/>
          <w:szCs w:val="32"/>
          <w14:textFill>
            <w14:solidFill>
              <w14:schemeClr w14:val="tx1"/>
            </w14:solidFill>
          </w14:textFill>
        </w:rPr>
        <w:t>，基本</w:t>
      </w:r>
      <w:r>
        <w:rPr>
          <w:rFonts w:eastAsia="仿宋_GB2312"/>
          <w:color w:val="000000" w:themeColor="text1"/>
          <w:sz w:val="32"/>
          <w:szCs w:val="32"/>
          <w14:textFill>
            <w14:solidFill>
              <w14:schemeClr w14:val="tx1"/>
            </w14:solidFill>
          </w14:textFill>
        </w:rPr>
        <w:t>公共教育服务均等化</w:t>
      </w:r>
      <w:r>
        <w:rPr>
          <w:rFonts w:hint="eastAsia" w:eastAsia="仿宋_GB2312"/>
          <w:color w:val="000000" w:themeColor="text1"/>
          <w:sz w:val="32"/>
          <w:szCs w:val="32"/>
          <w14:textFill>
            <w14:solidFill>
              <w14:schemeClr w14:val="tx1"/>
            </w14:solidFill>
          </w14:textFill>
        </w:rPr>
        <w:t>水平有力提升，初中升学率跻身全市前列，</w:t>
      </w:r>
      <w:r>
        <w:rPr>
          <w:rFonts w:hint="eastAsia" w:eastAsia="仿宋_GB2312"/>
          <w:color w:val="000000" w:themeColor="text1"/>
          <w:sz w:val="32"/>
          <w:szCs w:val="32"/>
          <w:lang w:eastAsia="zh-CN"/>
          <w14:textFill>
            <w14:solidFill>
              <w14:schemeClr w14:val="tx1"/>
            </w14:solidFill>
          </w14:textFill>
        </w:rPr>
        <w:t>柳东</w:t>
      </w:r>
      <w:r>
        <w:rPr>
          <w:rFonts w:hint="eastAsia" w:eastAsia="仿宋_GB2312"/>
          <w:color w:val="000000" w:themeColor="text1"/>
          <w:sz w:val="32"/>
          <w:szCs w:val="32"/>
          <w14:textFill>
            <w14:solidFill>
              <w14:schemeClr w14:val="tx1"/>
            </w14:solidFill>
          </w14:textFill>
        </w:rPr>
        <w:t>“优质教育”名片熠熠生辉。医疗卫生事</w:t>
      </w:r>
      <w:r>
        <w:rPr>
          <w:rFonts w:hint="eastAsia" w:ascii="仿宋_GB2312" w:hAnsi="Calibri" w:eastAsia="仿宋_GB2312" w:cs="Times New Roman"/>
          <w:color w:val="000000" w:themeColor="text1"/>
          <w:sz w:val="32"/>
          <w:szCs w:val="32"/>
          <w14:textFill>
            <w14:solidFill>
              <w14:schemeClr w14:val="tx1"/>
            </w14:solidFill>
          </w14:textFill>
        </w:rPr>
        <w:t>业发展提速快进，柳州市儿童医院一二期建成使用、三期续建收尾，雒容镇中心卫生院迁建项目顺利竣工，一批社区卫生服务中心交付运营，</w:t>
      </w:r>
      <w:r>
        <w:rPr>
          <w:rFonts w:ascii="仿宋_GB2312" w:hAnsi="Calibri" w:eastAsia="仿宋_GB2312" w:cs="Times New Roman"/>
          <w:color w:val="000000" w:themeColor="text1"/>
          <w:sz w:val="32"/>
          <w:szCs w:val="32"/>
          <w14:textFill>
            <w14:solidFill>
              <w14:schemeClr w14:val="tx1"/>
            </w14:solidFill>
          </w14:textFill>
        </w:rPr>
        <w:t>三级医疗卫生服务</w:t>
      </w:r>
      <w:r>
        <w:rPr>
          <w:rFonts w:hint="eastAsia" w:ascii="仿宋_GB2312" w:hAnsi="Calibri" w:eastAsia="仿宋_GB2312" w:cs="Times New Roman"/>
          <w:color w:val="000000" w:themeColor="text1"/>
          <w:sz w:val="32"/>
          <w:szCs w:val="32"/>
          <w14:textFill>
            <w14:solidFill>
              <w14:schemeClr w14:val="tx1"/>
            </w14:solidFill>
          </w14:textFill>
        </w:rPr>
        <w:t>体系+多层次医疗保障体系日臻完善。群众住有宜居，新区</w:t>
      </w:r>
      <w:r>
        <w:rPr>
          <w:rFonts w:ascii="仿宋_GB2312" w:hAnsi="Calibri" w:eastAsia="仿宋_GB2312" w:cs="Times New Roman"/>
          <w:color w:val="000000" w:themeColor="text1"/>
          <w:sz w:val="32"/>
          <w:szCs w:val="32"/>
          <w14:textFill>
            <w14:solidFill>
              <w14:schemeClr w14:val="tx1"/>
            </w14:solidFill>
          </w14:textFill>
        </w:rPr>
        <w:t>坚持商品房市场和住房保障体</w:t>
      </w:r>
      <w:r>
        <w:rPr>
          <w:rFonts w:eastAsia="仿宋_GB2312"/>
          <w:color w:val="000000" w:themeColor="text1"/>
          <w:sz w:val="32"/>
          <w:szCs w:val="32"/>
          <w14:textFill>
            <w14:solidFill>
              <w14:schemeClr w14:val="tx1"/>
            </w14:solidFill>
          </w14:textFill>
        </w:rPr>
        <w:t>系两手抓</w:t>
      </w:r>
      <w:r>
        <w:rPr>
          <w:rFonts w:hint="eastAsia" w:eastAsia="仿宋_GB2312"/>
          <w:color w:val="000000" w:themeColor="text1"/>
          <w:sz w:val="32"/>
          <w:szCs w:val="32"/>
          <w14:textFill>
            <w14:solidFill>
              <w14:schemeClr w14:val="tx1"/>
            </w14:solidFill>
          </w14:textFill>
        </w:rPr>
        <w:t>，房地产市场健康繁荣发展，棚户区改造和</w:t>
      </w:r>
      <w:r>
        <w:rPr>
          <w:rFonts w:eastAsia="仿宋_GB2312"/>
          <w:color w:val="000000" w:themeColor="text1"/>
          <w:sz w:val="32"/>
          <w:szCs w:val="32"/>
          <w14:textFill>
            <w14:solidFill>
              <w14:schemeClr w14:val="tx1"/>
            </w14:solidFill>
          </w14:textFill>
        </w:rPr>
        <w:t>公租房</w:t>
      </w:r>
      <w:r>
        <w:rPr>
          <w:rFonts w:hint="eastAsia" w:eastAsia="仿宋_GB2312"/>
          <w:color w:val="000000" w:themeColor="text1"/>
          <w:sz w:val="32"/>
          <w:szCs w:val="32"/>
          <w14:textFill>
            <w14:solidFill>
              <w14:schemeClr w14:val="tx1"/>
            </w14:solidFill>
          </w14:textFill>
        </w:rPr>
        <w:t>、安置房建设同步推进</w:t>
      </w:r>
      <w:r>
        <w:rPr>
          <w:rFonts w:hint="eastAsia" w:ascii="仿宋_GB2312" w:hAnsi="Calibri" w:eastAsia="仿宋_GB2312" w:cs="Times New Roman"/>
          <w:color w:val="000000" w:themeColor="text1"/>
          <w:sz w:val="32"/>
          <w:szCs w:val="32"/>
          <w14:textFill>
            <w14:solidFill>
              <w14:schemeClr w14:val="tx1"/>
            </w14:solidFill>
          </w14:textFill>
        </w:rPr>
        <w:t>，广大群众安居乐业共享发展</w:t>
      </w:r>
      <w:r>
        <w:rPr>
          <w:rFonts w:eastAsia="仿宋_GB2312"/>
          <w:color w:val="000000" w:themeColor="text1"/>
          <w:sz w:val="32"/>
          <w:szCs w:val="32"/>
          <w14:textFill>
            <w14:solidFill>
              <w14:schemeClr w14:val="tx1"/>
            </w14:solidFill>
          </w14:textFill>
        </w:rPr>
        <w:t>。</w:t>
      </w:r>
      <w:r>
        <w:rPr>
          <w:rFonts w:hint="eastAsia" w:ascii="仿宋_GB2312" w:hAnsi="Calibri" w:eastAsia="仿宋_GB2312" w:cs="Times New Roman"/>
          <w:color w:val="000000" w:themeColor="text1"/>
          <w:sz w:val="32"/>
          <w:szCs w:val="32"/>
          <w14:textFill>
            <w14:solidFill>
              <w14:schemeClr w14:val="tx1"/>
            </w14:solidFill>
          </w14:textFill>
        </w:rPr>
        <w:t>就业充分保障，新区以培训+推荐广泛</w:t>
      </w:r>
      <w:r>
        <w:rPr>
          <w:rFonts w:hint="eastAsia" w:ascii="仿宋" w:hAnsi="仿宋" w:eastAsia="仿宋" w:cs="仿宋"/>
          <w:color w:val="000000" w:themeColor="text1"/>
          <w:sz w:val="32"/>
          <w:szCs w:val="32"/>
          <w14:textFill>
            <w14:solidFill>
              <w14:schemeClr w14:val="tx1"/>
            </w14:solidFill>
          </w14:textFill>
        </w:rPr>
        <w:t>拓展被征地农民再就业渠道，</w:t>
      </w:r>
      <w:r>
        <w:rPr>
          <w:rFonts w:hint="eastAsia" w:ascii="仿宋_GB2312" w:hAnsi="Calibri" w:eastAsia="仿宋_GB2312" w:cs="Times New Roman"/>
          <w:color w:val="000000" w:themeColor="text1"/>
          <w:sz w:val="32"/>
          <w:szCs w:val="32"/>
          <w14:textFill>
            <w14:solidFill>
              <w14:schemeClr w14:val="tx1"/>
            </w14:solidFill>
          </w14:textFill>
        </w:rPr>
        <w:t>人力资源市场线</w:t>
      </w:r>
      <w:r>
        <w:rPr>
          <w:rFonts w:hint="eastAsia" w:ascii="仿宋_GB2312" w:hAnsi="仿宋" w:eastAsia="仿宋_GB2312"/>
          <w:color w:val="000000" w:themeColor="text1"/>
          <w:sz w:val="32"/>
          <w:szCs w:val="32"/>
          <w14:textFill>
            <w14:solidFill>
              <w14:schemeClr w14:val="tx1"/>
            </w14:solidFill>
          </w14:textFill>
        </w:rPr>
        <w:t>上线下相结合</w:t>
      </w:r>
      <w:r>
        <w:rPr>
          <w:rFonts w:hint="eastAsia" w:ascii="仿宋_GB2312" w:hAnsi="Calibri" w:eastAsia="仿宋_GB2312" w:cs="Times New Roman"/>
          <w:color w:val="000000" w:themeColor="text1"/>
          <w:sz w:val="32"/>
          <w:szCs w:val="32"/>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天天有公共就业服务、周周有招聘会，</w:t>
      </w:r>
      <w:r>
        <w:rPr>
          <w:rFonts w:hint="eastAsia" w:ascii="仿宋_GB2312" w:hAnsi="Calibri" w:eastAsia="仿宋_GB2312" w:cs="Times New Roman"/>
          <w:color w:val="000000" w:themeColor="text1"/>
          <w:sz w:val="32"/>
          <w:szCs w:val="32"/>
          <w14:textFill>
            <w14:solidFill>
              <w14:schemeClr w14:val="tx1"/>
            </w14:solidFill>
          </w14:textFill>
        </w:rPr>
        <w:t>政校企联盟组建成立，有力促进劳动要素供需互联、合作共赢。</w:t>
      </w:r>
      <w:r>
        <w:rPr>
          <w:rFonts w:hint="eastAsia" w:ascii="仿宋_GB2312" w:hAnsi="仿宋" w:eastAsia="仿宋_GB2312"/>
          <w:color w:val="000000" w:themeColor="text1"/>
          <w:sz w:val="32"/>
          <w:szCs w:val="32"/>
          <w14:textFill>
            <w14:solidFill>
              <w14:schemeClr w14:val="tx1"/>
            </w14:solidFill>
          </w14:textFill>
        </w:rPr>
        <w:t>社会保障扩面增效，加大制度衔接适配，社保参保率进一步提高，</w:t>
      </w:r>
      <w:r>
        <w:rPr>
          <w:rFonts w:ascii="Calibri" w:hAnsi="Calibri" w:eastAsia="仿宋_GB2312" w:cs="Times New Roman"/>
          <w:color w:val="000000" w:themeColor="text1"/>
          <w:sz w:val="32"/>
          <w:szCs w:val="32"/>
          <w14:textFill>
            <w14:solidFill>
              <w14:schemeClr w14:val="tx1"/>
            </w14:solidFill>
          </w14:textFill>
        </w:rPr>
        <w:t>养老、医疗参保率</w:t>
      </w:r>
      <w:r>
        <w:rPr>
          <w:rFonts w:hint="eastAsia" w:ascii="仿宋_GB2312" w:hAnsi="Calibri" w:eastAsia="仿宋_GB2312" w:cs="Times New Roman"/>
          <w:color w:val="000000" w:themeColor="text1"/>
          <w:sz w:val="32"/>
          <w:szCs w:val="32"/>
          <w14:textFill>
            <w14:solidFill>
              <w14:schemeClr w14:val="tx1"/>
            </w14:solidFill>
          </w14:textFill>
        </w:rPr>
        <w:t>在95%以上，</w:t>
      </w:r>
      <w:r>
        <w:rPr>
          <w:rFonts w:hint="eastAsia" w:ascii="仿宋_GB2312" w:hAnsi="仿宋" w:eastAsia="仿宋_GB2312"/>
          <w:color w:val="000000" w:themeColor="text1"/>
          <w:sz w:val="32"/>
          <w:szCs w:val="32"/>
          <w14:textFill>
            <w14:solidFill>
              <w14:schemeClr w14:val="tx1"/>
            </w14:solidFill>
          </w14:textFill>
        </w:rPr>
        <w:t>公益性养老服务取得新突破，新区颐养中心、两镇养老设施有序建设，</w:t>
      </w:r>
      <w:r>
        <w:rPr>
          <w:rFonts w:hint="eastAsia" w:ascii="仿宋_GB2312" w:hAnsi="仿宋" w:eastAsia="仿宋_GB2312"/>
          <w:color w:val="000000" w:themeColor="text1"/>
          <w:sz w:val="32"/>
          <w:szCs w:val="32"/>
          <w:lang w:eastAsia="zh-CN"/>
          <w14:textFill>
            <w14:solidFill>
              <w14:schemeClr w14:val="tx1"/>
            </w14:solidFill>
          </w14:textFill>
        </w:rPr>
        <w:t>“医养结合”稳步推进，</w:t>
      </w:r>
      <w:r>
        <w:rPr>
          <w:rFonts w:hint="eastAsia" w:ascii="仿宋_GB2312" w:hAnsi="仿宋" w:eastAsia="仿宋_GB2312"/>
          <w:color w:val="000000" w:themeColor="text1"/>
          <w:sz w:val="32"/>
          <w:szCs w:val="32"/>
          <w14:textFill>
            <w14:solidFill>
              <w14:schemeClr w14:val="tx1"/>
            </w14:solidFill>
          </w14:textFill>
        </w:rPr>
        <w:t>老有所养基础扎实。脱贫攻坚赢得全面胜利，通过在收入、住房、医疗、教育等领域统筹发力，393名</w:t>
      </w:r>
      <w:r>
        <w:rPr>
          <w:rFonts w:ascii="仿宋_GB2312" w:hAnsi="仿宋" w:eastAsia="仿宋_GB2312"/>
          <w:color w:val="000000" w:themeColor="text1"/>
          <w:sz w:val="32"/>
          <w:szCs w:val="32"/>
          <w14:textFill>
            <w14:solidFill>
              <w14:schemeClr w14:val="tx1"/>
            </w14:solidFill>
          </w14:textFill>
        </w:rPr>
        <w:t>建档立卡贫困户</w:t>
      </w:r>
      <w:r>
        <w:rPr>
          <w:rFonts w:hint="eastAsia" w:ascii="仿宋_GB2312" w:hAnsi="仿宋" w:eastAsia="仿宋_GB2312"/>
          <w:color w:val="000000" w:themeColor="text1"/>
          <w:sz w:val="32"/>
          <w:szCs w:val="32"/>
          <w14:textFill>
            <w14:solidFill>
              <w14:schemeClr w14:val="tx1"/>
            </w14:solidFill>
          </w14:textFill>
        </w:rPr>
        <w:t>获得结对帮扶、立体帮扶，</w:t>
      </w:r>
      <w:r>
        <w:rPr>
          <w:rFonts w:hint="eastAsia" w:ascii="仿宋_GB2312" w:hAnsi="仿宋" w:eastAsia="仿宋_GB2312"/>
          <w:color w:val="000000" w:themeColor="text1"/>
          <w:sz w:val="32"/>
          <w:szCs w:val="32"/>
          <w:lang w:eastAsia="zh-CN"/>
          <w14:textFill>
            <w14:solidFill>
              <w14:schemeClr w14:val="tx1"/>
            </w14:solidFill>
          </w14:textFill>
        </w:rPr>
        <w:t>全面</w:t>
      </w:r>
      <w:r>
        <w:rPr>
          <w:rFonts w:hint="eastAsia" w:ascii="仿宋_GB2312" w:hAnsi="仿宋" w:eastAsia="仿宋_GB2312"/>
          <w:color w:val="000000" w:themeColor="text1"/>
          <w:sz w:val="32"/>
          <w:szCs w:val="32"/>
          <w14:textFill>
            <w14:solidFill>
              <w14:schemeClr w14:val="tx1"/>
            </w14:solidFill>
          </w14:textFill>
        </w:rPr>
        <w:t>完成“十三五”脱贫攻坚任务，持续</w:t>
      </w:r>
      <w:r>
        <w:rPr>
          <w:rFonts w:hint="eastAsia" w:ascii="仿宋_GB2312" w:hAnsi="仿宋_GB2312" w:eastAsia="仿宋_GB2312" w:cs="仿宋_GB2312"/>
          <w:color w:val="000000" w:themeColor="text1"/>
          <w:sz w:val="32"/>
          <w:szCs w:val="32"/>
          <w14:textFill>
            <w14:solidFill>
              <w14:schemeClr w14:val="tx1"/>
            </w14:solidFill>
          </w14:textFill>
        </w:rPr>
        <w:t>巩固脱贫攻坚后续帮扶。集中开展“美丽柳东•幸福乡村”活动，巩固提升清洁乡村、生态乡村、宜居乡村活动成果，新农村建设迈上环境秀美、生活甜美、乡村和美、示范领美新征程。</w:t>
      </w:r>
    </w:p>
    <w:p>
      <w:pPr>
        <w:pStyle w:val="5"/>
        <w:spacing w:before="120" w:after="0" w:line="240" w:lineRule="auto"/>
        <w:ind w:firstLine="640" w:firstLineChars="200"/>
        <w:rPr>
          <w:rFonts w:ascii="黑体" w:hAnsi="黑体" w:eastAsia="黑体" w:cs="Times New Roman"/>
          <w:b w:val="0"/>
          <w:color w:val="000000" w:themeColor="text1"/>
          <w14:textFill>
            <w14:solidFill>
              <w14:schemeClr w14:val="tx1"/>
            </w14:solidFill>
          </w14:textFill>
        </w:rPr>
      </w:pPr>
      <w:r>
        <w:rPr>
          <w:rFonts w:hint="eastAsia" w:ascii="黑体" w:hAnsi="黑体" w:eastAsia="黑体" w:cs="Times New Roman"/>
          <w:b w:val="0"/>
          <w:color w:val="000000" w:themeColor="text1"/>
          <w14:textFill>
            <w14:solidFill>
              <w14:schemeClr w14:val="tx1"/>
            </w14:solidFill>
          </w14:textFill>
        </w:rPr>
        <w:t>六、改革柳东乘风破浪</w:t>
      </w:r>
    </w:p>
    <w:p>
      <w:pPr>
        <w:overflowPunct w:val="0"/>
        <w:ind w:firstLine="640" w:firstLineChars="200"/>
        <w:rPr>
          <w:rFonts w:ascii="仿宋_GB2312" w:hAnsi="Calibri" w:eastAsia="仿宋_GB2312" w:cs="Times New Roman"/>
          <w:color w:val="000000" w:themeColor="text1"/>
          <w:sz w:val="32"/>
          <w:szCs w:val="32"/>
          <w14:textFill>
            <w14:solidFill>
              <w14:schemeClr w14:val="tx1"/>
            </w14:solidFill>
          </w14:textFill>
        </w:rPr>
      </w:pPr>
      <w:r>
        <w:rPr>
          <w:rFonts w:hint="eastAsia" w:ascii="仿宋_GB2312" w:hAnsi="Calibri" w:eastAsia="仿宋_GB2312" w:cs="Times New Roman"/>
          <w:color w:val="000000" w:themeColor="text1"/>
          <w:sz w:val="32"/>
          <w:szCs w:val="32"/>
          <w14:textFill>
            <w14:solidFill>
              <w14:schemeClr w14:val="tx1"/>
            </w14:solidFill>
          </w14:textFill>
        </w:rPr>
        <w:t>“十三五”期间，新区</w:t>
      </w:r>
      <w:r>
        <w:rPr>
          <w:rFonts w:hint="eastAsia" w:ascii="仿宋_GB2312" w:hAnsi="仿宋_GB2312" w:eastAsia="仿宋_GB2312" w:cs="仿宋_GB2312"/>
          <w:color w:val="000000" w:themeColor="text1"/>
          <w:sz w:val="32"/>
          <w:szCs w:val="32"/>
          <w14:textFill>
            <w14:solidFill>
              <w14:schemeClr w14:val="tx1"/>
            </w14:solidFill>
          </w14:textFill>
        </w:rPr>
        <w:t>以主动求变、</w:t>
      </w:r>
      <w:r>
        <w:rPr>
          <w:rFonts w:hint="eastAsia" w:ascii="仿宋_GB2312" w:hAnsi="仿宋" w:eastAsia="仿宋_GB2312"/>
          <w:bCs/>
          <w:snapToGrid w:val="0"/>
          <w:color w:val="000000" w:themeColor="text1"/>
          <w:kern w:val="0"/>
          <w:sz w:val="32"/>
          <w:szCs w:val="32"/>
          <w14:textFill>
            <w14:solidFill>
              <w14:schemeClr w14:val="tx1"/>
            </w14:solidFill>
          </w14:textFill>
        </w:rPr>
        <w:t>集成改革</w:t>
      </w:r>
      <w:r>
        <w:rPr>
          <w:rFonts w:hint="eastAsia" w:ascii="仿宋_GB2312" w:hAnsi="仿宋_GB2312" w:eastAsia="仿宋_GB2312" w:cs="仿宋_GB2312"/>
          <w:color w:val="000000" w:themeColor="text1"/>
          <w:sz w:val="32"/>
          <w:szCs w:val="32"/>
          <w14:textFill>
            <w14:solidFill>
              <w14:schemeClr w14:val="tx1"/>
            </w14:solidFill>
          </w14:textFill>
        </w:rPr>
        <w:t>激发内生发展动力，</w:t>
      </w:r>
      <w:r>
        <w:rPr>
          <w:rFonts w:hint="eastAsia" w:ascii="仿宋_GB2312" w:hAnsi="Calibri" w:eastAsia="仿宋_GB2312" w:cs="Times New Roman"/>
          <w:color w:val="000000" w:themeColor="text1"/>
          <w:sz w:val="32"/>
          <w:szCs w:val="32"/>
          <w14:textFill>
            <w14:solidFill>
              <w14:schemeClr w14:val="tx1"/>
            </w14:solidFill>
          </w14:textFill>
        </w:rPr>
        <w:t>加快治理体系和治理能力现代化</w:t>
      </w:r>
      <w:bookmarkStart w:id="707" w:name="_GoBack"/>
      <w:bookmarkEnd w:id="707"/>
      <w:r>
        <w:rPr>
          <w:rFonts w:hint="eastAsia" w:ascii="仿宋_GB2312" w:hAnsi="Calibri" w:eastAsia="仿宋_GB2312" w:cs="Times New Roman"/>
          <w:color w:val="000000" w:themeColor="text1"/>
          <w:sz w:val="32"/>
          <w:szCs w:val="32"/>
          <w14:textFill>
            <w14:solidFill>
              <w14:schemeClr w14:val="tx1"/>
            </w14:solidFill>
          </w14:textFill>
        </w:rPr>
        <w:t>，为高质量发展全面赋能。一是持续推动行政管理体制改革。以深化新区人事和薪酬制度改革，实施机构重组和全员竞聘上岗，增强干事创业干劲。以推进发达镇行政管理体制改革，在雒容镇有效构建起</w:t>
      </w:r>
      <w:r>
        <w:rPr>
          <w:rFonts w:hint="eastAsia" w:ascii="仿宋_GB2312" w:hAnsi="仿宋" w:eastAsia="仿宋_GB2312"/>
          <w:bCs/>
          <w:snapToGrid w:val="0"/>
          <w:color w:val="000000" w:themeColor="text1"/>
          <w:kern w:val="0"/>
          <w:sz w:val="32"/>
          <w:szCs w:val="32"/>
          <w14:textFill>
            <w14:solidFill>
              <w14:schemeClr w14:val="tx1"/>
            </w14:solidFill>
          </w14:textFill>
        </w:rPr>
        <w:t>新型基层行政管理体制和运行机制，镇域经济建设、社会管理、公共服务、基层党建全面升级。</w:t>
      </w:r>
      <w:r>
        <w:rPr>
          <w:rFonts w:hint="eastAsia" w:ascii="仿宋_GB2312" w:hAnsi="Calibri" w:eastAsia="仿宋_GB2312" w:cs="Times New Roman"/>
          <w:color w:val="000000" w:themeColor="text1"/>
          <w:sz w:val="32"/>
          <w:szCs w:val="32"/>
          <w14:textFill>
            <w14:solidFill>
              <w14:schemeClr w14:val="tx1"/>
            </w14:solidFill>
          </w14:textFill>
        </w:rPr>
        <w:t>二是打造</w:t>
      </w:r>
      <w:r>
        <w:rPr>
          <w:rFonts w:ascii="Times New Roman" w:hAnsi="Times New Roman" w:eastAsia="仿宋_GB2312"/>
          <w:color w:val="000000" w:themeColor="text1"/>
          <w:sz w:val="32"/>
          <w:szCs w:val="32"/>
          <w14:textFill>
            <w14:solidFill>
              <w14:schemeClr w14:val="tx1"/>
            </w14:solidFill>
          </w14:textFill>
        </w:rPr>
        <w:t>法治化、国际化、便利化的</w:t>
      </w:r>
      <w:r>
        <w:rPr>
          <w:rFonts w:hint="eastAsia" w:ascii="仿宋_GB2312" w:hAnsi="Calibri" w:eastAsia="仿宋_GB2312" w:cs="Times New Roman"/>
          <w:color w:val="000000" w:themeColor="text1"/>
          <w:sz w:val="32"/>
          <w:szCs w:val="32"/>
          <w14:textFill>
            <w14:solidFill>
              <w14:schemeClr w14:val="tx1"/>
            </w14:solidFill>
          </w14:textFill>
        </w:rPr>
        <w:t>营商环境。</w:t>
      </w:r>
      <w:r>
        <w:rPr>
          <w:rFonts w:ascii="Times New Roman" w:hAnsi="Times New Roman" w:eastAsia="仿宋_GB2312"/>
          <w:color w:val="000000" w:themeColor="text1"/>
          <w:sz w:val="32"/>
          <w:szCs w:val="32"/>
          <w14:textFill>
            <w14:solidFill>
              <w14:schemeClr w14:val="tx1"/>
            </w14:solidFill>
          </w14:textFill>
        </w:rPr>
        <w:t>以深化“放管服”改革为</w:t>
      </w:r>
      <w:r>
        <w:rPr>
          <w:rFonts w:hint="eastAsia" w:ascii="Times New Roman" w:hAnsi="Times New Roman" w:eastAsia="仿宋_GB2312"/>
          <w:color w:val="000000" w:themeColor="text1"/>
          <w:sz w:val="32"/>
          <w:szCs w:val="32"/>
          <w14:textFill>
            <w14:solidFill>
              <w14:schemeClr w14:val="tx1"/>
            </w14:solidFill>
          </w14:textFill>
        </w:rPr>
        <w:t>主线</w:t>
      </w:r>
      <w:r>
        <w:rPr>
          <w:rFonts w:ascii="Times New Roman" w:hAnsi="Times New Roman" w:eastAsia="仿宋_GB2312"/>
          <w:color w:val="000000" w:themeColor="text1"/>
          <w:sz w:val="32"/>
          <w:szCs w:val="32"/>
          <w14:textFill>
            <w14:solidFill>
              <w14:schemeClr w14:val="tx1"/>
            </w14:solidFill>
          </w14:textFill>
        </w:rPr>
        <w:t>，</w:t>
      </w:r>
      <w:r>
        <w:rPr>
          <w:rFonts w:hint="eastAsia" w:ascii="Times New Roman" w:hAnsi="Times New Roman" w:eastAsia="仿宋_GB2312"/>
          <w:color w:val="000000" w:themeColor="text1"/>
          <w:sz w:val="32"/>
          <w:szCs w:val="32"/>
          <w14:textFill>
            <w14:solidFill>
              <w14:schemeClr w14:val="tx1"/>
            </w14:solidFill>
          </w14:textFill>
        </w:rPr>
        <w:t>成立新区行政审批服务中心，</w:t>
      </w:r>
      <w:r>
        <w:rPr>
          <w:rFonts w:ascii="Times New Roman" w:hAnsi="Times New Roman" w:eastAsia="仿宋_GB2312"/>
          <w:color w:val="000000" w:themeColor="text1"/>
          <w:sz w:val="32"/>
          <w:szCs w:val="32"/>
          <w14:textFill>
            <w14:solidFill>
              <w14:schemeClr w14:val="tx1"/>
            </w14:solidFill>
          </w14:textFill>
        </w:rPr>
        <w:t>集中办理市级、城区级许可权限及公共服务类事项，</w:t>
      </w:r>
      <w:r>
        <w:rPr>
          <w:rFonts w:hint="eastAsia" w:ascii="仿宋_GB2312" w:hAnsi="仿宋" w:eastAsia="仿宋_GB2312" w:cs="仿宋"/>
          <w:color w:val="000000" w:themeColor="text1"/>
          <w:sz w:val="32"/>
          <w:szCs w:val="32"/>
          <w14:textFill>
            <w14:solidFill>
              <w14:schemeClr w14:val="tx1"/>
            </w14:solidFill>
          </w14:textFill>
        </w:rPr>
        <w:t>大力实施“一枚公章管审批”“告知承诺制”“全程代</w:t>
      </w:r>
      <w:r>
        <w:rPr>
          <w:rFonts w:hint="eastAsia" w:ascii="仿宋_GB2312" w:hAnsi="Calibri" w:eastAsia="仿宋_GB2312" w:cs="Times New Roman"/>
          <w:color w:val="000000" w:themeColor="text1"/>
          <w:sz w:val="32"/>
          <w:szCs w:val="32"/>
          <w14:textFill>
            <w14:solidFill>
              <w14:schemeClr w14:val="tx1"/>
            </w14:solidFill>
          </w14:textFill>
        </w:rPr>
        <w:t>办”“政务服务无人超市”“互联网+政务服务”“拿地即开工”等先行先试改革行动，审批环节、流程、时效全面优化。三是深化农村土地制度、农村集体产权制度改革，</w:t>
      </w:r>
      <w:r>
        <w:rPr>
          <w:rFonts w:ascii="仿宋_GB2312" w:hAnsi="Calibri" w:eastAsia="仿宋_GB2312" w:cs="Times New Roman"/>
          <w:color w:val="000000" w:themeColor="text1"/>
          <w:sz w:val="32"/>
          <w:szCs w:val="32"/>
          <w14:textFill>
            <w14:solidFill>
              <w14:schemeClr w14:val="tx1"/>
            </w14:solidFill>
          </w14:textFill>
        </w:rPr>
        <w:t>保障农民集体经济组织成员权利</w:t>
      </w:r>
      <w:r>
        <w:rPr>
          <w:rFonts w:hint="eastAsia" w:ascii="仿宋_GB2312" w:hAnsi="Calibri" w:eastAsia="仿宋_GB2312" w:cs="Times New Roman"/>
          <w:color w:val="000000" w:themeColor="text1"/>
          <w:sz w:val="32"/>
          <w:szCs w:val="32"/>
          <w14:textFill>
            <w14:solidFill>
              <w14:schemeClr w14:val="tx1"/>
            </w14:solidFill>
          </w14:textFill>
        </w:rPr>
        <w:t>、</w:t>
      </w:r>
      <w:r>
        <w:rPr>
          <w:rFonts w:ascii="仿宋_GB2312" w:hAnsi="Calibri" w:eastAsia="仿宋_GB2312" w:cs="Times New Roman"/>
          <w:color w:val="000000" w:themeColor="text1"/>
          <w:sz w:val="32"/>
          <w:szCs w:val="32"/>
          <w14:textFill>
            <w14:solidFill>
              <w14:schemeClr w14:val="tx1"/>
            </w14:solidFill>
          </w14:textFill>
        </w:rPr>
        <w:t>农民股份合作</w:t>
      </w:r>
      <w:r>
        <w:rPr>
          <w:rFonts w:hint="eastAsia" w:ascii="仿宋_GB2312" w:hAnsi="Calibri" w:eastAsia="仿宋_GB2312" w:cs="Times New Roman"/>
          <w:color w:val="000000" w:themeColor="text1"/>
          <w:sz w:val="32"/>
          <w:szCs w:val="32"/>
          <w14:textFill>
            <w14:solidFill>
              <w14:schemeClr w14:val="tx1"/>
            </w14:solidFill>
          </w14:textFill>
        </w:rPr>
        <w:t>、土地三权分置、土地流转等领域取得阶段性成果，特别是统筹马步水库片区农村土地集约化利用，探索推进“土地流转+农民入股+按股分红+优先雇用+保底收益+创业收益”农村土地改革模式，充分盘活农村存量土地效益。此外，科技创新、招商引资、建设融资、行政执法等领域改革步伐坚实有力，</w:t>
      </w:r>
      <w:r>
        <w:rPr>
          <w:rFonts w:ascii="仿宋_GB2312" w:hAnsi="仿宋" w:eastAsia="仿宋_GB2312"/>
          <w:color w:val="000000" w:themeColor="text1"/>
          <w:sz w:val="32"/>
          <w:szCs w:val="32"/>
          <w14:textFill>
            <w14:solidFill>
              <w14:schemeClr w14:val="tx1"/>
            </w14:solidFill>
          </w14:textFill>
        </w:rPr>
        <w:t>人才服务</w:t>
      </w:r>
      <w:r>
        <w:rPr>
          <w:rFonts w:hint="eastAsia" w:ascii="仿宋_GB2312" w:hAnsi="仿宋" w:eastAsia="仿宋_GB2312"/>
          <w:color w:val="000000" w:themeColor="text1"/>
          <w:sz w:val="32"/>
          <w:szCs w:val="32"/>
          <w14:textFill>
            <w14:solidFill>
              <w14:schemeClr w14:val="tx1"/>
            </w14:solidFill>
          </w14:textFill>
        </w:rPr>
        <w:t>模式持续创新优化，</w:t>
      </w:r>
      <w:r>
        <w:rPr>
          <w:rFonts w:hint="eastAsia" w:ascii="仿宋_GB2312" w:hAnsi="Calibri" w:eastAsia="仿宋_GB2312" w:cs="Times New Roman"/>
          <w:color w:val="000000" w:themeColor="text1"/>
          <w:sz w:val="32"/>
          <w:szCs w:val="32"/>
          <w14:textFill>
            <w14:solidFill>
              <w14:schemeClr w14:val="tx1"/>
            </w14:solidFill>
          </w14:textFill>
        </w:rPr>
        <w:t>创新打造</w:t>
      </w:r>
      <w:r>
        <w:rPr>
          <w:rFonts w:ascii="仿宋_GB2312" w:hAnsi="仿宋" w:eastAsia="仿宋_GB2312"/>
          <w:color w:val="000000" w:themeColor="text1"/>
          <w:sz w:val="32"/>
          <w:szCs w:val="32"/>
          <w14:textFill>
            <w14:solidFill>
              <w14:schemeClr w14:val="tx1"/>
            </w14:solidFill>
          </w14:textFill>
        </w:rPr>
        <w:t>柳州市海内外高端人才创业创新示范基地</w:t>
      </w:r>
      <w:r>
        <w:rPr>
          <w:rFonts w:hint="eastAsia" w:ascii="仿宋_GB2312" w:hAnsi="仿宋" w:eastAsia="仿宋_GB2312"/>
          <w:color w:val="000000" w:themeColor="text1"/>
          <w:sz w:val="32"/>
          <w:szCs w:val="32"/>
          <w14:textFill>
            <w14:solidFill>
              <w14:schemeClr w14:val="tx1"/>
            </w14:solidFill>
          </w14:textFill>
        </w:rPr>
        <w:t>和新区政校企联盟。</w:t>
      </w:r>
    </w:p>
    <w:p>
      <w:pPr>
        <w:pStyle w:val="5"/>
        <w:spacing w:before="120" w:after="0" w:line="240" w:lineRule="auto"/>
        <w:ind w:firstLine="640" w:firstLineChars="200"/>
        <w:rPr>
          <w:rFonts w:ascii="黑体" w:hAnsi="黑体" w:eastAsia="黑体" w:cs="Times New Roman"/>
          <w:b w:val="0"/>
          <w:color w:val="000000" w:themeColor="text1"/>
          <w14:textFill>
            <w14:solidFill>
              <w14:schemeClr w14:val="tx1"/>
            </w14:solidFill>
          </w14:textFill>
        </w:rPr>
      </w:pPr>
      <w:r>
        <w:rPr>
          <w:rFonts w:hint="eastAsia" w:ascii="黑体" w:hAnsi="黑体" w:eastAsia="黑体" w:cs="Times New Roman"/>
          <w:b w:val="0"/>
          <w:color w:val="000000" w:themeColor="text1"/>
          <w14:textFill>
            <w14:solidFill>
              <w14:schemeClr w14:val="tx1"/>
            </w14:solidFill>
          </w14:textFill>
        </w:rPr>
        <w:t>七、平安柳东砥砺奋进</w:t>
      </w:r>
    </w:p>
    <w:p>
      <w:pPr>
        <w:overflowPunct w:val="0"/>
        <w:ind w:firstLine="640" w:firstLineChars="200"/>
        <w:rPr>
          <w:rFonts w:ascii="仿宋_GB2312" w:hAnsi="Calibri" w:eastAsia="仿宋_GB2312" w:cs="Times New Roman"/>
          <w:color w:val="000000" w:themeColor="text1"/>
          <w:sz w:val="32"/>
          <w:szCs w:val="32"/>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“十三五”期间，</w:t>
      </w:r>
      <w:r>
        <w:rPr>
          <w:rFonts w:hint="eastAsia" w:ascii="仿宋_GB2312" w:hAnsi="Calibri" w:eastAsia="仿宋_GB2312" w:cs="Times New Roman"/>
          <w:color w:val="000000" w:themeColor="text1"/>
          <w:sz w:val="32"/>
          <w:szCs w:val="32"/>
          <w14:textFill>
            <w14:solidFill>
              <w14:schemeClr w14:val="tx1"/>
            </w14:solidFill>
          </w14:textFill>
        </w:rPr>
        <w:t>新区持续深化社会综合治理，开展扫黑除恶专项斗争，扎实强化禁毒工作，抓实安全生产和食品安全专项整治，“法治柳东”“平安柳东”建设取得新成效，有效保障社会和谐安定。</w:t>
      </w:r>
      <w:r>
        <w:rPr>
          <w:rFonts w:hint="eastAsia" w:ascii="Times New Roman" w:hAnsi="Times New Roman" w:eastAsia="仿宋_GB2312"/>
          <w:color w:val="000000" w:themeColor="text1"/>
          <w:sz w:val="32"/>
          <w:szCs w:val="32"/>
          <w14:textFill>
            <w14:solidFill>
              <w14:schemeClr w14:val="tx1"/>
            </w14:solidFill>
          </w14:textFill>
        </w:rPr>
        <w:t>面对非洲猪瘟快速</w:t>
      </w:r>
      <w:r>
        <w:rPr>
          <w:rFonts w:hint="eastAsia" w:ascii="仿宋_GB2312" w:hAnsi="仿宋" w:eastAsia="仿宋_GB2312" w:cs="Times New Roman"/>
          <w:color w:val="000000" w:themeColor="text1"/>
          <w:sz w:val="32"/>
          <w:szCs w:val="32"/>
          <w14:textFill>
            <w14:solidFill>
              <w14:schemeClr w14:val="tx1"/>
            </w14:solidFill>
          </w14:textFill>
        </w:rPr>
        <w:t>蔓</w:t>
      </w:r>
      <w:r>
        <w:rPr>
          <w:rFonts w:hint="eastAsia" w:ascii="Times New Roman" w:hAnsi="Times New Roman" w:eastAsia="仿宋_GB2312"/>
          <w:color w:val="000000" w:themeColor="text1"/>
          <w:sz w:val="32"/>
          <w:szCs w:val="32"/>
          <w14:textFill>
            <w14:solidFill>
              <w14:schemeClr w14:val="tx1"/>
            </w14:solidFill>
          </w14:textFill>
        </w:rPr>
        <w:t>延势头，新区及时响应，果断处置，日夜奋战全面加强联防联控，拔毒灭源扼守一线，彻底打赢防控战役，守护了舌尖上的安全。面对新冠肺炎疫情突袭的重大危情，新区坚决贯彻“外防输入、内防反弹”防控策略，聚焦落实“四早”“四集中”要求，坚持关口前移，健全监测预警机制，筑牢严密防线，有效组织防疫物资和生活物资，守护新区职工群众生命安全和身体健康，稳定市场供应并加强综合监管，维护正常经营秩序，夺取了疫情防控和社会维稳双胜利。新区率先全市创新出台系列稳企纾困政策措施，从融资、减负、投资、用工、能源、生活等多维度</w:t>
      </w:r>
      <w:r>
        <w:rPr>
          <w:rFonts w:hint="eastAsia" w:ascii="仿宋_GB2312" w:hAnsi="Calibri" w:eastAsia="仿宋_GB2312" w:cs="Times New Roman"/>
          <w:color w:val="000000" w:themeColor="text1"/>
          <w:sz w:val="32"/>
          <w:szCs w:val="32"/>
          <w14:textFill>
            <w14:solidFill>
              <w14:schemeClr w14:val="tx1"/>
            </w14:solidFill>
          </w14:textFill>
        </w:rPr>
        <w:t>精准攻坚、立体帮扶园区企业，大步走在全市</w:t>
      </w:r>
      <w:r>
        <w:rPr>
          <w:rFonts w:hint="eastAsia" w:ascii="Times New Roman" w:hAnsi="Times New Roman" w:eastAsia="仿宋_GB2312"/>
          <w:color w:val="000000" w:themeColor="text1"/>
          <w:sz w:val="32"/>
          <w:szCs w:val="32"/>
          <w14:textFill>
            <w14:solidFill>
              <w14:schemeClr w14:val="tx1"/>
            </w14:solidFill>
          </w14:textFill>
        </w:rPr>
        <w:t>复工复产复市前列，</w:t>
      </w:r>
      <w:r>
        <w:rPr>
          <w:rFonts w:hint="eastAsia" w:ascii="仿宋_GB2312" w:hAnsi="Calibri" w:eastAsia="仿宋_GB2312" w:cs="Times New Roman"/>
          <w:color w:val="000000" w:themeColor="text1"/>
          <w:sz w:val="32"/>
          <w:szCs w:val="32"/>
          <w14:textFill>
            <w14:solidFill>
              <w14:schemeClr w14:val="tx1"/>
            </w14:solidFill>
          </w14:textFill>
        </w:rPr>
        <w:t>有效保障新区产业链、供应链安全稳定。</w:t>
      </w:r>
    </w:p>
    <w:p>
      <w:pPr>
        <w:spacing w:beforeLines="50" w:line="360" w:lineRule="auto"/>
        <w:jc w:val="center"/>
        <w:rPr>
          <w:rFonts w:ascii="黑体" w:hAnsi="黑体" w:eastAsia="黑体" w:cs="黑体"/>
          <w:bCs/>
          <w:color w:val="000000" w:themeColor="text1"/>
          <w:sz w:val="30"/>
          <w:szCs w:val="30"/>
          <w14:textFill>
            <w14:solidFill>
              <w14:schemeClr w14:val="tx1"/>
            </w14:solidFill>
          </w14:textFill>
        </w:rPr>
      </w:pPr>
      <w:r>
        <w:rPr>
          <w:rFonts w:hint="eastAsia" w:ascii="黑体" w:hAnsi="黑体" w:eastAsia="黑体" w:cs="黑体"/>
          <w:bCs/>
          <w:color w:val="000000" w:themeColor="text1"/>
          <w:sz w:val="30"/>
          <w:szCs w:val="30"/>
          <w14:textFill>
            <w14:solidFill>
              <w14:schemeClr w14:val="tx1"/>
            </w14:solidFill>
          </w14:textFill>
        </w:rPr>
        <w:t>表1－1“十三五”规划调控指标完成情况表</w:t>
      </w:r>
    </w:p>
    <w:tbl>
      <w:tblPr>
        <w:tblStyle w:val="18"/>
        <w:tblW w:w="85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8"/>
        <w:gridCol w:w="3730"/>
        <w:gridCol w:w="716"/>
        <w:gridCol w:w="1534"/>
        <w:gridCol w:w="1166"/>
        <w:gridCol w:w="9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98" w:type="dxa"/>
            <w:shd w:val="clear" w:color="auto" w:fill="auto"/>
            <w:vAlign w:val="center"/>
          </w:tcPr>
          <w:p>
            <w:pPr>
              <w:jc w:val="center"/>
              <w:rPr>
                <w:b/>
                <w:bCs/>
                <w:color w:val="000000" w:themeColor="text1"/>
                <w14:textFill>
                  <w14:solidFill>
                    <w14:schemeClr w14:val="tx1"/>
                  </w14:solidFill>
                </w14:textFill>
              </w:rPr>
            </w:pPr>
          </w:p>
        </w:tc>
        <w:tc>
          <w:tcPr>
            <w:tcW w:w="3730" w:type="dxa"/>
            <w:shd w:val="clear" w:color="auto" w:fill="auto"/>
            <w:vAlign w:val="center"/>
          </w:tcPr>
          <w:p>
            <w:pPr>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指标</w:t>
            </w:r>
          </w:p>
        </w:tc>
        <w:tc>
          <w:tcPr>
            <w:tcW w:w="716" w:type="dxa"/>
            <w:shd w:val="clear" w:color="auto" w:fill="auto"/>
            <w:vAlign w:val="center"/>
          </w:tcPr>
          <w:p>
            <w:pPr>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单位</w:t>
            </w:r>
          </w:p>
        </w:tc>
        <w:tc>
          <w:tcPr>
            <w:tcW w:w="1534" w:type="dxa"/>
            <w:shd w:val="clear" w:color="auto" w:fill="auto"/>
            <w:vAlign w:val="center"/>
          </w:tcPr>
          <w:p>
            <w:pPr>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规划目标</w:t>
            </w:r>
          </w:p>
        </w:tc>
        <w:tc>
          <w:tcPr>
            <w:tcW w:w="1166" w:type="dxa"/>
            <w:shd w:val="clear" w:color="auto" w:fill="auto"/>
            <w:vAlign w:val="center"/>
          </w:tcPr>
          <w:p>
            <w:pPr>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完成情况</w:t>
            </w:r>
          </w:p>
        </w:tc>
        <w:tc>
          <w:tcPr>
            <w:tcW w:w="944" w:type="dxa"/>
            <w:shd w:val="clear" w:color="auto" w:fill="auto"/>
            <w:vAlign w:val="center"/>
          </w:tcPr>
          <w:p>
            <w:pPr>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指标</w:t>
            </w:r>
          </w:p>
          <w:p>
            <w:pPr>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属性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498" w:type="dxa"/>
            <w:vMerge w:val="restart"/>
            <w:shd w:val="clear" w:color="auto" w:fill="auto"/>
            <w:vAlign w:val="center"/>
          </w:tcPr>
          <w:p>
            <w:pPr>
              <w:rPr>
                <w:color w:val="000000" w:themeColor="text1"/>
                <w14:textFill>
                  <w14:solidFill>
                    <w14:schemeClr w14:val="tx1"/>
                  </w14:solidFill>
                </w14:textFill>
              </w:rPr>
            </w:pPr>
            <w:r>
              <w:rPr>
                <w:rFonts w:hint="eastAsia"/>
                <w:color w:val="000000" w:themeColor="text1"/>
                <w14:textFill>
                  <w14:solidFill>
                    <w14:schemeClr w14:val="tx1"/>
                  </w14:solidFill>
                </w14:textFill>
              </w:rPr>
              <w:t>经济发展</w:t>
            </w:r>
          </w:p>
        </w:tc>
        <w:tc>
          <w:tcPr>
            <w:tcW w:w="3730" w:type="dxa"/>
            <w:shd w:val="clear" w:color="auto" w:fill="auto"/>
            <w:vAlign w:val="center"/>
          </w:tcPr>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1.规模以上工业总产值</w:t>
            </w:r>
          </w:p>
        </w:tc>
        <w:tc>
          <w:tcPr>
            <w:tcW w:w="716"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亿元</w:t>
            </w:r>
          </w:p>
        </w:tc>
        <w:tc>
          <w:tcPr>
            <w:tcW w:w="1534"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1250</w:t>
            </w:r>
          </w:p>
        </w:tc>
        <w:tc>
          <w:tcPr>
            <w:tcW w:w="1166"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1001.39</w:t>
            </w:r>
          </w:p>
        </w:tc>
        <w:tc>
          <w:tcPr>
            <w:tcW w:w="944"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498" w:type="dxa"/>
            <w:vMerge w:val="continue"/>
            <w:shd w:val="clear" w:color="auto" w:fill="auto"/>
            <w:vAlign w:val="center"/>
          </w:tcPr>
          <w:p>
            <w:pPr>
              <w:rPr>
                <w:color w:val="000000" w:themeColor="text1"/>
                <w14:textFill>
                  <w14:solidFill>
                    <w14:schemeClr w14:val="tx1"/>
                  </w14:solidFill>
                </w14:textFill>
              </w:rPr>
            </w:pPr>
          </w:p>
        </w:tc>
        <w:tc>
          <w:tcPr>
            <w:tcW w:w="3730" w:type="dxa"/>
            <w:shd w:val="clear" w:color="auto" w:fill="auto"/>
            <w:vAlign w:val="center"/>
          </w:tcPr>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2.规模以上工业增加值</w:t>
            </w:r>
          </w:p>
        </w:tc>
        <w:tc>
          <w:tcPr>
            <w:tcW w:w="716"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亿元</w:t>
            </w:r>
          </w:p>
        </w:tc>
        <w:tc>
          <w:tcPr>
            <w:tcW w:w="1534"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166"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222.93</w:t>
            </w:r>
          </w:p>
        </w:tc>
        <w:tc>
          <w:tcPr>
            <w:tcW w:w="944"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4" w:hRule="atLeast"/>
          <w:jc w:val="center"/>
        </w:trPr>
        <w:tc>
          <w:tcPr>
            <w:tcW w:w="498" w:type="dxa"/>
            <w:vMerge w:val="continue"/>
            <w:shd w:val="clear" w:color="auto" w:fill="auto"/>
            <w:vAlign w:val="center"/>
          </w:tcPr>
          <w:p>
            <w:pPr>
              <w:rPr>
                <w:color w:val="000000" w:themeColor="text1"/>
                <w14:textFill>
                  <w14:solidFill>
                    <w14:schemeClr w14:val="tx1"/>
                  </w14:solidFill>
                </w14:textFill>
              </w:rPr>
            </w:pPr>
          </w:p>
        </w:tc>
        <w:tc>
          <w:tcPr>
            <w:tcW w:w="3730" w:type="dxa"/>
            <w:shd w:val="clear" w:color="auto" w:fill="auto"/>
            <w:vAlign w:val="center"/>
          </w:tcPr>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3.财政收入</w:t>
            </w:r>
          </w:p>
        </w:tc>
        <w:tc>
          <w:tcPr>
            <w:tcW w:w="716"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亿元</w:t>
            </w:r>
          </w:p>
        </w:tc>
        <w:tc>
          <w:tcPr>
            <w:tcW w:w="1534"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64</w:t>
            </w:r>
          </w:p>
        </w:tc>
        <w:tc>
          <w:tcPr>
            <w:tcW w:w="1166"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52.22</w:t>
            </w:r>
          </w:p>
        </w:tc>
        <w:tc>
          <w:tcPr>
            <w:tcW w:w="944"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498" w:type="dxa"/>
            <w:vMerge w:val="continue"/>
            <w:shd w:val="clear" w:color="auto" w:fill="auto"/>
            <w:vAlign w:val="center"/>
          </w:tcPr>
          <w:p>
            <w:pPr>
              <w:rPr>
                <w:color w:val="000000" w:themeColor="text1"/>
                <w14:textFill>
                  <w14:solidFill>
                    <w14:schemeClr w14:val="tx1"/>
                  </w14:solidFill>
                </w14:textFill>
              </w:rPr>
            </w:pPr>
          </w:p>
        </w:tc>
        <w:tc>
          <w:tcPr>
            <w:tcW w:w="3730" w:type="dxa"/>
            <w:shd w:val="clear" w:color="auto" w:fill="auto"/>
            <w:vAlign w:val="center"/>
          </w:tcPr>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4.固定资产投资年均增速</w:t>
            </w:r>
          </w:p>
        </w:tc>
        <w:tc>
          <w:tcPr>
            <w:tcW w:w="716"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534"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15</w:t>
            </w:r>
          </w:p>
        </w:tc>
        <w:tc>
          <w:tcPr>
            <w:tcW w:w="1166"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13</w:t>
            </w:r>
          </w:p>
        </w:tc>
        <w:tc>
          <w:tcPr>
            <w:tcW w:w="944"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498" w:type="dxa"/>
            <w:vMerge w:val="continue"/>
            <w:shd w:val="clear" w:color="auto" w:fill="auto"/>
            <w:vAlign w:val="center"/>
          </w:tcPr>
          <w:p>
            <w:pPr>
              <w:rPr>
                <w:color w:val="000000" w:themeColor="text1"/>
                <w14:textFill>
                  <w14:solidFill>
                    <w14:schemeClr w14:val="tx1"/>
                  </w14:solidFill>
                </w14:textFill>
              </w:rPr>
            </w:pPr>
          </w:p>
        </w:tc>
        <w:tc>
          <w:tcPr>
            <w:tcW w:w="3730" w:type="dxa"/>
            <w:shd w:val="clear" w:color="auto" w:fill="auto"/>
            <w:vAlign w:val="center"/>
          </w:tcPr>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5.社会消费品零售总额</w:t>
            </w:r>
          </w:p>
        </w:tc>
        <w:tc>
          <w:tcPr>
            <w:tcW w:w="716"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534"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12</w:t>
            </w:r>
          </w:p>
        </w:tc>
        <w:tc>
          <w:tcPr>
            <w:tcW w:w="1166"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13.2</w:t>
            </w:r>
          </w:p>
        </w:tc>
        <w:tc>
          <w:tcPr>
            <w:tcW w:w="944"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498" w:type="dxa"/>
            <w:vMerge w:val="restart"/>
            <w:shd w:val="clear" w:color="auto" w:fill="auto"/>
            <w:vAlign w:val="center"/>
          </w:tcPr>
          <w:p>
            <w:pPr>
              <w:rPr>
                <w:color w:val="000000" w:themeColor="text1"/>
                <w14:textFill>
                  <w14:solidFill>
                    <w14:schemeClr w14:val="tx1"/>
                  </w14:solidFill>
                </w14:textFill>
              </w:rPr>
            </w:pPr>
            <w:r>
              <w:rPr>
                <w:rFonts w:hint="eastAsia"/>
                <w:color w:val="000000" w:themeColor="text1"/>
                <w14:textFill>
                  <w14:solidFill>
                    <w14:schemeClr w14:val="tx1"/>
                  </w14:solidFill>
                </w14:textFill>
              </w:rPr>
              <w:t>民生福祉</w:t>
            </w:r>
          </w:p>
        </w:tc>
        <w:tc>
          <w:tcPr>
            <w:tcW w:w="3730" w:type="dxa"/>
            <w:shd w:val="clear" w:color="auto" w:fill="auto"/>
            <w:vAlign w:val="center"/>
          </w:tcPr>
          <w:p>
            <w:pPr>
              <w:jc w:val="left"/>
              <w:rPr>
                <w:rFonts w:hint="eastAsia" w:asciiTheme="minorHAnsi" w:hAnsiTheme="minorHAnsi" w:eastAsiaTheme="minorEastAsia" w:cstheme="minorBidi"/>
                <w:color w:val="000000" w:themeColor="text1"/>
                <w:kern w:val="2"/>
                <w:sz w:val="21"/>
                <w:szCs w:val="22"/>
                <w:lang w:val="en-US" w:eastAsia="zh-CN" w:bidi="ar-SA"/>
                <w14:textFill>
                  <w14:solidFill>
                    <w14:schemeClr w14:val="tx1"/>
                  </w14:solidFill>
                </w14:textFill>
              </w:rPr>
            </w:pPr>
            <w:r>
              <w:rPr>
                <w:rFonts w:hint="eastAsia"/>
                <w:color w:val="000000" w:themeColor="text1"/>
                <w14:textFill>
                  <w14:solidFill>
                    <w14:schemeClr w14:val="tx1"/>
                  </w14:solidFill>
                </w14:textFill>
              </w:rPr>
              <w:t>6.常住人口城镇化率</w:t>
            </w:r>
          </w:p>
        </w:tc>
        <w:tc>
          <w:tcPr>
            <w:tcW w:w="716" w:type="dxa"/>
            <w:shd w:val="clear" w:color="auto" w:fill="auto"/>
            <w:vAlign w:val="center"/>
          </w:tcPr>
          <w:p>
            <w:pPr>
              <w:jc w:val="center"/>
              <w:rPr>
                <w:rFonts w:hint="eastAsia" w:asciiTheme="minorHAnsi" w:hAnsiTheme="minorHAnsi" w:eastAsiaTheme="minorEastAsia" w:cstheme="minorBidi"/>
                <w:color w:val="000000" w:themeColor="text1"/>
                <w:kern w:val="2"/>
                <w:sz w:val="21"/>
                <w:szCs w:val="22"/>
                <w:lang w:val="en-US" w:eastAsia="zh-CN" w:bidi="ar-SA"/>
                <w14:textFill>
                  <w14:solidFill>
                    <w14:schemeClr w14:val="tx1"/>
                  </w14:solidFill>
                </w14:textFill>
              </w:rPr>
            </w:pPr>
            <w:r>
              <w:rPr>
                <w:rFonts w:hint="eastAsia"/>
                <w:color w:val="000000" w:themeColor="text1"/>
                <w14:textFill>
                  <w14:solidFill>
                    <w14:schemeClr w14:val="tx1"/>
                  </w14:solidFill>
                </w14:textFill>
              </w:rPr>
              <w:t>％</w:t>
            </w:r>
          </w:p>
        </w:tc>
        <w:tc>
          <w:tcPr>
            <w:tcW w:w="1534" w:type="dxa"/>
            <w:shd w:val="clear" w:color="auto" w:fill="auto"/>
            <w:vAlign w:val="center"/>
          </w:tcPr>
          <w:p>
            <w:pPr>
              <w:jc w:val="center"/>
              <w:rPr>
                <w:rFonts w:hint="eastAsia" w:asciiTheme="minorHAnsi" w:hAnsiTheme="minorHAnsi" w:eastAsiaTheme="minorEastAsia" w:cstheme="minorBidi"/>
                <w:color w:val="000000" w:themeColor="text1"/>
                <w:kern w:val="2"/>
                <w:sz w:val="21"/>
                <w:szCs w:val="22"/>
                <w:lang w:val="en-US" w:eastAsia="zh-CN" w:bidi="ar-SA"/>
                <w14:textFill>
                  <w14:solidFill>
                    <w14:schemeClr w14:val="tx1"/>
                  </w14:solidFill>
                </w14:textFill>
              </w:rPr>
            </w:pPr>
            <w:r>
              <w:rPr>
                <w:rFonts w:hint="eastAsia"/>
                <w:color w:val="000000" w:themeColor="text1"/>
                <w14:textFill>
                  <w14:solidFill>
                    <w14:schemeClr w14:val="tx1"/>
                  </w14:solidFill>
                </w14:textFill>
              </w:rPr>
              <w:t>85</w:t>
            </w:r>
          </w:p>
        </w:tc>
        <w:tc>
          <w:tcPr>
            <w:tcW w:w="1166" w:type="dxa"/>
            <w:shd w:val="clear" w:color="auto" w:fill="auto"/>
            <w:vAlign w:val="center"/>
          </w:tcPr>
          <w:p>
            <w:pPr>
              <w:jc w:val="center"/>
              <w:rPr>
                <w:rFonts w:hint="eastAsia" w:asciiTheme="minorHAnsi" w:hAnsiTheme="minorHAnsi" w:eastAsiaTheme="minorEastAsia" w:cstheme="minorBidi"/>
                <w:color w:val="000000" w:themeColor="text1"/>
                <w:kern w:val="2"/>
                <w:sz w:val="21"/>
                <w:szCs w:val="22"/>
                <w:lang w:val="en-US" w:eastAsia="zh-CN" w:bidi="ar-SA"/>
                <w14:textFill>
                  <w14:solidFill>
                    <w14:schemeClr w14:val="tx1"/>
                  </w14:solidFill>
                </w14:textFill>
              </w:rPr>
            </w:pPr>
            <w:r>
              <w:rPr>
                <w:rFonts w:hint="eastAsia"/>
                <w:color w:val="000000" w:themeColor="text1"/>
                <w14:textFill>
                  <w14:solidFill>
                    <w14:schemeClr w14:val="tx1"/>
                  </w14:solidFill>
                </w14:textFill>
              </w:rPr>
              <w:t>71</w:t>
            </w:r>
          </w:p>
        </w:tc>
        <w:tc>
          <w:tcPr>
            <w:tcW w:w="944" w:type="dxa"/>
            <w:shd w:val="clear" w:color="auto" w:fill="auto"/>
            <w:vAlign w:val="center"/>
          </w:tcPr>
          <w:p>
            <w:pPr>
              <w:jc w:val="center"/>
              <w:rPr>
                <w:rFonts w:hint="eastAsia" w:asciiTheme="minorHAnsi" w:hAnsiTheme="minorHAnsi" w:eastAsiaTheme="minorEastAsia" w:cstheme="minorBidi"/>
                <w:color w:val="000000" w:themeColor="text1"/>
                <w:kern w:val="2"/>
                <w:sz w:val="21"/>
                <w:szCs w:val="22"/>
                <w:lang w:val="en-US" w:eastAsia="zh-CN" w:bidi="ar-SA"/>
                <w14:textFill>
                  <w14:solidFill>
                    <w14:schemeClr w14:val="tx1"/>
                  </w14:solidFill>
                </w14:textFill>
              </w:rPr>
            </w:pPr>
            <w:r>
              <w:rPr>
                <w:rFonts w:hint="eastAsia"/>
                <w:color w:val="000000" w:themeColor="text1"/>
                <w14:textFill>
                  <w14:solidFill>
                    <w14:schemeClr w14:val="tx1"/>
                  </w14:solidFill>
                </w14:textFill>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498" w:type="dxa"/>
            <w:vMerge w:val="continue"/>
            <w:shd w:val="clear" w:color="auto" w:fill="auto"/>
            <w:vAlign w:val="center"/>
          </w:tcPr>
          <w:p>
            <w:pPr>
              <w:rPr>
                <w:color w:val="000000" w:themeColor="text1"/>
                <w14:textFill>
                  <w14:solidFill>
                    <w14:schemeClr w14:val="tx1"/>
                  </w14:solidFill>
                </w14:textFill>
              </w:rPr>
            </w:pPr>
          </w:p>
        </w:tc>
        <w:tc>
          <w:tcPr>
            <w:tcW w:w="3730" w:type="dxa"/>
            <w:shd w:val="clear" w:color="auto" w:fill="auto"/>
            <w:vAlign w:val="center"/>
          </w:tcPr>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7.九年义务教育巩固率</w:t>
            </w:r>
          </w:p>
        </w:tc>
        <w:tc>
          <w:tcPr>
            <w:tcW w:w="716"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534"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97</w:t>
            </w:r>
          </w:p>
        </w:tc>
        <w:tc>
          <w:tcPr>
            <w:tcW w:w="1166"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100</w:t>
            </w:r>
          </w:p>
        </w:tc>
        <w:tc>
          <w:tcPr>
            <w:tcW w:w="944"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498" w:type="dxa"/>
            <w:vMerge w:val="continue"/>
            <w:shd w:val="clear" w:color="auto" w:fill="auto"/>
            <w:vAlign w:val="center"/>
          </w:tcPr>
          <w:p>
            <w:pPr>
              <w:rPr>
                <w:color w:val="000000" w:themeColor="text1"/>
                <w14:textFill>
                  <w14:solidFill>
                    <w14:schemeClr w14:val="tx1"/>
                  </w14:solidFill>
                </w14:textFill>
              </w:rPr>
            </w:pPr>
          </w:p>
        </w:tc>
        <w:tc>
          <w:tcPr>
            <w:tcW w:w="3730" w:type="dxa"/>
            <w:shd w:val="clear" w:color="auto" w:fill="auto"/>
            <w:vAlign w:val="center"/>
          </w:tcPr>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8.高中阶段毛入学率</w:t>
            </w:r>
          </w:p>
        </w:tc>
        <w:tc>
          <w:tcPr>
            <w:tcW w:w="716"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534"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92</w:t>
            </w:r>
          </w:p>
        </w:tc>
        <w:tc>
          <w:tcPr>
            <w:tcW w:w="1166"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92</w:t>
            </w:r>
          </w:p>
        </w:tc>
        <w:tc>
          <w:tcPr>
            <w:tcW w:w="944"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498" w:type="dxa"/>
            <w:vMerge w:val="continue"/>
            <w:shd w:val="clear" w:color="auto" w:fill="auto"/>
            <w:vAlign w:val="center"/>
          </w:tcPr>
          <w:p>
            <w:pPr>
              <w:rPr>
                <w:color w:val="000000" w:themeColor="text1"/>
                <w14:textFill>
                  <w14:solidFill>
                    <w14:schemeClr w14:val="tx1"/>
                  </w14:solidFill>
                </w14:textFill>
              </w:rPr>
            </w:pPr>
          </w:p>
        </w:tc>
        <w:tc>
          <w:tcPr>
            <w:tcW w:w="3730" w:type="dxa"/>
            <w:shd w:val="clear" w:color="auto" w:fill="auto"/>
            <w:vAlign w:val="center"/>
          </w:tcPr>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9.新区常住人口</w:t>
            </w:r>
          </w:p>
        </w:tc>
        <w:tc>
          <w:tcPr>
            <w:tcW w:w="716"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万人</w:t>
            </w:r>
          </w:p>
        </w:tc>
        <w:tc>
          <w:tcPr>
            <w:tcW w:w="1534"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35-40</w:t>
            </w:r>
          </w:p>
        </w:tc>
        <w:tc>
          <w:tcPr>
            <w:tcW w:w="1166"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22</w:t>
            </w:r>
          </w:p>
        </w:tc>
        <w:tc>
          <w:tcPr>
            <w:tcW w:w="944"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498" w:type="dxa"/>
            <w:vMerge w:val="continue"/>
            <w:shd w:val="clear" w:color="auto" w:fill="auto"/>
            <w:vAlign w:val="center"/>
          </w:tcPr>
          <w:p>
            <w:pPr>
              <w:rPr>
                <w:color w:val="000000" w:themeColor="text1"/>
                <w14:textFill>
                  <w14:solidFill>
                    <w14:schemeClr w14:val="tx1"/>
                  </w14:solidFill>
                </w14:textFill>
              </w:rPr>
            </w:pPr>
          </w:p>
        </w:tc>
        <w:tc>
          <w:tcPr>
            <w:tcW w:w="3730" w:type="dxa"/>
            <w:shd w:val="clear" w:color="auto" w:fill="auto"/>
            <w:vAlign w:val="center"/>
          </w:tcPr>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10.城镇居民人均可支配收入</w:t>
            </w:r>
          </w:p>
        </w:tc>
        <w:tc>
          <w:tcPr>
            <w:tcW w:w="716"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元</w:t>
            </w:r>
          </w:p>
        </w:tc>
        <w:tc>
          <w:tcPr>
            <w:tcW w:w="1534"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48000</w:t>
            </w:r>
          </w:p>
        </w:tc>
        <w:tc>
          <w:tcPr>
            <w:tcW w:w="1166" w:type="dxa"/>
            <w:shd w:val="clear" w:color="auto" w:fill="auto"/>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42488</w:t>
            </w:r>
          </w:p>
        </w:tc>
        <w:tc>
          <w:tcPr>
            <w:tcW w:w="944"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498" w:type="dxa"/>
            <w:vMerge w:val="continue"/>
            <w:shd w:val="clear" w:color="auto" w:fill="auto"/>
            <w:vAlign w:val="center"/>
          </w:tcPr>
          <w:p>
            <w:pPr>
              <w:rPr>
                <w:color w:val="000000" w:themeColor="text1"/>
                <w14:textFill>
                  <w14:solidFill>
                    <w14:schemeClr w14:val="tx1"/>
                  </w14:solidFill>
                </w14:textFill>
              </w:rPr>
            </w:pPr>
          </w:p>
        </w:tc>
        <w:tc>
          <w:tcPr>
            <w:tcW w:w="3730" w:type="dxa"/>
            <w:shd w:val="clear" w:color="auto" w:fill="auto"/>
            <w:vAlign w:val="center"/>
          </w:tcPr>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11.农村居民人均可支配收入</w:t>
            </w:r>
          </w:p>
        </w:tc>
        <w:tc>
          <w:tcPr>
            <w:tcW w:w="716"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元</w:t>
            </w:r>
          </w:p>
        </w:tc>
        <w:tc>
          <w:tcPr>
            <w:tcW w:w="1534"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18000</w:t>
            </w:r>
          </w:p>
        </w:tc>
        <w:tc>
          <w:tcPr>
            <w:tcW w:w="1166" w:type="dxa"/>
            <w:shd w:val="clear" w:color="auto" w:fill="auto"/>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27286</w:t>
            </w:r>
          </w:p>
        </w:tc>
        <w:tc>
          <w:tcPr>
            <w:tcW w:w="944"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498" w:type="dxa"/>
            <w:vMerge w:val="continue"/>
            <w:shd w:val="clear" w:color="auto" w:fill="auto"/>
            <w:vAlign w:val="center"/>
          </w:tcPr>
          <w:p>
            <w:pPr>
              <w:rPr>
                <w:color w:val="000000" w:themeColor="text1"/>
                <w14:textFill>
                  <w14:solidFill>
                    <w14:schemeClr w14:val="tx1"/>
                  </w14:solidFill>
                </w14:textFill>
              </w:rPr>
            </w:pPr>
          </w:p>
        </w:tc>
        <w:tc>
          <w:tcPr>
            <w:tcW w:w="3730" w:type="dxa"/>
            <w:shd w:val="clear" w:color="auto" w:fill="auto"/>
            <w:vAlign w:val="center"/>
          </w:tcPr>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12.城镇登记失业率</w:t>
            </w:r>
          </w:p>
        </w:tc>
        <w:tc>
          <w:tcPr>
            <w:tcW w:w="716"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534"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按柳州市下达任务</w:t>
            </w:r>
          </w:p>
        </w:tc>
        <w:tc>
          <w:tcPr>
            <w:tcW w:w="1166"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完成</w:t>
            </w:r>
          </w:p>
        </w:tc>
        <w:tc>
          <w:tcPr>
            <w:tcW w:w="944"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498" w:type="dxa"/>
            <w:vMerge w:val="continue"/>
            <w:shd w:val="clear" w:color="auto" w:fill="auto"/>
            <w:vAlign w:val="center"/>
          </w:tcPr>
          <w:p>
            <w:pPr>
              <w:rPr>
                <w:color w:val="000000" w:themeColor="text1"/>
                <w14:textFill>
                  <w14:solidFill>
                    <w14:schemeClr w14:val="tx1"/>
                  </w14:solidFill>
                </w14:textFill>
              </w:rPr>
            </w:pPr>
          </w:p>
        </w:tc>
        <w:tc>
          <w:tcPr>
            <w:tcW w:w="3730" w:type="dxa"/>
            <w:shd w:val="clear" w:color="auto" w:fill="auto"/>
            <w:vAlign w:val="center"/>
          </w:tcPr>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13.城镇新增就业人数</w:t>
            </w:r>
          </w:p>
        </w:tc>
        <w:tc>
          <w:tcPr>
            <w:tcW w:w="716"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万人</w:t>
            </w:r>
          </w:p>
        </w:tc>
        <w:tc>
          <w:tcPr>
            <w:tcW w:w="1534"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按柳州市下达任务</w:t>
            </w:r>
          </w:p>
        </w:tc>
        <w:tc>
          <w:tcPr>
            <w:tcW w:w="1166"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完成</w:t>
            </w:r>
          </w:p>
        </w:tc>
        <w:tc>
          <w:tcPr>
            <w:tcW w:w="944"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498" w:type="dxa"/>
            <w:vMerge w:val="continue"/>
            <w:shd w:val="clear" w:color="auto" w:fill="auto"/>
            <w:vAlign w:val="center"/>
          </w:tcPr>
          <w:p>
            <w:pPr>
              <w:rPr>
                <w:color w:val="000000" w:themeColor="text1"/>
                <w14:textFill>
                  <w14:solidFill>
                    <w14:schemeClr w14:val="tx1"/>
                  </w14:solidFill>
                </w14:textFill>
              </w:rPr>
            </w:pPr>
          </w:p>
        </w:tc>
        <w:tc>
          <w:tcPr>
            <w:tcW w:w="3730" w:type="dxa"/>
            <w:shd w:val="clear" w:color="auto" w:fill="auto"/>
            <w:vAlign w:val="center"/>
          </w:tcPr>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14.贫困人口脱贫</w:t>
            </w:r>
          </w:p>
        </w:tc>
        <w:tc>
          <w:tcPr>
            <w:tcW w:w="716"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人</w:t>
            </w:r>
          </w:p>
        </w:tc>
        <w:tc>
          <w:tcPr>
            <w:tcW w:w="1534"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393</w:t>
            </w:r>
          </w:p>
        </w:tc>
        <w:tc>
          <w:tcPr>
            <w:tcW w:w="1166"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393</w:t>
            </w:r>
          </w:p>
        </w:tc>
        <w:tc>
          <w:tcPr>
            <w:tcW w:w="944"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498" w:type="dxa"/>
            <w:vMerge w:val="continue"/>
            <w:shd w:val="clear" w:color="auto" w:fill="auto"/>
            <w:vAlign w:val="center"/>
          </w:tcPr>
          <w:p>
            <w:pPr>
              <w:rPr>
                <w:color w:val="000000" w:themeColor="text1"/>
                <w14:textFill>
                  <w14:solidFill>
                    <w14:schemeClr w14:val="tx1"/>
                  </w14:solidFill>
                </w14:textFill>
              </w:rPr>
            </w:pPr>
          </w:p>
        </w:tc>
        <w:tc>
          <w:tcPr>
            <w:tcW w:w="3730" w:type="dxa"/>
            <w:shd w:val="clear" w:color="auto" w:fill="auto"/>
            <w:vAlign w:val="center"/>
          </w:tcPr>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15.城镇保障性住房建设和棚户区改造</w:t>
            </w:r>
          </w:p>
        </w:tc>
        <w:tc>
          <w:tcPr>
            <w:tcW w:w="716"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套</w:t>
            </w:r>
          </w:p>
        </w:tc>
        <w:tc>
          <w:tcPr>
            <w:tcW w:w="1534"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按柳州市下达任务</w:t>
            </w:r>
          </w:p>
        </w:tc>
        <w:tc>
          <w:tcPr>
            <w:tcW w:w="1166"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完成</w:t>
            </w:r>
          </w:p>
        </w:tc>
        <w:tc>
          <w:tcPr>
            <w:tcW w:w="944"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498" w:type="dxa"/>
            <w:vMerge w:val="restart"/>
            <w:shd w:val="clear" w:color="auto" w:fill="auto"/>
            <w:vAlign w:val="center"/>
          </w:tcPr>
          <w:p>
            <w:pPr>
              <w:rPr>
                <w:color w:val="000000" w:themeColor="text1"/>
                <w14:textFill>
                  <w14:solidFill>
                    <w14:schemeClr w14:val="tx1"/>
                  </w14:solidFill>
                </w14:textFill>
              </w:rPr>
            </w:pPr>
            <w:r>
              <w:rPr>
                <w:rFonts w:hint="eastAsia"/>
                <w:color w:val="000000" w:themeColor="text1"/>
                <w14:textFill>
                  <w14:solidFill>
                    <w14:schemeClr w14:val="tx1"/>
                  </w14:solidFill>
                </w14:textFill>
              </w:rPr>
              <w:t>创新驱动</w:t>
            </w:r>
          </w:p>
        </w:tc>
        <w:tc>
          <w:tcPr>
            <w:tcW w:w="3730" w:type="dxa"/>
            <w:shd w:val="clear" w:color="auto" w:fill="auto"/>
            <w:vAlign w:val="center"/>
          </w:tcPr>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16.研究与试验发展经费支出占地区生产总值比重</w:t>
            </w:r>
          </w:p>
        </w:tc>
        <w:tc>
          <w:tcPr>
            <w:tcW w:w="716"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534"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3</w:t>
            </w:r>
          </w:p>
        </w:tc>
        <w:tc>
          <w:tcPr>
            <w:tcW w:w="1166"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3.2</w:t>
            </w:r>
          </w:p>
        </w:tc>
        <w:tc>
          <w:tcPr>
            <w:tcW w:w="944"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498" w:type="dxa"/>
            <w:vMerge w:val="continue"/>
            <w:shd w:val="clear" w:color="auto" w:fill="auto"/>
            <w:vAlign w:val="center"/>
          </w:tcPr>
          <w:p>
            <w:pPr>
              <w:rPr>
                <w:color w:val="000000" w:themeColor="text1"/>
                <w14:textFill>
                  <w14:solidFill>
                    <w14:schemeClr w14:val="tx1"/>
                  </w14:solidFill>
                </w14:textFill>
              </w:rPr>
            </w:pPr>
          </w:p>
        </w:tc>
        <w:tc>
          <w:tcPr>
            <w:tcW w:w="3730" w:type="dxa"/>
            <w:shd w:val="clear" w:color="auto" w:fill="auto"/>
            <w:vAlign w:val="center"/>
          </w:tcPr>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17.新增劳动力平均受教育年限</w:t>
            </w:r>
          </w:p>
        </w:tc>
        <w:tc>
          <w:tcPr>
            <w:tcW w:w="716"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年</w:t>
            </w:r>
          </w:p>
        </w:tc>
        <w:tc>
          <w:tcPr>
            <w:tcW w:w="1534"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12</w:t>
            </w:r>
          </w:p>
        </w:tc>
        <w:tc>
          <w:tcPr>
            <w:tcW w:w="1166"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12</w:t>
            </w:r>
          </w:p>
        </w:tc>
        <w:tc>
          <w:tcPr>
            <w:tcW w:w="944"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498" w:type="dxa"/>
            <w:vMerge w:val="continue"/>
            <w:shd w:val="clear" w:color="auto" w:fill="auto"/>
            <w:vAlign w:val="center"/>
          </w:tcPr>
          <w:p>
            <w:pPr>
              <w:rPr>
                <w:color w:val="000000" w:themeColor="text1"/>
                <w14:textFill>
                  <w14:solidFill>
                    <w14:schemeClr w14:val="tx1"/>
                  </w14:solidFill>
                </w14:textFill>
              </w:rPr>
            </w:pPr>
          </w:p>
        </w:tc>
        <w:tc>
          <w:tcPr>
            <w:tcW w:w="3730" w:type="dxa"/>
            <w:shd w:val="clear" w:color="auto" w:fill="auto"/>
            <w:vAlign w:val="center"/>
          </w:tcPr>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18.互联网普及率</w:t>
            </w:r>
          </w:p>
        </w:tc>
        <w:tc>
          <w:tcPr>
            <w:tcW w:w="716"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534"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90</w:t>
            </w:r>
          </w:p>
        </w:tc>
        <w:tc>
          <w:tcPr>
            <w:tcW w:w="1166"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95</w:t>
            </w:r>
          </w:p>
        </w:tc>
        <w:tc>
          <w:tcPr>
            <w:tcW w:w="944"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498" w:type="dxa"/>
            <w:vMerge w:val="continue"/>
            <w:shd w:val="clear" w:color="auto" w:fill="auto"/>
            <w:vAlign w:val="center"/>
          </w:tcPr>
          <w:p>
            <w:pPr>
              <w:rPr>
                <w:color w:val="000000" w:themeColor="text1"/>
                <w14:textFill>
                  <w14:solidFill>
                    <w14:schemeClr w14:val="tx1"/>
                  </w14:solidFill>
                </w14:textFill>
              </w:rPr>
            </w:pPr>
          </w:p>
        </w:tc>
        <w:tc>
          <w:tcPr>
            <w:tcW w:w="3730" w:type="dxa"/>
            <w:shd w:val="clear" w:color="auto" w:fill="auto"/>
            <w:vAlign w:val="center"/>
          </w:tcPr>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19每万名人口拥有发明专利数</w:t>
            </w:r>
          </w:p>
        </w:tc>
        <w:tc>
          <w:tcPr>
            <w:tcW w:w="716"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件</w:t>
            </w:r>
          </w:p>
        </w:tc>
        <w:tc>
          <w:tcPr>
            <w:tcW w:w="1534"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12</w:t>
            </w:r>
          </w:p>
        </w:tc>
        <w:tc>
          <w:tcPr>
            <w:tcW w:w="1166"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30</w:t>
            </w:r>
          </w:p>
        </w:tc>
        <w:tc>
          <w:tcPr>
            <w:tcW w:w="944"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498" w:type="dxa"/>
            <w:vMerge w:val="restart"/>
            <w:shd w:val="clear" w:color="auto" w:fill="auto"/>
            <w:vAlign w:val="center"/>
          </w:tcPr>
          <w:p>
            <w:pPr>
              <w:rPr>
                <w:color w:val="000000" w:themeColor="text1"/>
                <w14:textFill>
                  <w14:solidFill>
                    <w14:schemeClr w14:val="tx1"/>
                  </w14:solidFill>
                </w14:textFill>
              </w:rPr>
            </w:pPr>
            <w:r>
              <w:rPr>
                <w:rFonts w:hint="eastAsia"/>
                <w:color w:val="000000" w:themeColor="text1"/>
                <w14:textFill>
                  <w14:solidFill>
                    <w14:schemeClr w14:val="tx1"/>
                  </w14:solidFill>
                </w14:textFill>
              </w:rPr>
              <w:t>生态文明</w:t>
            </w:r>
          </w:p>
        </w:tc>
        <w:tc>
          <w:tcPr>
            <w:tcW w:w="3730" w:type="dxa"/>
            <w:shd w:val="clear" w:color="auto" w:fill="auto"/>
            <w:vAlign w:val="center"/>
          </w:tcPr>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20.耕地保有量（国土）</w:t>
            </w:r>
          </w:p>
        </w:tc>
        <w:tc>
          <w:tcPr>
            <w:tcW w:w="716"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万亩</w:t>
            </w:r>
          </w:p>
        </w:tc>
        <w:tc>
          <w:tcPr>
            <w:tcW w:w="1534"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按柳州市下达任务</w:t>
            </w:r>
          </w:p>
        </w:tc>
        <w:tc>
          <w:tcPr>
            <w:tcW w:w="1166"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完成</w:t>
            </w:r>
          </w:p>
        </w:tc>
        <w:tc>
          <w:tcPr>
            <w:tcW w:w="944"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498" w:type="dxa"/>
            <w:vMerge w:val="continue"/>
            <w:shd w:val="clear" w:color="auto" w:fill="auto"/>
            <w:vAlign w:val="center"/>
          </w:tcPr>
          <w:p>
            <w:pPr>
              <w:rPr>
                <w:color w:val="000000" w:themeColor="text1"/>
                <w14:textFill>
                  <w14:solidFill>
                    <w14:schemeClr w14:val="tx1"/>
                  </w14:solidFill>
                </w14:textFill>
              </w:rPr>
            </w:pPr>
          </w:p>
        </w:tc>
        <w:tc>
          <w:tcPr>
            <w:tcW w:w="3730" w:type="dxa"/>
            <w:shd w:val="clear" w:color="auto" w:fill="auto"/>
            <w:vAlign w:val="center"/>
          </w:tcPr>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21.新增建设用地规模</w:t>
            </w:r>
          </w:p>
        </w:tc>
        <w:tc>
          <w:tcPr>
            <w:tcW w:w="716"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公顷</w:t>
            </w:r>
          </w:p>
        </w:tc>
        <w:tc>
          <w:tcPr>
            <w:tcW w:w="1534"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按自治区下达任务</w:t>
            </w:r>
          </w:p>
        </w:tc>
        <w:tc>
          <w:tcPr>
            <w:tcW w:w="1166"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完成</w:t>
            </w:r>
          </w:p>
        </w:tc>
        <w:tc>
          <w:tcPr>
            <w:tcW w:w="944"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498" w:type="dxa"/>
            <w:vMerge w:val="continue"/>
            <w:shd w:val="clear" w:color="auto" w:fill="auto"/>
            <w:vAlign w:val="center"/>
          </w:tcPr>
          <w:p>
            <w:pPr>
              <w:rPr>
                <w:color w:val="000000" w:themeColor="text1"/>
                <w14:textFill>
                  <w14:solidFill>
                    <w14:schemeClr w14:val="tx1"/>
                  </w14:solidFill>
                </w14:textFill>
              </w:rPr>
            </w:pPr>
          </w:p>
        </w:tc>
        <w:tc>
          <w:tcPr>
            <w:tcW w:w="3730" w:type="dxa"/>
            <w:shd w:val="clear" w:color="auto" w:fill="auto"/>
            <w:vAlign w:val="center"/>
          </w:tcPr>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22.单位生产总值能源消耗降低</w:t>
            </w:r>
          </w:p>
        </w:tc>
        <w:tc>
          <w:tcPr>
            <w:tcW w:w="716"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534"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按柳州市下达任务</w:t>
            </w:r>
          </w:p>
        </w:tc>
        <w:tc>
          <w:tcPr>
            <w:tcW w:w="1166"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完成</w:t>
            </w:r>
          </w:p>
        </w:tc>
        <w:tc>
          <w:tcPr>
            <w:tcW w:w="944"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498" w:type="dxa"/>
            <w:vMerge w:val="continue"/>
            <w:shd w:val="clear" w:color="auto" w:fill="auto"/>
            <w:vAlign w:val="center"/>
          </w:tcPr>
          <w:p>
            <w:pPr>
              <w:rPr>
                <w:color w:val="000000" w:themeColor="text1"/>
                <w14:textFill>
                  <w14:solidFill>
                    <w14:schemeClr w14:val="tx1"/>
                  </w14:solidFill>
                </w14:textFill>
              </w:rPr>
            </w:pPr>
          </w:p>
        </w:tc>
        <w:tc>
          <w:tcPr>
            <w:tcW w:w="3730" w:type="dxa"/>
            <w:shd w:val="clear" w:color="auto" w:fill="auto"/>
            <w:vAlign w:val="center"/>
          </w:tcPr>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23. COD排放量/NH3-N排放量/SO2排放量/NOx排放量</w:t>
            </w:r>
          </w:p>
        </w:tc>
        <w:tc>
          <w:tcPr>
            <w:tcW w:w="716"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534"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按柳州市下达任务</w:t>
            </w:r>
          </w:p>
        </w:tc>
        <w:tc>
          <w:tcPr>
            <w:tcW w:w="1166"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完成</w:t>
            </w:r>
          </w:p>
        </w:tc>
        <w:tc>
          <w:tcPr>
            <w:tcW w:w="944"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498" w:type="dxa"/>
            <w:vMerge w:val="continue"/>
            <w:shd w:val="clear" w:color="auto" w:fill="auto"/>
            <w:vAlign w:val="center"/>
          </w:tcPr>
          <w:p>
            <w:pPr>
              <w:rPr>
                <w:color w:val="000000" w:themeColor="text1"/>
                <w14:textFill>
                  <w14:solidFill>
                    <w14:schemeClr w14:val="tx1"/>
                  </w14:solidFill>
                </w14:textFill>
              </w:rPr>
            </w:pPr>
          </w:p>
        </w:tc>
        <w:tc>
          <w:tcPr>
            <w:tcW w:w="3730" w:type="dxa"/>
            <w:shd w:val="clear" w:color="auto" w:fill="auto"/>
            <w:vAlign w:val="center"/>
          </w:tcPr>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24.万元生产总值用水量降低</w:t>
            </w:r>
          </w:p>
        </w:tc>
        <w:tc>
          <w:tcPr>
            <w:tcW w:w="716"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吨/万元</w:t>
            </w:r>
          </w:p>
        </w:tc>
        <w:tc>
          <w:tcPr>
            <w:tcW w:w="1534"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按柳州市下达任务</w:t>
            </w:r>
          </w:p>
        </w:tc>
        <w:tc>
          <w:tcPr>
            <w:tcW w:w="1166"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完成</w:t>
            </w:r>
          </w:p>
        </w:tc>
        <w:tc>
          <w:tcPr>
            <w:tcW w:w="944"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498" w:type="dxa"/>
            <w:vMerge w:val="continue"/>
            <w:shd w:val="clear" w:color="auto" w:fill="auto"/>
            <w:vAlign w:val="center"/>
          </w:tcPr>
          <w:p>
            <w:pPr>
              <w:rPr>
                <w:color w:val="000000" w:themeColor="text1"/>
                <w14:textFill>
                  <w14:solidFill>
                    <w14:schemeClr w14:val="tx1"/>
                  </w14:solidFill>
                </w14:textFill>
              </w:rPr>
            </w:pPr>
          </w:p>
        </w:tc>
        <w:tc>
          <w:tcPr>
            <w:tcW w:w="3730" w:type="dxa"/>
            <w:shd w:val="clear" w:color="auto" w:fill="auto"/>
            <w:vAlign w:val="center"/>
          </w:tcPr>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25.建成区绿化覆盖率</w:t>
            </w:r>
          </w:p>
        </w:tc>
        <w:tc>
          <w:tcPr>
            <w:tcW w:w="716"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534"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45</w:t>
            </w:r>
          </w:p>
        </w:tc>
        <w:tc>
          <w:tcPr>
            <w:tcW w:w="1166"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44</w:t>
            </w:r>
          </w:p>
        </w:tc>
        <w:tc>
          <w:tcPr>
            <w:tcW w:w="944"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498" w:type="dxa"/>
            <w:vMerge w:val="continue"/>
            <w:shd w:val="clear" w:color="auto" w:fill="auto"/>
            <w:vAlign w:val="center"/>
          </w:tcPr>
          <w:p>
            <w:pPr>
              <w:rPr>
                <w:color w:val="000000" w:themeColor="text1"/>
                <w14:textFill>
                  <w14:solidFill>
                    <w14:schemeClr w14:val="tx1"/>
                  </w14:solidFill>
                </w14:textFill>
              </w:rPr>
            </w:pPr>
          </w:p>
        </w:tc>
        <w:tc>
          <w:tcPr>
            <w:tcW w:w="3730" w:type="dxa"/>
            <w:shd w:val="clear" w:color="auto" w:fill="auto"/>
            <w:vAlign w:val="center"/>
          </w:tcPr>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26.森林覆盖率</w:t>
            </w:r>
          </w:p>
        </w:tc>
        <w:tc>
          <w:tcPr>
            <w:tcW w:w="716"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534"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40</w:t>
            </w:r>
          </w:p>
        </w:tc>
        <w:tc>
          <w:tcPr>
            <w:tcW w:w="1166"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33.37</w:t>
            </w:r>
          </w:p>
        </w:tc>
        <w:tc>
          <w:tcPr>
            <w:tcW w:w="944" w:type="dxa"/>
            <w:shd w:val="clear" w:color="auto" w:fill="auto"/>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约束性</w:t>
            </w:r>
          </w:p>
        </w:tc>
      </w:tr>
    </w:tbl>
    <w:p>
      <w:pPr>
        <w:ind w:firstLine="420" w:firstLineChars="200"/>
        <w:rPr>
          <w:rFonts w:ascii="仿宋_GB2312" w:hAnsi="仿宋" w:eastAsia="仿宋_GB2312" w:cs="Times New Roman"/>
          <w:color w:val="000000" w:themeColor="text1"/>
          <w:szCs w:val="21"/>
          <w14:textFill>
            <w14:solidFill>
              <w14:schemeClr w14:val="tx1"/>
            </w14:solidFill>
          </w14:textFill>
        </w:rPr>
      </w:pPr>
      <w:r>
        <w:rPr>
          <w:rFonts w:hint="eastAsia" w:ascii="仿宋_GB2312" w:hAnsi="仿宋" w:eastAsia="仿宋_GB2312" w:cs="Times New Roman"/>
          <w:color w:val="000000" w:themeColor="text1"/>
          <w:szCs w:val="21"/>
          <w14:textFill>
            <w14:solidFill>
              <w14:schemeClr w14:val="tx1"/>
            </w14:solidFill>
          </w14:textFill>
        </w:rPr>
        <w:t>数据来源：《柳东新区发展报告》，各部门年度工作总结；柳州市统计公报；居民人均可支配收入采用大鱼峰数据。为排除疫情异常干扰，部分经济指标采用2019年度数据。</w:t>
      </w:r>
    </w:p>
    <w:p>
      <w:pPr>
        <w:pStyle w:val="4"/>
        <w:jc w:val="center"/>
        <w:rPr>
          <w:rFonts w:hint="eastAsia" w:ascii="黑体" w:hAnsi="黑体" w:eastAsia="黑体" w:cs="Times New Roman"/>
          <w:b w:val="0"/>
          <w:color w:val="000000" w:themeColor="text1"/>
          <w14:textFill>
            <w14:solidFill>
              <w14:schemeClr w14:val="tx1"/>
            </w14:solidFill>
          </w14:textFill>
        </w:rPr>
      </w:pPr>
      <w:bookmarkStart w:id="54" w:name="_Toc5094"/>
      <w:bookmarkStart w:id="55" w:name="_Toc3212"/>
      <w:bookmarkStart w:id="56" w:name="_Toc21075"/>
      <w:bookmarkStart w:id="57" w:name="_Toc13337"/>
      <w:bookmarkStart w:id="58" w:name="_Toc10131"/>
      <w:bookmarkStart w:id="59" w:name="_Toc8605"/>
      <w:r>
        <w:rPr>
          <w:rFonts w:hint="eastAsia" w:ascii="黑体" w:hAnsi="黑体" w:eastAsia="黑体" w:cs="Times New Roman"/>
          <w:b w:val="0"/>
          <w:color w:val="000000" w:themeColor="text1"/>
          <w14:textFill>
            <w14:solidFill>
              <w14:schemeClr w14:val="tx1"/>
            </w14:solidFill>
          </w14:textFill>
        </w:rPr>
        <w:t>第二节 “十四五”发展环境</w:t>
      </w:r>
      <w:bookmarkEnd w:id="54"/>
      <w:bookmarkEnd w:id="55"/>
      <w:bookmarkEnd w:id="56"/>
      <w:bookmarkEnd w:id="57"/>
      <w:bookmarkEnd w:id="58"/>
      <w:bookmarkEnd w:id="59"/>
    </w:p>
    <w:p>
      <w:pPr>
        <w:widowControl/>
        <w:overflowPunct w:val="0"/>
        <w:ind w:firstLine="640" w:firstLineChars="200"/>
        <w:jc w:val="left"/>
        <w:rPr>
          <w:rFonts w:ascii="仿宋_GB2312" w:hAnsi="Calibri" w:eastAsia="仿宋_GB2312" w:cs="Times New Roman"/>
          <w:color w:val="000000" w:themeColor="text1"/>
          <w:sz w:val="32"/>
          <w:szCs w:val="32"/>
          <w14:textFill>
            <w14:solidFill>
              <w14:schemeClr w14:val="tx1"/>
            </w14:solidFill>
          </w14:textFill>
        </w:rPr>
      </w:pPr>
      <w:r>
        <w:rPr>
          <w:rFonts w:hint="eastAsia" w:ascii="仿宋_GB2312" w:hAnsi="Calibri" w:eastAsia="仿宋_GB2312" w:cs="Times New Roman"/>
          <w:color w:val="000000" w:themeColor="text1"/>
          <w:sz w:val="32"/>
          <w:szCs w:val="32"/>
          <w14:textFill>
            <w14:solidFill>
              <w14:schemeClr w14:val="tx1"/>
            </w14:solidFill>
          </w14:textFill>
        </w:rPr>
        <w:t>“十三五”期，柳东新区有效夯实可持续发展基础，进入新发展阶段，新区内外发展环境面临系列机遇和挑战。</w:t>
      </w:r>
    </w:p>
    <w:p>
      <w:pPr>
        <w:keepNext/>
        <w:keepLines/>
        <w:spacing w:before="120"/>
        <w:ind w:firstLine="640" w:firstLineChars="200"/>
        <w:outlineLvl w:val="2"/>
        <w:rPr>
          <w:rFonts w:ascii="黑体" w:hAnsi="黑体" w:eastAsia="黑体" w:cs="Times New Roman"/>
          <w:bCs/>
          <w:color w:val="000000" w:themeColor="text1"/>
          <w:sz w:val="32"/>
          <w:szCs w:val="32"/>
          <w14:textFill>
            <w14:solidFill>
              <w14:schemeClr w14:val="tx1"/>
            </w14:solidFill>
          </w14:textFill>
        </w:rPr>
      </w:pPr>
      <w:r>
        <w:rPr>
          <w:rFonts w:hint="eastAsia" w:ascii="黑体" w:hAnsi="黑体" w:eastAsia="黑体" w:cs="Times New Roman"/>
          <w:bCs/>
          <w:color w:val="000000" w:themeColor="text1"/>
          <w:sz w:val="32"/>
          <w:szCs w:val="32"/>
          <w14:textFill>
            <w14:solidFill>
              <w14:schemeClr w14:val="tx1"/>
            </w14:solidFill>
          </w14:textFill>
        </w:rPr>
        <w:t>一、国际贸易体系逆全球化趋势增强</w:t>
      </w:r>
    </w:p>
    <w:p>
      <w:pPr>
        <w:overflowPunct w:val="0"/>
        <w:ind w:firstLine="640" w:firstLineChars="200"/>
        <w:rPr>
          <w:rFonts w:ascii="仿宋_GB2312" w:hAnsi="Calibri" w:eastAsia="仿宋_GB2312" w:cs="Times New Roman"/>
          <w:color w:val="000000" w:themeColor="text1"/>
          <w:sz w:val="32"/>
          <w:szCs w:val="32"/>
          <w14:textFill>
            <w14:solidFill>
              <w14:schemeClr w14:val="tx1"/>
            </w14:solidFill>
          </w14:textFill>
        </w:rPr>
      </w:pPr>
      <w:r>
        <w:rPr>
          <w:rFonts w:hint="eastAsia" w:ascii="仿宋_GB2312" w:hAnsi="Calibri" w:eastAsia="仿宋_GB2312" w:cs="Times New Roman"/>
          <w:color w:val="000000" w:themeColor="text1"/>
          <w:sz w:val="32"/>
          <w:szCs w:val="32"/>
          <w14:textFill>
            <w14:solidFill>
              <w14:schemeClr w14:val="tx1"/>
            </w14:solidFill>
          </w14:textFill>
        </w:rPr>
        <w:t>国际贸易单边主义和保护主义不断增强，经济逆全球化不断升温，严重冲击现行国际贸易体系。主要经济体之间的贸易壁垒不断提高，贸易摩擦加剧，经济区域化布局趋势显现。全球地缘政治摩擦升温，国</w:t>
      </w:r>
      <w:r>
        <w:rPr>
          <w:rFonts w:hint="eastAsia" w:ascii="仿宋_GB2312" w:hAnsi="Calibri" w:eastAsia="仿宋_GB2312" w:cs="Times New Roman"/>
          <w:color w:val="000000" w:themeColor="text1"/>
          <w:sz w:val="32"/>
          <w:szCs w:val="32"/>
          <w:lang w:eastAsia="zh-CN"/>
          <w14:textFill>
            <w14:solidFill>
              <w14:schemeClr w14:val="tx1"/>
            </w14:solidFill>
          </w14:textFill>
        </w:rPr>
        <w:t>际</w:t>
      </w:r>
      <w:r>
        <w:rPr>
          <w:rFonts w:hint="eastAsia" w:ascii="仿宋_GB2312" w:hAnsi="Calibri" w:eastAsia="仿宋_GB2312" w:cs="Times New Roman"/>
          <w:color w:val="000000" w:themeColor="text1"/>
          <w:sz w:val="32"/>
          <w:szCs w:val="32"/>
          <w14:textFill>
            <w14:solidFill>
              <w14:schemeClr w14:val="tx1"/>
            </w14:solidFill>
          </w14:textFill>
        </w:rPr>
        <w:t>博弈日益激烈，严重影响全球产业链供应链安全。</w:t>
      </w:r>
    </w:p>
    <w:p>
      <w:pPr>
        <w:keepNext/>
        <w:keepLines/>
        <w:spacing w:before="120"/>
        <w:ind w:firstLine="640" w:firstLineChars="200"/>
        <w:outlineLvl w:val="2"/>
        <w:rPr>
          <w:rFonts w:ascii="黑体" w:hAnsi="黑体" w:eastAsia="黑体" w:cs="Times New Roman"/>
          <w:bCs/>
          <w:color w:val="000000" w:themeColor="text1"/>
          <w:sz w:val="32"/>
          <w:szCs w:val="32"/>
          <w14:textFill>
            <w14:solidFill>
              <w14:schemeClr w14:val="tx1"/>
            </w14:solidFill>
          </w14:textFill>
        </w:rPr>
      </w:pPr>
      <w:r>
        <w:rPr>
          <w:rFonts w:hint="eastAsia" w:ascii="黑体" w:hAnsi="黑体" w:eastAsia="黑体" w:cs="Times New Roman"/>
          <w:bCs/>
          <w:color w:val="000000" w:themeColor="text1"/>
          <w:sz w:val="32"/>
          <w:szCs w:val="32"/>
          <w14:textFill>
            <w14:solidFill>
              <w14:schemeClr w14:val="tx1"/>
            </w14:solidFill>
          </w14:textFill>
        </w:rPr>
        <w:t>二、新冠疫情蔓延局势冲击世界经济</w:t>
      </w:r>
    </w:p>
    <w:p>
      <w:pPr>
        <w:ind w:firstLine="640" w:firstLineChars="200"/>
        <w:rPr>
          <w:rFonts w:ascii="等线" w:hAnsi="等线" w:eastAsia="等线" w:cs="Times New Roman"/>
          <w:color w:val="000000" w:themeColor="text1"/>
          <w14:textFill>
            <w14:solidFill>
              <w14:schemeClr w14:val="tx1"/>
            </w14:solidFill>
          </w14:textFill>
        </w:rPr>
      </w:pPr>
      <w:r>
        <w:rPr>
          <w:rFonts w:hint="eastAsia" w:ascii="仿宋_GB2312" w:hAnsi="仿宋" w:eastAsia="仿宋_GB2312" w:cs="Times New Roman"/>
          <w:color w:val="000000" w:themeColor="text1"/>
          <w:sz w:val="32"/>
          <w:szCs w:val="32"/>
          <w14:textFill>
            <w14:solidFill>
              <w14:schemeClr w14:val="tx1"/>
            </w14:solidFill>
          </w14:textFill>
        </w:rPr>
        <w:t>新冠疫情肆虐全球，各国贸易往来和生产要素流动受阻，经济体间的贸易、科技、文化等交流皆受抑制。各国经济增长由正转负，打破经济周期发展趋势，世界经济发展面临严峻挑战。疫情的常态化蔓延对全球生产研发、贸易往来、商旅服务等活动影响深远，全球产业链、供应链、创新链面临着重构。</w:t>
      </w:r>
    </w:p>
    <w:p>
      <w:pPr>
        <w:keepNext/>
        <w:keepLines/>
        <w:spacing w:before="120"/>
        <w:ind w:firstLine="640" w:firstLineChars="200"/>
        <w:outlineLvl w:val="2"/>
        <w:rPr>
          <w:rFonts w:ascii="黑体" w:hAnsi="黑体" w:eastAsia="黑体" w:cs="Times New Roman"/>
          <w:bCs/>
          <w:color w:val="000000" w:themeColor="text1"/>
          <w:sz w:val="32"/>
          <w:szCs w:val="32"/>
          <w14:textFill>
            <w14:solidFill>
              <w14:schemeClr w14:val="tx1"/>
            </w14:solidFill>
          </w14:textFill>
        </w:rPr>
      </w:pPr>
      <w:r>
        <w:rPr>
          <w:rFonts w:hint="eastAsia" w:ascii="黑体" w:hAnsi="黑体" w:eastAsia="黑体" w:cs="Times New Roman"/>
          <w:bCs/>
          <w:color w:val="000000" w:themeColor="text1"/>
          <w:sz w:val="32"/>
          <w:szCs w:val="32"/>
          <w14:textFill>
            <w14:solidFill>
              <w14:schemeClr w14:val="tx1"/>
            </w14:solidFill>
          </w14:textFill>
        </w:rPr>
        <w:t>三、数字经济成为技术创新重要高地</w:t>
      </w:r>
    </w:p>
    <w:p>
      <w:pPr>
        <w:ind w:firstLine="640" w:firstLineChars="200"/>
        <w:rPr>
          <w:rFonts w:ascii="仿宋_GB2312" w:hAnsi="仿宋" w:eastAsia="仿宋_GB2312" w:cs="Times New Roman"/>
          <w:color w:val="000000" w:themeColor="text1"/>
          <w:sz w:val="32"/>
          <w:szCs w:val="32"/>
          <w14:textFill>
            <w14:solidFill>
              <w14:schemeClr w14:val="tx1"/>
            </w14:solidFill>
          </w14:textFill>
        </w:rPr>
      </w:pPr>
      <w:r>
        <w:rPr>
          <w:rFonts w:hint="eastAsia" w:ascii="仿宋_GB2312" w:hAnsi="仿宋" w:eastAsia="仿宋_GB2312" w:cs="Times New Roman"/>
          <w:color w:val="000000" w:themeColor="text1"/>
          <w:sz w:val="32"/>
          <w:szCs w:val="32"/>
          <w14:textFill>
            <w14:solidFill>
              <w14:schemeClr w14:val="tx1"/>
            </w14:solidFill>
          </w14:textFill>
        </w:rPr>
        <w:t>数字经济成为世界新一轮博弈的制高点，人工智能、区块链、云计算、大数据、5G等数字技术推动生产生活方式变革，是应用创新的重要抓手，是经济发展的新引擎。数字技术与实体经济的深度融合，赋能产业发展提高生产效率，改变全球生产力布局，助力应用创新打造新业态新模式，无人驾驶、远程医疗、智慧家居、智能消费等得以成为现实。</w:t>
      </w:r>
    </w:p>
    <w:p>
      <w:pPr>
        <w:keepNext/>
        <w:keepLines/>
        <w:spacing w:before="120"/>
        <w:ind w:firstLine="640" w:firstLineChars="200"/>
        <w:outlineLvl w:val="2"/>
        <w:rPr>
          <w:rFonts w:ascii="黑体" w:hAnsi="黑体" w:eastAsia="黑体" w:cs="Times New Roman"/>
          <w:bCs/>
          <w:color w:val="000000" w:themeColor="text1"/>
          <w:sz w:val="32"/>
          <w:szCs w:val="32"/>
          <w14:textFill>
            <w14:solidFill>
              <w14:schemeClr w14:val="tx1"/>
            </w14:solidFill>
          </w14:textFill>
        </w:rPr>
      </w:pPr>
      <w:r>
        <w:rPr>
          <w:rFonts w:hint="eastAsia" w:ascii="黑体" w:hAnsi="黑体" w:eastAsia="黑体" w:cs="Times New Roman"/>
          <w:bCs/>
          <w:color w:val="000000" w:themeColor="text1"/>
          <w:sz w:val="32"/>
          <w:szCs w:val="32"/>
          <w14:textFill>
            <w14:solidFill>
              <w14:schemeClr w14:val="tx1"/>
            </w14:solidFill>
          </w14:textFill>
        </w:rPr>
        <w:t>四、国内国际双循环格局加快形成</w:t>
      </w:r>
    </w:p>
    <w:p>
      <w:pPr>
        <w:ind w:firstLine="640" w:firstLineChars="200"/>
        <w:rPr>
          <w:rFonts w:hint="eastAsia" w:ascii="仿宋_GB2312" w:hAnsi="仿宋" w:eastAsia="仿宋_GB2312" w:cs="Times New Roman"/>
          <w:color w:val="000000" w:themeColor="text1"/>
          <w:sz w:val="32"/>
          <w:szCs w:val="32"/>
          <w14:textFill>
            <w14:solidFill>
              <w14:schemeClr w14:val="tx1"/>
            </w14:solidFill>
          </w14:textFill>
        </w:rPr>
      </w:pPr>
      <w:r>
        <w:rPr>
          <w:rFonts w:hint="eastAsia" w:ascii="仿宋_GB2312" w:hAnsi="仿宋" w:eastAsia="仿宋_GB2312" w:cs="Times New Roman"/>
          <w:color w:val="000000" w:themeColor="text1"/>
          <w:sz w:val="32"/>
          <w:szCs w:val="32"/>
          <w14:textFill>
            <w14:solidFill>
              <w14:schemeClr w14:val="tx1"/>
            </w14:solidFill>
          </w14:textFill>
        </w:rPr>
        <w:t>面对世界百年未有之大变局，我国加快谋划以国内大循环为主体、国内国际双循环相互促进的新发展格局。我国将通过发挥内需潜力保障经济安全和平稳发展，同时积极促进国内外市场高效高质的联动，区域全面经济伙伴关系协定（RCEP）、中欧投资协定的签署，进一步扩宽我国在全球范围配置资源的空间，为国际社会增添了源源不断的正能量。</w:t>
      </w:r>
    </w:p>
    <w:p>
      <w:pPr>
        <w:keepNext/>
        <w:keepLines/>
        <w:spacing w:before="120"/>
        <w:ind w:firstLine="640" w:firstLineChars="200"/>
        <w:outlineLvl w:val="2"/>
        <w:rPr>
          <w:rFonts w:ascii="黑体" w:hAnsi="黑体" w:eastAsia="黑体" w:cs="Times New Roman"/>
          <w:bCs/>
          <w:color w:val="000000" w:themeColor="text1"/>
          <w:sz w:val="32"/>
          <w:szCs w:val="32"/>
          <w14:textFill>
            <w14:solidFill>
              <w14:schemeClr w14:val="tx1"/>
            </w14:solidFill>
          </w14:textFill>
        </w:rPr>
      </w:pPr>
      <w:r>
        <w:rPr>
          <w:rFonts w:hint="eastAsia" w:ascii="黑体" w:hAnsi="黑体" w:eastAsia="黑体" w:cs="Times New Roman"/>
          <w:bCs/>
          <w:color w:val="000000" w:themeColor="text1"/>
          <w:sz w:val="32"/>
          <w:szCs w:val="32"/>
          <w14:textFill>
            <w14:solidFill>
              <w14:schemeClr w14:val="tx1"/>
            </w14:solidFill>
          </w14:textFill>
        </w:rPr>
        <w:t>五、“新基建”激发经济发展新动能</w:t>
      </w:r>
    </w:p>
    <w:p>
      <w:pPr>
        <w:overflowPunct w:val="0"/>
        <w:ind w:firstLine="640" w:firstLineChars="200"/>
        <w:rPr>
          <w:rFonts w:ascii="仿宋_GB2312" w:hAnsi="Calibri" w:eastAsia="仿宋_GB2312" w:cs="Times New Roman"/>
          <w:color w:val="000000" w:themeColor="text1"/>
          <w:sz w:val="32"/>
          <w:szCs w:val="32"/>
          <w14:textFill>
            <w14:solidFill>
              <w14:schemeClr w14:val="tx1"/>
            </w14:solidFill>
          </w14:textFill>
        </w:rPr>
      </w:pPr>
      <w:r>
        <w:rPr>
          <w:rFonts w:hint="eastAsia" w:ascii="仿宋_GB2312" w:hAnsi="Calibri" w:eastAsia="仿宋_GB2312" w:cs="Times New Roman"/>
          <w:color w:val="000000" w:themeColor="text1"/>
          <w:sz w:val="32"/>
          <w:szCs w:val="32"/>
          <w14:textFill>
            <w14:solidFill>
              <w14:schemeClr w14:val="tx1"/>
            </w14:solidFill>
          </w14:textFill>
        </w:rPr>
        <w:t>高质量发展已成为时代主题，以5G、人工智能、工业互联网、物联网等为代表的“新基建”是数字经济发展的基石。“新基建”既是稳投资、扩内需、拉动经济增长的重要途径，也是促升级、优结构、激发经济新动能的重要环节。加快布局“新基建”，将加速中国市场形成，有助于我国领跑数字经济、智能制造等产业，在新一轮世界竞赛中处于强势地位。</w:t>
      </w:r>
    </w:p>
    <w:p>
      <w:pPr>
        <w:keepNext/>
        <w:keepLines/>
        <w:spacing w:before="120"/>
        <w:ind w:firstLine="640" w:firstLineChars="200"/>
        <w:outlineLvl w:val="2"/>
        <w:rPr>
          <w:rFonts w:ascii="黑体" w:hAnsi="黑体" w:eastAsia="黑体" w:cs="Times New Roman"/>
          <w:bCs/>
          <w:color w:val="000000" w:themeColor="text1"/>
          <w:sz w:val="32"/>
          <w:szCs w:val="32"/>
          <w14:textFill>
            <w14:solidFill>
              <w14:schemeClr w14:val="tx1"/>
            </w14:solidFill>
          </w14:textFill>
        </w:rPr>
      </w:pPr>
      <w:r>
        <w:rPr>
          <w:rFonts w:hint="eastAsia" w:ascii="黑体" w:hAnsi="黑体" w:eastAsia="黑体" w:cs="Times New Roman"/>
          <w:bCs/>
          <w:color w:val="000000" w:themeColor="text1"/>
          <w:sz w:val="32"/>
          <w:szCs w:val="32"/>
          <w14:textFill>
            <w14:solidFill>
              <w14:schemeClr w14:val="tx1"/>
            </w14:solidFill>
          </w14:textFill>
        </w:rPr>
        <w:t>六、汽车产业重大变革并存挑战机遇</w:t>
      </w:r>
    </w:p>
    <w:p>
      <w:pPr>
        <w:pStyle w:val="9"/>
        <w:ind w:firstLine="640" w:firstLineChars="200"/>
        <w:rPr>
          <w:rFonts w:ascii="仿宋_GB2312" w:hAnsi="仿宋_GB2312" w:eastAsia="仿宋_GB2312" w:cs="仿宋_GB2312"/>
          <w:bCs/>
          <w:color w:val="000000" w:themeColor="text1"/>
          <w:kern w:val="2"/>
          <w:sz w:val="32"/>
          <w:szCs w:val="32"/>
          <w14:textFill>
            <w14:solidFill>
              <w14:schemeClr w14:val="tx1"/>
            </w14:solidFill>
          </w14:textFill>
        </w:rPr>
      </w:pPr>
      <w:r>
        <w:rPr>
          <w:rFonts w:hint="eastAsia" w:ascii="仿宋_GB2312" w:hAnsi="仿宋_GB2312" w:eastAsia="仿宋_GB2312" w:cs="仿宋_GB2312"/>
          <w:bCs/>
          <w:color w:val="000000" w:themeColor="text1"/>
          <w:kern w:val="2"/>
          <w:sz w:val="32"/>
          <w:szCs w:val="32"/>
          <w14:textFill>
            <w14:solidFill>
              <w14:schemeClr w14:val="tx1"/>
            </w14:solidFill>
          </w14:textFill>
        </w:rPr>
        <w:t>汽车产业将发生巨大变化，尤其是在我国明确“碳达峰”和“碳中和”</w:t>
      </w:r>
      <w:r>
        <w:rPr>
          <w:rFonts w:hint="eastAsia" w:ascii="仿宋_GB2312" w:hAnsi="仿宋_GB2312" w:eastAsia="仿宋_GB2312" w:cs="仿宋_GB2312"/>
          <w:bCs/>
          <w:color w:val="000000" w:themeColor="text1"/>
          <w:kern w:val="2"/>
          <w:sz w:val="32"/>
          <w:szCs w:val="32"/>
          <w:lang w:eastAsia="zh-CN"/>
          <w14:textFill>
            <w14:solidFill>
              <w14:schemeClr w14:val="tx1"/>
            </w14:solidFill>
          </w14:textFill>
        </w:rPr>
        <w:t>目标，聚焦</w:t>
      </w:r>
      <w:r>
        <w:rPr>
          <w:rFonts w:hint="eastAsia" w:ascii="仿宋_GB2312" w:hAnsi="仿宋_GB2312" w:eastAsia="仿宋_GB2312" w:cs="仿宋_GB2312"/>
          <w:bCs/>
          <w:color w:val="000000" w:themeColor="text1"/>
          <w:kern w:val="2"/>
          <w:sz w:val="32"/>
          <w:szCs w:val="32"/>
          <w14:textFill>
            <w14:solidFill>
              <w14:schemeClr w14:val="tx1"/>
            </w14:solidFill>
          </w14:textFill>
        </w:rPr>
        <w:t>“双碳”，互联网+新能源技术成未来新趋势</w:t>
      </w:r>
      <w:r>
        <w:rPr>
          <w:rFonts w:hint="eastAsia" w:ascii="仿宋_GB2312" w:hAnsi="仿宋_GB2312" w:eastAsia="仿宋_GB2312" w:cs="仿宋_GB2312"/>
          <w:bCs/>
          <w:color w:val="000000" w:themeColor="text1"/>
          <w:kern w:val="2"/>
          <w:sz w:val="32"/>
          <w:szCs w:val="32"/>
          <w:lang w:eastAsia="zh-CN"/>
          <w14:textFill>
            <w14:solidFill>
              <w14:schemeClr w14:val="tx1"/>
            </w14:solidFill>
          </w14:textFill>
        </w:rPr>
        <w:t>，</w:t>
      </w:r>
      <w:r>
        <w:rPr>
          <w:rFonts w:hint="eastAsia" w:ascii="仿宋_GB2312" w:hAnsi="仿宋_GB2312" w:eastAsia="仿宋_GB2312" w:cs="仿宋_GB2312"/>
          <w:bCs/>
          <w:color w:val="000000" w:themeColor="text1"/>
          <w:kern w:val="2"/>
          <w:sz w:val="32"/>
          <w:szCs w:val="32"/>
          <w14:textFill>
            <w14:solidFill>
              <w14:schemeClr w14:val="tx1"/>
            </w14:solidFill>
          </w14:textFill>
        </w:rPr>
        <w:t>新能源汽车产销屡创新高，国产新能源汽车竞争力不断提升，汽车产业企业加速向制造+服务型企业转型。产业变革带来既是挑战又是机遇，柳东新区汽车产业基础扎实，网联化及智能化等“五化”技术探索走在本地区前列，新区在产业变革的进程中拥有商业模式和技术创新先行先试的底蕴和能力，将新区打造为全国汽车产业变革的试点示范。</w:t>
      </w:r>
    </w:p>
    <w:p>
      <w:pPr>
        <w:overflowPunct w:val="0"/>
        <w:ind w:firstLine="640" w:firstLineChars="200"/>
        <w:rPr>
          <w:rFonts w:ascii="仿宋_GB2312" w:hAnsi="Calibri" w:eastAsia="仿宋_GB2312" w:cs="Times New Roman"/>
          <w:color w:val="000000" w:themeColor="text1"/>
          <w:sz w:val="32"/>
          <w:szCs w:val="32"/>
          <w14:textFill>
            <w14:solidFill>
              <w14:schemeClr w14:val="tx1"/>
            </w14:solidFill>
          </w14:textFill>
        </w:rPr>
      </w:pPr>
      <w:r>
        <w:rPr>
          <w:rFonts w:hint="eastAsia" w:ascii="仿宋_GB2312" w:hAnsi="Calibri" w:eastAsia="仿宋_GB2312" w:cs="Times New Roman"/>
          <w:color w:val="000000" w:themeColor="text1"/>
          <w:sz w:val="32"/>
          <w:szCs w:val="32"/>
          <w14:textFill>
            <w14:solidFill>
              <w14:schemeClr w14:val="tx1"/>
            </w14:solidFill>
          </w14:textFill>
        </w:rPr>
        <w:t>“十四五”期间，柳东新区将面临重大发展机遇和百年未有之大变局，同时，仍需着力解决新区当前客观存在的经济、产业、民生和城建等领域现实障碍和突出短板。一是国际国内汽车行业竞争更加剧烈，受市场波动影响，汽车产销同步下滑；二是龙头企业转型升级，配套企业同步发展相对乏力；三是经济高质量发展的要素和动能仍待集聚，战略新兴产业、产业金融、商务会展、文化旅游、高端消费等仍处于培育期，核心竞争能力有待提升，新动能尚未形成强大支撑；四是科技创新对产业发展的支撑引领作用有待增强，公共技术服务平台和重大创新基础设施供给仍不充分，部分产业关键技术和核心零部件未能实现供应链安全；五是人口规模支撑不足，聚人气存在制约因素，人口增长缺乏强劲动力，制约多层次人才和劳动资源供给；六是民生短板依旧存在，教育医疗文化和商业配套仍需完善，城市功能难以满足经济社会发展的要求；七是建设资金压力增大，融资途径有待拓宽，综合投资效益仍需提升</w:t>
      </w:r>
      <w:r>
        <w:rPr>
          <w:rFonts w:ascii="仿宋_GB2312" w:hAnsi="Calibri" w:eastAsia="仿宋_GB2312" w:cs="Times New Roman"/>
          <w:color w:val="000000" w:themeColor="text1"/>
          <w:sz w:val="32"/>
          <w:szCs w:val="32"/>
          <w14:textFill>
            <w14:solidFill>
              <w14:schemeClr w14:val="tx1"/>
            </w14:solidFill>
          </w14:textFill>
        </w:rPr>
        <w:t>。</w:t>
      </w:r>
    </w:p>
    <w:p>
      <w:pPr>
        <w:overflowPunct w:val="0"/>
        <w:ind w:firstLine="640" w:firstLineChars="200"/>
        <w:rPr>
          <w:rFonts w:ascii="仿宋_GB2312" w:hAnsi="Calibri" w:eastAsia="仿宋_GB2312" w:cs="Times New Roman"/>
          <w:color w:val="000000" w:themeColor="text1"/>
          <w:sz w:val="32"/>
          <w:szCs w:val="32"/>
          <w14:textFill>
            <w14:solidFill>
              <w14:schemeClr w14:val="tx1"/>
            </w14:solidFill>
          </w14:textFill>
        </w:rPr>
      </w:pPr>
      <w:r>
        <w:rPr>
          <w:rFonts w:hint="eastAsia" w:ascii="仿宋_GB2312" w:hAnsi="Calibri" w:eastAsia="仿宋_GB2312" w:cs="Times New Roman"/>
          <w:color w:val="000000" w:themeColor="text1"/>
          <w:sz w:val="32"/>
          <w:szCs w:val="32"/>
          <w14:textFill>
            <w14:solidFill>
              <w14:schemeClr w14:val="tx1"/>
            </w14:solidFill>
          </w14:textFill>
        </w:rPr>
        <w:t>柳东新区必须深刻认识我国社会主要矛盾变化带来的新特征新要求，深刻认识错综复杂的国际环境带来的新矛盾新挑战，增强机遇意识和风险意识，立足社会主义初级阶段基本国情，立足新区发展客观实际，保持战略定力，办好自己的事，把握好一系列的重要战略机遇，紧扣世界科技和产业发展脉搏，充分利用独特的区域优势、产业优势、交通优势，扬长避短，锻长板、补短板、树样板，应对挑战，趋利避害，奋勇前进，奋力赢得发展先机，构筑发展战略优势，开创新区经济社会发展新局面。</w:t>
      </w:r>
    </w:p>
    <w:p>
      <w:pPr>
        <w:overflowPunct w:val="0"/>
        <w:ind w:firstLine="640" w:firstLineChars="200"/>
        <w:rPr>
          <w:rFonts w:ascii="仿宋_GB2312" w:hAnsi="Calibri" w:eastAsia="仿宋_GB2312" w:cs="Times New Roman"/>
          <w:color w:val="000000" w:themeColor="text1"/>
          <w:sz w:val="32"/>
          <w:szCs w:val="32"/>
          <w14:textFill>
            <w14:solidFill>
              <w14:schemeClr w14:val="tx1"/>
            </w14:solidFill>
          </w14:textFill>
        </w:rPr>
      </w:pPr>
      <w:r>
        <w:rPr>
          <w:rFonts w:hint="eastAsia" w:ascii="仿宋_GB2312" w:hAnsi="Calibri" w:eastAsia="仿宋_GB2312" w:cs="Times New Roman"/>
          <w:color w:val="000000" w:themeColor="text1"/>
          <w:sz w:val="32"/>
          <w:szCs w:val="32"/>
          <w14:textFill>
            <w14:solidFill>
              <w14:schemeClr w14:val="tx1"/>
            </w14:solidFill>
          </w14:textFill>
        </w:rPr>
        <w:br w:type="page"/>
      </w:r>
    </w:p>
    <w:p>
      <w:pPr>
        <w:pStyle w:val="3"/>
        <w:keepLines w:val="0"/>
        <w:widowControl/>
        <w:spacing w:before="0" w:afterLines="100" w:line="240" w:lineRule="auto"/>
        <w:jc w:val="center"/>
        <w:rPr>
          <w:rFonts w:ascii="黑体" w:hAnsi="黑体" w:eastAsia="黑体" w:cs="Times New Roman"/>
          <w:b w:val="0"/>
          <w:color w:val="000000" w:themeColor="text1"/>
          <w:sz w:val="32"/>
          <w:szCs w:val="32"/>
          <w14:textFill>
            <w14:solidFill>
              <w14:schemeClr w14:val="tx1"/>
            </w14:solidFill>
          </w14:textFill>
        </w:rPr>
      </w:pPr>
      <w:bookmarkStart w:id="60" w:name="_Toc4531"/>
      <w:bookmarkStart w:id="61" w:name="_Toc10932"/>
      <w:bookmarkStart w:id="62" w:name="_Toc27240"/>
      <w:bookmarkStart w:id="63" w:name="_Toc17432"/>
      <w:bookmarkStart w:id="64" w:name="_Toc18936"/>
      <w:bookmarkStart w:id="65" w:name="_Toc19685"/>
      <w:r>
        <w:rPr>
          <w:rFonts w:hint="eastAsia" w:ascii="黑体" w:hAnsi="黑体" w:eastAsia="黑体" w:cs="Times New Roman"/>
          <w:b w:val="0"/>
          <w:color w:val="000000" w:themeColor="text1"/>
          <w:sz w:val="32"/>
          <w:szCs w:val="32"/>
          <w14:textFill>
            <w14:solidFill>
              <w14:schemeClr w14:val="tx1"/>
            </w14:solidFill>
          </w14:textFill>
        </w:rPr>
        <w:t>第二章 增强发展动能，主动肩负使命</w:t>
      </w:r>
      <w:bookmarkEnd w:id="60"/>
      <w:bookmarkEnd w:id="61"/>
      <w:bookmarkEnd w:id="62"/>
      <w:bookmarkEnd w:id="63"/>
      <w:bookmarkEnd w:id="64"/>
      <w:bookmarkEnd w:id="65"/>
    </w:p>
    <w:p>
      <w:pPr>
        <w:overflowPunct w:val="0"/>
        <w:ind w:firstLine="640" w:firstLineChars="200"/>
        <w:rPr>
          <w:rFonts w:ascii="仿宋_GB2312" w:hAnsi="Calibri" w:eastAsia="仿宋_GB2312" w:cs="Times New Roman"/>
          <w:color w:val="000000" w:themeColor="text1"/>
          <w:sz w:val="32"/>
          <w:szCs w:val="32"/>
          <w14:textFill>
            <w14:solidFill>
              <w14:schemeClr w14:val="tx1"/>
            </w14:solidFill>
          </w14:textFill>
        </w:rPr>
      </w:pPr>
      <w:r>
        <w:rPr>
          <w:rFonts w:hint="eastAsia" w:ascii="仿宋_GB2312" w:hAnsi="Calibri" w:eastAsia="仿宋_GB2312" w:cs="Times New Roman"/>
          <w:color w:val="000000" w:themeColor="text1"/>
          <w:sz w:val="32"/>
          <w:szCs w:val="32"/>
          <w14:textFill>
            <w14:solidFill>
              <w14:schemeClr w14:val="tx1"/>
            </w14:solidFill>
          </w14:textFill>
        </w:rPr>
        <w:t>“十四五”期间，新区要解放思想、改革创新、扩大开放、担当实干，聚力推动工业高质量发展，全面增强发展新动能，</w:t>
      </w:r>
      <w:r>
        <w:rPr>
          <w:rFonts w:hint="eastAsia" w:ascii="仿宋_GB2312" w:hAnsi="Times New Roman" w:eastAsia="仿宋_GB2312" w:cs="Times New Roman"/>
          <w:color w:val="000000" w:themeColor="text1"/>
          <w:kern w:val="0"/>
          <w:sz w:val="32"/>
          <w:szCs w:val="32"/>
          <w14:textFill>
            <w14:solidFill>
              <w14:schemeClr w14:val="tx1"/>
            </w14:solidFill>
          </w14:textFill>
        </w:rPr>
        <w:t>切实肩负起柳州经济社会高质量发展主战场、排头兵和主力军的重要使命</w:t>
      </w:r>
      <w:r>
        <w:rPr>
          <w:rFonts w:hint="eastAsia" w:ascii="仿宋_GB2312" w:hAnsi="Calibri" w:eastAsia="仿宋_GB2312" w:cs="Times New Roman"/>
          <w:color w:val="000000" w:themeColor="text1"/>
          <w:sz w:val="32"/>
          <w:szCs w:val="32"/>
          <w14:textFill>
            <w14:solidFill>
              <w14:schemeClr w14:val="tx1"/>
            </w14:solidFill>
          </w14:textFill>
        </w:rPr>
        <w:t>。</w:t>
      </w:r>
    </w:p>
    <w:p>
      <w:pPr>
        <w:pStyle w:val="4"/>
        <w:jc w:val="center"/>
        <w:rPr>
          <w:rFonts w:hint="eastAsia" w:ascii="黑体" w:hAnsi="黑体" w:eastAsia="黑体" w:cs="Times New Roman"/>
          <w:b w:val="0"/>
          <w:color w:val="000000" w:themeColor="text1"/>
          <w14:textFill>
            <w14:solidFill>
              <w14:schemeClr w14:val="tx1"/>
            </w14:solidFill>
          </w14:textFill>
        </w:rPr>
      </w:pPr>
      <w:bookmarkStart w:id="66" w:name="_Toc10718"/>
      <w:bookmarkStart w:id="67" w:name="_Toc21157"/>
      <w:bookmarkStart w:id="68" w:name="_Toc20165"/>
      <w:bookmarkStart w:id="69" w:name="_Toc18048"/>
      <w:bookmarkStart w:id="70" w:name="_Toc26585"/>
      <w:bookmarkStart w:id="71" w:name="_Toc8832"/>
      <w:r>
        <w:rPr>
          <w:rFonts w:hint="eastAsia" w:ascii="黑体" w:hAnsi="黑体" w:eastAsia="黑体" w:cs="Times New Roman"/>
          <w:b w:val="0"/>
          <w:color w:val="000000" w:themeColor="text1"/>
          <w14:textFill>
            <w14:solidFill>
              <w14:schemeClr w14:val="tx1"/>
            </w14:solidFill>
          </w14:textFill>
        </w:rPr>
        <w:t>第一节 指导思想</w:t>
      </w:r>
      <w:bookmarkEnd w:id="66"/>
      <w:bookmarkEnd w:id="67"/>
      <w:bookmarkEnd w:id="68"/>
      <w:bookmarkEnd w:id="69"/>
      <w:bookmarkEnd w:id="70"/>
      <w:bookmarkEnd w:id="71"/>
    </w:p>
    <w:p>
      <w:pPr>
        <w:overflowPunct w:val="0"/>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坚持以习近平新时代中国特色社会主义思想为指导，深入贯彻党的十九大和十九届二中、三中、四中、五中、六中全会精神，坚决落实</w:t>
      </w:r>
      <w:r>
        <w:rPr>
          <w:rFonts w:ascii="仿宋_GB2312" w:hAnsi="仿宋_GB2312" w:eastAsia="仿宋_GB2312" w:cs="仿宋_GB2312"/>
          <w:color w:val="000000" w:themeColor="text1"/>
          <w:sz w:val="32"/>
          <w:szCs w:val="32"/>
          <w14:textFill>
            <w14:solidFill>
              <w14:schemeClr w14:val="tx1"/>
            </w14:solidFill>
          </w14:textFill>
        </w:rPr>
        <w:t>习近平总书记对广西工作系列重要指示精神</w:t>
      </w:r>
      <w:r>
        <w:rPr>
          <w:rFonts w:hint="eastAsia" w:ascii="仿宋_GB2312" w:hAnsi="仿宋_GB2312" w:eastAsia="仿宋_GB2312" w:cs="仿宋_GB2312"/>
          <w:color w:val="000000" w:themeColor="text1"/>
          <w:sz w:val="32"/>
          <w:szCs w:val="32"/>
          <w14:textFill>
            <w14:solidFill>
              <w14:schemeClr w14:val="tx1"/>
            </w14:solidFill>
          </w14:textFill>
        </w:rPr>
        <w:t>，紧密围绕“三大定位”新使命和“五个扎实”新要求，全面融入我市</w:t>
      </w:r>
      <w:r>
        <w:rPr>
          <w:rFonts w:ascii="仿宋_GB2312" w:hAnsi="仿宋_GB2312" w:eastAsia="仿宋_GB2312" w:cs="仿宋_GB2312"/>
          <w:color w:val="000000" w:themeColor="text1"/>
          <w:sz w:val="32"/>
          <w:szCs w:val="32"/>
          <w14:textFill>
            <w14:solidFill>
              <w14:schemeClr w14:val="tx1"/>
            </w14:solidFill>
          </w14:textFill>
        </w:rPr>
        <w:t>深入实施“实业兴市，开放强柳”</w:t>
      </w:r>
      <w:r>
        <w:rPr>
          <w:rFonts w:hint="eastAsia" w:ascii="仿宋_GB2312" w:hAnsi="仿宋_GB2312" w:eastAsia="仿宋_GB2312" w:cs="仿宋_GB2312"/>
          <w:color w:val="000000" w:themeColor="text1"/>
          <w:sz w:val="32"/>
          <w:szCs w:val="32"/>
          <w14:textFill>
            <w14:solidFill>
              <w14:schemeClr w14:val="tx1"/>
            </w14:solidFill>
          </w14:textFill>
        </w:rPr>
        <w:t>、</w:t>
      </w:r>
      <w:r>
        <w:rPr>
          <w:rFonts w:ascii="仿宋_GB2312" w:hAnsi="仿宋_GB2312" w:eastAsia="仿宋_GB2312" w:cs="仿宋_GB2312"/>
          <w:color w:val="000000" w:themeColor="text1"/>
          <w:sz w:val="32"/>
          <w:szCs w:val="32"/>
          <w14:textFill>
            <w14:solidFill>
              <w14:schemeClr w14:val="tx1"/>
            </w14:solidFill>
          </w14:textFill>
        </w:rPr>
        <w:t>持续推进“三大建设”</w:t>
      </w:r>
      <w:r>
        <w:rPr>
          <w:rFonts w:hint="eastAsia" w:ascii="仿宋_GB2312" w:hAnsi="仿宋_GB2312" w:eastAsia="仿宋_GB2312" w:cs="仿宋_GB2312"/>
          <w:color w:val="000000" w:themeColor="text1"/>
          <w:sz w:val="32"/>
          <w:szCs w:val="32"/>
          <w14:textFill>
            <w14:solidFill>
              <w14:schemeClr w14:val="tx1"/>
            </w14:solidFill>
          </w14:textFill>
        </w:rPr>
        <w:t>、</w:t>
      </w:r>
      <w:r>
        <w:rPr>
          <w:rFonts w:ascii="仿宋_GB2312" w:hAnsi="仿宋_GB2312" w:eastAsia="仿宋_GB2312" w:cs="仿宋_GB2312"/>
          <w:color w:val="000000" w:themeColor="text1"/>
          <w:sz w:val="32"/>
          <w:szCs w:val="32"/>
          <w14:textFill>
            <w14:solidFill>
              <w14:schemeClr w14:val="tx1"/>
            </w14:solidFill>
          </w14:textFill>
        </w:rPr>
        <w:t>加快构建“八大体系”</w:t>
      </w:r>
      <w:r>
        <w:rPr>
          <w:rFonts w:hint="eastAsia" w:ascii="仿宋_GB2312" w:hAnsi="仿宋_GB2312" w:eastAsia="仿宋_GB2312" w:cs="仿宋_GB2312"/>
          <w:color w:val="000000" w:themeColor="text1"/>
          <w:sz w:val="32"/>
          <w:szCs w:val="32"/>
          <w14:textFill>
            <w14:solidFill>
              <w14:schemeClr w14:val="tx1"/>
            </w14:solidFill>
          </w14:textFill>
        </w:rPr>
        <w:t>战略布局</w:t>
      </w:r>
      <w:r>
        <w:rPr>
          <w:rFonts w:ascii="仿宋_GB2312" w:hAnsi="仿宋_GB2312" w:eastAsia="仿宋_GB2312" w:cs="仿宋_GB2312"/>
          <w:color w:val="000000" w:themeColor="text1"/>
          <w:sz w:val="32"/>
          <w:szCs w:val="32"/>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全力助推柳州打造广西副中心城市，以全市经济和社会发展排头兵为使命担当，以</w:t>
      </w:r>
      <w:r>
        <w:rPr>
          <w:rFonts w:ascii="仿宋_GB2312" w:hAnsi="仿宋_GB2312" w:eastAsia="仿宋_GB2312" w:cs="仿宋_GB2312"/>
          <w:color w:val="000000" w:themeColor="text1"/>
          <w:sz w:val="32"/>
          <w:szCs w:val="32"/>
          <w14:textFill>
            <w14:solidFill>
              <w14:schemeClr w14:val="tx1"/>
            </w14:solidFill>
          </w14:textFill>
        </w:rPr>
        <w:t>改造提升传统</w:t>
      </w:r>
      <w:r>
        <w:rPr>
          <w:rFonts w:hint="eastAsia" w:ascii="仿宋_GB2312" w:hAnsi="仿宋_GB2312" w:eastAsia="仿宋_GB2312" w:cs="仿宋_GB2312"/>
          <w:color w:val="000000" w:themeColor="text1"/>
          <w:sz w:val="32"/>
          <w:szCs w:val="32"/>
          <w14:textFill>
            <w14:solidFill>
              <w14:schemeClr w14:val="tx1"/>
            </w14:solidFill>
          </w14:textFill>
        </w:rPr>
        <w:t>优势</w:t>
      </w:r>
      <w:r>
        <w:rPr>
          <w:rFonts w:ascii="仿宋_GB2312" w:hAnsi="仿宋_GB2312" w:eastAsia="仿宋_GB2312" w:cs="仿宋_GB2312"/>
          <w:color w:val="000000" w:themeColor="text1"/>
          <w:sz w:val="32"/>
          <w:szCs w:val="32"/>
          <w14:textFill>
            <w14:solidFill>
              <w14:schemeClr w14:val="tx1"/>
            </w14:solidFill>
          </w14:textFill>
        </w:rPr>
        <w:t>产业</w:t>
      </w:r>
      <w:r>
        <w:rPr>
          <w:rFonts w:hint="eastAsia" w:ascii="仿宋_GB2312" w:hAnsi="仿宋_GB2312" w:eastAsia="仿宋_GB2312" w:cs="仿宋_GB2312"/>
          <w:color w:val="000000" w:themeColor="text1"/>
          <w:sz w:val="32"/>
          <w:szCs w:val="32"/>
          <w14:textFill>
            <w14:solidFill>
              <w14:schemeClr w14:val="tx1"/>
            </w14:solidFill>
          </w14:textFill>
        </w:rPr>
        <w:t>、培育</w:t>
      </w:r>
      <w:r>
        <w:rPr>
          <w:rFonts w:ascii="仿宋_GB2312" w:hAnsi="仿宋_GB2312" w:eastAsia="仿宋_GB2312" w:cs="仿宋_GB2312"/>
          <w:color w:val="000000" w:themeColor="text1"/>
          <w:sz w:val="32"/>
          <w:szCs w:val="32"/>
          <w14:textFill>
            <w14:solidFill>
              <w14:schemeClr w14:val="tx1"/>
            </w14:solidFill>
          </w14:textFill>
        </w:rPr>
        <w:t>壮大新兴产业</w:t>
      </w:r>
      <w:r>
        <w:rPr>
          <w:rFonts w:hint="eastAsia" w:ascii="仿宋_GB2312" w:hAnsi="仿宋_GB2312" w:eastAsia="仿宋_GB2312" w:cs="仿宋_GB2312"/>
          <w:color w:val="000000" w:themeColor="text1"/>
          <w:sz w:val="32"/>
          <w:szCs w:val="32"/>
          <w14:textFill>
            <w14:solidFill>
              <w14:schemeClr w14:val="tx1"/>
            </w14:solidFill>
          </w14:textFill>
        </w:rPr>
        <w:t>为发展主线，以改革创新、追求卓越为根本动力，以建成升级版广西柳州汽车城和</w:t>
      </w:r>
      <w:r>
        <w:rPr>
          <w:rFonts w:ascii="仿宋_GB2312" w:hAnsi="仿宋_GB2312" w:eastAsia="仿宋_GB2312" w:cs="仿宋_GB2312"/>
          <w:color w:val="000000" w:themeColor="text1"/>
          <w:sz w:val="32"/>
          <w:szCs w:val="32"/>
          <w14:textFill>
            <w14:solidFill>
              <w14:schemeClr w14:val="tx1"/>
            </w14:solidFill>
          </w14:textFill>
        </w:rPr>
        <w:t>西南领先、全国一流的产城融合示范区</w:t>
      </w:r>
      <w:r>
        <w:rPr>
          <w:rFonts w:hint="eastAsia" w:ascii="仿宋_GB2312" w:hAnsi="仿宋_GB2312" w:eastAsia="仿宋_GB2312" w:cs="仿宋_GB2312"/>
          <w:color w:val="000000" w:themeColor="text1"/>
          <w:sz w:val="32"/>
          <w:szCs w:val="32"/>
          <w14:textFill>
            <w14:solidFill>
              <w14:schemeClr w14:val="tx1"/>
            </w14:solidFill>
          </w14:textFill>
        </w:rPr>
        <w:t>为目标导航，全面推进新区产业升级高质量发展、产城融合高质量发展、创新创业高质量发展、人民生活高质量发展，在</w:t>
      </w:r>
      <w:r>
        <w:rPr>
          <w:rFonts w:ascii="仿宋_GB2312" w:hAnsi="仿宋_GB2312" w:eastAsia="仿宋_GB2312" w:cs="仿宋_GB2312"/>
          <w:color w:val="000000" w:themeColor="text1"/>
          <w:sz w:val="32"/>
          <w:szCs w:val="32"/>
          <w14:textFill>
            <w14:solidFill>
              <w14:schemeClr w14:val="tx1"/>
            </w14:solidFill>
          </w14:textFill>
        </w:rPr>
        <w:t>建设现代制造城、打造万亿工业强市</w:t>
      </w:r>
      <w:r>
        <w:rPr>
          <w:rFonts w:hint="eastAsia" w:ascii="仿宋_GB2312" w:hAnsi="仿宋_GB2312" w:eastAsia="仿宋_GB2312" w:cs="仿宋_GB2312"/>
          <w:color w:val="000000" w:themeColor="text1"/>
          <w:sz w:val="32"/>
          <w:szCs w:val="32"/>
          <w14:textFill>
            <w14:solidFill>
              <w14:schemeClr w14:val="tx1"/>
            </w14:solidFill>
          </w14:textFill>
        </w:rPr>
        <w:t>中闯出新路子、展现新作为、迈出新步伐、彰显新担当</w:t>
      </w:r>
      <w:r>
        <w:rPr>
          <w:rFonts w:ascii="仿宋_GB2312" w:hAnsi="仿宋_GB2312" w:eastAsia="仿宋_GB2312" w:cs="仿宋_GB2312"/>
          <w:color w:val="000000" w:themeColor="text1"/>
          <w:sz w:val="32"/>
          <w:szCs w:val="32"/>
          <w14:textFill>
            <w14:solidFill>
              <w14:schemeClr w14:val="tx1"/>
            </w14:solidFill>
          </w14:textFill>
        </w:rPr>
        <w:t>，全力谱写新时代</w:t>
      </w:r>
      <w:r>
        <w:rPr>
          <w:rFonts w:hint="eastAsia" w:ascii="仿宋_GB2312" w:hAnsi="仿宋_GB2312" w:eastAsia="仿宋_GB2312" w:cs="仿宋_GB2312"/>
          <w:color w:val="000000" w:themeColor="text1"/>
          <w:sz w:val="32"/>
          <w:szCs w:val="32"/>
          <w14:textFill>
            <w14:solidFill>
              <w14:schemeClr w14:val="tx1"/>
            </w14:solidFill>
          </w14:textFill>
        </w:rPr>
        <w:t>柳东新区高质量发展、跨越发展</w:t>
      </w:r>
      <w:r>
        <w:rPr>
          <w:rFonts w:ascii="仿宋_GB2312" w:hAnsi="仿宋_GB2312" w:eastAsia="仿宋_GB2312" w:cs="仿宋_GB2312"/>
          <w:color w:val="000000" w:themeColor="text1"/>
          <w:sz w:val="32"/>
          <w:szCs w:val="32"/>
          <w14:textFill>
            <w14:solidFill>
              <w14:schemeClr w14:val="tx1"/>
            </w14:solidFill>
          </w14:textFill>
        </w:rPr>
        <w:t>壮美篇章。</w:t>
      </w:r>
    </w:p>
    <w:p>
      <w:pPr>
        <w:pStyle w:val="4"/>
        <w:jc w:val="center"/>
        <w:rPr>
          <w:rFonts w:hint="eastAsia" w:ascii="黑体" w:hAnsi="黑体" w:eastAsia="黑体" w:cs="Times New Roman"/>
          <w:b w:val="0"/>
          <w:color w:val="000000" w:themeColor="text1"/>
          <w14:textFill>
            <w14:solidFill>
              <w14:schemeClr w14:val="tx1"/>
            </w14:solidFill>
          </w14:textFill>
        </w:rPr>
      </w:pPr>
      <w:bookmarkStart w:id="72" w:name="_Toc12847"/>
      <w:bookmarkStart w:id="73" w:name="_Toc6121"/>
      <w:bookmarkStart w:id="74" w:name="_Toc29531"/>
      <w:bookmarkStart w:id="75" w:name="_Toc23558"/>
      <w:bookmarkStart w:id="76" w:name="_Toc1904"/>
      <w:bookmarkStart w:id="77" w:name="_Toc1677"/>
      <w:r>
        <w:rPr>
          <w:rFonts w:hint="eastAsia" w:ascii="黑体" w:hAnsi="黑体" w:eastAsia="黑体" w:cs="Times New Roman"/>
          <w:b w:val="0"/>
          <w:color w:val="000000" w:themeColor="text1"/>
          <w14:textFill>
            <w14:solidFill>
              <w14:schemeClr w14:val="tx1"/>
            </w14:solidFill>
          </w14:textFill>
        </w:rPr>
        <w:t>第二节 发展定位</w:t>
      </w:r>
      <w:bookmarkEnd w:id="72"/>
      <w:bookmarkEnd w:id="73"/>
      <w:bookmarkEnd w:id="74"/>
      <w:bookmarkEnd w:id="75"/>
      <w:bookmarkEnd w:id="76"/>
      <w:bookmarkEnd w:id="77"/>
    </w:p>
    <w:p>
      <w:pPr>
        <w:ind w:firstLine="565" w:firstLineChars="176"/>
        <w:rPr>
          <w:rFonts w:ascii="仿宋_GB2312" w:eastAsia="仿宋_GB2312"/>
          <w:color w:val="000000" w:themeColor="text1"/>
          <w:sz w:val="32"/>
          <w:szCs w:val="32"/>
          <w14:textFill>
            <w14:solidFill>
              <w14:schemeClr w14:val="tx1"/>
            </w14:solidFill>
          </w14:textFill>
        </w:rPr>
      </w:pPr>
      <w:r>
        <w:rPr>
          <w:rFonts w:hint="eastAsia" w:ascii="仿宋_GB2312" w:eastAsia="仿宋_GB2312"/>
          <w:b/>
          <w:color w:val="000000" w:themeColor="text1"/>
          <w:sz w:val="32"/>
          <w:szCs w:val="32"/>
          <w14:textFill>
            <w14:solidFill>
              <w14:schemeClr w14:val="tx1"/>
            </w14:solidFill>
          </w14:textFill>
        </w:rPr>
        <w:t>柳州现代制造城核心区</w:t>
      </w:r>
      <w:r>
        <w:rPr>
          <w:rFonts w:hint="eastAsia" w:ascii="仿宋_GB2312" w:eastAsia="仿宋_GB2312"/>
          <w:color w:val="000000" w:themeColor="text1"/>
          <w:sz w:val="32"/>
          <w:szCs w:val="32"/>
          <w14:textFill>
            <w14:solidFill>
              <w14:schemeClr w14:val="tx1"/>
            </w14:solidFill>
          </w14:textFill>
        </w:rPr>
        <w:t>。立足“实业兴区”，</w:t>
      </w:r>
      <w:r>
        <w:rPr>
          <w:rFonts w:ascii="Times New Roman" w:hAnsi="Times New Roman" w:eastAsia="仿宋_GB2312" w:cs="Times New Roman"/>
          <w:color w:val="000000" w:themeColor="text1"/>
          <w:sz w:val="32"/>
          <w:szCs w:val="32"/>
          <w14:textFill>
            <w14:solidFill>
              <w14:schemeClr w14:val="tx1"/>
            </w14:solidFill>
          </w14:textFill>
        </w:rPr>
        <w:t>坚持强龙头、补链条、聚集群和强创新、育品牌、拓市场，</w:t>
      </w:r>
      <w:r>
        <w:rPr>
          <w:rFonts w:hint="eastAsia" w:ascii="仿宋_GB2312" w:eastAsia="仿宋_GB2312"/>
          <w:color w:val="000000" w:themeColor="text1"/>
          <w:sz w:val="32"/>
          <w:szCs w:val="32"/>
          <w14:textFill>
            <w14:solidFill>
              <w14:schemeClr w14:val="tx1"/>
            </w14:solidFill>
          </w14:textFill>
        </w:rPr>
        <w:t>充分把握产业技术日新月异、产业变革加快演进、信息化与工业化深度融合机遇，提质发展传统汽车产业，培育发展新能源汽车、智能</w:t>
      </w:r>
      <w:r>
        <w:rPr>
          <w:rFonts w:hint="eastAsia" w:ascii="仿宋_GB2312" w:hAnsi="仿宋_GB2312" w:eastAsia="仿宋_GB2312"/>
          <w:color w:val="000000" w:themeColor="text1"/>
          <w:sz w:val="32"/>
          <w:szCs w:val="32"/>
          <w14:textFill>
            <w14:solidFill>
              <w14:schemeClr w14:val="tx1"/>
            </w14:solidFill>
          </w14:textFill>
        </w:rPr>
        <w:t>网联</w:t>
      </w:r>
      <w:r>
        <w:rPr>
          <w:rFonts w:hint="eastAsia" w:ascii="仿宋_GB2312" w:eastAsia="仿宋_GB2312"/>
          <w:color w:val="000000" w:themeColor="text1"/>
          <w:sz w:val="32"/>
          <w:szCs w:val="32"/>
          <w14:textFill>
            <w14:solidFill>
              <w14:schemeClr w14:val="tx1"/>
            </w14:solidFill>
          </w14:textFill>
        </w:rPr>
        <w:t>汽车以及汽车电子、光电显示、高端装备制造、智能轨道交通、新能源、新材料等战略性新兴产业，</w:t>
      </w:r>
      <w:r>
        <w:rPr>
          <w:rFonts w:hint="eastAsia" w:ascii="Times New Roman" w:hAnsi="Times New Roman" w:eastAsia="仿宋_GB2312" w:cs="Times New Roman"/>
          <w:color w:val="000000" w:themeColor="text1"/>
          <w:sz w:val="32"/>
          <w:szCs w:val="32"/>
          <w14:textFill>
            <w14:solidFill>
              <w14:schemeClr w14:val="tx1"/>
            </w14:solidFill>
          </w14:textFill>
        </w:rPr>
        <w:t>扎实构建“</w:t>
      </w:r>
      <w:r>
        <w:rPr>
          <w:rFonts w:ascii="Times New Roman" w:hAnsi="Times New Roman" w:eastAsia="仿宋_GB2312" w:cs="Times New Roman"/>
          <w:color w:val="000000" w:themeColor="text1"/>
          <w:sz w:val="32"/>
          <w:szCs w:val="32"/>
          <w14:textFill>
            <w14:solidFill>
              <w14:schemeClr w14:val="tx1"/>
            </w14:solidFill>
          </w14:textFill>
        </w:rPr>
        <w:t>工业树</w:t>
      </w:r>
      <w:r>
        <w:rPr>
          <w:rFonts w:hint="eastAsia" w:ascii="Times New Roman" w:hAnsi="Times New Roman" w:eastAsia="仿宋_GB2312"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产业林</w:t>
      </w:r>
      <w:r>
        <w:rPr>
          <w:rFonts w:hint="eastAsia" w:ascii="Times New Roman" w:hAnsi="Times New Roman" w:eastAsia="仿宋_GB2312" w:cs="Times New Roman"/>
          <w:color w:val="000000" w:themeColor="text1"/>
          <w:sz w:val="32"/>
          <w:szCs w:val="32"/>
          <w14:textFill>
            <w14:solidFill>
              <w14:schemeClr w14:val="tx1"/>
            </w14:solidFill>
          </w14:textFill>
        </w:rPr>
        <w:t>”新生态，</w:t>
      </w:r>
      <w:r>
        <w:rPr>
          <w:rFonts w:hint="eastAsia" w:ascii="仿宋_GB2312" w:eastAsia="仿宋_GB2312"/>
          <w:color w:val="000000" w:themeColor="text1"/>
          <w:sz w:val="32"/>
          <w:szCs w:val="32"/>
          <w14:textFill>
            <w14:solidFill>
              <w14:schemeClr w14:val="tx1"/>
            </w14:solidFill>
          </w14:textFill>
        </w:rPr>
        <w:t>全面打造</w:t>
      </w:r>
      <w:r>
        <w:rPr>
          <w:rFonts w:ascii="Times New Roman" w:hAnsi="Times New Roman" w:eastAsia="仿宋_GB2312" w:cs="Times New Roman"/>
          <w:color w:val="000000" w:themeColor="text1"/>
          <w:sz w:val="32"/>
          <w:szCs w:val="32"/>
          <w14:textFill>
            <w14:solidFill>
              <w14:schemeClr w14:val="tx1"/>
            </w14:solidFill>
          </w14:textFill>
        </w:rPr>
        <w:t>制造业高级化、服务业现代化、要素配置精准化、园区管理科学化的</w:t>
      </w:r>
      <w:r>
        <w:rPr>
          <w:rFonts w:hint="eastAsia" w:ascii="仿宋_GB2312" w:eastAsia="仿宋_GB2312"/>
          <w:color w:val="000000" w:themeColor="text1"/>
          <w:sz w:val="32"/>
          <w:szCs w:val="32"/>
          <w14:textFill>
            <w14:solidFill>
              <w14:schemeClr w14:val="tx1"/>
            </w14:solidFill>
          </w14:textFill>
        </w:rPr>
        <w:t>柳州现代制造城核心区</w:t>
      </w:r>
      <w:r>
        <w:rPr>
          <w:rFonts w:hint="eastAsia" w:ascii="Times New Roman" w:hAnsi="Times New Roman" w:eastAsia="仿宋_GB2312" w:cs="Times New Roman"/>
          <w:color w:val="000000" w:themeColor="text1"/>
          <w:sz w:val="32"/>
          <w:szCs w:val="32"/>
          <w14:textFill>
            <w14:solidFill>
              <w14:schemeClr w14:val="tx1"/>
            </w14:solidFill>
          </w14:textFill>
        </w:rPr>
        <w:t>，成就</w:t>
      </w:r>
      <w:r>
        <w:rPr>
          <w:rFonts w:ascii="Times New Roman" w:hAnsi="Times New Roman" w:eastAsia="仿宋_GB2312" w:cs="Times New Roman"/>
          <w:color w:val="000000" w:themeColor="text1"/>
          <w:sz w:val="32"/>
          <w:szCs w:val="32"/>
          <w14:textFill>
            <w14:solidFill>
              <w14:schemeClr w14:val="tx1"/>
            </w14:solidFill>
          </w14:textFill>
        </w:rPr>
        <w:t>广西柳州汽车城升级版</w:t>
      </w:r>
      <w:r>
        <w:rPr>
          <w:rFonts w:hint="eastAsia" w:ascii="Times New Roman" w:hAnsi="Times New Roman" w:eastAsia="仿宋_GB2312" w:cs="Times New Roman"/>
          <w:color w:val="000000" w:themeColor="text1"/>
          <w:sz w:val="32"/>
          <w:szCs w:val="32"/>
          <w14:textFill>
            <w14:solidFill>
              <w14:schemeClr w14:val="tx1"/>
            </w14:solidFill>
          </w14:textFill>
        </w:rPr>
        <w:t>。</w:t>
      </w:r>
    </w:p>
    <w:p>
      <w:pPr>
        <w:tabs>
          <w:tab w:val="left" w:pos="0"/>
        </w:tabs>
        <w:ind w:firstLine="565" w:firstLineChars="176"/>
        <w:rPr>
          <w:rFonts w:ascii="仿宋_GB2312" w:eastAsia="仿宋_GB2312"/>
          <w:color w:val="000000" w:themeColor="text1"/>
          <w:sz w:val="32"/>
          <w:szCs w:val="32"/>
          <w14:textFill>
            <w14:solidFill>
              <w14:schemeClr w14:val="tx1"/>
            </w14:solidFill>
          </w14:textFill>
        </w:rPr>
      </w:pPr>
      <w:r>
        <w:rPr>
          <w:rFonts w:hint="eastAsia" w:ascii="仿宋_GB2312" w:eastAsia="仿宋_GB2312"/>
          <w:b/>
          <w:color w:val="000000" w:themeColor="text1"/>
          <w:sz w:val="32"/>
          <w:szCs w:val="32"/>
          <w14:textFill>
            <w14:solidFill>
              <w14:schemeClr w14:val="tx1"/>
            </w14:solidFill>
          </w14:textFill>
        </w:rPr>
        <w:t>创新驱动发展示范区和高质量发展先行区。</w:t>
      </w:r>
      <w:r>
        <w:rPr>
          <w:rFonts w:hint="eastAsia" w:ascii="仿宋" w:hAnsi="仿宋" w:eastAsia="仿宋" w:cs="仿宋"/>
          <w:color w:val="000000" w:themeColor="text1"/>
          <w:sz w:val="32"/>
          <w:szCs w:val="32"/>
          <w14:textFill>
            <w14:solidFill>
              <w14:schemeClr w14:val="tx1"/>
            </w14:solidFill>
          </w14:textFill>
        </w:rPr>
        <w:t>坚决落实国家对高新区在新时代赋予的新使命和新定位，努力成为广西科技创新制高点和高质量发展先行区。坚持推进科技与经济结合，强化新区高质量发展战略支撑。统筹推进科技体制改革、</w:t>
      </w:r>
      <w:r>
        <w:rPr>
          <w:rFonts w:hint="eastAsia" w:ascii="仿宋_GB2312" w:eastAsia="仿宋_GB2312"/>
          <w:color w:val="000000" w:themeColor="text1"/>
          <w:sz w:val="32"/>
          <w:szCs w:val="32"/>
          <w14:textFill>
            <w14:solidFill>
              <w14:schemeClr w14:val="tx1"/>
            </w14:solidFill>
          </w14:textFill>
        </w:rPr>
        <w:t>创新主体培育、重大平台打造、双创示范基地发展、创新型人才队伍建设，</w:t>
      </w:r>
      <w:r>
        <w:rPr>
          <w:rFonts w:hint="eastAsia" w:ascii="仿宋" w:hAnsi="仿宋" w:eastAsia="仿宋" w:cs="仿宋"/>
          <w:color w:val="000000" w:themeColor="text1"/>
          <w:sz w:val="32"/>
          <w:szCs w:val="32"/>
          <w14:textFill>
            <w14:solidFill>
              <w14:schemeClr w14:val="tx1"/>
            </w14:solidFill>
          </w14:textFill>
        </w:rPr>
        <w:t>深抓前端聚焦、中间协同、后端转化，促进科创资源高效整合、产学研协同创新、</w:t>
      </w:r>
      <w:r>
        <w:rPr>
          <w:rFonts w:hint="eastAsia" w:ascii="仿宋_GB2312" w:eastAsia="仿宋_GB2312"/>
          <w:color w:val="000000" w:themeColor="text1"/>
          <w:sz w:val="32"/>
          <w:szCs w:val="32"/>
          <w14:textFill>
            <w14:solidFill>
              <w14:schemeClr w14:val="tx1"/>
            </w14:solidFill>
          </w14:textFill>
        </w:rPr>
        <w:t>大中小企业融通创新</w:t>
      </w:r>
      <w:r>
        <w:rPr>
          <w:rFonts w:hint="eastAsia" w:ascii="仿宋" w:hAnsi="仿宋" w:eastAsia="仿宋" w:cs="仿宋"/>
          <w:color w:val="000000" w:themeColor="text1"/>
          <w:sz w:val="32"/>
          <w:szCs w:val="32"/>
          <w14:textFill>
            <w14:solidFill>
              <w14:schemeClr w14:val="tx1"/>
            </w14:solidFill>
          </w14:textFill>
        </w:rPr>
        <w:t>，形成具有柳东特色的科创新生态</w:t>
      </w:r>
      <w:r>
        <w:rPr>
          <w:rFonts w:hint="eastAsia" w:ascii="仿宋_GB2312" w:eastAsia="仿宋_GB2312"/>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在全市</w:t>
      </w:r>
      <w:r>
        <w:rPr>
          <w:rFonts w:hint="eastAsia" w:ascii="Times New Roman" w:hAnsi="Times New Roman" w:eastAsia="仿宋_GB2312" w:cs="Times New Roman"/>
          <w:color w:val="000000" w:themeColor="text1"/>
          <w:sz w:val="32"/>
          <w:szCs w:val="32"/>
          <w14:textFill>
            <w14:solidFill>
              <w14:schemeClr w14:val="tx1"/>
            </w14:solidFill>
          </w14:textFill>
        </w:rPr>
        <w:t>充分</w:t>
      </w:r>
      <w:r>
        <w:rPr>
          <w:rFonts w:ascii="Times New Roman" w:hAnsi="Times New Roman" w:eastAsia="仿宋_GB2312" w:cs="Times New Roman"/>
          <w:color w:val="000000" w:themeColor="text1"/>
          <w:sz w:val="32"/>
          <w:szCs w:val="32"/>
          <w14:textFill>
            <w14:solidFill>
              <w14:schemeClr w14:val="tx1"/>
            </w14:solidFill>
          </w14:textFill>
        </w:rPr>
        <w:t>发挥高质量发展排头兵</w:t>
      </w:r>
      <w:r>
        <w:rPr>
          <w:rFonts w:hint="eastAsia" w:ascii="Times New Roman" w:hAnsi="Times New Roman" w:eastAsia="仿宋_GB2312" w:cs="Times New Roman"/>
          <w:color w:val="000000" w:themeColor="text1"/>
          <w:sz w:val="32"/>
          <w:szCs w:val="32"/>
          <w14:textFill>
            <w14:solidFill>
              <w14:schemeClr w14:val="tx1"/>
            </w14:solidFill>
          </w14:textFill>
        </w:rPr>
        <w:t>示范</w:t>
      </w:r>
      <w:r>
        <w:rPr>
          <w:rFonts w:ascii="Times New Roman" w:hAnsi="Times New Roman" w:eastAsia="仿宋_GB2312" w:cs="Times New Roman"/>
          <w:color w:val="000000" w:themeColor="text1"/>
          <w:sz w:val="32"/>
          <w:szCs w:val="32"/>
          <w14:textFill>
            <w14:solidFill>
              <w14:schemeClr w14:val="tx1"/>
            </w14:solidFill>
          </w14:textFill>
        </w:rPr>
        <w:t>带动作用。</w:t>
      </w:r>
    </w:p>
    <w:p>
      <w:pPr>
        <w:ind w:firstLine="565" w:firstLineChars="176"/>
        <w:rPr>
          <w:rFonts w:ascii="仿宋_GB2312" w:eastAsia="仿宋_GB2312"/>
          <w:bCs/>
          <w:color w:val="000000" w:themeColor="text1"/>
          <w:sz w:val="32"/>
          <w:szCs w:val="32"/>
          <w14:textFill>
            <w14:solidFill>
              <w14:schemeClr w14:val="tx1"/>
            </w14:solidFill>
          </w14:textFill>
        </w:rPr>
      </w:pPr>
      <w:r>
        <w:rPr>
          <w:rFonts w:hint="eastAsia" w:ascii="仿宋_GB2312" w:eastAsia="仿宋_GB2312"/>
          <w:b/>
          <w:color w:val="000000" w:themeColor="text1"/>
          <w:sz w:val="32"/>
          <w:szCs w:val="32"/>
          <w14:textFill>
            <w14:solidFill>
              <w14:schemeClr w14:val="tx1"/>
            </w14:solidFill>
          </w14:textFill>
        </w:rPr>
        <w:t>区域开放合作先行区。</w:t>
      </w:r>
      <w:r>
        <w:rPr>
          <w:rFonts w:hint="eastAsia" w:ascii="仿宋_GB2312" w:eastAsia="仿宋_GB2312"/>
          <w:bCs/>
          <w:color w:val="000000" w:themeColor="text1"/>
          <w:sz w:val="32"/>
          <w:szCs w:val="32"/>
          <w14:textFill>
            <w14:solidFill>
              <w14:schemeClr w14:val="tx1"/>
            </w14:solidFill>
          </w14:textFill>
        </w:rPr>
        <w:t>立足“开放强柳”，依托中国东盟合作区位及政策优势，以深化中国东盟产业和贸易合作、中欧国际科技合作为主线，主动融入全球产业链、创新链、价值链，聚力打造面向东盟的南方汽车出口基地、西部陆海新通道区域性战略节点和中欧</w:t>
      </w:r>
      <w:r>
        <w:rPr>
          <w:rFonts w:hint="eastAsia" w:ascii="仿宋_GB2312" w:hAnsi="仿宋_GB2312" w:eastAsia="仿宋_GB2312" w:cs="仿宋_GB2312"/>
          <w:color w:val="000000" w:themeColor="text1"/>
          <w:sz w:val="32"/>
          <w:szCs w:val="32"/>
          <w14:textFill>
            <w14:solidFill>
              <w14:schemeClr w14:val="tx1"/>
            </w14:solidFill>
          </w14:textFill>
        </w:rPr>
        <w:t>区域</w:t>
      </w:r>
      <w:r>
        <w:rPr>
          <w:rFonts w:hint="eastAsia" w:ascii="仿宋_GB2312" w:eastAsia="仿宋_GB2312"/>
          <w:bCs/>
          <w:color w:val="000000" w:themeColor="text1"/>
          <w:sz w:val="32"/>
          <w:szCs w:val="32"/>
          <w14:textFill>
            <w14:solidFill>
              <w14:schemeClr w14:val="tx1"/>
            </w14:solidFill>
          </w14:textFill>
        </w:rPr>
        <w:t>政策合作示范区。全面探索并实践中国－东盟、中欧深化合作新模式、新路径和新机制，成为汽车产业合作桥头堡、国际先进地区科技创新成果落地的重要承载地和桥梁，推动国际高端创新要素资源聚集和先进科技成果的转化，形成合作主题鲜明、参与主体多元、具有较大国内影响力的区域开放合作先行区。</w:t>
      </w:r>
    </w:p>
    <w:p>
      <w:pPr>
        <w:ind w:firstLine="565" w:firstLineChars="176"/>
        <w:rPr>
          <w:rFonts w:ascii="仿宋_GB2312" w:eastAsia="仿宋_GB2312"/>
          <w:color w:val="000000" w:themeColor="text1"/>
          <w:sz w:val="32"/>
          <w:szCs w:val="32"/>
          <w14:textFill>
            <w14:solidFill>
              <w14:schemeClr w14:val="tx1"/>
            </w14:solidFill>
          </w14:textFill>
        </w:rPr>
      </w:pPr>
      <w:r>
        <w:rPr>
          <w:rFonts w:hint="eastAsia" w:ascii="仿宋_GB2312" w:eastAsia="仿宋_GB2312"/>
          <w:b/>
          <w:color w:val="000000" w:themeColor="text1"/>
          <w:sz w:val="32"/>
          <w:szCs w:val="32"/>
          <w14:textFill>
            <w14:solidFill>
              <w14:schemeClr w14:val="tx1"/>
            </w14:solidFill>
          </w14:textFill>
        </w:rPr>
        <w:t>产城融合山水新城区</w:t>
      </w:r>
      <w:r>
        <w:rPr>
          <w:rFonts w:hint="eastAsia" w:ascii="仿宋_GB2312" w:eastAsia="仿宋_GB2312"/>
          <w:color w:val="000000" w:themeColor="text1"/>
          <w:sz w:val="32"/>
          <w:szCs w:val="32"/>
          <w14:textFill>
            <w14:solidFill>
              <w14:schemeClr w14:val="tx1"/>
            </w14:solidFill>
          </w14:textFill>
        </w:rPr>
        <w:t>。立足滨水倚山优势，以国家产城融合示范区建设为主线，推动城区品质跃上更高台阶。着力推动新区开发建设与城市现代化、特色化发展无缝对接，高标准推进滨水景观廊道、山体公园和特色小镇、大型商业和文化街区等载体建设，强化高品质公共服务和文化休闲功能布局，塑造更具人文魅力、生态魅力、旅游魅力的新型城区。全面落实产城融合发展理念，合理布局生产空间、生活空间和生态空间，探索新型工业化与城镇化同步推进、协调发展的新路径，建设成为全国一流的产城融合山水新城区。</w:t>
      </w:r>
    </w:p>
    <w:p>
      <w:pPr>
        <w:pStyle w:val="4"/>
        <w:jc w:val="center"/>
        <w:rPr>
          <w:rFonts w:hint="eastAsia" w:ascii="黑体" w:hAnsi="黑体" w:eastAsia="黑体" w:cs="Times New Roman"/>
          <w:b w:val="0"/>
          <w:color w:val="000000" w:themeColor="text1"/>
          <w14:textFill>
            <w14:solidFill>
              <w14:schemeClr w14:val="tx1"/>
            </w14:solidFill>
          </w14:textFill>
        </w:rPr>
      </w:pPr>
      <w:bookmarkStart w:id="78" w:name="_Toc19994"/>
      <w:bookmarkStart w:id="79" w:name="_Toc25157"/>
      <w:bookmarkStart w:id="80" w:name="_Toc16168"/>
      <w:bookmarkStart w:id="81" w:name="_Toc26109"/>
      <w:bookmarkStart w:id="82" w:name="_Toc17831"/>
      <w:bookmarkStart w:id="83" w:name="_Toc108"/>
      <w:r>
        <w:rPr>
          <w:rFonts w:hint="eastAsia" w:ascii="黑体" w:hAnsi="黑体" w:eastAsia="黑体" w:cs="Times New Roman"/>
          <w:b w:val="0"/>
          <w:color w:val="000000" w:themeColor="text1"/>
          <w14:textFill>
            <w14:solidFill>
              <w14:schemeClr w14:val="tx1"/>
            </w14:solidFill>
          </w14:textFill>
        </w:rPr>
        <w:t>第三节 二〇三五年远景目标</w:t>
      </w:r>
      <w:bookmarkEnd w:id="78"/>
      <w:bookmarkEnd w:id="79"/>
      <w:bookmarkEnd w:id="80"/>
      <w:bookmarkEnd w:id="81"/>
      <w:bookmarkEnd w:id="82"/>
      <w:bookmarkEnd w:id="83"/>
    </w:p>
    <w:p>
      <w:pPr>
        <w:spacing w:line="58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Times New Roman" w:hAnsi="Times New Roman" w:eastAsia="仿宋_GB2312" w:cs="仿宋_GB2312"/>
          <w:color w:val="000000" w:themeColor="text1"/>
          <w:kern w:val="0"/>
          <w:sz w:val="32"/>
          <w:szCs w:val="32"/>
          <w14:textFill>
            <w14:solidFill>
              <w14:schemeClr w14:val="tx1"/>
            </w14:solidFill>
          </w14:textFill>
        </w:rPr>
        <w:t>展望</w:t>
      </w:r>
      <w:r>
        <w:rPr>
          <w:rFonts w:ascii="Times New Roman" w:hAnsi="Times New Roman" w:eastAsia="仿宋_GB2312" w:cs="仿宋_GB2312"/>
          <w:color w:val="000000" w:themeColor="text1"/>
          <w:kern w:val="0"/>
          <w:sz w:val="32"/>
          <w:szCs w:val="32"/>
          <w14:textFill>
            <w14:solidFill>
              <w14:schemeClr w14:val="tx1"/>
            </w14:solidFill>
          </w14:textFill>
        </w:rPr>
        <w:t>2035</w:t>
      </w:r>
      <w:r>
        <w:rPr>
          <w:rFonts w:hint="eastAsia" w:ascii="Times New Roman" w:hAnsi="Times New Roman" w:eastAsia="仿宋_GB2312" w:cs="仿宋_GB2312"/>
          <w:color w:val="000000" w:themeColor="text1"/>
          <w:kern w:val="0"/>
          <w:sz w:val="32"/>
          <w:szCs w:val="32"/>
          <w14:textFill>
            <w14:solidFill>
              <w14:schemeClr w14:val="tx1"/>
            </w14:solidFill>
          </w14:textFill>
        </w:rPr>
        <w:t>年，柳东新区综合经济实力大幅跃升，经济总量、人均地区生产总值和城乡居民人均收入迈上新的大台阶，科技创新支撑能力显著增强，现代制造城和创新型城市核心承载区能级量级全面提升，率先实现新型工业化、信息化、城镇化、农业现代化。人民生活更有幸福感和获得感，市民素质和社会文明程度达到新高度，公共服务体系实现优质均衡布局，共建共治共享的社会治理格局更加完善，实现幼有善育、学有优教、劳有厚得、病有良医、老有颐养、住有宜居、弱有众扶。生态环境大幅提升，形成天蓝、湖清、山青、树绿的美好生态空间，环境治理体系与治理能力现代化水平处于自治区前列，形成人与自然和谐共生的生态格局。把柳东新区建设成为富有创新活力、产城充分融合、人文魅力彰显的国家一流高新区和现代化新型城区。</w:t>
      </w:r>
    </w:p>
    <w:p>
      <w:pPr>
        <w:pStyle w:val="4"/>
        <w:jc w:val="center"/>
        <w:rPr>
          <w:rFonts w:hint="eastAsia" w:ascii="黑体" w:hAnsi="黑体" w:eastAsia="黑体" w:cs="Times New Roman"/>
          <w:b w:val="0"/>
          <w:color w:val="000000" w:themeColor="text1"/>
          <w14:textFill>
            <w14:solidFill>
              <w14:schemeClr w14:val="tx1"/>
            </w14:solidFill>
          </w14:textFill>
        </w:rPr>
      </w:pPr>
      <w:bookmarkStart w:id="84" w:name="_Toc8950"/>
      <w:bookmarkStart w:id="85" w:name="_Toc25300"/>
      <w:bookmarkStart w:id="86" w:name="_Toc22756"/>
      <w:bookmarkStart w:id="87" w:name="_Toc14457"/>
      <w:bookmarkStart w:id="88" w:name="_Toc22002"/>
      <w:bookmarkStart w:id="89" w:name="_Toc10030"/>
      <w:r>
        <w:rPr>
          <w:rFonts w:hint="eastAsia" w:ascii="黑体" w:hAnsi="黑体" w:eastAsia="黑体" w:cs="Times New Roman"/>
          <w:b w:val="0"/>
          <w:color w:val="000000" w:themeColor="text1"/>
          <w14:textFill>
            <w14:solidFill>
              <w14:schemeClr w14:val="tx1"/>
            </w14:solidFill>
          </w14:textFill>
        </w:rPr>
        <w:t>第四节 “十四五”发展目标</w:t>
      </w:r>
      <w:bookmarkEnd w:id="84"/>
      <w:bookmarkEnd w:id="85"/>
      <w:bookmarkEnd w:id="86"/>
      <w:bookmarkEnd w:id="87"/>
      <w:bookmarkEnd w:id="88"/>
      <w:bookmarkEnd w:id="89"/>
    </w:p>
    <w:p>
      <w:pPr>
        <w:spacing w:line="580" w:lineRule="exact"/>
        <w:ind w:firstLine="640" w:firstLineChars="200"/>
        <w:jc w:val="left"/>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十四五”期间，加快推动新区高质量发展，建设广西柳州汽车城升级版，打造科技创新、产城融合、绿色生态的示范区。到“十四五”期末，新区经济发展效益显著提升，产业结构优化升级，高端产业进一步聚集，城市建设魅力彰显，民生福祉进一步增进，城市环境绿色宜人，社会治理安全有序。</w:t>
      </w:r>
    </w:p>
    <w:p>
      <w:pPr>
        <w:spacing w:line="580" w:lineRule="exact"/>
        <w:ind w:firstLine="643" w:firstLineChars="200"/>
        <w:jc w:val="left"/>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经济发展更有质量。</w:t>
      </w:r>
      <w:r>
        <w:rPr>
          <w:rFonts w:hint="eastAsia" w:ascii="仿宋_GB2312" w:hAnsi="仿宋_GB2312" w:eastAsia="仿宋_GB2312" w:cs="仿宋_GB2312"/>
          <w:color w:val="000000" w:themeColor="text1"/>
          <w:sz w:val="32"/>
          <w:szCs w:val="32"/>
          <w14:textFill>
            <w14:solidFill>
              <w14:schemeClr w14:val="tx1"/>
            </w14:solidFill>
          </w14:textFill>
        </w:rPr>
        <w:t>全面实施新区“1+3+5”现代产业布局，做大做强做优汽车产业，巩固支柱产业地位，培育壮大高端装备制造（含轨道交通装备）、电子光电、新材料三大战略性新兴产业，加快发展科技服务、智慧物流、商务会展、文化旅游、大数据等五大现代服务业，探索发展多个现代前沿产业，全方位促进新区产业高质量发展，力争“工业树”枝繁叶茂，“产业林”茁壮成长，产业核心竞争力显著增强, 以二、三产业为主导的城市经济扩容提质、繁荣发展。“十四五”期，新区地区生产总值预期年均增长9%以上。</w:t>
      </w:r>
    </w:p>
    <w:p>
      <w:pPr>
        <w:spacing w:line="580" w:lineRule="exact"/>
        <w:ind w:firstLine="643" w:firstLineChars="200"/>
        <w:jc w:val="left"/>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创新能力持续增强。</w:t>
      </w:r>
      <w:r>
        <w:rPr>
          <w:rFonts w:hint="eastAsia" w:ascii="仿宋_GB2312" w:hAnsi="仿宋_GB2312" w:eastAsia="仿宋_GB2312" w:cs="仿宋_GB2312"/>
          <w:color w:val="000000" w:themeColor="text1"/>
          <w:sz w:val="32"/>
          <w:szCs w:val="32"/>
          <w14:textFill>
            <w14:solidFill>
              <w14:schemeClr w14:val="tx1"/>
            </w14:solidFill>
          </w14:textFill>
        </w:rPr>
        <w:t>把科技自立自强作为新区发展的根本遵循，着力提升新区企业创新能力，促进更大范围、更广领域、更深层次的区域协同创新和各类主体融通创新，助力新区高质量发展。打造“双创”升级版，加快推进创新载体、平台服务、要素集聚功能等全面升级，创建一批国家级科技企业孵化器、众创空间等创新创业服务示范基地。到2025年，高新技术企业数量达到300家，建成自治区级及以上创新平台120家，每万人口高价值发明专利拥有量达到</w:t>
      </w:r>
      <w:r>
        <w:rPr>
          <w:rFonts w:ascii="仿宋_GB2312" w:hAnsi="仿宋_GB2312" w:eastAsia="仿宋_GB2312" w:cs="仿宋_GB2312"/>
          <w:color w:val="000000" w:themeColor="text1"/>
          <w:sz w:val="32"/>
          <w:szCs w:val="32"/>
          <w14:textFill>
            <w14:solidFill>
              <w14:schemeClr w14:val="tx1"/>
            </w14:solidFill>
          </w14:textFill>
        </w:rPr>
        <w:t>6</w:t>
      </w:r>
      <w:r>
        <w:rPr>
          <w:rFonts w:hint="eastAsia" w:ascii="仿宋_GB2312" w:hAnsi="仿宋_GB2312" w:eastAsia="仿宋_GB2312" w:cs="仿宋_GB2312"/>
          <w:color w:val="000000" w:themeColor="text1"/>
          <w:sz w:val="32"/>
          <w:szCs w:val="32"/>
          <w14:textFill>
            <w14:solidFill>
              <w14:schemeClr w14:val="tx1"/>
            </w14:solidFill>
          </w14:textFill>
        </w:rPr>
        <w:t>件。</w:t>
      </w:r>
    </w:p>
    <w:p>
      <w:pPr>
        <w:spacing w:line="580" w:lineRule="exact"/>
        <w:ind w:firstLine="643" w:firstLineChars="200"/>
        <w:jc w:val="left"/>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民生保障显著提高。</w:t>
      </w:r>
      <w:r>
        <w:rPr>
          <w:rFonts w:hint="eastAsia" w:ascii="仿宋_GB2312" w:hAnsi="仿宋_GB2312" w:eastAsia="仿宋_GB2312" w:cs="仿宋_GB2312"/>
          <w:color w:val="000000" w:themeColor="text1"/>
          <w:sz w:val="32"/>
          <w:szCs w:val="32"/>
          <w14:textFill>
            <w14:solidFill>
              <w14:schemeClr w14:val="tx1"/>
            </w14:solidFill>
          </w14:textFill>
        </w:rPr>
        <w:t>公共服务和社会保障体系更加健全，常住人口基本公共服务均等化实现全覆盖，人口集聚能力进一步加强。高标准规划建设一批重大民生工程，城市基础设施、生活消费配套更加完善，教育、医疗、住房、文化、体育等民生服务水平达到新高度。人民生活更为宽裕，中等收入群体比例明显提高，居民人均可支配收入增长6.5%。</w:t>
      </w:r>
    </w:p>
    <w:p>
      <w:pPr>
        <w:spacing w:line="580" w:lineRule="exact"/>
        <w:ind w:firstLine="643" w:firstLineChars="200"/>
        <w:jc w:val="left"/>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生态环境更加优美。</w:t>
      </w:r>
      <w:r>
        <w:rPr>
          <w:rFonts w:hint="eastAsia" w:ascii="仿宋_GB2312" w:hAnsi="仿宋_GB2312" w:eastAsia="仿宋_GB2312" w:cs="仿宋_GB2312"/>
          <w:color w:val="000000" w:themeColor="text1"/>
          <w:sz w:val="32"/>
          <w:szCs w:val="32"/>
          <w14:textFill>
            <w14:solidFill>
              <w14:schemeClr w14:val="tx1"/>
            </w14:solidFill>
          </w14:textFill>
        </w:rPr>
        <w:t>天更蓝、山更绿、水更清、城更美，绿色低碳生产生活方式更加深入人心。新区万元地区生产总值能耗、水耗总体下降，全面完成自治区、柳州市下达的节能减排目标任务。主要污染物排放总量显著减少，河流水体质量和空气质量百分百达标，生态环境质量明显提高。</w:t>
      </w:r>
    </w:p>
    <w:p>
      <w:pPr>
        <w:spacing w:beforeLines="50" w:afterLines="50" w:line="360" w:lineRule="auto"/>
        <w:ind w:firstLine="643" w:firstLineChars="200"/>
        <w:jc w:val="left"/>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现代社会治理格局基本形成。</w:t>
      </w:r>
      <w:r>
        <w:rPr>
          <w:rFonts w:hint="eastAsia" w:ascii="仿宋_GB2312" w:hAnsi="仿宋_GB2312" w:eastAsia="仿宋_GB2312" w:cs="仿宋_GB2312"/>
          <w:color w:val="000000" w:themeColor="text1"/>
          <w:sz w:val="32"/>
          <w:szCs w:val="32"/>
          <w14:textFill>
            <w14:solidFill>
              <w14:schemeClr w14:val="tx1"/>
            </w14:solidFill>
          </w14:textFill>
        </w:rPr>
        <w:t>新区行政效率和公信力显著提升，“放管服”改革步伐加快，营商环境显著提升。公共管理服务水平和社会治理能力大步提升，形成政府部门协调联动、行业组织自律管理、信用服务机构积极参与、社会舆论广泛监督的共同治理格局。促进市场主体依法诚信经营，维护市场正常秩序，营造“守信者处处受益、失信者处处受限”的社会信用环境。“平安柳东”建设取得新成效，突发公共事件应急处置能力显著增强。</w:t>
      </w:r>
    </w:p>
    <w:p>
      <w:pPr>
        <w:spacing w:beforeLines="50" w:afterLines="50" w:line="360" w:lineRule="auto"/>
        <w:jc w:val="center"/>
        <w:rPr>
          <w:rFonts w:ascii="黑体" w:hAnsi="黑体" w:eastAsia="黑体" w:cs="黑体"/>
          <w:bCs/>
          <w:color w:val="000000" w:themeColor="text1"/>
          <w:sz w:val="28"/>
          <w:szCs w:val="28"/>
          <w14:textFill>
            <w14:solidFill>
              <w14:schemeClr w14:val="tx1"/>
            </w14:solidFill>
          </w14:textFill>
        </w:rPr>
      </w:pPr>
      <w:r>
        <w:rPr>
          <w:rFonts w:hint="eastAsia" w:ascii="黑体" w:hAnsi="黑体" w:eastAsia="黑体" w:cs="黑体"/>
          <w:bCs/>
          <w:color w:val="000000" w:themeColor="text1"/>
          <w:sz w:val="28"/>
          <w:szCs w:val="28"/>
          <w14:textFill>
            <w14:solidFill>
              <w14:schemeClr w14:val="tx1"/>
            </w14:solidFill>
          </w14:textFill>
        </w:rPr>
        <w:t>表2-1 “十四五”国民经济和社会发展规划调控指标体系表</w:t>
      </w:r>
    </w:p>
    <w:tbl>
      <w:tblPr>
        <w:tblStyle w:val="18"/>
        <w:tblpPr w:leftFromText="180" w:rightFromText="180" w:vertAnchor="text" w:horzAnchor="page" w:tblpXSpec="center" w:tblpY="112"/>
        <w:tblOverlap w:val="never"/>
        <w:tblW w:w="899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74"/>
        <w:gridCol w:w="568"/>
        <w:gridCol w:w="3378"/>
        <w:gridCol w:w="724"/>
        <w:gridCol w:w="860"/>
        <w:gridCol w:w="790"/>
        <w:gridCol w:w="767"/>
        <w:gridCol w:w="13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8" w:hRule="atLeast"/>
        </w:trPr>
        <w:tc>
          <w:tcPr>
            <w:tcW w:w="574"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类别</w:t>
            </w:r>
          </w:p>
        </w:tc>
        <w:tc>
          <w:tcPr>
            <w:tcW w:w="568"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序号</w:t>
            </w:r>
          </w:p>
        </w:tc>
        <w:tc>
          <w:tcPr>
            <w:tcW w:w="3378"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指标</w:t>
            </w:r>
          </w:p>
        </w:tc>
        <w:tc>
          <w:tcPr>
            <w:tcW w:w="724"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p>
        </w:tc>
        <w:tc>
          <w:tcPr>
            <w:tcW w:w="860"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2025年</w:t>
            </w:r>
          </w:p>
        </w:tc>
        <w:tc>
          <w:tcPr>
            <w:tcW w:w="790" w:type="dxa"/>
            <w:noWrap/>
            <w:tcMar>
              <w:top w:w="8" w:type="dxa"/>
              <w:left w:w="8" w:type="dxa"/>
              <w:right w:w="8" w:type="dxa"/>
            </w:tcMa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年均</w:t>
            </w:r>
          </w:p>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增长</w:t>
            </w:r>
          </w:p>
        </w:tc>
        <w:tc>
          <w:tcPr>
            <w:tcW w:w="767"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指标</w:t>
            </w:r>
          </w:p>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属性</w:t>
            </w:r>
          </w:p>
        </w:tc>
        <w:tc>
          <w:tcPr>
            <w:tcW w:w="1333"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监测</w:t>
            </w:r>
          </w:p>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8" w:hRule="atLeast"/>
        </w:trPr>
        <w:tc>
          <w:tcPr>
            <w:tcW w:w="574" w:type="dxa"/>
            <w:vMerge w:val="restart"/>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经济</w:t>
            </w:r>
          </w:p>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发展</w:t>
            </w:r>
          </w:p>
        </w:tc>
        <w:tc>
          <w:tcPr>
            <w:tcW w:w="568"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3378" w:type="dxa"/>
            <w:noWrap/>
            <w:tcMar>
              <w:top w:w="8" w:type="dxa"/>
              <w:left w:w="8" w:type="dxa"/>
              <w:right w:w="8" w:type="dxa"/>
            </w:tcMar>
            <w:vAlign w:val="center"/>
          </w:tcPr>
          <w:p>
            <w:pPr>
              <w:widowControl/>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地区生产总值增长</w:t>
            </w:r>
          </w:p>
        </w:tc>
        <w:tc>
          <w:tcPr>
            <w:tcW w:w="724"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860"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790"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ascii="Calibri" w:hAnsi="Calibri" w:eastAsia="宋体" w:cs="Times New Roman"/>
                <w:color w:val="000000" w:themeColor="text1"/>
                <w14:textFill>
                  <w14:solidFill>
                    <w14:schemeClr w14:val="tx1"/>
                  </w14:solidFill>
                </w14:textFill>
              </w:rPr>
              <w:t>≥</w:t>
            </w:r>
            <w:r>
              <w:rPr>
                <w:rFonts w:hint="eastAsia"/>
                <w:color w:val="000000" w:themeColor="text1"/>
                <w14:textFill>
                  <w14:solidFill>
                    <w14:schemeClr w14:val="tx1"/>
                  </w14:solidFill>
                </w14:textFill>
              </w:rPr>
              <w:t>9</w:t>
            </w:r>
          </w:p>
        </w:tc>
        <w:tc>
          <w:tcPr>
            <w:tcW w:w="767" w:type="dxa"/>
            <w:noWrap/>
            <w:tcMar>
              <w:top w:w="8" w:type="dxa"/>
              <w:left w:w="8" w:type="dxa"/>
              <w:right w:w="8" w:type="dxa"/>
            </w:tcMar>
            <w:vAlign w:val="center"/>
          </w:tcPr>
          <w:p>
            <w:pPr>
              <w:widowControl/>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预期性</w:t>
            </w:r>
          </w:p>
        </w:tc>
        <w:tc>
          <w:tcPr>
            <w:tcW w:w="1333"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战经局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8" w:hRule="atLeast"/>
        </w:trPr>
        <w:tc>
          <w:tcPr>
            <w:tcW w:w="574" w:type="dxa"/>
            <w:vMerge w:val="continue"/>
            <w:noWrap/>
            <w:tcMar>
              <w:top w:w="8" w:type="dxa"/>
              <w:left w:w="8" w:type="dxa"/>
              <w:right w:w="8" w:type="dxa"/>
            </w:tcMar>
            <w:vAlign w:val="center"/>
          </w:tcPr>
          <w:p>
            <w:pPr>
              <w:jc w:val="center"/>
              <w:rPr>
                <w:color w:val="000000" w:themeColor="text1"/>
                <w14:textFill>
                  <w14:solidFill>
                    <w14:schemeClr w14:val="tx1"/>
                  </w14:solidFill>
                </w14:textFill>
              </w:rPr>
            </w:pPr>
          </w:p>
        </w:tc>
        <w:tc>
          <w:tcPr>
            <w:tcW w:w="568"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2</w:t>
            </w:r>
          </w:p>
        </w:tc>
        <w:tc>
          <w:tcPr>
            <w:tcW w:w="3378" w:type="dxa"/>
            <w:noWrap/>
            <w:tcMar>
              <w:top w:w="8" w:type="dxa"/>
              <w:left w:w="8" w:type="dxa"/>
              <w:right w:w="8" w:type="dxa"/>
            </w:tcMar>
            <w:vAlign w:val="center"/>
          </w:tcPr>
          <w:p>
            <w:pPr>
              <w:widowControl/>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人均地区生产总值增长</w:t>
            </w:r>
          </w:p>
        </w:tc>
        <w:tc>
          <w:tcPr>
            <w:tcW w:w="724"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860"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790"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ascii="Calibri" w:hAnsi="Calibri" w:eastAsia="宋体" w:cs="Times New Roman"/>
                <w:color w:val="000000" w:themeColor="text1"/>
                <w14:textFill>
                  <w14:solidFill>
                    <w14:schemeClr w14:val="tx1"/>
                  </w14:solidFill>
                </w14:textFill>
              </w:rPr>
              <w:t>≥</w:t>
            </w:r>
            <w:r>
              <w:rPr>
                <w:rFonts w:hint="eastAsia"/>
                <w:color w:val="000000" w:themeColor="text1"/>
                <w14:textFill>
                  <w14:solidFill>
                    <w14:schemeClr w14:val="tx1"/>
                  </w14:solidFill>
                </w14:textFill>
              </w:rPr>
              <w:t>7</w:t>
            </w:r>
          </w:p>
        </w:tc>
        <w:tc>
          <w:tcPr>
            <w:tcW w:w="767" w:type="dxa"/>
            <w:noWrap/>
            <w:tcMar>
              <w:top w:w="8" w:type="dxa"/>
              <w:left w:w="8" w:type="dxa"/>
              <w:right w:w="8" w:type="dxa"/>
            </w:tcMar>
            <w:vAlign w:val="center"/>
          </w:tcPr>
          <w:p>
            <w:pPr>
              <w:widowControl/>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预期性</w:t>
            </w:r>
          </w:p>
        </w:tc>
        <w:tc>
          <w:tcPr>
            <w:tcW w:w="1333"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战经局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8" w:hRule="atLeast"/>
        </w:trPr>
        <w:tc>
          <w:tcPr>
            <w:tcW w:w="574" w:type="dxa"/>
            <w:vMerge w:val="continue"/>
            <w:noWrap/>
            <w:tcMar>
              <w:top w:w="8" w:type="dxa"/>
              <w:left w:w="8" w:type="dxa"/>
              <w:right w:w="8" w:type="dxa"/>
            </w:tcMar>
            <w:vAlign w:val="center"/>
          </w:tcPr>
          <w:p>
            <w:pPr>
              <w:jc w:val="center"/>
              <w:rPr>
                <w:color w:val="000000" w:themeColor="text1"/>
                <w14:textFill>
                  <w14:solidFill>
                    <w14:schemeClr w14:val="tx1"/>
                  </w14:solidFill>
                </w14:textFill>
              </w:rPr>
            </w:pPr>
          </w:p>
        </w:tc>
        <w:tc>
          <w:tcPr>
            <w:tcW w:w="568"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3</w:t>
            </w:r>
          </w:p>
        </w:tc>
        <w:tc>
          <w:tcPr>
            <w:tcW w:w="3378" w:type="dxa"/>
            <w:noWrap/>
            <w:tcMar>
              <w:top w:w="8" w:type="dxa"/>
              <w:left w:w="8" w:type="dxa"/>
              <w:right w:w="8" w:type="dxa"/>
            </w:tcMar>
            <w:vAlign w:val="center"/>
          </w:tcPr>
          <w:p>
            <w:pPr>
              <w:widowControl/>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规上工业总产值</w:t>
            </w:r>
          </w:p>
        </w:tc>
        <w:tc>
          <w:tcPr>
            <w:tcW w:w="724"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亿元</w:t>
            </w:r>
          </w:p>
        </w:tc>
        <w:tc>
          <w:tcPr>
            <w:tcW w:w="860"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1600</w:t>
            </w:r>
          </w:p>
        </w:tc>
        <w:tc>
          <w:tcPr>
            <w:tcW w:w="790"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767" w:type="dxa"/>
            <w:noWrap/>
            <w:tcMar>
              <w:top w:w="8" w:type="dxa"/>
              <w:left w:w="8" w:type="dxa"/>
              <w:right w:w="8" w:type="dxa"/>
            </w:tcMar>
            <w:vAlign w:val="center"/>
          </w:tcPr>
          <w:p>
            <w:pPr>
              <w:widowControl/>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预期性</w:t>
            </w:r>
          </w:p>
        </w:tc>
        <w:tc>
          <w:tcPr>
            <w:tcW w:w="1333"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工信局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8" w:hRule="atLeast"/>
        </w:trPr>
        <w:tc>
          <w:tcPr>
            <w:tcW w:w="574" w:type="dxa"/>
            <w:vMerge w:val="continue"/>
            <w:noWrap/>
            <w:tcMar>
              <w:top w:w="8" w:type="dxa"/>
              <w:left w:w="8" w:type="dxa"/>
              <w:right w:w="8" w:type="dxa"/>
            </w:tcMar>
            <w:vAlign w:val="center"/>
          </w:tcPr>
          <w:p>
            <w:pPr>
              <w:jc w:val="center"/>
              <w:rPr>
                <w:color w:val="000000" w:themeColor="text1"/>
                <w14:textFill>
                  <w14:solidFill>
                    <w14:schemeClr w14:val="tx1"/>
                  </w14:solidFill>
                </w14:textFill>
              </w:rPr>
            </w:pPr>
          </w:p>
        </w:tc>
        <w:tc>
          <w:tcPr>
            <w:tcW w:w="568"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4</w:t>
            </w:r>
          </w:p>
        </w:tc>
        <w:tc>
          <w:tcPr>
            <w:tcW w:w="3378" w:type="dxa"/>
            <w:noWrap/>
            <w:tcMar>
              <w:top w:w="8" w:type="dxa"/>
              <w:left w:w="8" w:type="dxa"/>
              <w:right w:w="8" w:type="dxa"/>
            </w:tcMar>
            <w:vAlign w:val="center"/>
          </w:tcPr>
          <w:p>
            <w:pPr>
              <w:widowControl/>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全员劳动生产率增长</w:t>
            </w:r>
          </w:p>
        </w:tc>
        <w:tc>
          <w:tcPr>
            <w:tcW w:w="724"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860"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790"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6.5</w:t>
            </w:r>
          </w:p>
        </w:tc>
        <w:tc>
          <w:tcPr>
            <w:tcW w:w="767" w:type="dxa"/>
            <w:noWrap/>
            <w:tcMar>
              <w:top w:w="8" w:type="dxa"/>
              <w:left w:w="8" w:type="dxa"/>
              <w:right w:w="8" w:type="dxa"/>
            </w:tcMar>
            <w:vAlign w:val="center"/>
          </w:tcPr>
          <w:p>
            <w:pPr>
              <w:widowControl/>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预期性</w:t>
            </w:r>
          </w:p>
        </w:tc>
        <w:tc>
          <w:tcPr>
            <w:tcW w:w="1333"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战经局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8" w:hRule="atLeast"/>
        </w:trPr>
        <w:tc>
          <w:tcPr>
            <w:tcW w:w="574" w:type="dxa"/>
            <w:vMerge w:val="continue"/>
            <w:noWrap/>
            <w:tcMar>
              <w:top w:w="8" w:type="dxa"/>
              <w:left w:w="8" w:type="dxa"/>
              <w:right w:w="8" w:type="dxa"/>
            </w:tcMar>
            <w:vAlign w:val="center"/>
          </w:tcPr>
          <w:p>
            <w:pPr>
              <w:jc w:val="center"/>
              <w:rPr>
                <w:color w:val="000000" w:themeColor="text1"/>
                <w14:textFill>
                  <w14:solidFill>
                    <w14:schemeClr w14:val="tx1"/>
                  </w14:solidFill>
                </w14:textFill>
              </w:rPr>
            </w:pPr>
          </w:p>
        </w:tc>
        <w:tc>
          <w:tcPr>
            <w:tcW w:w="568"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5</w:t>
            </w:r>
          </w:p>
        </w:tc>
        <w:tc>
          <w:tcPr>
            <w:tcW w:w="3378" w:type="dxa"/>
            <w:noWrap/>
            <w:tcMar>
              <w:top w:w="8" w:type="dxa"/>
              <w:left w:w="8" w:type="dxa"/>
              <w:right w:w="8" w:type="dxa"/>
            </w:tcMar>
            <w:vAlign w:val="center"/>
          </w:tcPr>
          <w:p>
            <w:pPr>
              <w:widowControl/>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财政收入</w:t>
            </w:r>
          </w:p>
        </w:tc>
        <w:tc>
          <w:tcPr>
            <w:tcW w:w="724"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亿</w:t>
            </w:r>
          </w:p>
        </w:tc>
        <w:tc>
          <w:tcPr>
            <w:tcW w:w="860"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80</w:t>
            </w:r>
          </w:p>
        </w:tc>
        <w:tc>
          <w:tcPr>
            <w:tcW w:w="790"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8.9</w:t>
            </w:r>
          </w:p>
        </w:tc>
        <w:tc>
          <w:tcPr>
            <w:tcW w:w="767" w:type="dxa"/>
            <w:noWrap/>
            <w:tcMar>
              <w:top w:w="8" w:type="dxa"/>
              <w:left w:w="8" w:type="dxa"/>
              <w:right w:w="8" w:type="dxa"/>
            </w:tcMar>
            <w:vAlign w:val="center"/>
          </w:tcPr>
          <w:p>
            <w:pPr>
              <w:widowControl/>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预期性</w:t>
            </w:r>
          </w:p>
        </w:tc>
        <w:tc>
          <w:tcPr>
            <w:tcW w:w="1333"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财政局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8" w:hRule="atLeast"/>
        </w:trPr>
        <w:tc>
          <w:tcPr>
            <w:tcW w:w="574" w:type="dxa"/>
            <w:vMerge w:val="restart"/>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创新</w:t>
            </w:r>
          </w:p>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驱动</w:t>
            </w:r>
          </w:p>
        </w:tc>
        <w:tc>
          <w:tcPr>
            <w:tcW w:w="568"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6</w:t>
            </w:r>
          </w:p>
        </w:tc>
        <w:tc>
          <w:tcPr>
            <w:tcW w:w="3378" w:type="dxa"/>
            <w:noWrap/>
            <w:tcMar>
              <w:top w:w="8" w:type="dxa"/>
              <w:left w:w="8" w:type="dxa"/>
              <w:right w:w="8" w:type="dxa"/>
            </w:tcMar>
            <w:vAlign w:val="center"/>
          </w:tcPr>
          <w:p>
            <w:pPr>
              <w:widowControl/>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园区企业研发投入强度</w:t>
            </w:r>
          </w:p>
        </w:tc>
        <w:tc>
          <w:tcPr>
            <w:tcW w:w="724"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860"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color w:val="000000" w:themeColor="text1"/>
                <w14:textFill>
                  <w14:solidFill>
                    <w14:schemeClr w14:val="tx1"/>
                  </w14:solidFill>
                </w14:textFill>
              </w:rPr>
              <w:t>3.5</w:t>
            </w:r>
          </w:p>
        </w:tc>
        <w:tc>
          <w:tcPr>
            <w:tcW w:w="790"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767" w:type="dxa"/>
            <w:noWrap/>
            <w:tcMar>
              <w:top w:w="8" w:type="dxa"/>
              <w:left w:w="8" w:type="dxa"/>
              <w:right w:w="8" w:type="dxa"/>
            </w:tcMar>
            <w:vAlign w:val="center"/>
          </w:tcPr>
          <w:p>
            <w:pPr>
              <w:widowControl/>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预期性</w:t>
            </w:r>
          </w:p>
        </w:tc>
        <w:tc>
          <w:tcPr>
            <w:tcW w:w="1333"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科技局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8" w:hRule="atLeast"/>
        </w:trPr>
        <w:tc>
          <w:tcPr>
            <w:tcW w:w="574" w:type="dxa"/>
            <w:vMerge w:val="continue"/>
            <w:noWrap/>
            <w:tcMar>
              <w:top w:w="8" w:type="dxa"/>
              <w:left w:w="8" w:type="dxa"/>
              <w:right w:w="8" w:type="dxa"/>
            </w:tcMar>
            <w:vAlign w:val="center"/>
          </w:tcPr>
          <w:p>
            <w:pPr>
              <w:jc w:val="center"/>
              <w:rPr>
                <w:color w:val="000000" w:themeColor="text1"/>
                <w14:textFill>
                  <w14:solidFill>
                    <w14:schemeClr w14:val="tx1"/>
                  </w14:solidFill>
                </w14:textFill>
              </w:rPr>
            </w:pPr>
          </w:p>
        </w:tc>
        <w:tc>
          <w:tcPr>
            <w:tcW w:w="568"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7</w:t>
            </w:r>
          </w:p>
        </w:tc>
        <w:tc>
          <w:tcPr>
            <w:tcW w:w="3378" w:type="dxa"/>
            <w:noWrap/>
            <w:tcMar>
              <w:top w:w="8" w:type="dxa"/>
              <w:left w:w="8" w:type="dxa"/>
              <w:right w:w="8" w:type="dxa"/>
            </w:tcMar>
            <w:vAlign w:val="center"/>
          </w:tcPr>
          <w:p>
            <w:pPr>
              <w:widowControl/>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每万人口高价值发明专利拥有量</w:t>
            </w:r>
          </w:p>
        </w:tc>
        <w:tc>
          <w:tcPr>
            <w:tcW w:w="724"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件</w:t>
            </w:r>
          </w:p>
        </w:tc>
        <w:tc>
          <w:tcPr>
            <w:tcW w:w="860"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color w:val="000000" w:themeColor="text1"/>
                <w14:textFill>
                  <w14:solidFill>
                    <w14:schemeClr w14:val="tx1"/>
                  </w14:solidFill>
                </w14:textFill>
              </w:rPr>
              <w:t>6</w:t>
            </w:r>
          </w:p>
        </w:tc>
        <w:tc>
          <w:tcPr>
            <w:tcW w:w="790"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767" w:type="dxa"/>
            <w:noWrap/>
            <w:tcMar>
              <w:top w:w="8" w:type="dxa"/>
              <w:left w:w="8" w:type="dxa"/>
              <w:right w:w="8" w:type="dxa"/>
            </w:tcMar>
            <w:vAlign w:val="center"/>
          </w:tcPr>
          <w:p>
            <w:pPr>
              <w:widowControl/>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预期性</w:t>
            </w:r>
          </w:p>
        </w:tc>
        <w:tc>
          <w:tcPr>
            <w:tcW w:w="1333"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市场监督局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8" w:hRule="atLeast"/>
        </w:trPr>
        <w:tc>
          <w:tcPr>
            <w:tcW w:w="574" w:type="dxa"/>
            <w:vMerge w:val="continue"/>
            <w:noWrap/>
            <w:tcMar>
              <w:top w:w="8" w:type="dxa"/>
              <w:left w:w="8" w:type="dxa"/>
              <w:right w:w="8" w:type="dxa"/>
            </w:tcMar>
            <w:vAlign w:val="center"/>
          </w:tcPr>
          <w:p>
            <w:pPr>
              <w:jc w:val="center"/>
              <w:rPr>
                <w:color w:val="000000" w:themeColor="text1"/>
                <w14:textFill>
                  <w14:solidFill>
                    <w14:schemeClr w14:val="tx1"/>
                  </w14:solidFill>
                </w14:textFill>
              </w:rPr>
            </w:pPr>
          </w:p>
        </w:tc>
        <w:tc>
          <w:tcPr>
            <w:tcW w:w="568"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8</w:t>
            </w:r>
          </w:p>
        </w:tc>
        <w:tc>
          <w:tcPr>
            <w:tcW w:w="3378" w:type="dxa"/>
            <w:noWrap/>
            <w:tcMar>
              <w:top w:w="8" w:type="dxa"/>
              <w:left w:w="8" w:type="dxa"/>
              <w:right w:w="8" w:type="dxa"/>
            </w:tcMar>
            <w:vAlign w:val="center"/>
          </w:tcPr>
          <w:p>
            <w:pPr>
              <w:widowControl/>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人均技术合同交易额</w:t>
            </w:r>
          </w:p>
        </w:tc>
        <w:tc>
          <w:tcPr>
            <w:tcW w:w="724"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万元</w:t>
            </w:r>
          </w:p>
        </w:tc>
        <w:tc>
          <w:tcPr>
            <w:tcW w:w="860"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0.5</w:t>
            </w:r>
          </w:p>
        </w:tc>
        <w:tc>
          <w:tcPr>
            <w:tcW w:w="790"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767" w:type="dxa"/>
            <w:noWrap/>
            <w:tcMar>
              <w:top w:w="8" w:type="dxa"/>
              <w:left w:w="8" w:type="dxa"/>
              <w:right w:w="8" w:type="dxa"/>
            </w:tcMar>
            <w:vAlign w:val="center"/>
          </w:tcPr>
          <w:p>
            <w:pPr>
              <w:widowControl/>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预期性</w:t>
            </w:r>
          </w:p>
        </w:tc>
        <w:tc>
          <w:tcPr>
            <w:tcW w:w="1333"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科技局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8" w:hRule="atLeast"/>
        </w:trPr>
        <w:tc>
          <w:tcPr>
            <w:tcW w:w="574" w:type="dxa"/>
            <w:vMerge w:val="continue"/>
            <w:noWrap/>
            <w:tcMar>
              <w:top w:w="8" w:type="dxa"/>
              <w:left w:w="8" w:type="dxa"/>
              <w:right w:w="8" w:type="dxa"/>
            </w:tcMar>
            <w:vAlign w:val="center"/>
          </w:tcPr>
          <w:p>
            <w:pPr>
              <w:jc w:val="center"/>
              <w:rPr>
                <w:color w:val="000000" w:themeColor="text1"/>
                <w14:textFill>
                  <w14:solidFill>
                    <w14:schemeClr w14:val="tx1"/>
                  </w14:solidFill>
                </w14:textFill>
              </w:rPr>
            </w:pPr>
          </w:p>
        </w:tc>
        <w:tc>
          <w:tcPr>
            <w:tcW w:w="568"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9</w:t>
            </w:r>
          </w:p>
        </w:tc>
        <w:tc>
          <w:tcPr>
            <w:tcW w:w="3378" w:type="dxa"/>
            <w:noWrap/>
            <w:tcMar>
              <w:top w:w="8" w:type="dxa"/>
              <w:left w:w="8" w:type="dxa"/>
              <w:right w:w="8" w:type="dxa"/>
            </w:tcMar>
            <w:vAlign w:val="center"/>
          </w:tcPr>
          <w:p>
            <w:pPr>
              <w:widowControl/>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高新技术企业数量</w:t>
            </w:r>
          </w:p>
        </w:tc>
        <w:tc>
          <w:tcPr>
            <w:tcW w:w="724"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家</w:t>
            </w:r>
          </w:p>
        </w:tc>
        <w:tc>
          <w:tcPr>
            <w:tcW w:w="860"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300</w:t>
            </w:r>
          </w:p>
        </w:tc>
        <w:tc>
          <w:tcPr>
            <w:tcW w:w="790"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767" w:type="dxa"/>
            <w:noWrap/>
            <w:tcMar>
              <w:top w:w="8" w:type="dxa"/>
              <w:left w:w="8" w:type="dxa"/>
              <w:right w:w="8" w:type="dxa"/>
            </w:tcMar>
            <w:vAlign w:val="center"/>
          </w:tcPr>
          <w:p>
            <w:pPr>
              <w:widowControl/>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预期性</w:t>
            </w:r>
          </w:p>
        </w:tc>
        <w:tc>
          <w:tcPr>
            <w:tcW w:w="1333"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科技局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8" w:hRule="atLeast"/>
        </w:trPr>
        <w:tc>
          <w:tcPr>
            <w:tcW w:w="574" w:type="dxa"/>
            <w:vMerge w:val="continue"/>
            <w:noWrap/>
            <w:tcMar>
              <w:top w:w="8" w:type="dxa"/>
              <w:left w:w="8" w:type="dxa"/>
              <w:right w:w="8" w:type="dxa"/>
            </w:tcMar>
            <w:vAlign w:val="center"/>
          </w:tcPr>
          <w:p>
            <w:pPr>
              <w:jc w:val="center"/>
              <w:rPr>
                <w:color w:val="000000" w:themeColor="text1"/>
                <w14:textFill>
                  <w14:solidFill>
                    <w14:schemeClr w14:val="tx1"/>
                  </w14:solidFill>
                </w14:textFill>
              </w:rPr>
            </w:pPr>
          </w:p>
        </w:tc>
        <w:tc>
          <w:tcPr>
            <w:tcW w:w="568" w:type="dxa"/>
            <w:tcBorders>
              <w:bottom w:val="single" w:color="auto" w:sz="4" w:space="0"/>
            </w:tcBorders>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10</w:t>
            </w:r>
          </w:p>
        </w:tc>
        <w:tc>
          <w:tcPr>
            <w:tcW w:w="3378" w:type="dxa"/>
            <w:tcBorders>
              <w:bottom w:val="single" w:color="auto" w:sz="4" w:space="0"/>
            </w:tcBorders>
            <w:noWrap/>
            <w:tcMar>
              <w:top w:w="8" w:type="dxa"/>
              <w:left w:w="8" w:type="dxa"/>
              <w:right w:w="8" w:type="dxa"/>
            </w:tcMar>
            <w:vAlign w:val="center"/>
          </w:tcPr>
          <w:p>
            <w:pPr>
              <w:widowControl/>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省级及以上创新平台</w:t>
            </w:r>
          </w:p>
        </w:tc>
        <w:tc>
          <w:tcPr>
            <w:tcW w:w="724" w:type="dxa"/>
            <w:tcBorders>
              <w:bottom w:val="single" w:color="auto" w:sz="4" w:space="0"/>
            </w:tcBorders>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家</w:t>
            </w:r>
          </w:p>
        </w:tc>
        <w:tc>
          <w:tcPr>
            <w:tcW w:w="860" w:type="dxa"/>
            <w:tcBorders>
              <w:bottom w:val="single" w:color="auto" w:sz="4" w:space="0"/>
            </w:tcBorders>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120</w:t>
            </w:r>
          </w:p>
        </w:tc>
        <w:tc>
          <w:tcPr>
            <w:tcW w:w="790" w:type="dxa"/>
            <w:tcBorders>
              <w:bottom w:val="single" w:color="auto" w:sz="4" w:space="0"/>
            </w:tcBorders>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767" w:type="dxa"/>
            <w:tcBorders>
              <w:bottom w:val="single" w:color="auto" w:sz="4" w:space="0"/>
            </w:tcBorders>
            <w:noWrap/>
            <w:tcMar>
              <w:top w:w="8" w:type="dxa"/>
              <w:left w:w="8" w:type="dxa"/>
              <w:right w:w="8" w:type="dxa"/>
            </w:tcMar>
            <w:vAlign w:val="center"/>
          </w:tcPr>
          <w:p>
            <w:pPr>
              <w:widowControl/>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预期性</w:t>
            </w:r>
          </w:p>
        </w:tc>
        <w:tc>
          <w:tcPr>
            <w:tcW w:w="1333" w:type="dxa"/>
            <w:tcBorders>
              <w:bottom w:val="single" w:color="auto" w:sz="4" w:space="0"/>
            </w:tcBorders>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科技局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8" w:hRule="atLeast"/>
        </w:trPr>
        <w:tc>
          <w:tcPr>
            <w:tcW w:w="574" w:type="dxa"/>
            <w:vMerge w:val="continue"/>
            <w:noWrap/>
            <w:tcMar>
              <w:top w:w="8" w:type="dxa"/>
              <w:left w:w="8" w:type="dxa"/>
              <w:right w:w="8" w:type="dxa"/>
            </w:tcMar>
            <w:vAlign w:val="center"/>
          </w:tcPr>
          <w:p>
            <w:pPr>
              <w:jc w:val="center"/>
              <w:rPr>
                <w:color w:val="000000" w:themeColor="text1"/>
                <w14:textFill>
                  <w14:solidFill>
                    <w14:schemeClr w14:val="tx1"/>
                  </w14:solidFill>
                </w14:textFill>
              </w:rPr>
            </w:pPr>
          </w:p>
        </w:tc>
        <w:tc>
          <w:tcPr>
            <w:tcW w:w="568" w:type="dxa"/>
            <w:tcBorders>
              <w:bottom w:val="single" w:color="auto" w:sz="4" w:space="0"/>
            </w:tcBorders>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11</w:t>
            </w:r>
          </w:p>
        </w:tc>
        <w:tc>
          <w:tcPr>
            <w:tcW w:w="3378" w:type="dxa"/>
            <w:tcBorders>
              <w:bottom w:val="single" w:color="auto" w:sz="4" w:space="0"/>
            </w:tcBorders>
            <w:noWrap/>
            <w:tcMar>
              <w:top w:w="8" w:type="dxa"/>
              <w:left w:w="8" w:type="dxa"/>
              <w:right w:w="8" w:type="dxa"/>
            </w:tcMar>
            <w:vAlign w:val="center"/>
          </w:tcPr>
          <w:p>
            <w:pPr>
              <w:widowControl/>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省级及以上科技企业孵化器和众创空间数</w:t>
            </w:r>
          </w:p>
        </w:tc>
        <w:tc>
          <w:tcPr>
            <w:tcW w:w="724" w:type="dxa"/>
            <w:tcBorders>
              <w:bottom w:val="single" w:color="auto" w:sz="4" w:space="0"/>
            </w:tcBorders>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家</w:t>
            </w:r>
          </w:p>
        </w:tc>
        <w:tc>
          <w:tcPr>
            <w:tcW w:w="860" w:type="dxa"/>
            <w:tcBorders>
              <w:bottom w:val="single" w:color="auto" w:sz="4" w:space="0"/>
            </w:tcBorders>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18</w:t>
            </w:r>
          </w:p>
        </w:tc>
        <w:tc>
          <w:tcPr>
            <w:tcW w:w="790" w:type="dxa"/>
            <w:tcBorders>
              <w:bottom w:val="single" w:color="auto" w:sz="4" w:space="0"/>
            </w:tcBorders>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767" w:type="dxa"/>
            <w:tcBorders>
              <w:bottom w:val="single" w:color="auto" w:sz="4" w:space="0"/>
            </w:tcBorders>
            <w:noWrap/>
            <w:tcMar>
              <w:top w:w="8" w:type="dxa"/>
              <w:left w:w="8" w:type="dxa"/>
              <w:right w:w="8" w:type="dxa"/>
            </w:tcMar>
            <w:vAlign w:val="center"/>
          </w:tcPr>
          <w:p>
            <w:pPr>
              <w:widowControl/>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预期性</w:t>
            </w:r>
          </w:p>
        </w:tc>
        <w:tc>
          <w:tcPr>
            <w:tcW w:w="1333" w:type="dxa"/>
            <w:tcBorders>
              <w:bottom w:val="single" w:color="auto" w:sz="4" w:space="0"/>
            </w:tcBorders>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科技局</w:t>
            </w:r>
          </w:p>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\创业中心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8" w:hRule="atLeast"/>
        </w:trPr>
        <w:tc>
          <w:tcPr>
            <w:tcW w:w="574" w:type="dxa"/>
            <w:vMerge w:val="continue"/>
            <w:noWrap/>
            <w:tcMar>
              <w:top w:w="8" w:type="dxa"/>
              <w:left w:w="8" w:type="dxa"/>
              <w:right w:w="8" w:type="dxa"/>
            </w:tcMar>
            <w:vAlign w:val="center"/>
          </w:tcPr>
          <w:p>
            <w:pPr>
              <w:jc w:val="center"/>
              <w:rPr>
                <w:color w:val="000000" w:themeColor="text1"/>
                <w14:textFill>
                  <w14:solidFill>
                    <w14:schemeClr w14:val="tx1"/>
                  </w14:solidFill>
                </w14:textFill>
              </w:rPr>
            </w:pPr>
          </w:p>
        </w:tc>
        <w:tc>
          <w:tcPr>
            <w:tcW w:w="568" w:type="dxa"/>
            <w:tcBorders>
              <w:bottom w:val="single" w:color="auto" w:sz="4" w:space="0"/>
            </w:tcBorders>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12</w:t>
            </w:r>
          </w:p>
        </w:tc>
        <w:tc>
          <w:tcPr>
            <w:tcW w:w="3378" w:type="dxa"/>
            <w:tcBorders>
              <w:bottom w:val="single" w:color="auto" w:sz="4" w:space="0"/>
            </w:tcBorders>
            <w:noWrap/>
            <w:tcMar>
              <w:top w:w="8" w:type="dxa"/>
              <w:left w:w="8" w:type="dxa"/>
              <w:right w:w="8" w:type="dxa"/>
            </w:tcMar>
            <w:vAlign w:val="center"/>
          </w:tcPr>
          <w:p>
            <w:pPr>
              <w:widowControl/>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财政科技支出与当年财政支出比例</w:t>
            </w:r>
          </w:p>
        </w:tc>
        <w:tc>
          <w:tcPr>
            <w:tcW w:w="724" w:type="dxa"/>
            <w:tcBorders>
              <w:bottom w:val="single" w:color="auto" w:sz="4" w:space="0"/>
            </w:tcBorders>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860" w:type="dxa"/>
            <w:tcBorders>
              <w:bottom w:val="single" w:color="auto" w:sz="4" w:space="0"/>
            </w:tcBorders>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3</w:t>
            </w:r>
          </w:p>
        </w:tc>
        <w:tc>
          <w:tcPr>
            <w:tcW w:w="790" w:type="dxa"/>
            <w:tcBorders>
              <w:bottom w:val="single" w:color="auto" w:sz="4" w:space="0"/>
            </w:tcBorders>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767" w:type="dxa"/>
            <w:tcBorders>
              <w:bottom w:val="single" w:color="auto" w:sz="4" w:space="0"/>
            </w:tcBorders>
            <w:noWrap/>
            <w:tcMar>
              <w:top w:w="8" w:type="dxa"/>
              <w:left w:w="8" w:type="dxa"/>
              <w:right w:w="8" w:type="dxa"/>
            </w:tcMar>
            <w:vAlign w:val="center"/>
          </w:tcPr>
          <w:p>
            <w:pPr>
              <w:widowControl/>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预期性</w:t>
            </w:r>
          </w:p>
        </w:tc>
        <w:tc>
          <w:tcPr>
            <w:tcW w:w="1333" w:type="dxa"/>
            <w:tcBorders>
              <w:bottom w:val="single" w:color="auto" w:sz="4" w:space="0"/>
            </w:tcBorders>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财政局</w:t>
            </w:r>
          </w:p>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\科技局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8" w:hRule="atLeast"/>
        </w:trPr>
        <w:tc>
          <w:tcPr>
            <w:tcW w:w="574" w:type="dxa"/>
            <w:vMerge w:val="restart"/>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民生</w:t>
            </w:r>
          </w:p>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福祉</w:t>
            </w:r>
          </w:p>
        </w:tc>
        <w:tc>
          <w:tcPr>
            <w:tcW w:w="568" w:type="dxa"/>
            <w:tcBorders>
              <w:bottom w:val="single" w:color="auto" w:sz="4" w:space="0"/>
            </w:tcBorders>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13</w:t>
            </w:r>
          </w:p>
        </w:tc>
        <w:tc>
          <w:tcPr>
            <w:tcW w:w="3378" w:type="dxa"/>
            <w:tcBorders>
              <w:bottom w:val="single" w:color="auto" w:sz="4" w:space="0"/>
            </w:tcBorders>
            <w:noWrap/>
            <w:tcMar>
              <w:top w:w="8" w:type="dxa"/>
              <w:left w:w="8" w:type="dxa"/>
              <w:right w:w="8" w:type="dxa"/>
            </w:tcMar>
            <w:vAlign w:val="center"/>
          </w:tcPr>
          <w:p>
            <w:pPr>
              <w:widowControl/>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新区常住人口</w:t>
            </w:r>
          </w:p>
        </w:tc>
        <w:tc>
          <w:tcPr>
            <w:tcW w:w="724" w:type="dxa"/>
            <w:tcBorders>
              <w:bottom w:val="single" w:color="auto" w:sz="4" w:space="0"/>
            </w:tcBorders>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万人</w:t>
            </w:r>
          </w:p>
        </w:tc>
        <w:tc>
          <w:tcPr>
            <w:tcW w:w="860" w:type="dxa"/>
            <w:tcBorders>
              <w:bottom w:val="single" w:color="auto" w:sz="4" w:space="0"/>
            </w:tcBorders>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30</w:t>
            </w:r>
          </w:p>
        </w:tc>
        <w:tc>
          <w:tcPr>
            <w:tcW w:w="790" w:type="dxa"/>
            <w:tcBorders>
              <w:bottom w:val="single" w:color="auto" w:sz="4" w:space="0"/>
            </w:tcBorders>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767" w:type="dxa"/>
            <w:tcBorders>
              <w:bottom w:val="single" w:color="auto" w:sz="4" w:space="0"/>
            </w:tcBorders>
            <w:noWrap/>
            <w:tcMar>
              <w:top w:w="8" w:type="dxa"/>
              <w:left w:w="8" w:type="dxa"/>
              <w:right w:w="8" w:type="dxa"/>
            </w:tcMar>
            <w:vAlign w:val="center"/>
          </w:tcPr>
          <w:p>
            <w:pPr>
              <w:widowControl/>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预期性</w:t>
            </w:r>
          </w:p>
        </w:tc>
        <w:tc>
          <w:tcPr>
            <w:tcW w:w="1333" w:type="dxa"/>
            <w:tcBorders>
              <w:bottom w:val="single" w:color="auto" w:sz="4" w:space="0"/>
            </w:tcBorders>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战经局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8" w:hRule="atLeast"/>
        </w:trPr>
        <w:tc>
          <w:tcPr>
            <w:tcW w:w="574" w:type="dxa"/>
            <w:vMerge w:val="continue"/>
            <w:noWrap/>
            <w:tcMar>
              <w:top w:w="8" w:type="dxa"/>
              <w:left w:w="8" w:type="dxa"/>
              <w:right w:w="8" w:type="dxa"/>
            </w:tcMar>
            <w:vAlign w:val="center"/>
          </w:tcPr>
          <w:p>
            <w:pPr>
              <w:jc w:val="center"/>
              <w:rPr>
                <w:color w:val="000000" w:themeColor="text1"/>
                <w14:textFill>
                  <w14:solidFill>
                    <w14:schemeClr w14:val="tx1"/>
                  </w14:solidFill>
                </w14:textFill>
              </w:rPr>
            </w:pPr>
          </w:p>
        </w:tc>
        <w:tc>
          <w:tcPr>
            <w:tcW w:w="568" w:type="dxa"/>
            <w:tcBorders>
              <w:bottom w:val="single" w:color="auto" w:sz="4" w:space="0"/>
            </w:tcBorders>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14</w:t>
            </w:r>
          </w:p>
        </w:tc>
        <w:tc>
          <w:tcPr>
            <w:tcW w:w="3378" w:type="dxa"/>
            <w:tcBorders>
              <w:bottom w:val="single" w:color="auto" w:sz="4" w:space="0"/>
            </w:tcBorders>
            <w:noWrap/>
            <w:tcMar>
              <w:top w:w="8" w:type="dxa"/>
              <w:left w:w="8" w:type="dxa"/>
              <w:right w:w="8" w:type="dxa"/>
            </w:tcMar>
            <w:vAlign w:val="center"/>
          </w:tcPr>
          <w:p>
            <w:pPr>
              <w:widowControl/>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常住人口城镇化率</w:t>
            </w:r>
          </w:p>
        </w:tc>
        <w:tc>
          <w:tcPr>
            <w:tcW w:w="724" w:type="dxa"/>
            <w:tcBorders>
              <w:bottom w:val="single" w:color="auto" w:sz="4" w:space="0"/>
            </w:tcBorders>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860" w:type="dxa"/>
            <w:tcBorders>
              <w:bottom w:val="single" w:color="auto" w:sz="4" w:space="0"/>
            </w:tcBorders>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75</w:t>
            </w:r>
          </w:p>
        </w:tc>
        <w:tc>
          <w:tcPr>
            <w:tcW w:w="790" w:type="dxa"/>
            <w:tcBorders>
              <w:bottom w:val="single" w:color="auto" w:sz="4" w:space="0"/>
            </w:tcBorders>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767" w:type="dxa"/>
            <w:tcBorders>
              <w:bottom w:val="single" w:color="auto" w:sz="4" w:space="0"/>
            </w:tcBorders>
            <w:noWrap/>
            <w:tcMar>
              <w:top w:w="8" w:type="dxa"/>
              <w:left w:w="8" w:type="dxa"/>
              <w:right w:w="8" w:type="dxa"/>
            </w:tcMar>
            <w:vAlign w:val="center"/>
          </w:tcPr>
          <w:p>
            <w:pPr>
              <w:widowControl/>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预期性</w:t>
            </w:r>
          </w:p>
        </w:tc>
        <w:tc>
          <w:tcPr>
            <w:tcW w:w="1333" w:type="dxa"/>
            <w:tcBorders>
              <w:bottom w:val="single" w:color="auto" w:sz="4" w:space="0"/>
            </w:tcBorders>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战经局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8" w:hRule="atLeast"/>
        </w:trPr>
        <w:tc>
          <w:tcPr>
            <w:tcW w:w="574" w:type="dxa"/>
            <w:vMerge w:val="continue"/>
            <w:noWrap/>
            <w:tcMar>
              <w:top w:w="8" w:type="dxa"/>
              <w:left w:w="8" w:type="dxa"/>
              <w:right w:w="8" w:type="dxa"/>
            </w:tcMar>
            <w:vAlign w:val="center"/>
          </w:tcPr>
          <w:p>
            <w:pPr>
              <w:widowControl/>
              <w:jc w:val="center"/>
              <w:rPr>
                <w:color w:val="000000" w:themeColor="text1"/>
                <w14:textFill>
                  <w14:solidFill>
                    <w14:schemeClr w14:val="tx1"/>
                  </w14:solidFill>
                </w14:textFill>
              </w:rPr>
            </w:pPr>
          </w:p>
        </w:tc>
        <w:tc>
          <w:tcPr>
            <w:tcW w:w="568"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15</w:t>
            </w:r>
          </w:p>
        </w:tc>
        <w:tc>
          <w:tcPr>
            <w:tcW w:w="3378" w:type="dxa"/>
            <w:noWrap/>
            <w:tcMar>
              <w:top w:w="8" w:type="dxa"/>
              <w:left w:w="8" w:type="dxa"/>
              <w:right w:w="8" w:type="dxa"/>
            </w:tcMar>
            <w:vAlign w:val="center"/>
          </w:tcPr>
          <w:p>
            <w:pPr>
              <w:widowControl/>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居民人均可支配收入</w:t>
            </w:r>
          </w:p>
        </w:tc>
        <w:tc>
          <w:tcPr>
            <w:tcW w:w="724"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860"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790"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6.5</w:t>
            </w:r>
          </w:p>
        </w:tc>
        <w:tc>
          <w:tcPr>
            <w:tcW w:w="767" w:type="dxa"/>
            <w:noWrap/>
            <w:tcMar>
              <w:top w:w="8" w:type="dxa"/>
              <w:left w:w="8" w:type="dxa"/>
              <w:right w:w="8" w:type="dxa"/>
            </w:tcMar>
            <w:vAlign w:val="center"/>
          </w:tcPr>
          <w:p>
            <w:pPr>
              <w:widowControl/>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预期性</w:t>
            </w:r>
          </w:p>
        </w:tc>
        <w:tc>
          <w:tcPr>
            <w:tcW w:w="1333"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战经局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8" w:hRule="atLeast"/>
        </w:trPr>
        <w:tc>
          <w:tcPr>
            <w:tcW w:w="574" w:type="dxa"/>
            <w:vMerge w:val="continue"/>
            <w:noWrap/>
            <w:tcMar>
              <w:top w:w="8" w:type="dxa"/>
              <w:left w:w="8" w:type="dxa"/>
              <w:right w:w="8" w:type="dxa"/>
            </w:tcMar>
            <w:vAlign w:val="center"/>
          </w:tcPr>
          <w:p>
            <w:pPr>
              <w:widowControl/>
              <w:jc w:val="center"/>
              <w:rPr>
                <w:color w:val="000000" w:themeColor="text1"/>
                <w14:textFill>
                  <w14:solidFill>
                    <w14:schemeClr w14:val="tx1"/>
                  </w14:solidFill>
                </w14:textFill>
              </w:rPr>
            </w:pPr>
          </w:p>
        </w:tc>
        <w:tc>
          <w:tcPr>
            <w:tcW w:w="568"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16</w:t>
            </w:r>
          </w:p>
        </w:tc>
        <w:tc>
          <w:tcPr>
            <w:tcW w:w="3378" w:type="dxa"/>
            <w:noWrap/>
            <w:tcMar>
              <w:top w:w="8" w:type="dxa"/>
              <w:left w:w="8" w:type="dxa"/>
              <w:right w:w="8" w:type="dxa"/>
            </w:tcMar>
            <w:vAlign w:val="center"/>
          </w:tcPr>
          <w:p>
            <w:pPr>
              <w:widowControl/>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九年义务教育巩固率</w:t>
            </w:r>
          </w:p>
        </w:tc>
        <w:tc>
          <w:tcPr>
            <w:tcW w:w="724"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860"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97</w:t>
            </w:r>
          </w:p>
        </w:tc>
        <w:tc>
          <w:tcPr>
            <w:tcW w:w="790"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767" w:type="dxa"/>
            <w:noWrap/>
            <w:tcMar>
              <w:top w:w="8" w:type="dxa"/>
              <w:left w:w="8" w:type="dxa"/>
              <w:right w:w="8" w:type="dxa"/>
            </w:tcMar>
            <w:vAlign w:val="center"/>
          </w:tcPr>
          <w:p>
            <w:pPr>
              <w:widowControl/>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预期性</w:t>
            </w:r>
          </w:p>
        </w:tc>
        <w:tc>
          <w:tcPr>
            <w:tcW w:w="1333"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教育局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8" w:hRule="atLeast"/>
        </w:trPr>
        <w:tc>
          <w:tcPr>
            <w:tcW w:w="574" w:type="dxa"/>
            <w:vMerge w:val="continue"/>
            <w:noWrap/>
            <w:tcMar>
              <w:top w:w="8" w:type="dxa"/>
              <w:left w:w="8" w:type="dxa"/>
              <w:right w:w="8" w:type="dxa"/>
            </w:tcMar>
            <w:vAlign w:val="center"/>
          </w:tcPr>
          <w:p>
            <w:pPr>
              <w:jc w:val="center"/>
              <w:rPr>
                <w:color w:val="000000" w:themeColor="text1"/>
                <w14:textFill>
                  <w14:solidFill>
                    <w14:schemeClr w14:val="tx1"/>
                  </w14:solidFill>
                </w14:textFill>
              </w:rPr>
            </w:pPr>
          </w:p>
        </w:tc>
        <w:tc>
          <w:tcPr>
            <w:tcW w:w="568"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17</w:t>
            </w:r>
          </w:p>
        </w:tc>
        <w:tc>
          <w:tcPr>
            <w:tcW w:w="3378" w:type="dxa"/>
            <w:noWrap/>
            <w:tcMar>
              <w:top w:w="8" w:type="dxa"/>
              <w:left w:w="8" w:type="dxa"/>
              <w:right w:w="8" w:type="dxa"/>
            </w:tcMar>
            <w:vAlign w:val="center"/>
          </w:tcPr>
          <w:p>
            <w:pPr>
              <w:widowControl/>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城镇调查失业率</w:t>
            </w:r>
          </w:p>
        </w:tc>
        <w:tc>
          <w:tcPr>
            <w:tcW w:w="724"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860"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color w:val="000000" w:themeColor="text1"/>
                <w14:textFill>
                  <w14:solidFill>
                    <w14:schemeClr w14:val="tx1"/>
                  </w14:solidFill>
                </w14:textFill>
              </w:rPr>
              <w:t>&lt;</w:t>
            </w:r>
            <w:r>
              <w:rPr>
                <w:rFonts w:hint="eastAsia"/>
                <w:color w:val="000000" w:themeColor="text1"/>
                <w14:textFill>
                  <w14:solidFill>
                    <w14:schemeClr w14:val="tx1"/>
                  </w14:solidFill>
                </w14:textFill>
              </w:rPr>
              <w:t>5.5</w:t>
            </w:r>
          </w:p>
        </w:tc>
        <w:tc>
          <w:tcPr>
            <w:tcW w:w="790"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767" w:type="dxa"/>
            <w:noWrap/>
            <w:tcMar>
              <w:top w:w="8" w:type="dxa"/>
              <w:left w:w="8" w:type="dxa"/>
              <w:right w:w="8" w:type="dxa"/>
            </w:tcMar>
            <w:vAlign w:val="center"/>
          </w:tcPr>
          <w:p>
            <w:pPr>
              <w:widowControl/>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预期性</w:t>
            </w:r>
          </w:p>
        </w:tc>
        <w:tc>
          <w:tcPr>
            <w:tcW w:w="1333"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人社局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8" w:hRule="atLeast"/>
        </w:trPr>
        <w:tc>
          <w:tcPr>
            <w:tcW w:w="574" w:type="dxa"/>
            <w:vMerge w:val="continue"/>
            <w:noWrap/>
            <w:tcMar>
              <w:top w:w="8" w:type="dxa"/>
              <w:left w:w="8" w:type="dxa"/>
              <w:right w:w="8" w:type="dxa"/>
            </w:tcMar>
            <w:vAlign w:val="center"/>
          </w:tcPr>
          <w:p>
            <w:pPr>
              <w:jc w:val="center"/>
              <w:rPr>
                <w:color w:val="000000" w:themeColor="text1"/>
                <w14:textFill>
                  <w14:solidFill>
                    <w14:schemeClr w14:val="tx1"/>
                  </w14:solidFill>
                </w14:textFill>
              </w:rPr>
            </w:pPr>
          </w:p>
        </w:tc>
        <w:tc>
          <w:tcPr>
            <w:tcW w:w="568"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18</w:t>
            </w:r>
          </w:p>
        </w:tc>
        <w:tc>
          <w:tcPr>
            <w:tcW w:w="3378" w:type="dxa"/>
            <w:noWrap/>
            <w:tcMar>
              <w:top w:w="8" w:type="dxa"/>
              <w:left w:w="8" w:type="dxa"/>
              <w:right w:w="8" w:type="dxa"/>
            </w:tcMar>
            <w:vAlign w:val="center"/>
          </w:tcPr>
          <w:p>
            <w:pPr>
              <w:widowControl/>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新增劳动年龄人口平均受教育年限</w:t>
            </w:r>
          </w:p>
        </w:tc>
        <w:tc>
          <w:tcPr>
            <w:tcW w:w="724"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年</w:t>
            </w:r>
          </w:p>
        </w:tc>
        <w:tc>
          <w:tcPr>
            <w:tcW w:w="860"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11</w:t>
            </w:r>
          </w:p>
        </w:tc>
        <w:tc>
          <w:tcPr>
            <w:tcW w:w="790"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767" w:type="dxa"/>
            <w:noWrap/>
            <w:tcMar>
              <w:top w:w="8" w:type="dxa"/>
              <w:left w:w="8" w:type="dxa"/>
              <w:right w:w="8" w:type="dxa"/>
            </w:tcMar>
            <w:vAlign w:val="center"/>
          </w:tcPr>
          <w:p>
            <w:pPr>
              <w:widowControl/>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约束性</w:t>
            </w:r>
          </w:p>
        </w:tc>
        <w:tc>
          <w:tcPr>
            <w:tcW w:w="1333"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教育局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8" w:hRule="atLeast"/>
        </w:trPr>
        <w:tc>
          <w:tcPr>
            <w:tcW w:w="574" w:type="dxa"/>
            <w:vMerge w:val="continue"/>
            <w:noWrap/>
            <w:tcMar>
              <w:top w:w="8" w:type="dxa"/>
              <w:left w:w="8" w:type="dxa"/>
              <w:right w:w="8" w:type="dxa"/>
            </w:tcMar>
            <w:vAlign w:val="center"/>
          </w:tcPr>
          <w:p>
            <w:pPr>
              <w:jc w:val="center"/>
              <w:rPr>
                <w:color w:val="000000" w:themeColor="text1"/>
                <w14:textFill>
                  <w14:solidFill>
                    <w14:schemeClr w14:val="tx1"/>
                  </w14:solidFill>
                </w14:textFill>
              </w:rPr>
            </w:pPr>
          </w:p>
        </w:tc>
        <w:tc>
          <w:tcPr>
            <w:tcW w:w="568"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19</w:t>
            </w:r>
          </w:p>
        </w:tc>
        <w:tc>
          <w:tcPr>
            <w:tcW w:w="3378" w:type="dxa"/>
            <w:noWrap/>
            <w:tcMar>
              <w:top w:w="8" w:type="dxa"/>
              <w:left w:w="8" w:type="dxa"/>
              <w:right w:w="8" w:type="dxa"/>
            </w:tcMar>
            <w:vAlign w:val="center"/>
          </w:tcPr>
          <w:p>
            <w:pPr>
              <w:widowControl/>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每千人口拥有3岁以下婴幼儿托位数</w:t>
            </w:r>
          </w:p>
        </w:tc>
        <w:tc>
          <w:tcPr>
            <w:tcW w:w="724"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个</w:t>
            </w:r>
          </w:p>
        </w:tc>
        <w:tc>
          <w:tcPr>
            <w:tcW w:w="860"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4</w:t>
            </w:r>
          </w:p>
        </w:tc>
        <w:tc>
          <w:tcPr>
            <w:tcW w:w="790"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767" w:type="dxa"/>
            <w:noWrap/>
            <w:tcMar>
              <w:top w:w="8" w:type="dxa"/>
              <w:left w:w="8" w:type="dxa"/>
              <w:right w:w="8" w:type="dxa"/>
            </w:tcMar>
            <w:vAlign w:val="center"/>
          </w:tcPr>
          <w:p>
            <w:pPr>
              <w:widowControl/>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预期性</w:t>
            </w:r>
          </w:p>
        </w:tc>
        <w:tc>
          <w:tcPr>
            <w:tcW w:w="1333"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社会事务局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8" w:hRule="atLeast"/>
        </w:trPr>
        <w:tc>
          <w:tcPr>
            <w:tcW w:w="574" w:type="dxa"/>
            <w:vMerge w:val="continue"/>
            <w:noWrap/>
            <w:tcMar>
              <w:top w:w="8" w:type="dxa"/>
              <w:left w:w="8" w:type="dxa"/>
              <w:right w:w="8" w:type="dxa"/>
            </w:tcMar>
            <w:vAlign w:val="center"/>
          </w:tcPr>
          <w:p>
            <w:pPr>
              <w:jc w:val="center"/>
              <w:rPr>
                <w:color w:val="000000" w:themeColor="text1"/>
                <w14:textFill>
                  <w14:solidFill>
                    <w14:schemeClr w14:val="tx1"/>
                  </w14:solidFill>
                </w14:textFill>
              </w:rPr>
            </w:pPr>
          </w:p>
        </w:tc>
        <w:tc>
          <w:tcPr>
            <w:tcW w:w="568"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20</w:t>
            </w:r>
          </w:p>
        </w:tc>
        <w:tc>
          <w:tcPr>
            <w:tcW w:w="3378" w:type="dxa"/>
            <w:noWrap/>
            <w:tcMar>
              <w:top w:w="8" w:type="dxa"/>
              <w:left w:w="8" w:type="dxa"/>
              <w:right w:w="8" w:type="dxa"/>
            </w:tcMar>
            <w:vAlign w:val="center"/>
          </w:tcPr>
          <w:p>
            <w:pPr>
              <w:widowControl/>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每千人口拥有执业（助理）医师数</w:t>
            </w:r>
          </w:p>
        </w:tc>
        <w:tc>
          <w:tcPr>
            <w:tcW w:w="724"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人</w:t>
            </w:r>
          </w:p>
        </w:tc>
        <w:tc>
          <w:tcPr>
            <w:tcW w:w="860"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3.3</w:t>
            </w:r>
          </w:p>
        </w:tc>
        <w:tc>
          <w:tcPr>
            <w:tcW w:w="790"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767" w:type="dxa"/>
            <w:noWrap/>
            <w:tcMar>
              <w:top w:w="8" w:type="dxa"/>
              <w:left w:w="8" w:type="dxa"/>
              <w:right w:w="8" w:type="dxa"/>
            </w:tcMar>
            <w:vAlign w:val="center"/>
          </w:tcPr>
          <w:p>
            <w:pPr>
              <w:widowControl/>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预期性</w:t>
            </w:r>
          </w:p>
        </w:tc>
        <w:tc>
          <w:tcPr>
            <w:tcW w:w="1333"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社会事务局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8" w:hRule="atLeast"/>
        </w:trPr>
        <w:tc>
          <w:tcPr>
            <w:tcW w:w="574" w:type="dxa"/>
            <w:vMerge w:val="continue"/>
            <w:noWrap/>
            <w:tcMar>
              <w:top w:w="8" w:type="dxa"/>
              <w:left w:w="8" w:type="dxa"/>
              <w:right w:w="8" w:type="dxa"/>
            </w:tcMar>
            <w:vAlign w:val="center"/>
          </w:tcPr>
          <w:p>
            <w:pPr>
              <w:jc w:val="center"/>
              <w:rPr>
                <w:color w:val="000000" w:themeColor="text1"/>
                <w14:textFill>
                  <w14:solidFill>
                    <w14:schemeClr w14:val="tx1"/>
                  </w14:solidFill>
                </w14:textFill>
              </w:rPr>
            </w:pPr>
          </w:p>
        </w:tc>
        <w:tc>
          <w:tcPr>
            <w:tcW w:w="568"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21</w:t>
            </w:r>
          </w:p>
        </w:tc>
        <w:tc>
          <w:tcPr>
            <w:tcW w:w="3378" w:type="dxa"/>
            <w:noWrap/>
            <w:tcMar>
              <w:top w:w="8" w:type="dxa"/>
              <w:left w:w="8" w:type="dxa"/>
              <w:right w:w="8" w:type="dxa"/>
            </w:tcMar>
            <w:vAlign w:val="center"/>
          </w:tcPr>
          <w:p>
            <w:pPr>
              <w:widowControl/>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城乡居民基本医疗保险参保率</w:t>
            </w:r>
          </w:p>
        </w:tc>
        <w:tc>
          <w:tcPr>
            <w:tcW w:w="724"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860"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ascii="Calibri" w:hAnsi="Calibri" w:eastAsia="宋体" w:cs="Times New Roman"/>
                <w:color w:val="000000" w:themeColor="text1"/>
                <w14:textFill>
                  <w14:solidFill>
                    <w14:schemeClr w14:val="tx1"/>
                  </w14:solidFill>
                </w14:textFill>
              </w:rPr>
              <w:t>≥</w:t>
            </w:r>
            <w:r>
              <w:rPr>
                <w:rFonts w:hint="eastAsia"/>
                <w:color w:val="000000" w:themeColor="text1"/>
                <w14:textFill>
                  <w14:solidFill>
                    <w14:schemeClr w14:val="tx1"/>
                  </w14:solidFill>
                </w14:textFill>
              </w:rPr>
              <w:t>98</w:t>
            </w:r>
          </w:p>
        </w:tc>
        <w:tc>
          <w:tcPr>
            <w:tcW w:w="790" w:type="dxa"/>
            <w:noWrap/>
            <w:tcMar>
              <w:top w:w="8" w:type="dxa"/>
              <w:left w:w="8" w:type="dxa"/>
              <w:right w:w="8" w:type="dxa"/>
            </w:tcMar>
            <w:vAlign w:val="center"/>
          </w:tcPr>
          <w:p>
            <w:pPr>
              <w:widowControl/>
              <w:jc w:val="center"/>
              <w:rPr>
                <w:color w:val="000000" w:themeColor="text1"/>
                <w14:textFill>
                  <w14:solidFill>
                    <w14:schemeClr w14:val="tx1"/>
                  </w14:solidFill>
                </w14:textFill>
              </w:rPr>
            </w:pPr>
          </w:p>
        </w:tc>
        <w:tc>
          <w:tcPr>
            <w:tcW w:w="767" w:type="dxa"/>
            <w:noWrap/>
            <w:tcMar>
              <w:top w:w="8" w:type="dxa"/>
              <w:left w:w="8" w:type="dxa"/>
              <w:right w:w="8" w:type="dxa"/>
            </w:tcMar>
            <w:vAlign w:val="center"/>
          </w:tcPr>
          <w:p>
            <w:pPr>
              <w:widowControl/>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约束性</w:t>
            </w:r>
          </w:p>
        </w:tc>
        <w:tc>
          <w:tcPr>
            <w:tcW w:w="1333"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人社局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8" w:hRule="atLeast"/>
        </w:trPr>
        <w:tc>
          <w:tcPr>
            <w:tcW w:w="574" w:type="dxa"/>
            <w:vMerge w:val="continue"/>
            <w:noWrap/>
            <w:tcMar>
              <w:top w:w="8" w:type="dxa"/>
              <w:left w:w="8" w:type="dxa"/>
              <w:right w:w="8" w:type="dxa"/>
            </w:tcMar>
            <w:vAlign w:val="center"/>
          </w:tcPr>
          <w:p>
            <w:pPr>
              <w:jc w:val="center"/>
              <w:rPr>
                <w:color w:val="000000" w:themeColor="text1"/>
                <w14:textFill>
                  <w14:solidFill>
                    <w14:schemeClr w14:val="tx1"/>
                  </w14:solidFill>
                </w14:textFill>
              </w:rPr>
            </w:pPr>
          </w:p>
        </w:tc>
        <w:tc>
          <w:tcPr>
            <w:tcW w:w="568"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22</w:t>
            </w:r>
          </w:p>
        </w:tc>
        <w:tc>
          <w:tcPr>
            <w:tcW w:w="3378" w:type="dxa"/>
            <w:noWrap/>
            <w:tcMar>
              <w:top w:w="8" w:type="dxa"/>
              <w:left w:w="8" w:type="dxa"/>
              <w:right w:w="8" w:type="dxa"/>
            </w:tcMar>
            <w:vAlign w:val="center"/>
          </w:tcPr>
          <w:p>
            <w:pPr>
              <w:widowControl/>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城乡居民基本养老保险参保率</w:t>
            </w:r>
          </w:p>
        </w:tc>
        <w:tc>
          <w:tcPr>
            <w:tcW w:w="724"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color w:val="000000" w:themeColor="text1"/>
                <w14:textFill>
                  <w14:solidFill>
                    <w14:schemeClr w14:val="tx1"/>
                  </w14:solidFill>
                </w14:textFill>
              </w:rPr>
              <w:t>%</w:t>
            </w:r>
          </w:p>
        </w:tc>
        <w:tc>
          <w:tcPr>
            <w:tcW w:w="860"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color w:val="000000" w:themeColor="text1"/>
                <w14:textFill>
                  <w14:solidFill>
                    <w14:schemeClr w14:val="tx1"/>
                  </w14:solidFill>
                </w14:textFill>
              </w:rPr>
              <w:t>9</w:t>
            </w:r>
            <w:r>
              <w:rPr>
                <w:rFonts w:hint="eastAsia"/>
                <w:color w:val="000000" w:themeColor="text1"/>
                <w14:textFill>
                  <w14:solidFill>
                    <w14:schemeClr w14:val="tx1"/>
                  </w14:solidFill>
                </w14:textFill>
              </w:rPr>
              <w:t>7</w:t>
            </w:r>
          </w:p>
        </w:tc>
        <w:tc>
          <w:tcPr>
            <w:tcW w:w="790"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767" w:type="dxa"/>
            <w:noWrap/>
            <w:tcMar>
              <w:top w:w="8" w:type="dxa"/>
              <w:left w:w="8" w:type="dxa"/>
              <w:right w:w="8" w:type="dxa"/>
            </w:tcMar>
            <w:vAlign w:val="center"/>
          </w:tcPr>
          <w:p>
            <w:pPr>
              <w:widowControl/>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约束性</w:t>
            </w:r>
          </w:p>
        </w:tc>
        <w:tc>
          <w:tcPr>
            <w:tcW w:w="1333"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人社局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8" w:hRule="atLeast"/>
        </w:trPr>
        <w:tc>
          <w:tcPr>
            <w:tcW w:w="574" w:type="dxa"/>
            <w:vMerge w:val="continue"/>
            <w:noWrap/>
            <w:tcMar>
              <w:top w:w="8" w:type="dxa"/>
              <w:left w:w="8" w:type="dxa"/>
              <w:right w:w="8" w:type="dxa"/>
            </w:tcMar>
            <w:vAlign w:val="center"/>
          </w:tcPr>
          <w:p>
            <w:pPr>
              <w:jc w:val="center"/>
              <w:rPr>
                <w:color w:val="000000" w:themeColor="text1"/>
                <w14:textFill>
                  <w14:solidFill>
                    <w14:schemeClr w14:val="tx1"/>
                  </w14:solidFill>
                </w14:textFill>
              </w:rPr>
            </w:pPr>
          </w:p>
        </w:tc>
        <w:tc>
          <w:tcPr>
            <w:tcW w:w="568"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23</w:t>
            </w:r>
          </w:p>
        </w:tc>
        <w:tc>
          <w:tcPr>
            <w:tcW w:w="3378" w:type="dxa"/>
            <w:noWrap/>
            <w:tcMar>
              <w:top w:w="8" w:type="dxa"/>
              <w:left w:w="8" w:type="dxa"/>
              <w:right w:w="8" w:type="dxa"/>
            </w:tcMar>
            <w:vAlign w:val="center"/>
          </w:tcPr>
          <w:p>
            <w:pPr>
              <w:widowControl/>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保障性住房</w:t>
            </w:r>
          </w:p>
        </w:tc>
        <w:tc>
          <w:tcPr>
            <w:tcW w:w="724"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万套</w:t>
            </w:r>
          </w:p>
        </w:tc>
        <w:tc>
          <w:tcPr>
            <w:tcW w:w="860"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按市里下发任务</w:t>
            </w:r>
          </w:p>
        </w:tc>
        <w:tc>
          <w:tcPr>
            <w:tcW w:w="790"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767" w:type="dxa"/>
            <w:noWrap/>
            <w:tcMar>
              <w:top w:w="8" w:type="dxa"/>
              <w:left w:w="8" w:type="dxa"/>
              <w:right w:w="8" w:type="dxa"/>
            </w:tcMar>
            <w:vAlign w:val="center"/>
          </w:tcPr>
          <w:p>
            <w:pPr>
              <w:widowControl/>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约束性</w:t>
            </w:r>
          </w:p>
        </w:tc>
        <w:tc>
          <w:tcPr>
            <w:tcW w:w="1333"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建设局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8" w:hRule="atLeast"/>
        </w:trPr>
        <w:tc>
          <w:tcPr>
            <w:tcW w:w="574" w:type="dxa"/>
            <w:vMerge w:val="restart"/>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绿色</w:t>
            </w:r>
          </w:p>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转型</w:t>
            </w:r>
          </w:p>
        </w:tc>
        <w:tc>
          <w:tcPr>
            <w:tcW w:w="568"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24</w:t>
            </w:r>
          </w:p>
        </w:tc>
        <w:tc>
          <w:tcPr>
            <w:tcW w:w="3378" w:type="dxa"/>
            <w:noWrap/>
            <w:tcMar>
              <w:top w:w="8" w:type="dxa"/>
              <w:left w:w="8" w:type="dxa"/>
              <w:right w:w="8" w:type="dxa"/>
            </w:tcMar>
            <w:vAlign w:val="center"/>
          </w:tcPr>
          <w:p>
            <w:pPr>
              <w:widowControl/>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城镇污水处理率</w:t>
            </w:r>
          </w:p>
        </w:tc>
        <w:tc>
          <w:tcPr>
            <w:tcW w:w="724"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860" w:type="dxa"/>
            <w:noWrap/>
            <w:tcMar>
              <w:top w:w="8" w:type="dxa"/>
              <w:left w:w="8" w:type="dxa"/>
              <w:right w:w="8" w:type="dxa"/>
            </w:tcMar>
            <w:vAlign w:val="center"/>
          </w:tcPr>
          <w:p>
            <w:pPr>
              <w:jc w:val="center"/>
              <w:rPr>
                <w:color w:val="000000" w:themeColor="text1"/>
                <w14:textFill>
                  <w14:solidFill>
                    <w14:schemeClr w14:val="tx1"/>
                  </w14:solidFill>
                </w14:textFill>
              </w:rPr>
            </w:pPr>
            <w:r>
              <w:rPr>
                <w:rFonts w:ascii="Calibri" w:hAnsi="Calibri" w:eastAsia="宋体" w:cs="Times New Roman"/>
                <w:color w:val="000000" w:themeColor="text1"/>
                <w14:textFill>
                  <w14:solidFill>
                    <w14:schemeClr w14:val="tx1"/>
                  </w14:solidFill>
                </w14:textFill>
              </w:rPr>
              <w:t>≥</w:t>
            </w:r>
            <w:r>
              <w:rPr>
                <w:rFonts w:hint="eastAsia"/>
                <w:color w:val="000000" w:themeColor="text1"/>
                <w14:textFill>
                  <w14:solidFill>
                    <w14:schemeClr w14:val="tx1"/>
                  </w14:solidFill>
                </w14:textFill>
              </w:rPr>
              <w:t>95</w:t>
            </w:r>
          </w:p>
        </w:tc>
        <w:tc>
          <w:tcPr>
            <w:tcW w:w="790"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767" w:type="dxa"/>
            <w:noWrap/>
            <w:tcMar>
              <w:top w:w="8" w:type="dxa"/>
              <w:left w:w="8" w:type="dxa"/>
              <w:right w:w="8" w:type="dxa"/>
            </w:tcMar>
            <w:vAlign w:val="center"/>
          </w:tcPr>
          <w:p>
            <w:pPr>
              <w:widowControl/>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约束性</w:t>
            </w:r>
          </w:p>
        </w:tc>
        <w:tc>
          <w:tcPr>
            <w:tcW w:w="1333"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规划建设</w:t>
            </w:r>
          </w:p>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环保处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8" w:hRule="atLeast"/>
        </w:trPr>
        <w:tc>
          <w:tcPr>
            <w:tcW w:w="574" w:type="dxa"/>
            <w:vMerge w:val="continue"/>
            <w:noWrap/>
            <w:tcMar>
              <w:top w:w="8" w:type="dxa"/>
              <w:left w:w="8" w:type="dxa"/>
              <w:right w:w="8" w:type="dxa"/>
            </w:tcMar>
            <w:vAlign w:val="center"/>
          </w:tcPr>
          <w:p>
            <w:pPr>
              <w:widowControl/>
              <w:jc w:val="center"/>
              <w:rPr>
                <w:color w:val="000000" w:themeColor="text1"/>
                <w14:textFill>
                  <w14:solidFill>
                    <w14:schemeClr w14:val="tx1"/>
                  </w14:solidFill>
                </w14:textFill>
              </w:rPr>
            </w:pPr>
          </w:p>
        </w:tc>
        <w:tc>
          <w:tcPr>
            <w:tcW w:w="568"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25</w:t>
            </w:r>
          </w:p>
        </w:tc>
        <w:tc>
          <w:tcPr>
            <w:tcW w:w="3378" w:type="dxa"/>
            <w:noWrap/>
            <w:tcMar>
              <w:top w:w="8" w:type="dxa"/>
              <w:left w:w="8" w:type="dxa"/>
              <w:right w:w="8" w:type="dxa"/>
            </w:tcMar>
            <w:vAlign w:val="center"/>
          </w:tcPr>
          <w:p>
            <w:pPr>
              <w:widowControl/>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危险废物和产生量10吨以上的一般工业固体废物综合利用率（安全处置）</w:t>
            </w:r>
          </w:p>
        </w:tc>
        <w:tc>
          <w:tcPr>
            <w:tcW w:w="724"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860"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100</w:t>
            </w:r>
          </w:p>
        </w:tc>
        <w:tc>
          <w:tcPr>
            <w:tcW w:w="790"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767" w:type="dxa"/>
            <w:noWrap/>
            <w:tcMar>
              <w:top w:w="8" w:type="dxa"/>
              <w:left w:w="8" w:type="dxa"/>
              <w:right w:w="8" w:type="dxa"/>
            </w:tcMar>
            <w:vAlign w:val="center"/>
          </w:tcPr>
          <w:p>
            <w:pPr>
              <w:widowControl/>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约束性</w:t>
            </w:r>
          </w:p>
        </w:tc>
        <w:tc>
          <w:tcPr>
            <w:tcW w:w="1333"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生态环境分局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8" w:hRule="atLeast"/>
        </w:trPr>
        <w:tc>
          <w:tcPr>
            <w:tcW w:w="574" w:type="dxa"/>
            <w:vMerge w:val="continue"/>
            <w:noWrap/>
            <w:tcMar>
              <w:top w:w="8" w:type="dxa"/>
              <w:left w:w="8" w:type="dxa"/>
              <w:right w:w="8" w:type="dxa"/>
            </w:tcMar>
            <w:vAlign w:val="center"/>
          </w:tcPr>
          <w:p>
            <w:pPr>
              <w:jc w:val="center"/>
              <w:rPr>
                <w:color w:val="000000" w:themeColor="text1"/>
                <w14:textFill>
                  <w14:solidFill>
                    <w14:schemeClr w14:val="tx1"/>
                  </w14:solidFill>
                </w14:textFill>
              </w:rPr>
            </w:pPr>
          </w:p>
        </w:tc>
        <w:tc>
          <w:tcPr>
            <w:tcW w:w="568"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26</w:t>
            </w:r>
          </w:p>
        </w:tc>
        <w:tc>
          <w:tcPr>
            <w:tcW w:w="3378" w:type="dxa"/>
            <w:noWrap/>
            <w:tcMar>
              <w:top w:w="8" w:type="dxa"/>
              <w:left w:w="8" w:type="dxa"/>
              <w:right w:w="8" w:type="dxa"/>
            </w:tcMar>
            <w:vAlign w:val="center"/>
          </w:tcPr>
          <w:p>
            <w:pPr>
              <w:widowControl/>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城市生活垃圾无害化处理率</w:t>
            </w:r>
          </w:p>
        </w:tc>
        <w:tc>
          <w:tcPr>
            <w:tcW w:w="724"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860"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100</w:t>
            </w:r>
          </w:p>
        </w:tc>
        <w:tc>
          <w:tcPr>
            <w:tcW w:w="790"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767" w:type="dxa"/>
            <w:noWrap/>
            <w:tcMar>
              <w:top w:w="8" w:type="dxa"/>
              <w:left w:w="8" w:type="dxa"/>
              <w:right w:w="8" w:type="dxa"/>
            </w:tcMar>
            <w:vAlign w:val="center"/>
          </w:tcPr>
          <w:p>
            <w:pPr>
              <w:widowControl/>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约束性</w:t>
            </w:r>
          </w:p>
        </w:tc>
        <w:tc>
          <w:tcPr>
            <w:tcW w:w="1333"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规划建设</w:t>
            </w:r>
          </w:p>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环保处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8" w:hRule="atLeast"/>
        </w:trPr>
        <w:tc>
          <w:tcPr>
            <w:tcW w:w="574" w:type="dxa"/>
            <w:vMerge w:val="continue"/>
            <w:noWrap/>
            <w:tcMar>
              <w:top w:w="8" w:type="dxa"/>
              <w:left w:w="8" w:type="dxa"/>
              <w:right w:w="8" w:type="dxa"/>
            </w:tcMar>
            <w:vAlign w:val="center"/>
          </w:tcPr>
          <w:p>
            <w:pPr>
              <w:jc w:val="center"/>
              <w:rPr>
                <w:color w:val="000000" w:themeColor="text1"/>
                <w14:textFill>
                  <w14:solidFill>
                    <w14:schemeClr w14:val="tx1"/>
                  </w14:solidFill>
                </w14:textFill>
              </w:rPr>
            </w:pPr>
          </w:p>
        </w:tc>
        <w:tc>
          <w:tcPr>
            <w:tcW w:w="568"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27</w:t>
            </w:r>
          </w:p>
        </w:tc>
        <w:tc>
          <w:tcPr>
            <w:tcW w:w="3378" w:type="dxa"/>
            <w:noWrap/>
            <w:tcMar>
              <w:top w:w="8" w:type="dxa"/>
              <w:left w:w="8" w:type="dxa"/>
              <w:right w:w="8" w:type="dxa"/>
            </w:tcMar>
            <w:vAlign w:val="center"/>
          </w:tcPr>
          <w:p>
            <w:pPr>
              <w:widowControl/>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耕地保有量</w:t>
            </w:r>
          </w:p>
        </w:tc>
        <w:tc>
          <w:tcPr>
            <w:tcW w:w="724"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万亩</w:t>
            </w:r>
          </w:p>
        </w:tc>
        <w:tc>
          <w:tcPr>
            <w:tcW w:w="860"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按市里下发任务</w:t>
            </w:r>
          </w:p>
        </w:tc>
        <w:tc>
          <w:tcPr>
            <w:tcW w:w="790"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767" w:type="dxa"/>
            <w:noWrap/>
            <w:tcMar>
              <w:top w:w="8" w:type="dxa"/>
              <w:left w:w="8" w:type="dxa"/>
              <w:right w:w="8" w:type="dxa"/>
            </w:tcMar>
            <w:vAlign w:val="center"/>
          </w:tcPr>
          <w:p>
            <w:pPr>
              <w:widowControl/>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约束性</w:t>
            </w:r>
          </w:p>
        </w:tc>
        <w:tc>
          <w:tcPr>
            <w:tcW w:w="1333"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社会事务局</w:t>
            </w:r>
          </w:p>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\自规分局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8" w:hRule="atLeast"/>
        </w:trPr>
        <w:tc>
          <w:tcPr>
            <w:tcW w:w="574" w:type="dxa"/>
            <w:vMerge w:val="continue"/>
            <w:noWrap/>
            <w:tcMar>
              <w:top w:w="8" w:type="dxa"/>
              <w:left w:w="8" w:type="dxa"/>
              <w:right w:w="8" w:type="dxa"/>
            </w:tcMar>
            <w:vAlign w:val="center"/>
          </w:tcPr>
          <w:p>
            <w:pPr>
              <w:jc w:val="center"/>
              <w:rPr>
                <w:color w:val="000000" w:themeColor="text1"/>
                <w14:textFill>
                  <w14:solidFill>
                    <w14:schemeClr w14:val="tx1"/>
                  </w14:solidFill>
                </w14:textFill>
              </w:rPr>
            </w:pPr>
          </w:p>
        </w:tc>
        <w:tc>
          <w:tcPr>
            <w:tcW w:w="568"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28</w:t>
            </w:r>
          </w:p>
        </w:tc>
        <w:tc>
          <w:tcPr>
            <w:tcW w:w="3378" w:type="dxa"/>
            <w:noWrap/>
            <w:tcMar>
              <w:top w:w="8" w:type="dxa"/>
              <w:left w:w="8" w:type="dxa"/>
              <w:right w:w="8" w:type="dxa"/>
            </w:tcMar>
            <w:vAlign w:val="center"/>
          </w:tcPr>
          <w:p>
            <w:pPr>
              <w:widowControl/>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新增建设用地面积</w:t>
            </w:r>
          </w:p>
        </w:tc>
        <w:tc>
          <w:tcPr>
            <w:tcW w:w="724"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万公顷</w:t>
            </w:r>
          </w:p>
        </w:tc>
        <w:tc>
          <w:tcPr>
            <w:tcW w:w="860" w:type="dxa"/>
            <w:noWrap/>
            <w:tcMar>
              <w:top w:w="8" w:type="dxa"/>
              <w:left w:w="8" w:type="dxa"/>
              <w:right w:w="8" w:type="dxa"/>
            </w:tcMar>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按市里下发任务</w:t>
            </w:r>
          </w:p>
        </w:tc>
        <w:tc>
          <w:tcPr>
            <w:tcW w:w="790"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767" w:type="dxa"/>
            <w:noWrap/>
            <w:tcMar>
              <w:top w:w="8" w:type="dxa"/>
              <w:left w:w="8" w:type="dxa"/>
              <w:right w:w="8" w:type="dxa"/>
            </w:tcMar>
            <w:vAlign w:val="center"/>
          </w:tcPr>
          <w:p>
            <w:pPr>
              <w:widowControl/>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约束性</w:t>
            </w:r>
          </w:p>
        </w:tc>
        <w:tc>
          <w:tcPr>
            <w:tcW w:w="1333"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建设局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8" w:hRule="atLeast"/>
        </w:trPr>
        <w:tc>
          <w:tcPr>
            <w:tcW w:w="574" w:type="dxa"/>
            <w:vMerge w:val="continue"/>
            <w:noWrap/>
            <w:tcMar>
              <w:top w:w="8" w:type="dxa"/>
              <w:left w:w="8" w:type="dxa"/>
              <w:right w:w="8" w:type="dxa"/>
            </w:tcMar>
            <w:vAlign w:val="center"/>
          </w:tcPr>
          <w:p>
            <w:pPr>
              <w:jc w:val="center"/>
              <w:rPr>
                <w:color w:val="000000" w:themeColor="text1"/>
                <w14:textFill>
                  <w14:solidFill>
                    <w14:schemeClr w14:val="tx1"/>
                  </w14:solidFill>
                </w14:textFill>
              </w:rPr>
            </w:pPr>
          </w:p>
        </w:tc>
        <w:tc>
          <w:tcPr>
            <w:tcW w:w="568"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29</w:t>
            </w:r>
          </w:p>
        </w:tc>
        <w:tc>
          <w:tcPr>
            <w:tcW w:w="3378" w:type="dxa"/>
            <w:noWrap/>
            <w:tcMar>
              <w:top w:w="8" w:type="dxa"/>
              <w:left w:w="8" w:type="dxa"/>
              <w:right w:w="8" w:type="dxa"/>
            </w:tcMar>
            <w:vAlign w:val="center"/>
          </w:tcPr>
          <w:p>
            <w:pPr>
              <w:widowControl/>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万元GDP能源消耗下降</w:t>
            </w:r>
          </w:p>
        </w:tc>
        <w:tc>
          <w:tcPr>
            <w:tcW w:w="724"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860" w:type="dxa"/>
            <w:vMerge w:val="restart"/>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按市里下发任务</w:t>
            </w:r>
          </w:p>
        </w:tc>
        <w:tc>
          <w:tcPr>
            <w:tcW w:w="790"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767" w:type="dxa"/>
            <w:noWrap/>
            <w:tcMar>
              <w:top w:w="8" w:type="dxa"/>
              <w:left w:w="8" w:type="dxa"/>
              <w:right w:w="8" w:type="dxa"/>
            </w:tcMar>
            <w:vAlign w:val="center"/>
          </w:tcPr>
          <w:p>
            <w:pPr>
              <w:widowControl/>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约束性</w:t>
            </w:r>
          </w:p>
        </w:tc>
        <w:tc>
          <w:tcPr>
            <w:tcW w:w="1333"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战经局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7" w:hRule="atLeast"/>
        </w:trPr>
        <w:tc>
          <w:tcPr>
            <w:tcW w:w="574" w:type="dxa"/>
            <w:vMerge w:val="continue"/>
            <w:noWrap/>
            <w:tcMar>
              <w:top w:w="8" w:type="dxa"/>
              <w:left w:w="8" w:type="dxa"/>
              <w:right w:w="8" w:type="dxa"/>
            </w:tcMar>
            <w:vAlign w:val="center"/>
          </w:tcPr>
          <w:p>
            <w:pPr>
              <w:jc w:val="center"/>
              <w:rPr>
                <w:color w:val="000000" w:themeColor="text1"/>
                <w14:textFill>
                  <w14:solidFill>
                    <w14:schemeClr w14:val="tx1"/>
                  </w14:solidFill>
                </w14:textFill>
              </w:rPr>
            </w:pPr>
          </w:p>
        </w:tc>
        <w:tc>
          <w:tcPr>
            <w:tcW w:w="568"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30</w:t>
            </w:r>
          </w:p>
        </w:tc>
        <w:tc>
          <w:tcPr>
            <w:tcW w:w="3378" w:type="dxa"/>
            <w:noWrap/>
            <w:tcMar>
              <w:top w:w="8" w:type="dxa"/>
              <w:left w:w="8" w:type="dxa"/>
              <w:right w:w="8" w:type="dxa"/>
            </w:tcMar>
            <w:vAlign w:val="center"/>
          </w:tcPr>
          <w:p>
            <w:pPr>
              <w:widowControl/>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万元GDP用水量降低</w:t>
            </w:r>
          </w:p>
        </w:tc>
        <w:tc>
          <w:tcPr>
            <w:tcW w:w="724" w:type="dxa"/>
            <w:noWrap/>
            <w:tcMar>
              <w:top w:w="8" w:type="dxa"/>
              <w:left w:w="8" w:type="dxa"/>
              <w:right w:w="8" w:type="dxa"/>
            </w:tcMar>
            <w:vAlign w:val="center"/>
          </w:tcPr>
          <w:p>
            <w:pPr>
              <w:widowControl/>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吨/</w:t>
            </w:r>
          </w:p>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万元</w:t>
            </w:r>
          </w:p>
        </w:tc>
        <w:tc>
          <w:tcPr>
            <w:tcW w:w="860" w:type="dxa"/>
            <w:vMerge w:val="continue"/>
            <w:noWrap/>
            <w:tcMar>
              <w:top w:w="8" w:type="dxa"/>
              <w:left w:w="8" w:type="dxa"/>
              <w:right w:w="8" w:type="dxa"/>
            </w:tcMar>
            <w:vAlign w:val="center"/>
          </w:tcPr>
          <w:p>
            <w:pPr>
              <w:jc w:val="center"/>
              <w:rPr>
                <w:color w:val="000000" w:themeColor="text1"/>
                <w14:textFill>
                  <w14:solidFill>
                    <w14:schemeClr w14:val="tx1"/>
                  </w14:solidFill>
                </w14:textFill>
              </w:rPr>
            </w:pPr>
          </w:p>
        </w:tc>
        <w:tc>
          <w:tcPr>
            <w:tcW w:w="790"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767" w:type="dxa"/>
            <w:noWrap/>
            <w:tcMar>
              <w:top w:w="8" w:type="dxa"/>
              <w:left w:w="8" w:type="dxa"/>
              <w:right w:w="8" w:type="dxa"/>
            </w:tcMar>
            <w:vAlign w:val="center"/>
          </w:tcPr>
          <w:p>
            <w:pPr>
              <w:widowControl/>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约束性</w:t>
            </w:r>
          </w:p>
        </w:tc>
        <w:tc>
          <w:tcPr>
            <w:tcW w:w="1333"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战经局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8" w:hRule="atLeast"/>
        </w:trPr>
        <w:tc>
          <w:tcPr>
            <w:tcW w:w="574" w:type="dxa"/>
            <w:vMerge w:val="continue"/>
            <w:noWrap/>
            <w:tcMar>
              <w:top w:w="8" w:type="dxa"/>
              <w:left w:w="8" w:type="dxa"/>
              <w:right w:w="8" w:type="dxa"/>
            </w:tcMar>
            <w:vAlign w:val="center"/>
          </w:tcPr>
          <w:p>
            <w:pPr>
              <w:jc w:val="center"/>
              <w:rPr>
                <w:color w:val="000000" w:themeColor="text1"/>
                <w14:textFill>
                  <w14:solidFill>
                    <w14:schemeClr w14:val="tx1"/>
                  </w14:solidFill>
                </w14:textFill>
              </w:rPr>
            </w:pPr>
          </w:p>
        </w:tc>
        <w:tc>
          <w:tcPr>
            <w:tcW w:w="568"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31</w:t>
            </w:r>
          </w:p>
        </w:tc>
        <w:tc>
          <w:tcPr>
            <w:tcW w:w="3378" w:type="dxa"/>
            <w:noWrap/>
            <w:tcMar>
              <w:top w:w="8" w:type="dxa"/>
              <w:left w:w="8" w:type="dxa"/>
              <w:right w:w="8" w:type="dxa"/>
            </w:tcMar>
            <w:vAlign w:val="center"/>
          </w:tcPr>
          <w:p>
            <w:pPr>
              <w:widowControl/>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森林覆盖率</w:t>
            </w:r>
          </w:p>
        </w:tc>
        <w:tc>
          <w:tcPr>
            <w:tcW w:w="724"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860" w:type="dxa"/>
            <w:noWrap/>
            <w:tcMar>
              <w:top w:w="8" w:type="dxa"/>
              <w:left w:w="8" w:type="dxa"/>
              <w:right w:w="8" w:type="dxa"/>
            </w:tcMar>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35</w:t>
            </w:r>
          </w:p>
        </w:tc>
        <w:tc>
          <w:tcPr>
            <w:tcW w:w="790"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767" w:type="dxa"/>
            <w:noWrap/>
            <w:tcMar>
              <w:top w:w="8" w:type="dxa"/>
              <w:left w:w="8" w:type="dxa"/>
              <w:right w:w="8" w:type="dxa"/>
            </w:tcMar>
            <w:vAlign w:val="center"/>
          </w:tcPr>
          <w:p>
            <w:pPr>
              <w:widowControl/>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约束性</w:t>
            </w:r>
          </w:p>
        </w:tc>
        <w:tc>
          <w:tcPr>
            <w:tcW w:w="1333"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社会事务局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8" w:hRule="atLeast"/>
        </w:trPr>
        <w:tc>
          <w:tcPr>
            <w:tcW w:w="574" w:type="dxa"/>
            <w:vMerge w:val="continue"/>
            <w:noWrap/>
            <w:tcMar>
              <w:top w:w="8" w:type="dxa"/>
              <w:left w:w="8" w:type="dxa"/>
              <w:right w:w="8" w:type="dxa"/>
            </w:tcMar>
            <w:vAlign w:val="center"/>
          </w:tcPr>
          <w:p>
            <w:pPr>
              <w:jc w:val="center"/>
              <w:rPr>
                <w:color w:val="000000" w:themeColor="text1"/>
                <w14:textFill>
                  <w14:solidFill>
                    <w14:schemeClr w14:val="tx1"/>
                  </w14:solidFill>
                </w14:textFill>
              </w:rPr>
            </w:pPr>
          </w:p>
        </w:tc>
        <w:tc>
          <w:tcPr>
            <w:tcW w:w="568"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32</w:t>
            </w:r>
          </w:p>
        </w:tc>
        <w:tc>
          <w:tcPr>
            <w:tcW w:w="3378" w:type="dxa"/>
            <w:noWrap/>
            <w:tcMar>
              <w:top w:w="8" w:type="dxa"/>
              <w:left w:w="8" w:type="dxa"/>
              <w:right w:w="8" w:type="dxa"/>
            </w:tcMar>
            <w:vAlign w:val="center"/>
          </w:tcPr>
          <w:p>
            <w:pPr>
              <w:widowControl/>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PM2.5</w:t>
            </w:r>
          </w:p>
        </w:tc>
        <w:tc>
          <w:tcPr>
            <w:tcW w:w="724"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微克/立方米</w:t>
            </w:r>
          </w:p>
        </w:tc>
        <w:tc>
          <w:tcPr>
            <w:tcW w:w="860"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按市里下发任务</w:t>
            </w:r>
          </w:p>
        </w:tc>
        <w:tc>
          <w:tcPr>
            <w:tcW w:w="790"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767" w:type="dxa"/>
            <w:noWrap/>
            <w:tcMar>
              <w:top w:w="8" w:type="dxa"/>
              <w:left w:w="8" w:type="dxa"/>
              <w:right w:w="8" w:type="dxa"/>
            </w:tcMar>
            <w:vAlign w:val="center"/>
          </w:tcPr>
          <w:p>
            <w:pPr>
              <w:widowControl/>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约束性</w:t>
            </w:r>
          </w:p>
        </w:tc>
        <w:tc>
          <w:tcPr>
            <w:tcW w:w="1333"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生态环境分局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06" w:hRule="atLeast"/>
        </w:trPr>
        <w:tc>
          <w:tcPr>
            <w:tcW w:w="574" w:type="dxa"/>
            <w:vMerge w:val="continue"/>
            <w:noWrap/>
            <w:tcMar>
              <w:top w:w="8" w:type="dxa"/>
              <w:left w:w="8" w:type="dxa"/>
              <w:right w:w="8" w:type="dxa"/>
            </w:tcMar>
            <w:vAlign w:val="center"/>
          </w:tcPr>
          <w:p>
            <w:pPr>
              <w:jc w:val="center"/>
              <w:rPr>
                <w:color w:val="000000" w:themeColor="text1"/>
                <w14:textFill>
                  <w14:solidFill>
                    <w14:schemeClr w14:val="tx1"/>
                  </w14:solidFill>
                </w14:textFill>
              </w:rPr>
            </w:pPr>
          </w:p>
        </w:tc>
        <w:tc>
          <w:tcPr>
            <w:tcW w:w="568"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33</w:t>
            </w:r>
          </w:p>
        </w:tc>
        <w:tc>
          <w:tcPr>
            <w:tcW w:w="3378" w:type="dxa"/>
            <w:noWrap/>
            <w:tcMar>
              <w:top w:w="8" w:type="dxa"/>
              <w:left w:w="8" w:type="dxa"/>
              <w:right w:w="8" w:type="dxa"/>
            </w:tcMar>
            <w:vAlign w:val="center"/>
          </w:tcPr>
          <w:p>
            <w:pPr>
              <w:widowControl/>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城市人均公园绿地面积</w:t>
            </w:r>
          </w:p>
        </w:tc>
        <w:tc>
          <w:tcPr>
            <w:tcW w:w="724"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平方米/人</w:t>
            </w:r>
          </w:p>
        </w:tc>
        <w:tc>
          <w:tcPr>
            <w:tcW w:w="860" w:type="dxa"/>
            <w:noWrap/>
            <w:tcMar>
              <w:top w:w="8" w:type="dxa"/>
              <w:left w:w="8" w:type="dxa"/>
              <w:right w:w="8" w:type="dxa"/>
            </w:tcMar>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14</w:t>
            </w:r>
          </w:p>
        </w:tc>
        <w:tc>
          <w:tcPr>
            <w:tcW w:w="790"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767" w:type="dxa"/>
            <w:noWrap/>
            <w:tcMar>
              <w:top w:w="8" w:type="dxa"/>
              <w:left w:w="8" w:type="dxa"/>
              <w:right w:w="8" w:type="dxa"/>
            </w:tcMar>
            <w:vAlign w:val="center"/>
          </w:tcPr>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预期性</w:t>
            </w:r>
          </w:p>
        </w:tc>
        <w:tc>
          <w:tcPr>
            <w:tcW w:w="1333" w:type="dxa"/>
            <w:noWrap/>
            <w:tcMar>
              <w:top w:w="8" w:type="dxa"/>
              <w:left w:w="8" w:type="dxa"/>
              <w:right w:w="8" w:type="dxa"/>
            </w:tcMar>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规划建设</w:t>
            </w:r>
          </w:p>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环保处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8" w:hRule="atLeast"/>
        </w:trPr>
        <w:tc>
          <w:tcPr>
            <w:tcW w:w="574" w:type="dxa"/>
            <w:vMerge w:val="continue"/>
            <w:noWrap/>
            <w:tcMar>
              <w:top w:w="8" w:type="dxa"/>
              <w:left w:w="8" w:type="dxa"/>
              <w:right w:w="8" w:type="dxa"/>
            </w:tcMar>
            <w:vAlign w:val="center"/>
          </w:tcPr>
          <w:p>
            <w:pPr>
              <w:widowControl/>
              <w:jc w:val="center"/>
              <w:rPr>
                <w:color w:val="000000" w:themeColor="text1"/>
                <w14:textFill>
                  <w14:solidFill>
                    <w14:schemeClr w14:val="tx1"/>
                  </w14:solidFill>
                </w14:textFill>
              </w:rPr>
            </w:pPr>
          </w:p>
        </w:tc>
        <w:tc>
          <w:tcPr>
            <w:tcW w:w="568"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34</w:t>
            </w:r>
          </w:p>
        </w:tc>
        <w:tc>
          <w:tcPr>
            <w:tcW w:w="3378" w:type="dxa"/>
            <w:noWrap/>
            <w:tcMar>
              <w:top w:w="8" w:type="dxa"/>
              <w:left w:w="8" w:type="dxa"/>
              <w:right w:w="8" w:type="dxa"/>
            </w:tcMar>
            <w:vAlign w:val="center"/>
          </w:tcPr>
          <w:p>
            <w:pPr>
              <w:widowControl/>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主要江河地表水质量－达到或好于Ⅲ类水体比例</w:t>
            </w:r>
          </w:p>
        </w:tc>
        <w:tc>
          <w:tcPr>
            <w:tcW w:w="724"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860"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100</w:t>
            </w:r>
          </w:p>
        </w:tc>
        <w:tc>
          <w:tcPr>
            <w:tcW w:w="790"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767" w:type="dxa"/>
            <w:noWrap/>
            <w:tcMar>
              <w:top w:w="8" w:type="dxa"/>
              <w:left w:w="8" w:type="dxa"/>
              <w:right w:w="8" w:type="dxa"/>
            </w:tcMar>
            <w:vAlign w:val="center"/>
          </w:tcPr>
          <w:p>
            <w:pPr>
              <w:widowControl/>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约束性</w:t>
            </w:r>
          </w:p>
        </w:tc>
        <w:tc>
          <w:tcPr>
            <w:tcW w:w="1333" w:type="dxa"/>
            <w:noWrap/>
            <w:tcMar>
              <w:top w:w="8" w:type="dxa"/>
              <w:left w:w="8" w:type="dxa"/>
              <w:right w:w="8" w:type="dxa"/>
            </w:tcMar>
            <w:vAlign w:val="center"/>
          </w:tcPr>
          <w:p>
            <w:pPr>
              <w:widowControl/>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生态环境分局</w:t>
            </w:r>
          </w:p>
        </w:tc>
      </w:tr>
    </w:tbl>
    <w:p>
      <w:pPr>
        <w:rPr>
          <w:color w:val="000000" w:themeColor="text1"/>
          <w14:textFill>
            <w14:solidFill>
              <w14:schemeClr w14:val="tx1"/>
            </w14:solidFill>
          </w14:textFill>
        </w:rPr>
      </w:pPr>
    </w:p>
    <w:p>
      <w:pPr>
        <w:pStyle w:val="4"/>
        <w:spacing w:before="240" w:after="0" w:line="240" w:lineRule="auto"/>
        <w:jc w:val="center"/>
        <w:rPr>
          <w:rFonts w:ascii="黑体" w:hAnsi="黑体" w:eastAsia="黑体" w:cs="Times New Roman"/>
          <w:b w:val="0"/>
          <w:color w:val="000000" w:themeColor="text1"/>
          <w14:textFill>
            <w14:solidFill>
              <w14:schemeClr w14:val="tx1"/>
            </w14:solidFill>
          </w14:textFill>
        </w:rPr>
      </w:pPr>
      <w:bookmarkStart w:id="90" w:name="_Toc21544"/>
      <w:bookmarkStart w:id="91" w:name="_Toc28861"/>
      <w:bookmarkStart w:id="92" w:name="_Toc28799"/>
      <w:bookmarkStart w:id="93" w:name="_Toc1838"/>
      <w:bookmarkStart w:id="94" w:name="_Toc16421"/>
      <w:bookmarkStart w:id="95" w:name="_Toc29305"/>
      <w:r>
        <w:rPr>
          <w:rFonts w:hint="eastAsia" w:ascii="黑体" w:hAnsi="黑体" w:eastAsia="黑体" w:cs="Times New Roman"/>
          <w:b w:val="0"/>
          <w:color w:val="000000" w:themeColor="text1"/>
          <w14:textFill>
            <w14:solidFill>
              <w14:schemeClr w14:val="tx1"/>
            </w14:solidFill>
          </w14:textFill>
        </w:rPr>
        <w:t>第五节 发展战略</w:t>
      </w:r>
      <w:bookmarkEnd w:id="90"/>
      <w:bookmarkEnd w:id="91"/>
      <w:bookmarkEnd w:id="92"/>
      <w:bookmarkEnd w:id="93"/>
      <w:bookmarkEnd w:id="94"/>
      <w:bookmarkEnd w:id="95"/>
    </w:p>
    <w:p>
      <w:pPr>
        <w:pStyle w:val="9"/>
        <w:spacing w:after="0" w:line="360" w:lineRule="auto"/>
        <w:ind w:firstLine="643" w:firstLineChars="200"/>
        <w:rPr>
          <w:rFonts w:ascii="仿宋_GB2312" w:hAnsi="仿宋_GB2312" w:eastAsia="仿宋_GB2312" w:cs="仿宋_GB2312"/>
          <w:color w:val="000000" w:themeColor="text1"/>
          <w:kern w:val="2"/>
          <w:sz w:val="32"/>
          <w:szCs w:val="32"/>
          <w14:textFill>
            <w14:solidFill>
              <w14:schemeClr w14:val="tx1"/>
            </w14:solidFill>
          </w14:textFill>
        </w:rPr>
      </w:pPr>
      <w:r>
        <w:rPr>
          <w:rFonts w:hint="eastAsia" w:ascii="仿宋_GB2312" w:hAnsi="仿宋_GB2312" w:eastAsia="仿宋_GB2312" w:cs="仿宋_GB2312"/>
          <w:b/>
          <w:bCs/>
          <w:color w:val="000000" w:themeColor="text1"/>
          <w:kern w:val="2"/>
          <w:sz w:val="32"/>
          <w:szCs w:val="32"/>
          <w14:textFill>
            <w14:solidFill>
              <w14:schemeClr w14:val="tx1"/>
            </w14:solidFill>
          </w14:textFill>
        </w:rPr>
        <w:t>党建统领，凝聚合力。</w:t>
      </w:r>
      <w:r>
        <w:rPr>
          <w:rFonts w:hint="eastAsia" w:ascii="仿宋_GB2312" w:hAnsi="仿宋_GB2312" w:eastAsia="仿宋_GB2312" w:cs="仿宋_GB2312"/>
          <w:color w:val="000000" w:themeColor="text1"/>
          <w:kern w:val="2"/>
          <w:sz w:val="32"/>
          <w:szCs w:val="32"/>
          <w14:textFill>
            <w14:solidFill>
              <w14:schemeClr w14:val="tx1"/>
            </w14:solidFill>
          </w14:textFill>
        </w:rPr>
        <w:t>坚持和完善党领导经济社会发展的体制机制，把握新发展阶段,贯彻新发展理念,构建新发展格局的能力和水平。贯彻新时代党的组织路线，建设一支高素质、敢担当、敢作为的新区干部队伍，不断增强创造力、凝聚力、战斗力，推动制度优势更好转化为治理效能。</w:t>
      </w:r>
    </w:p>
    <w:p>
      <w:pPr>
        <w:pStyle w:val="9"/>
        <w:spacing w:after="0"/>
        <w:ind w:firstLine="643" w:firstLineChars="200"/>
        <w:rPr>
          <w:rFonts w:ascii="仿宋_GB2312" w:hAnsi="仿宋_GB2312" w:eastAsia="仿宋_GB2312" w:cs="仿宋_GB2312"/>
          <w:color w:val="000000" w:themeColor="text1"/>
          <w:kern w:val="2"/>
          <w:sz w:val="32"/>
          <w:szCs w:val="32"/>
          <w14:textFill>
            <w14:solidFill>
              <w14:schemeClr w14:val="tx1"/>
            </w14:solidFill>
          </w14:textFill>
        </w:rPr>
      </w:pPr>
      <w:r>
        <w:rPr>
          <w:rFonts w:hint="eastAsia" w:ascii="仿宋_GB2312" w:hAnsi="仿宋_GB2312" w:eastAsia="仿宋_GB2312" w:cs="仿宋_GB2312"/>
          <w:b/>
          <w:bCs/>
          <w:color w:val="000000" w:themeColor="text1"/>
          <w:kern w:val="2"/>
          <w:sz w:val="32"/>
          <w:szCs w:val="32"/>
          <w14:textFill>
            <w14:solidFill>
              <w14:schemeClr w14:val="tx1"/>
            </w14:solidFill>
          </w14:textFill>
        </w:rPr>
        <w:t>制造为本，创新引领。</w:t>
      </w:r>
      <w:r>
        <w:rPr>
          <w:rFonts w:hint="eastAsia" w:ascii="仿宋_GB2312" w:hAnsi="仿宋_GB2312" w:eastAsia="仿宋_GB2312" w:cs="仿宋_GB2312"/>
          <w:color w:val="000000" w:themeColor="text1"/>
          <w:kern w:val="2"/>
          <w:sz w:val="32"/>
          <w:szCs w:val="32"/>
          <w14:textFill>
            <w14:solidFill>
              <w14:schemeClr w14:val="tx1"/>
            </w14:solidFill>
          </w14:textFill>
        </w:rPr>
        <w:t>始终把制造业作为立区之本，充分激发创新“第一动力”，围绕产业链部署创新链，围绕创新链布局产业链，增强创新对实体经济的支撑牵引作用。促进“强链、稳链、补链”，做强做优汽车制造产业，提速发展战略性新兴产业，推动资源要素、产业政策与工作力量向先进制造和实体经济集聚。加快推进新型创新载体建设，积极深化产教研融合，支持制造业服务化，推动工业互联网、大数据、人工智能与实体经济深度融合，千方百计利用科技创新赋能新区产业高质量发展。</w:t>
      </w:r>
    </w:p>
    <w:p>
      <w:pPr>
        <w:pStyle w:val="9"/>
        <w:spacing w:after="0"/>
        <w:ind w:firstLine="643" w:firstLineChars="200"/>
        <w:rPr>
          <w:rFonts w:ascii="仿宋_GB2312" w:hAnsi="仿宋_GB2312" w:eastAsia="仿宋_GB2312" w:cs="仿宋_GB2312"/>
          <w:color w:val="000000" w:themeColor="text1"/>
          <w:kern w:val="2"/>
          <w:sz w:val="32"/>
          <w:szCs w:val="32"/>
          <w14:textFill>
            <w14:solidFill>
              <w14:schemeClr w14:val="tx1"/>
            </w14:solidFill>
          </w14:textFill>
        </w:rPr>
      </w:pPr>
      <w:r>
        <w:rPr>
          <w:rFonts w:hint="eastAsia" w:ascii="仿宋_GB2312" w:hAnsi="仿宋_GB2312" w:eastAsia="仿宋_GB2312" w:cs="仿宋_GB2312"/>
          <w:b/>
          <w:bCs/>
          <w:color w:val="000000" w:themeColor="text1"/>
          <w:kern w:val="2"/>
          <w:sz w:val="32"/>
          <w:szCs w:val="32"/>
          <w14:textFill>
            <w14:solidFill>
              <w14:schemeClr w14:val="tx1"/>
            </w14:solidFill>
          </w14:textFill>
        </w:rPr>
        <w:t>以城促产，城产互促。</w:t>
      </w:r>
      <w:r>
        <w:rPr>
          <w:rFonts w:hint="eastAsia" w:ascii="仿宋_GB2312" w:hAnsi="仿宋_GB2312" w:eastAsia="仿宋_GB2312" w:cs="仿宋_GB2312"/>
          <w:color w:val="000000" w:themeColor="text1"/>
          <w:kern w:val="2"/>
          <w:sz w:val="32"/>
          <w:szCs w:val="32"/>
          <w14:textFill>
            <w14:solidFill>
              <w14:schemeClr w14:val="tx1"/>
            </w14:solidFill>
          </w14:textFill>
        </w:rPr>
        <w:t>聚焦提升城区发展能级量级，加快推进国家新型城镇化综合试点和国家产城融合示范区建设，形成城产互促的良好发展格局。对标一流国家级新区，积极争取国家、自治区和市级重大政策、重大工程、重大项目，加快补齐服务业发展短板，强化综合配套服务功能，打造功能完善、职住平衡、富有活力的柳州城市新中心，迅速聚集人气，实现“以产引人”“以城留人”。加快推动新区核心区域基础设施向雒容、洛埠镇域延伸，完善城市组团功能，实现城乡一体化协调发展。</w:t>
      </w:r>
    </w:p>
    <w:p>
      <w:pPr>
        <w:pStyle w:val="9"/>
        <w:spacing w:after="0"/>
        <w:ind w:firstLine="643" w:firstLineChars="200"/>
        <w:rPr>
          <w:rFonts w:ascii="仿宋_GB2312" w:hAnsi="仿宋_GB2312" w:eastAsia="仿宋_GB2312" w:cs="仿宋_GB2312"/>
          <w:color w:val="000000" w:themeColor="text1"/>
          <w:kern w:val="2"/>
          <w:sz w:val="32"/>
          <w:szCs w:val="32"/>
          <w14:textFill>
            <w14:solidFill>
              <w14:schemeClr w14:val="tx1"/>
            </w14:solidFill>
          </w14:textFill>
        </w:rPr>
      </w:pPr>
      <w:r>
        <w:rPr>
          <w:rFonts w:hint="eastAsia" w:ascii="仿宋_GB2312" w:hAnsi="仿宋_GB2312" w:eastAsia="仿宋_GB2312" w:cs="仿宋_GB2312"/>
          <w:b/>
          <w:bCs/>
          <w:color w:val="000000" w:themeColor="text1"/>
          <w:kern w:val="2"/>
          <w:sz w:val="32"/>
          <w:szCs w:val="32"/>
          <w14:textFill>
            <w14:solidFill>
              <w14:schemeClr w14:val="tx1"/>
            </w14:solidFill>
          </w14:textFill>
        </w:rPr>
        <w:t>开放引领，合作共赢。</w:t>
      </w:r>
      <w:r>
        <w:rPr>
          <w:rFonts w:hint="eastAsia" w:ascii="仿宋_GB2312" w:hAnsi="仿宋_GB2312" w:eastAsia="仿宋_GB2312" w:cs="仿宋_GB2312"/>
          <w:color w:val="000000" w:themeColor="text1"/>
          <w:kern w:val="2"/>
          <w:sz w:val="32"/>
          <w:szCs w:val="32"/>
          <w14:textFill>
            <w14:solidFill>
              <w14:schemeClr w14:val="tx1"/>
            </w14:solidFill>
          </w14:textFill>
        </w:rPr>
        <w:t>以更高水平开放促进高质量发展，在开放合作过程中拓展新发展空间。以开放合作平台建设为关键抓手，在有效深化粤桂黔高铁经济带跨区域合作，推动“南向”扩大开放、“东融”加快发展的同时，主动承接欧洲等地区高端产业和科技资源，积极参与“一带一路”国际合作，着力推动优质产能和装备走向国际大市场，在国内国际双循环相互促进中实现经济快速增长和高质量发展。</w:t>
      </w:r>
    </w:p>
    <w:p>
      <w:pPr>
        <w:pStyle w:val="9"/>
        <w:spacing w:after="0"/>
        <w:ind w:firstLine="643" w:firstLineChars="200"/>
        <w:rPr>
          <w:rFonts w:ascii="仿宋_GB2312" w:hAnsi="仿宋_GB2312" w:eastAsia="仿宋_GB2312" w:cs="仿宋_GB2312"/>
          <w:color w:val="000000" w:themeColor="text1"/>
          <w:kern w:val="2"/>
          <w:sz w:val="32"/>
          <w:szCs w:val="32"/>
          <w14:textFill>
            <w14:solidFill>
              <w14:schemeClr w14:val="tx1"/>
            </w14:solidFill>
          </w14:textFill>
        </w:rPr>
      </w:pPr>
      <w:r>
        <w:rPr>
          <w:rFonts w:hint="eastAsia" w:ascii="仿宋_GB2312" w:hAnsi="仿宋_GB2312" w:eastAsia="仿宋_GB2312" w:cs="仿宋_GB2312"/>
          <w:b/>
          <w:bCs/>
          <w:color w:val="000000" w:themeColor="text1"/>
          <w:kern w:val="2"/>
          <w:sz w:val="32"/>
          <w:szCs w:val="32"/>
          <w14:textFill>
            <w14:solidFill>
              <w14:schemeClr w14:val="tx1"/>
            </w14:solidFill>
          </w14:textFill>
        </w:rPr>
        <w:t>民生优先，共建共享。</w:t>
      </w:r>
      <w:r>
        <w:rPr>
          <w:rFonts w:hint="eastAsia" w:ascii="仿宋_GB2312" w:hAnsi="仿宋_GB2312" w:eastAsia="仿宋_GB2312" w:cs="仿宋_GB2312"/>
          <w:color w:val="000000" w:themeColor="text1"/>
          <w:kern w:val="2"/>
          <w:sz w:val="32"/>
          <w:szCs w:val="32"/>
          <w14:textFill>
            <w14:solidFill>
              <w14:schemeClr w14:val="tx1"/>
            </w14:solidFill>
          </w14:textFill>
        </w:rPr>
        <w:t>坚持“以人民为中心”的发展思想，强化公共财政对民生服务的支撑保障作用，完善城乡公共服务体系，让发展成果更多惠及广大人民群众。推动实现劳有所得、幼有所育、学有优教、体有所健、病有良医、住有宜居、老有颐养。鼓励社会各界有序参与社会建设社会治理，努力形成共建共享的良好局面。</w:t>
      </w:r>
    </w:p>
    <w:p>
      <w:pPr>
        <w:widowControl/>
        <w:ind w:firstLine="643" w:firstLineChars="200"/>
        <w:jc w:val="left"/>
        <w:rPr>
          <w:rFonts w:ascii="黑体" w:hAnsi="黑体" w:eastAsia="黑体" w:cs="Times New Roman"/>
          <w:bCs/>
          <w:color w:val="000000" w:themeColor="text1"/>
          <w:kern w:val="44"/>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绿色低碳，集约高效。</w:t>
      </w:r>
      <w:r>
        <w:rPr>
          <w:rFonts w:hint="eastAsia" w:ascii="仿宋_GB2312" w:hAnsi="仿宋_GB2312" w:eastAsia="仿宋_GB2312" w:cs="仿宋_GB2312"/>
          <w:color w:val="000000" w:themeColor="text1"/>
          <w:sz w:val="32"/>
          <w:szCs w:val="32"/>
          <w14:textFill>
            <w14:solidFill>
              <w14:schemeClr w14:val="tx1"/>
            </w14:solidFill>
          </w14:textFill>
        </w:rPr>
        <w:t>坚决贯彻“绿水青山就是金山银山”科学论断，实施“生态立区”发展战略，将生态文明建设贯彻到经济社会发展各项工作中。提高制造业生态效益，提升资源能源节约集约利用效率，实现制造业绿色转型。弘扬生态文明，推动形成绿色、低碳、循环生产方式和生活方式。打造生产空间集约高效、生活空间舒适宜居、生态空间山清水秀的“绿色柳东”，实现经济社会与生态环境协调发展、人与自然和谐共生。</w:t>
      </w:r>
    </w:p>
    <w:p>
      <w:pPr>
        <w:widowControl/>
        <w:jc w:val="left"/>
        <w:rPr>
          <w:rFonts w:ascii="黑体" w:hAnsi="黑体" w:eastAsia="黑体" w:cs="Times New Roman"/>
          <w:bCs/>
          <w:color w:val="000000" w:themeColor="text1"/>
          <w:kern w:val="44"/>
          <w:sz w:val="32"/>
          <w:szCs w:val="32"/>
          <w14:textFill>
            <w14:solidFill>
              <w14:schemeClr w14:val="tx1"/>
            </w14:solidFill>
          </w14:textFill>
        </w:rPr>
      </w:pPr>
      <w:r>
        <w:rPr>
          <w:rFonts w:ascii="黑体" w:hAnsi="黑体" w:eastAsia="黑体" w:cs="Times New Roman"/>
          <w:b/>
          <w:color w:val="000000" w:themeColor="text1"/>
          <w:sz w:val="32"/>
          <w:szCs w:val="32"/>
          <w14:textFill>
            <w14:solidFill>
              <w14:schemeClr w14:val="tx1"/>
            </w14:solidFill>
          </w14:textFill>
        </w:rPr>
        <w:br w:type="page"/>
      </w:r>
    </w:p>
    <w:p>
      <w:pPr>
        <w:pStyle w:val="3"/>
        <w:keepLines w:val="0"/>
        <w:widowControl/>
        <w:spacing w:before="0" w:afterLines="100" w:line="240" w:lineRule="auto"/>
        <w:jc w:val="center"/>
        <w:rPr>
          <w:rFonts w:ascii="黑体" w:hAnsi="黑体" w:eastAsia="黑体" w:cs="Times New Roman"/>
          <w:b w:val="0"/>
          <w:color w:val="000000" w:themeColor="text1"/>
          <w:sz w:val="32"/>
          <w:szCs w:val="32"/>
          <w14:textFill>
            <w14:solidFill>
              <w14:schemeClr w14:val="tx1"/>
            </w14:solidFill>
          </w14:textFill>
        </w:rPr>
      </w:pPr>
      <w:bookmarkStart w:id="96" w:name="_Toc5835"/>
      <w:bookmarkStart w:id="97" w:name="_Toc24246"/>
      <w:bookmarkStart w:id="98" w:name="_Toc7544"/>
      <w:bookmarkStart w:id="99" w:name="_Toc31239"/>
      <w:bookmarkStart w:id="100" w:name="_Toc18006"/>
      <w:bookmarkStart w:id="101" w:name="_Toc32669"/>
      <w:r>
        <w:rPr>
          <w:rFonts w:hint="eastAsia" w:ascii="黑体" w:hAnsi="黑体" w:eastAsia="黑体" w:cs="Times New Roman"/>
          <w:b w:val="0"/>
          <w:color w:val="000000" w:themeColor="text1"/>
          <w:sz w:val="32"/>
          <w:szCs w:val="32"/>
          <w14:textFill>
            <w14:solidFill>
              <w14:schemeClr w14:val="tx1"/>
            </w14:solidFill>
          </w14:textFill>
        </w:rPr>
        <w:t>第三章 突出创新引领，打造柳州创新创业领航区</w:t>
      </w:r>
      <w:bookmarkEnd w:id="96"/>
      <w:bookmarkEnd w:id="97"/>
      <w:bookmarkEnd w:id="98"/>
      <w:bookmarkEnd w:id="99"/>
      <w:bookmarkEnd w:id="100"/>
      <w:bookmarkEnd w:id="101"/>
    </w:p>
    <w:p>
      <w:pPr>
        <w:pStyle w:val="9"/>
        <w:ind w:firstLine="643" w:firstLineChars="201"/>
        <w:rPr>
          <w:rFonts w:ascii="仿宋_GB2312" w:hAnsi="仿宋" w:eastAsia="仿宋_GB2312"/>
          <w:color w:val="000000" w:themeColor="text1"/>
          <w:sz w:val="32"/>
          <w:szCs w:val="32"/>
          <w14:textFill>
            <w14:solidFill>
              <w14:schemeClr w14:val="tx1"/>
            </w14:solidFill>
          </w14:textFill>
        </w:rPr>
      </w:pPr>
      <w:r>
        <w:rPr>
          <w:rFonts w:hint="eastAsia" w:ascii="仿宋_GB2312" w:hAnsi="仿宋" w:eastAsia="仿宋_GB2312"/>
          <w:color w:val="000000" w:themeColor="text1"/>
          <w:sz w:val="32"/>
          <w:szCs w:val="32"/>
          <w14:textFill>
            <w14:solidFill>
              <w14:schemeClr w14:val="tx1"/>
            </w14:solidFill>
          </w14:textFill>
        </w:rPr>
        <w:t>深入实施创新驱动战略，强化科技创新对新区高质量发展的核心支撑，全面落实国家创新型试点城市创建工作和国家高新区高质量发展意见，积极围绕产业链布局创新链，深化开放合作加快集聚高端创新要素资源，促进先进科技成果转化，成为面向东盟的区域性现代制造业科技创新中心的核心承载地。</w:t>
      </w:r>
    </w:p>
    <w:p>
      <w:pPr>
        <w:pStyle w:val="4"/>
        <w:jc w:val="center"/>
        <w:rPr>
          <w:rFonts w:hint="eastAsia" w:ascii="黑体" w:hAnsi="黑体" w:eastAsia="黑体" w:cs="Times New Roman"/>
          <w:b w:val="0"/>
          <w:color w:val="000000" w:themeColor="text1"/>
          <w14:textFill>
            <w14:solidFill>
              <w14:schemeClr w14:val="tx1"/>
            </w14:solidFill>
          </w14:textFill>
        </w:rPr>
      </w:pPr>
      <w:bookmarkStart w:id="102" w:name="_Toc9813"/>
      <w:bookmarkStart w:id="103" w:name="_Toc4679"/>
      <w:bookmarkStart w:id="104" w:name="_Toc22475"/>
      <w:bookmarkStart w:id="105" w:name="_Toc18761"/>
      <w:bookmarkStart w:id="106" w:name="_Toc18294"/>
      <w:bookmarkStart w:id="107" w:name="_Toc8491"/>
      <w:r>
        <w:rPr>
          <w:rFonts w:hint="eastAsia" w:ascii="黑体" w:hAnsi="黑体" w:eastAsia="黑体" w:cs="Times New Roman"/>
          <w:b w:val="0"/>
          <w:color w:val="000000" w:themeColor="text1"/>
          <w14:textFill>
            <w14:solidFill>
              <w14:schemeClr w14:val="tx1"/>
            </w14:solidFill>
          </w14:textFill>
        </w:rPr>
        <w:t>第一节 增强技术创新能力</w:t>
      </w:r>
      <w:bookmarkEnd w:id="102"/>
      <w:bookmarkEnd w:id="103"/>
      <w:bookmarkEnd w:id="104"/>
      <w:bookmarkEnd w:id="105"/>
      <w:bookmarkEnd w:id="106"/>
      <w:bookmarkEnd w:id="107"/>
    </w:p>
    <w:p>
      <w:pPr>
        <w:pStyle w:val="5"/>
        <w:spacing w:before="0" w:after="0" w:line="240" w:lineRule="auto"/>
        <w:ind w:firstLine="640" w:firstLineChars="200"/>
        <w:rPr>
          <w:rFonts w:ascii="黑体" w:hAnsi="黑体" w:eastAsia="黑体" w:cs="Times New Roman"/>
          <w:b w:val="0"/>
          <w:color w:val="000000" w:themeColor="text1"/>
          <w14:textFill>
            <w14:solidFill>
              <w14:schemeClr w14:val="tx1"/>
            </w14:solidFill>
          </w14:textFill>
        </w:rPr>
      </w:pPr>
      <w:r>
        <w:rPr>
          <w:rFonts w:hint="eastAsia" w:ascii="黑体" w:hAnsi="黑体" w:eastAsia="黑体" w:cs="Times New Roman"/>
          <w:b w:val="0"/>
          <w:color w:val="000000" w:themeColor="text1"/>
          <w14:textFill>
            <w14:solidFill>
              <w14:schemeClr w14:val="tx1"/>
            </w14:solidFill>
          </w14:textFill>
        </w:rPr>
        <w:t>一、强化企业创新主体地位</w:t>
      </w:r>
    </w:p>
    <w:p>
      <w:pPr>
        <w:pStyle w:val="9"/>
        <w:ind w:firstLine="566" w:firstLineChars="177"/>
        <w:rPr>
          <w:rFonts w:ascii="仿宋_GB2312" w:hAnsi="仿宋_GB2312" w:eastAsia="仿宋_GB2312"/>
          <w:color w:val="000000" w:themeColor="text1"/>
          <w:sz w:val="32"/>
          <w:szCs w:val="32"/>
          <w14:textFill>
            <w14:solidFill>
              <w14:schemeClr w14:val="tx1"/>
            </w14:solidFill>
          </w14:textFill>
        </w:rPr>
      </w:pPr>
      <w:r>
        <w:rPr>
          <w:rFonts w:hint="eastAsia" w:ascii="仿宋_GB2312" w:hAnsi="仿宋_GB2312" w:eastAsia="仿宋_GB2312"/>
          <w:color w:val="000000" w:themeColor="text1"/>
          <w:sz w:val="32"/>
          <w:szCs w:val="32"/>
          <w14:textFill>
            <w14:solidFill>
              <w14:schemeClr w14:val="tx1"/>
            </w14:solidFill>
          </w14:textFill>
        </w:rPr>
        <w:t>建立创业项目市场化挖掘机制，</w:t>
      </w:r>
      <w:r>
        <w:rPr>
          <w:rFonts w:hint="eastAsia" w:ascii="仿宋_GB2312" w:hAnsi="仿宋" w:eastAsia="仿宋_GB2312" w:cs="仿宋_GB2312"/>
          <w:color w:val="000000" w:themeColor="text1"/>
          <w:sz w:val="32"/>
          <w:szCs w:val="32"/>
          <w14:textFill>
            <w14:solidFill>
              <w14:schemeClr w14:val="tx1"/>
            </w14:solidFill>
          </w14:textFill>
        </w:rPr>
        <w:t>完善创新示范企业培育体系</w:t>
      </w:r>
      <w:r>
        <w:rPr>
          <w:rFonts w:hint="eastAsia" w:ascii="仿宋_GB2312" w:hAnsi="仿宋_GB2312" w:eastAsia="仿宋_GB2312"/>
          <w:color w:val="000000" w:themeColor="text1"/>
          <w:sz w:val="32"/>
          <w:szCs w:val="32"/>
          <w14:textFill>
            <w14:solidFill>
              <w14:schemeClr w14:val="tx1"/>
            </w14:solidFill>
          </w14:textFill>
        </w:rPr>
        <w:t>，</w:t>
      </w:r>
      <w:r>
        <w:rPr>
          <w:rFonts w:hint="eastAsia" w:ascii="仿宋_GB2312" w:hAnsi="仿宋" w:eastAsia="仿宋_GB2312"/>
          <w:color w:val="000000" w:themeColor="text1"/>
          <w:sz w:val="32"/>
          <w:szCs w:val="32"/>
          <w14:textFill>
            <w14:solidFill>
              <w14:schemeClr w14:val="tx1"/>
            </w14:solidFill>
          </w14:textFill>
        </w:rPr>
        <w:t>实施科技型中小微企业培育计划，</w:t>
      </w:r>
      <w:r>
        <w:rPr>
          <w:rFonts w:hint="eastAsia" w:ascii="仿宋_GB2312" w:hAnsi="仿宋_GB2312" w:eastAsia="仿宋_GB2312"/>
          <w:color w:val="000000" w:themeColor="text1"/>
          <w:sz w:val="32"/>
          <w:szCs w:val="32"/>
          <w14:textFill>
            <w14:solidFill>
              <w14:schemeClr w14:val="tx1"/>
            </w14:solidFill>
          </w14:textFill>
        </w:rPr>
        <w:t>遴选扶持一批成长速度快、创新能力强、发展潜力大的优质科技型中小企业。</w:t>
      </w:r>
      <w:r>
        <w:rPr>
          <w:rFonts w:hint="eastAsia" w:ascii="仿宋_GB2312" w:hAnsi="仿宋" w:eastAsia="仿宋_GB2312" w:cs="仿宋_GB2312"/>
          <w:color w:val="000000" w:themeColor="text1"/>
          <w:sz w:val="32"/>
          <w:szCs w:val="32"/>
          <w14:textFill>
            <w14:solidFill>
              <w14:schemeClr w14:val="tx1"/>
            </w14:solidFill>
          </w14:textFill>
        </w:rPr>
        <w:t>加大对高新技术企业的个性化精准支持力度，</w:t>
      </w:r>
      <w:r>
        <w:rPr>
          <w:rFonts w:hint="eastAsia" w:ascii="仿宋_GB2312" w:hAnsi="仿宋" w:eastAsia="仿宋_GB2312"/>
          <w:color w:val="000000" w:themeColor="text1"/>
          <w:sz w:val="32"/>
          <w:szCs w:val="32"/>
          <w14:textFill>
            <w14:solidFill>
              <w14:schemeClr w14:val="tx1"/>
            </w14:solidFill>
          </w14:textFill>
        </w:rPr>
        <w:t>努力壮大国家高新技术企业队伍，</w:t>
      </w:r>
      <w:r>
        <w:rPr>
          <w:rFonts w:hint="eastAsia" w:ascii="仿宋_GB2312" w:eastAsia="仿宋_GB2312"/>
          <w:color w:val="000000" w:themeColor="text1"/>
          <w:sz w:val="32"/>
          <w:szCs w:val="32"/>
          <w14:textFill>
            <w14:solidFill>
              <w14:schemeClr w14:val="tx1"/>
            </w14:solidFill>
          </w14:textFill>
        </w:rPr>
        <w:t>推动</w:t>
      </w:r>
      <w:r>
        <w:rPr>
          <w:rFonts w:hint="eastAsia" w:ascii="仿宋_GB2312" w:hAnsi="仿宋" w:eastAsia="仿宋_GB2312"/>
          <w:color w:val="000000" w:themeColor="text1"/>
          <w:sz w:val="32"/>
          <w:szCs w:val="32"/>
          <w14:textFill>
            <w14:solidFill>
              <w14:schemeClr w14:val="tx1"/>
            </w14:solidFill>
          </w14:textFill>
        </w:rPr>
        <w:t>国家高新技术企业</w:t>
      </w:r>
      <w:r>
        <w:rPr>
          <w:rFonts w:hint="eastAsia" w:ascii="仿宋_GB2312" w:eastAsia="仿宋_GB2312"/>
          <w:color w:val="000000" w:themeColor="text1"/>
          <w:sz w:val="32"/>
          <w:szCs w:val="32"/>
          <w14:textFill>
            <w14:solidFill>
              <w14:schemeClr w14:val="tx1"/>
            </w14:solidFill>
          </w14:textFill>
        </w:rPr>
        <w:t>向规上企业迈进，</w:t>
      </w:r>
      <w:r>
        <w:rPr>
          <w:rFonts w:hint="eastAsia" w:ascii="仿宋_GB2312" w:hAnsi="仿宋" w:eastAsia="仿宋_GB2312" w:cs="仿宋_GB2312"/>
          <w:color w:val="000000" w:themeColor="text1"/>
          <w:sz w:val="32"/>
          <w:szCs w:val="32"/>
          <w14:textFill>
            <w14:solidFill>
              <w14:schemeClr w14:val="tx1"/>
            </w14:solidFill>
          </w14:textFill>
        </w:rPr>
        <w:t>培育引进一批具有知识产权的科技型“瞪羚”企业和专精特新“小巨人”企业。</w:t>
      </w:r>
      <w:r>
        <w:rPr>
          <w:rFonts w:hint="eastAsia" w:ascii="仿宋_GB2312" w:hAnsi="仿宋_GB2312" w:eastAsia="仿宋_GB2312"/>
          <w:color w:val="000000" w:themeColor="text1"/>
          <w:sz w:val="32"/>
          <w:szCs w:val="32"/>
          <w14:textFill>
            <w14:solidFill>
              <w14:schemeClr w14:val="tx1"/>
            </w14:solidFill>
          </w14:textFill>
        </w:rPr>
        <w:t>增强高新技术企业的创新引领和示范带动作用，鼓励重点</w:t>
      </w:r>
      <w:r>
        <w:rPr>
          <w:rFonts w:ascii="仿宋_GB2312" w:hAnsi="仿宋_GB2312" w:eastAsia="仿宋_GB2312"/>
          <w:color w:val="000000" w:themeColor="text1"/>
          <w:kern w:val="2"/>
          <w:sz w:val="32"/>
          <w:szCs w:val="32"/>
          <w14:textFill>
            <w14:solidFill>
              <w14:schemeClr w14:val="tx1"/>
            </w14:solidFill>
          </w14:textFill>
        </w:rPr>
        <w:t>企业加大创新研发力度</w:t>
      </w:r>
      <w:r>
        <w:rPr>
          <w:rFonts w:hint="eastAsia" w:ascii="仿宋_GB2312" w:hAnsi="仿宋_GB2312" w:eastAsia="仿宋_GB2312"/>
          <w:color w:val="000000" w:themeColor="text1"/>
          <w:sz w:val="32"/>
          <w:szCs w:val="32"/>
          <w14:textFill>
            <w14:solidFill>
              <w14:schemeClr w14:val="tx1"/>
            </w14:solidFill>
          </w14:textFill>
        </w:rPr>
        <w:t>，</w:t>
      </w:r>
      <w:r>
        <w:rPr>
          <w:rFonts w:ascii="仿宋_GB2312" w:hAnsi="仿宋_GB2312" w:eastAsia="仿宋_GB2312"/>
          <w:color w:val="000000" w:themeColor="text1"/>
          <w:kern w:val="2"/>
          <w:sz w:val="32"/>
          <w:szCs w:val="32"/>
          <w14:textFill>
            <w14:solidFill>
              <w14:schemeClr w14:val="tx1"/>
            </w14:solidFill>
          </w14:textFill>
        </w:rPr>
        <w:t>推行创新项目企业牵头制，针对企业技术需求编制项目指南，支持企业牵头组织实施产业导向类创新项目。</w:t>
      </w:r>
      <w:r>
        <w:rPr>
          <w:rFonts w:hint="eastAsia" w:ascii="仿宋_GB2312" w:eastAsia="仿宋_GB2312"/>
          <w:color w:val="000000" w:themeColor="text1"/>
          <w:sz w:val="32"/>
          <w:szCs w:val="32"/>
          <w14:textFill>
            <w14:solidFill>
              <w14:schemeClr w14:val="tx1"/>
            </w14:solidFill>
          </w14:textFill>
        </w:rPr>
        <w:t>到2025年，力争实现</w:t>
      </w:r>
      <w:r>
        <w:rPr>
          <w:rFonts w:hint="eastAsia" w:ascii="仿宋_GB2312" w:hAnsi="仿宋" w:eastAsia="仿宋_GB2312"/>
          <w:color w:val="000000" w:themeColor="text1"/>
          <w:sz w:val="32"/>
          <w:szCs w:val="32"/>
          <w14:textFill>
            <w14:solidFill>
              <w14:schemeClr w14:val="tx1"/>
            </w14:solidFill>
          </w14:textFill>
        </w:rPr>
        <w:t>国家高新技术企业总数</w:t>
      </w:r>
      <w:r>
        <w:rPr>
          <w:rFonts w:hint="eastAsia" w:ascii="仿宋_GB2312" w:eastAsia="仿宋_GB2312"/>
          <w:color w:val="000000" w:themeColor="text1"/>
          <w:sz w:val="32"/>
          <w:szCs w:val="32"/>
          <w14:textFill>
            <w14:solidFill>
              <w14:schemeClr w14:val="tx1"/>
            </w14:solidFill>
          </w14:textFill>
        </w:rPr>
        <w:t>达到300家。</w:t>
      </w:r>
    </w:p>
    <w:p>
      <w:pPr>
        <w:pStyle w:val="5"/>
        <w:spacing w:before="0" w:after="0" w:line="240" w:lineRule="auto"/>
        <w:ind w:firstLine="640" w:firstLineChars="200"/>
        <w:rPr>
          <w:rFonts w:ascii="黑体" w:hAnsi="黑体" w:eastAsia="黑体" w:cs="Times New Roman"/>
          <w:b w:val="0"/>
          <w:color w:val="000000" w:themeColor="text1"/>
          <w14:textFill>
            <w14:solidFill>
              <w14:schemeClr w14:val="tx1"/>
            </w14:solidFill>
          </w14:textFill>
        </w:rPr>
      </w:pPr>
      <w:r>
        <w:rPr>
          <w:rFonts w:hint="eastAsia" w:ascii="黑体" w:hAnsi="黑体" w:eastAsia="黑体" w:cs="Times New Roman"/>
          <w:b w:val="0"/>
          <w:color w:val="000000" w:themeColor="text1"/>
          <w14:textFill>
            <w14:solidFill>
              <w14:schemeClr w14:val="tx1"/>
            </w14:solidFill>
          </w14:textFill>
        </w:rPr>
        <w:t>二、集聚重大技术创新平台</w:t>
      </w:r>
    </w:p>
    <w:p>
      <w:pPr>
        <w:pStyle w:val="9"/>
        <w:ind w:firstLine="566" w:firstLineChars="177"/>
        <w:rPr>
          <w:rFonts w:ascii="仿宋_GB2312" w:eastAsia="仿宋_GB2312"/>
          <w:color w:val="000000" w:themeColor="text1"/>
          <w:sz w:val="32"/>
          <w:szCs w:val="32"/>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围绕</w:t>
      </w:r>
      <w:r>
        <w:rPr>
          <w:rFonts w:hint="eastAsia" w:ascii="仿宋_GB2312" w:hAnsi="仿宋_GB2312" w:eastAsia="仿宋_GB2312"/>
          <w:color w:val="000000" w:themeColor="text1"/>
          <w:kern w:val="2"/>
          <w:sz w:val="32"/>
          <w:szCs w:val="32"/>
          <w14:textFill>
            <w14:solidFill>
              <w14:schemeClr w14:val="tx1"/>
            </w14:solidFill>
          </w14:textFill>
        </w:rPr>
        <w:t>汽车及零部件、汽车电子、新材料等产业领域等</w:t>
      </w:r>
      <w:r>
        <w:rPr>
          <w:rFonts w:hint="eastAsia" w:ascii="仿宋_GB2312" w:eastAsia="仿宋_GB2312"/>
          <w:color w:val="000000" w:themeColor="text1"/>
          <w:sz w:val="32"/>
          <w:szCs w:val="32"/>
          <w14:textFill>
            <w14:solidFill>
              <w14:schemeClr w14:val="tx1"/>
            </w14:solidFill>
          </w14:textFill>
        </w:rPr>
        <w:t>新区支柱优势产业领域，</w:t>
      </w:r>
      <w:r>
        <w:rPr>
          <w:rFonts w:hint="eastAsia" w:ascii="仿宋_GB2312" w:hAnsi="仿宋_GB2312" w:eastAsia="仿宋_GB2312"/>
          <w:color w:val="000000" w:themeColor="text1"/>
          <w:kern w:val="2"/>
          <w:sz w:val="32"/>
          <w:szCs w:val="32"/>
          <w14:textFill>
            <w14:solidFill>
              <w14:schemeClr w14:val="tx1"/>
            </w14:solidFill>
          </w14:textFill>
        </w:rPr>
        <w:t>积极争取国家、自治区和市级资源，引进国家实验室，以及国内外知名高校、科研院所到新区落户。优先支持新区现有技术创新平台转建或创建国家</w:t>
      </w:r>
      <w:r>
        <w:rPr>
          <w:rFonts w:hint="eastAsia" w:ascii="仿宋_GB2312" w:hAnsi="仿宋_GB2312" w:eastAsia="仿宋_GB2312"/>
          <w:color w:val="000000" w:themeColor="text1"/>
          <w:sz w:val="32"/>
          <w:szCs w:val="32"/>
          <w14:textFill>
            <w14:solidFill>
              <w14:schemeClr w14:val="tx1"/>
            </w14:solidFill>
          </w14:textFill>
        </w:rPr>
        <w:t>企业技术中心、</w:t>
      </w:r>
      <w:r>
        <w:rPr>
          <w:rFonts w:hint="eastAsia" w:ascii="仿宋_GB2312" w:hAnsi="仿宋_GB2312" w:eastAsia="仿宋_GB2312"/>
          <w:color w:val="000000" w:themeColor="text1"/>
          <w:kern w:val="2"/>
          <w:sz w:val="32"/>
          <w:szCs w:val="32"/>
          <w14:textFill>
            <w14:solidFill>
              <w14:schemeClr w14:val="tx1"/>
            </w14:solidFill>
          </w14:textFill>
        </w:rPr>
        <w:t>国家技术创新中心、国家</w:t>
      </w:r>
      <w:r>
        <w:rPr>
          <w:rFonts w:hint="eastAsia" w:ascii="仿宋_GB2312" w:eastAsia="仿宋_GB2312"/>
          <w:color w:val="000000" w:themeColor="text1"/>
          <w:sz w:val="32"/>
          <w:szCs w:val="32"/>
          <w14:textFill>
            <w14:solidFill>
              <w14:schemeClr w14:val="tx1"/>
            </w14:solidFill>
          </w14:textFill>
        </w:rPr>
        <w:t>制造业创新中心</w:t>
      </w:r>
      <w:r>
        <w:rPr>
          <w:rFonts w:hint="eastAsia" w:ascii="仿宋_GB2312" w:hAnsi="仿宋_GB2312" w:eastAsia="仿宋_GB2312"/>
          <w:color w:val="000000" w:themeColor="text1"/>
          <w:kern w:val="2"/>
          <w:sz w:val="32"/>
          <w:szCs w:val="32"/>
          <w14:textFill>
            <w14:solidFill>
              <w14:schemeClr w14:val="tx1"/>
            </w14:solidFill>
          </w14:textFill>
        </w:rPr>
        <w:t>。支持</w:t>
      </w:r>
      <w:r>
        <w:rPr>
          <w:rFonts w:hint="eastAsia" w:ascii="仿宋_GB2312" w:hAnsi="仿宋_GB2312" w:eastAsia="仿宋_GB2312"/>
          <w:color w:val="000000" w:themeColor="text1"/>
          <w:kern w:val="2"/>
          <w:sz w:val="32"/>
          <w:szCs w:val="32"/>
          <w:lang w:val="zh-CN"/>
          <w14:textFill>
            <w14:solidFill>
              <w14:schemeClr w14:val="tx1"/>
            </w14:solidFill>
          </w14:textFill>
        </w:rPr>
        <w:t>柳州布局建设面向东盟的现代制造业科技创新中心，</w:t>
      </w:r>
      <w:r>
        <w:rPr>
          <w:rFonts w:ascii="仿宋_GB2312" w:hAnsi="仿宋_GB2312" w:eastAsia="仿宋_GB2312"/>
          <w:color w:val="000000" w:themeColor="text1"/>
          <w:kern w:val="2"/>
          <w:sz w:val="32"/>
          <w:szCs w:val="32"/>
          <w14:textFill>
            <w14:solidFill>
              <w14:schemeClr w14:val="tx1"/>
            </w14:solidFill>
          </w14:textFill>
        </w:rPr>
        <w:t>把</w:t>
      </w:r>
      <w:r>
        <w:rPr>
          <w:rFonts w:hint="eastAsia" w:ascii="仿宋_GB2312" w:hAnsi="仿宋_GB2312" w:eastAsia="仿宋_GB2312"/>
          <w:color w:val="000000" w:themeColor="text1"/>
          <w:kern w:val="2"/>
          <w:sz w:val="32"/>
          <w:szCs w:val="32"/>
          <w:lang w:val="zh-CN"/>
          <w14:textFill>
            <w14:solidFill>
              <w14:schemeClr w14:val="tx1"/>
            </w14:solidFill>
          </w14:textFill>
        </w:rPr>
        <w:t>柳东新区建设成为</w:t>
      </w:r>
      <w:r>
        <w:rPr>
          <w:rFonts w:hint="eastAsia" w:ascii="仿宋_GB2312" w:hAnsi="仿宋" w:eastAsia="仿宋_GB2312"/>
          <w:color w:val="000000" w:themeColor="text1"/>
          <w:sz w:val="32"/>
          <w:szCs w:val="32"/>
          <w14:textFill>
            <w14:solidFill>
              <w14:schemeClr w14:val="tx1"/>
            </w14:solidFill>
          </w14:textFill>
        </w:rPr>
        <w:t>科技创新中心的核心承载地</w:t>
      </w:r>
      <w:r>
        <w:rPr>
          <w:rFonts w:hint="eastAsia" w:ascii="仿宋_GB2312" w:hAnsi="仿宋_GB2312" w:eastAsia="仿宋_GB2312"/>
          <w:color w:val="000000" w:themeColor="text1"/>
          <w:kern w:val="2"/>
          <w:sz w:val="32"/>
          <w:szCs w:val="32"/>
          <w:lang w:val="zh-CN"/>
          <w14:textFill>
            <w14:solidFill>
              <w14:schemeClr w14:val="tx1"/>
            </w14:solidFill>
          </w14:textFill>
        </w:rPr>
        <w:t>。</w:t>
      </w:r>
      <w:r>
        <w:rPr>
          <w:rFonts w:hint="eastAsia" w:ascii="仿宋_GB2312" w:hAnsi="仿宋_GB2312" w:eastAsia="仿宋_GB2312"/>
          <w:color w:val="000000" w:themeColor="text1"/>
          <w:kern w:val="2"/>
          <w:sz w:val="32"/>
          <w:szCs w:val="32"/>
          <w14:textFill>
            <w14:solidFill>
              <w14:schemeClr w14:val="tx1"/>
            </w14:solidFill>
          </w14:textFill>
        </w:rPr>
        <w:t>积极支持</w:t>
      </w:r>
      <w:r>
        <w:rPr>
          <w:rFonts w:hint="eastAsia" w:ascii="仿宋_GB2312" w:hAnsi="仿宋_GB2312" w:eastAsia="仿宋_GB2312"/>
          <w:color w:val="000000" w:themeColor="text1"/>
          <w:sz w:val="32"/>
          <w:szCs w:val="32"/>
          <w14:textFill>
            <w14:solidFill>
              <w14:schemeClr w14:val="tx1"/>
            </w14:solidFill>
          </w14:textFill>
        </w:rPr>
        <w:t>有条件的企业积极创建企业研究院、工程技术研究中心</w:t>
      </w:r>
      <w:r>
        <w:rPr>
          <w:rFonts w:hint="eastAsia" w:ascii="仿宋_GB2312" w:eastAsia="仿宋_GB2312"/>
          <w:color w:val="000000" w:themeColor="text1"/>
          <w:sz w:val="32"/>
          <w:szCs w:val="32"/>
          <w14:textFill>
            <w14:solidFill>
              <w14:schemeClr w14:val="tx1"/>
            </w14:solidFill>
          </w14:textFill>
        </w:rPr>
        <w:t>、院士工作站</w:t>
      </w:r>
      <w:r>
        <w:rPr>
          <w:rFonts w:hint="eastAsia" w:ascii="仿宋_GB2312" w:hAnsi="仿宋_GB2312" w:eastAsia="仿宋_GB2312"/>
          <w:color w:val="000000" w:themeColor="text1"/>
          <w:sz w:val="32"/>
          <w:szCs w:val="32"/>
          <w14:textFill>
            <w14:solidFill>
              <w14:schemeClr w14:val="tx1"/>
            </w14:solidFill>
          </w14:textFill>
        </w:rPr>
        <w:t>和博士后工作站，鼓励</w:t>
      </w:r>
      <w:r>
        <w:rPr>
          <w:rFonts w:hint="eastAsia" w:ascii="仿宋_GB2312" w:hAnsi="仿宋_GB2312" w:eastAsia="仿宋_GB2312"/>
          <w:color w:val="000000" w:themeColor="text1"/>
          <w:kern w:val="2"/>
          <w:sz w:val="32"/>
          <w:szCs w:val="32"/>
          <w14:textFill>
            <w14:solidFill>
              <w14:schemeClr w14:val="tx1"/>
            </w14:solidFill>
          </w14:textFill>
        </w:rPr>
        <w:t>企业通过组建联合实验室、产业技术创新联盟</w:t>
      </w:r>
      <w:r>
        <w:rPr>
          <w:rFonts w:hint="eastAsia" w:ascii="仿宋_GB2312" w:eastAsia="仿宋_GB2312"/>
          <w:color w:val="000000" w:themeColor="text1"/>
          <w:sz w:val="32"/>
          <w:szCs w:val="32"/>
          <w14:textFill>
            <w14:solidFill>
              <w14:schemeClr w14:val="tx1"/>
            </w14:solidFill>
          </w14:textFill>
        </w:rPr>
        <w:t>等多种方式建设技术创新平台。加强规模以上工业企业、高新技术企业研发机构建设，对企业联合科研单位建设新型研发机构给予倾斜支持。到2025年，自治区级及以上重点实验室、工程实验室、工程技术研究中心、企业技术中心等各类创新平台达到120家以上。</w:t>
      </w:r>
    </w:p>
    <w:tbl>
      <w:tblPr>
        <w:tblStyle w:val="19"/>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pPr>
              <w:spacing w:beforeLines="50" w:afterLines="50"/>
              <w:jc w:val="center"/>
              <w:rPr>
                <w:rFonts w:cs="宋体" w:asciiTheme="minorEastAsia" w:hAnsiTheme="minorEastAsia"/>
                <w:b/>
                <w:bCs/>
                <w:color w:val="000000" w:themeColor="text1"/>
                <w:sz w:val="44"/>
                <w:szCs w:val="21"/>
                <w14:textFill>
                  <w14:solidFill>
                    <w14:schemeClr w14:val="tx1"/>
                  </w14:solidFill>
                </w14:textFill>
              </w:rPr>
            </w:pPr>
            <w:r>
              <w:rPr>
                <w:rFonts w:hint="eastAsia" w:cs="宋体" w:asciiTheme="minorEastAsia" w:hAnsiTheme="minorEastAsia"/>
                <w:b/>
                <w:color w:val="000000" w:themeColor="text1"/>
                <w:szCs w:val="21"/>
                <w14:textFill>
                  <w14:solidFill>
                    <w14:schemeClr w14:val="tx1"/>
                  </w14:solidFill>
                </w14:textFill>
              </w:rPr>
              <w:t>专栏3-1 重大技术创新平台布局</w:t>
            </w:r>
          </w:p>
          <w:p>
            <w:pPr>
              <w:adjustRightInd w:val="0"/>
              <w:ind w:firstLine="447" w:firstLineChars="213"/>
              <w:rPr>
                <w:color w:val="000000" w:themeColor="text1"/>
                <w14:textFill>
                  <w14:solidFill>
                    <w14:schemeClr w14:val="tx1"/>
                  </w14:solidFill>
                </w14:textFill>
              </w:rPr>
            </w:pPr>
            <w:r>
              <w:rPr>
                <w:rFonts w:hint="eastAsia" w:cs="宋体" w:asciiTheme="minorEastAsia" w:hAnsiTheme="minorEastAsia"/>
                <w:color w:val="000000" w:themeColor="text1"/>
                <w:szCs w:val="21"/>
                <w14:textFill>
                  <w14:solidFill>
                    <w14:schemeClr w14:val="tx1"/>
                  </w14:solidFill>
                </w14:textFill>
              </w:rPr>
              <w:t>加快广西汽车研究院建设和发展，支持铟锡资源高效利用国家工程实验室、</w:t>
            </w:r>
            <w:r>
              <w:rPr>
                <w:rFonts w:cs="宋体" w:asciiTheme="minorEastAsia" w:hAnsiTheme="minorEastAsia"/>
                <w:color w:val="000000" w:themeColor="text1"/>
                <w:szCs w:val="21"/>
                <w14:textFill>
                  <w14:solidFill>
                    <w14:schemeClr w14:val="tx1"/>
                  </w14:solidFill>
                </w14:textFill>
              </w:rPr>
              <w:t>上海交大汽车先进制造技术实验室</w:t>
            </w:r>
            <w:r>
              <w:rPr>
                <w:rFonts w:hint="eastAsia" w:cs="宋体" w:asciiTheme="minorEastAsia" w:hAnsiTheme="minorEastAsia"/>
                <w:color w:val="000000" w:themeColor="text1"/>
                <w:szCs w:val="21"/>
                <w14:textFill>
                  <w14:solidFill>
                    <w14:schemeClr w14:val="tx1"/>
                  </w14:solidFill>
                </w14:textFill>
              </w:rPr>
              <w:t>、吉林大学智能网联车辆动力学实验室、</w:t>
            </w:r>
            <w:r>
              <w:rPr>
                <w:rFonts w:cs="宋体" w:asciiTheme="minorEastAsia" w:hAnsiTheme="minorEastAsia"/>
                <w:color w:val="000000" w:themeColor="text1"/>
                <w:szCs w:val="21"/>
                <w14:textFill>
                  <w14:solidFill>
                    <w14:schemeClr w14:val="tx1"/>
                  </w14:solidFill>
                </w14:textFill>
              </w:rPr>
              <w:t>广工大网络安全技术实验室</w:t>
            </w:r>
            <w:r>
              <w:rPr>
                <w:rFonts w:hint="eastAsia" w:cs="宋体" w:asciiTheme="minorEastAsia" w:hAnsiTheme="minorEastAsia"/>
                <w:color w:val="000000" w:themeColor="text1"/>
                <w:szCs w:val="21"/>
                <w14:textFill>
                  <w14:solidFill>
                    <w14:schemeClr w14:val="tx1"/>
                  </w14:solidFill>
                </w14:textFill>
              </w:rPr>
              <w:t>、国家进出口汽车检测重点实验室柳州分中心、湖大艾盛柳州汽车公共服务平台等平台发展，针对智能网联车辆、车身先进设计制造等领域，争取国家部委和自治区支持建设广西重点实验室等各类高端创新平台。</w:t>
            </w:r>
          </w:p>
        </w:tc>
      </w:tr>
    </w:tbl>
    <w:p>
      <w:pPr>
        <w:pStyle w:val="5"/>
        <w:spacing w:before="0" w:after="0" w:line="240" w:lineRule="auto"/>
        <w:ind w:firstLine="640" w:firstLineChars="200"/>
        <w:rPr>
          <w:rFonts w:ascii="黑体" w:hAnsi="黑体" w:eastAsia="黑体" w:cs="Times New Roman"/>
          <w:b w:val="0"/>
          <w:color w:val="000000" w:themeColor="text1"/>
          <w14:textFill>
            <w14:solidFill>
              <w14:schemeClr w14:val="tx1"/>
            </w14:solidFill>
          </w14:textFill>
        </w:rPr>
      </w:pPr>
      <w:r>
        <w:rPr>
          <w:rFonts w:hint="eastAsia" w:ascii="黑体" w:hAnsi="黑体" w:eastAsia="黑体" w:cs="Times New Roman"/>
          <w:b w:val="0"/>
          <w:color w:val="000000" w:themeColor="text1"/>
          <w14:textFill>
            <w14:solidFill>
              <w14:schemeClr w14:val="tx1"/>
            </w14:solidFill>
          </w14:textFill>
        </w:rPr>
        <w:t>三、加强关键共性技术攻坚</w:t>
      </w:r>
    </w:p>
    <w:p>
      <w:pPr>
        <w:pStyle w:val="9"/>
        <w:ind w:firstLine="566" w:firstLineChars="177"/>
        <w:rPr>
          <w:rFonts w:ascii="仿宋_GB2312" w:hAnsi="仿宋_GB2312" w:eastAsia="仿宋_GB2312"/>
          <w:color w:val="000000" w:themeColor="text1"/>
          <w:kern w:val="2"/>
          <w:sz w:val="32"/>
          <w:szCs w:val="32"/>
          <w14:textFill>
            <w14:solidFill>
              <w14:schemeClr w14:val="tx1"/>
            </w14:solidFill>
          </w14:textFill>
        </w:rPr>
      </w:pPr>
      <w:r>
        <w:rPr>
          <w:rFonts w:hint="eastAsia" w:ascii="仿宋_GB2312" w:hAnsi="仿宋_GB2312" w:eastAsia="仿宋_GB2312"/>
          <w:color w:val="000000" w:themeColor="text1"/>
          <w:kern w:val="2"/>
          <w:sz w:val="32"/>
          <w:szCs w:val="32"/>
          <w14:textFill>
            <w14:solidFill>
              <w14:schemeClr w14:val="tx1"/>
            </w14:solidFill>
          </w14:textFill>
        </w:rPr>
        <w:t>有效统筹利用各类科技、产业、人才等专项资金，采取“一技一策”“一企一策”等方式，重点在先进制造业优势领域突破一批关键核心技术。重点推进新能源汽车、节能汽车、智能网联汽车及汽车前沿技术开发，推进汽车关键零部件攻关并向市外产业链延伸，推进数字化设计与网络协同制造等智能制造技术攻关；</w:t>
      </w:r>
      <w:r>
        <w:rPr>
          <w:rFonts w:ascii="仿宋_GB2312" w:hAnsi="仿宋_GB2312" w:eastAsia="仿宋_GB2312"/>
          <w:color w:val="000000" w:themeColor="text1"/>
          <w:kern w:val="2"/>
          <w:sz w:val="32"/>
          <w:szCs w:val="32"/>
          <w14:textFill>
            <w14:solidFill>
              <w14:schemeClr w14:val="tx1"/>
            </w14:solidFill>
          </w14:textFill>
        </w:rPr>
        <w:t>加速</w:t>
      </w:r>
      <w:r>
        <w:rPr>
          <w:rFonts w:hint="eastAsia" w:ascii="仿宋_GB2312" w:hAnsi="仿宋_GB2312" w:eastAsia="仿宋_GB2312"/>
          <w:color w:val="000000" w:themeColor="text1"/>
          <w:kern w:val="2"/>
          <w:sz w:val="32"/>
          <w:szCs w:val="32"/>
          <w14:textFill>
            <w14:solidFill>
              <w14:schemeClr w14:val="tx1"/>
            </w14:solidFill>
          </w14:textFill>
        </w:rPr>
        <w:t>驱动“</w:t>
      </w:r>
      <w:r>
        <w:rPr>
          <w:rFonts w:ascii="仿宋_GB2312" w:hAnsi="仿宋_GB2312" w:eastAsia="仿宋_GB2312"/>
          <w:color w:val="000000" w:themeColor="text1"/>
          <w:kern w:val="2"/>
          <w:sz w:val="32"/>
          <w:szCs w:val="32"/>
          <w14:textFill>
            <w14:solidFill>
              <w14:schemeClr w14:val="tx1"/>
            </w14:solidFill>
          </w14:textFill>
        </w:rPr>
        <w:t>两化融合</w:t>
      </w:r>
      <w:r>
        <w:rPr>
          <w:rFonts w:hint="eastAsia" w:ascii="仿宋_GB2312" w:hAnsi="仿宋_GB2312" w:eastAsia="仿宋_GB2312"/>
          <w:color w:val="000000" w:themeColor="text1"/>
          <w:kern w:val="2"/>
          <w:sz w:val="32"/>
          <w:szCs w:val="32"/>
          <w14:textFill>
            <w14:solidFill>
              <w14:schemeClr w14:val="tx1"/>
            </w14:solidFill>
          </w14:textFill>
        </w:rPr>
        <w:t>”，推动高端装备制造等领域的领域智能化和电动化研发，以及核心零部件产业化。支持大型骨干企业牵头组建产业共性技术研发基地，开展前沿先导技术研发和重大战略产品开发，</w:t>
      </w:r>
      <w:r>
        <w:rPr>
          <w:rFonts w:eastAsia="仿宋_GB2312"/>
          <w:color w:val="000000" w:themeColor="text1"/>
          <w:sz w:val="32"/>
          <w:szCs w:val="32"/>
          <w14:textFill>
            <w14:solidFill>
              <w14:schemeClr w14:val="tx1"/>
            </w14:solidFill>
          </w14:textFill>
        </w:rPr>
        <w:t>推动建设一批产业共性技术研发基地</w:t>
      </w:r>
      <w:r>
        <w:rPr>
          <w:rFonts w:hint="eastAsia" w:ascii="仿宋_GB2312" w:hAnsi="仿宋_GB2312" w:eastAsia="仿宋_GB2312"/>
          <w:color w:val="000000" w:themeColor="text1"/>
          <w:kern w:val="2"/>
          <w:sz w:val="32"/>
          <w:szCs w:val="32"/>
          <w14:textFill>
            <w14:solidFill>
              <w14:schemeClr w14:val="tx1"/>
            </w14:solidFill>
          </w14:textFill>
        </w:rPr>
        <w:t>。</w:t>
      </w:r>
      <w:r>
        <w:rPr>
          <w:rFonts w:hint="eastAsia" w:eastAsia="仿宋_GB2312"/>
          <w:color w:val="000000" w:themeColor="text1"/>
          <w:sz w:val="32"/>
          <w:szCs w:val="32"/>
          <w14:textFill>
            <w14:solidFill>
              <w14:schemeClr w14:val="tx1"/>
            </w14:solidFill>
          </w14:textFill>
        </w:rPr>
        <w:t>积极与国内外高校、科研院所合作开展产业共性技术攻关，</w:t>
      </w:r>
      <w:r>
        <w:rPr>
          <w:rFonts w:hint="eastAsia" w:ascii="仿宋_GB2312" w:hAnsi="仿宋_GB2312" w:eastAsia="仿宋_GB2312"/>
          <w:color w:val="000000" w:themeColor="text1"/>
          <w:kern w:val="2"/>
          <w:sz w:val="32"/>
          <w:szCs w:val="32"/>
          <w14:textFill>
            <w14:solidFill>
              <w14:schemeClr w14:val="tx1"/>
            </w14:solidFill>
          </w14:textFill>
        </w:rPr>
        <w:t>加强市区联动，支持企业申请国家部委和自治区级</w:t>
      </w:r>
      <w:r>
        <w:rPr>
          <w:rFonts w:hint="eastAsia" w:ascii="仿宋_GB2312" w:hAnsi="Dotum" w:eastAsia="仿宋_GB2312" w:cs="Arial Unicode MS"/>
          <w:bCs/>
          <w:color w:val="000000" w:themeColor="text1"/>
          <w:sz w:val="32"/>
          <w:szCs w:val="32"/>
          <w14:textFill>
            <w14:solidFill>
              <w14:schemeClr w14:val="tx1"/>
            </w14:solidFill>
          </w14:textFill>
        </w:rPr>
        <w:t>重点研发计划和重大</w:t>
      </w:r>
      <w:r>
        <w:rPr>
          <w:rFonts w:hint="eastAsia" w:ascii="仿宋_GB2312" w:hAnsi="仿宋_GB2312" w:eastAsia="仿宋_GB2312"/>
          <w:color w:val="000000" w:themeColor="text1"/>
          <w:kern w:val="2"/>
          <w:sz w:val="32"/>
          <w:szCs w:val="32"/>
          <w14:textFill>
            <w14:solidFill>
              <w14:schemeClr w14:val="tx1"/>
            </w14:solidFill>
          </w14:textFill>
        </w:rPr>
        <w:t>科技专项。</w:t>
      </w:r>
    </w:p>
    <w:p>
      <w:pPr>
        <w:pStyle w:val="4"/>
        <w:jc w:val="center"/>
        <w:rPr>
          <w:rFonts w:hint="eastAsia" w:ascii="黑体" w:hAnsi="黑体" w:eastAsia="黑体" w:cs="Times New Roman"/>
          <w:b w:val="0"/>
          <w:color w:val="000000" w:themeColor="text1"/>
          <w14:textFill>
            <w14:solidFill>
              <w14:schemeClr w14:val="tx1"/>
            </w14:solidFill>
          </w14:textFill>
        </w:rPr>
      </w:pPr>
      <w:bookmarkStart w:id="108" w:name="_Toc1457"/>
      <w:bookmarkStart w:id="109" w:name="_Toc4927"/>
      <w:bookmarkStart w:id="110" w:name="_Toc19056"/>
      <w:bookmarkStart w:id="111" w:name="_Toc7777"/>
      <w:bookmarkStart w:id="112" w:name="_Toc13362"/>
      <w:bookmarkStart w:id="113" w:name="_Toc21288"/>
      <w:r>
        <w:rPr>
          <w:rFonts w:hint="eastAsia" w:ascii="黑体" w:hAnsi="黑体" w:eastAsia="黑体" w:cs="Times New Roman"/>
          <w:b w:val="0"/>
          <w:color w:val="000000" w:themeColor="text1"/>
          <w14:textFill>
            <w14:solidFill>
              <w14:schemeClr w14:val="tx1"/>
            </w14:solidFill>
          </w14:textFill>
        </w:rPr>
        <w:t>第二节 促进科技成果转化</w:t>
      </w:r>
      <w:bookmarkEnd w:id="108"/>
      <w:bookmarkEnd w:id="109"/>
      <w:bookmarkEnd w:id="110"/>
      <w:bookmarkEnd w:id="111"/>
      <w:bookmarkEnd w:id="112"/>
      <w:bookmarkEnd w:id="113"/>
    </w:p>
    <w:p>
      <w:pPr>
        <w:pStyle w:val="5"/>
        <w:spacing w:before="0" w:after="0" w:line="240" w:lineRule="auto"/>
        <w:ind w:firstLine="627" w:firstLineChars="196"/>
        <w:rPr>
          <w:rFonts w:ascii="黑体" w:hAnsi="黑体" w:eastAsia="黑体" w:cs="Times New Roman"/>
          <w:b w:val="0"/>
          <w:color w:val="000000" w:themeColor="text1"/>
          <w14:textFill>
            <w14:solidFill>
              <w14:schemeClr w14:val="tx1"/>
            </w14:solidFill>
          </w14:textFill>
        </w:rPr>
      </w:pPr>
      <w:r>
        <w:rPr>
          <w:rFonts w:hint="eastAsia" w:ascii="黑体" w:hAnsi="黑体" w:eastAsia="黑体" w:cs="Times New Roman"/>
          <w:b w:val="0"/>
          <w:color w:val="000000" w:themeColor="text1"/>
          <w14:textFill>
            <w14:solidFill>
              <w14:schemeClr w14:val="tx1"/>
            </w14:solidFill>
          </w14:textFill>
        </w:rPr>
        <w:t>一、推动创新创业载体量质齐升</w:t>
      </w:r>
    </w:p>
    <w:p>
      <w:pPr>
        <w:pStyle w:val="9"/>
        <w:ind w:firstLine="627" w:firstLineChars="196"/>
        <w:rPr>
          <w:color w:val="000000" w:themeColor="text1"/>
          <w14:textFill>
            <w14:solidFill>
              <w14:schemeClr w14:val="tx1"/>
            </w14:solidFill>
          </w14:textFill>
        </w:rPr>
      </w:pPr>
      <w:r>
        <w:rPr>
          <w:rFonts w:hint="eastAsia" w:ascii="仿宋_GB2312" w:hAnsi="仿宋_GB2312" w:eastAsia="仿宋_GB2312"/>
          <w:color w:val="000000" w:themeColor="text1"/>
          <w:sz w:val="32"/>
          <w:szCs w:val="32"/>
          <w14:textFill>
            <w14:solidFill>
              <w14:schemeClr w14:val="tx1"/>
            </w14:solidFill>
          </w14:textFill>
        </w:rPr>
        <w:t>高标准规划建设</w:t>
      </w:r>
      <w:r>
        <w:rPr>
          <w:rFonts w:hint="eastAsia" w:ascii="仿宋_GB2312" w:eastAsia="仿宋_GB2312"/>
          <w:color w:val="000000" w:themeColor="text1"/>
          <w:sz w:val="32"/>
          <w:szCs w:val="32"/>
          <w14:textFill>
            <w14:solidFill>
              <w14:schemeClr w14:val="tx1"/>
            </w14:solidFill>
          </w14:textFill>
        </w:rPr>
        <w:t>“滨江</w:t>
      </w:r>
      <w:r>
        <w:rPr>
          <w:rFonts w:hint="eastAsia" w:ascii="仿宋_GB2312" w:hAnsi="仿宋_GB2312" w:eastAsia="仿宋_GB2312"/>
          <w:color w:val="000000" w:themeColor="text1"/>
          <w:sz w:val="32"/>
          <w:szCs w:val="32"/>
          <w14:textFill>
            <w14:solidFill>
              <w14:schemeClr w14:val="tx1"/>
            </w14:solidFill>
          </w14:textFill>
        </w:rPr>
        <w:t>智谷</w:t>
      </w:r>
      <w:r>
        <w:rPr>
          <w:rFonts w:hint="eastAsia" w:ascii="仿宋_GB2312" w:eastAsia="仿宋_GB2312"/>
          <w:color w:val="000000" w:themeColor="text1"/>
          <w:sz w:val="32"/>
          <w:szCs w:val="32"/>
          <w14:textFill>
            <w14:solidFill>
              <w14:schemeClr w14:val="tx1"/>
            </w14:solidFill>
          </w14:textFill>
        </w:rPr>
        <w:t>”、科技园</w:t>
      </w:r>
      <w:r>
        <w:rPr>
          <w:rFonts w:hint="eastAsia" w:ascii="仿宋_GB2312" w:hAnsi="仿宋_GB2312" w:eastAsia="仿宋_GB2312"/>
          <w:color w:val="000000" w:themeColor="text1"/>
          <w:sz w:val="32"/>
          <w:szCs w:val="32"/>
          <w14:textFill>
            <w14:solidFill>
              <w14:schemeClr w14:val="tx1"/>
            </w14:solidFill>
          </w14:textFill>
        </w:rPr>
        <w:t>，打造</w:t>
      </w:r>
      <w:r>
        <w:rPr>
          <w:rFonts w:hint="eastAsia" w:ascii="仿宋" w:hAnsi="仿宋" w:eastAsia="仿宋" w:cs="仿宋"/>
          <w:color w:val="000000" w:themeColor="text1"/>
          <w:sz w:val="32"/>
          <w:szCs w:val="32"/>
          <w14:textFill>
            <w14:solidFill>
              <w14:schemeClr w14:val="tx1"/>
            </w14:solidFill>
          </w14:textFill>
        </w:rPr>
        <w:t>创新资源集聚、生态环境优美、</w:t>
      </w:r>
      <w:r>
        <w:rPr>
          <w:rFonts w:hint="eastAsia" w:ascii="仿宋_GB2312" w:hAnsi="仿宋_GB2312" w:eastAsia="仿宋_GB2312"/>
          <w:color w:val="000000" w:themeColor="text1"/>
          <w:sz w:val="32"/>
          <w:szCs w:val="32"/>
          <w14:textFill>
            <w14:solidFill>
              <w14:schemeClr w14:val="tx1"/>
            </w14:solidFill>
          </w14:textFill>
        </w:rPr>
        <w:t>储备新区发展后劲的创新创业高地。</w:t>
      </w:r>
      <w:r>
        <w:rPr>
          <w:rFonts w:hint="eastAsia" w:ascii="仿宋_GB2312" w:eastAsia="仿宋_GB2312"/>
          <w:color w:val="000000" w:themeColor="text1"/>
          <w:sz w:val="32"/>
          <w:szCs w:val="32"/>
          <w14:textFill>
            <w14:solidFill>
              <w14:schemeClr w14:val="tx1"/>
            </w14:solidFill>
          </w14:textFill>
        </w:rPr>
        <w:t>积极争取国家和自治区对新区“双创”示范基地的支持，大力提升自治区级以上“双创”示范基地的数量和质量。</w:t>
      </w:r>
      <w:r>
        <w:rPr>
          <w:rFonts w:hint="eastAsia" w:ascii="仿宋_GB2312" w:hAnsi="仿宋_GB2312" w:eastAsia="仿宋_GB2312"/>
          <w:bCs/>
          <w:color w:val="000000" w:themeColor="text1"/>
          <w:sz w:val="32"/>
          <w:szCs w:val="32"/>
          <w14:textFill>
            <w14:solidFill>
              <w14:schemeClr w14:val="tx1"/>
            </w14:solidFill>
          </w14:textFill>
        </w:rPr>
        <w:t>推进现有孵化器提质升级，支持柳州高新技术创业服务中心打造专业化创业服务平台，完善“众创空间（创业苗圃）－孵化器－加速器－专业产业园区”科技创业孵化链条。鼓励龙头企业、高校和科研院所建设一批平台型高质量众创空间。</w:t>
      </w:r>
      <w:r>
        <w:rPr>
          <w:rFonts w:hint="eastAsia" w:ascii="仿宋_GB2312" w:hAnsi="仿宋_GB2312" w:eastAsia="仿宋_GB2312"/>
          <w:color w:val="000000" w:themeColor="text1"/>
          <w:sz w:val="32"/>
          <w:szCs w:val="32"/>
          <w14:textFill>
            <w14:solidFill>
              <w14:schemeClr w14:val="tx1"/>
            </w14:solidFill>
          </w14:textFill>
        </w:rPr>
        <w:t>到2025年</w:t>
      </w:r>
      <w:r>
        <w:rPr>
          <w:rFonts w:ascii="仿宋_GB2312" w:hAnsi="仿宋_GB2312" w:eastAsia="仿宋_GB2312" w:cs="Times New Roman"/>
          <w:color w:val="000000" w:themeColor="text1"/>
          <w:sz w:val="32"/>
          <w:szCs w:val="32"/>
          <w14:textFill>
            <w14:solidFill>
              <w14:schemeClr w14:val="tx1"/>
            </w14:solidFill>
          </w14:textFill>
        </w:rPr>
        <w:t>，</w:t>
      </w:r>
      <w:r>
        <w:rPr>
          <w:rFonts w:hint="eastAsia" w:ascii="仿宋_GB2312" w:hAnsi="仿宋_GB2312" w:eastAsia="仿宋_GB2312"/>
          <w:color w:val="000000" w:themeColor="text1"/>
          <w:sz w:val="32"/>
          <w:szCs w:val="32"/>
          <w14:textFill>
            <w14:solidFill>
              <w14:schemeClr w14:val="tx1"/>
            </w14:solidFill>
          </w14:textFill>
        </w:rPr>
        <w:t>建成各类“双创</w:t>
      </w:r>
      <w:r>
        <w:rPr>
          <w:rFonts w:ascii="仿宋_GB2312" w:hAnsi="仿宋_GB2312" w:eastAsia="仿宋_GB2312"/>
          <w:color w:val="000000" w:themeColor="text1"/>
          <w:sz w:val="32"/>
          <w:szCs w:val="32"/>
          <w14:textFill>
            <w14:solidFill>
              <w14:schemeClr w14:val="tx1"/>
            </w14:solidFill>
          </w14:textFill>
        </w:rPr>
        <w:t>”</w:t>
      </w:r>
      <w:r>
        <w:rPr>
          <w:rFonts w:hint="eastAsia" w:ascii="仿宋_GB2312" w:hAnsi="仿宋_GB2312" w:eastAsia="仿宋_GB2312"/>
          <w:color w:val="000000" w:themeColor="text1"/>
          <w:sz w:val="32"/>
          <w:szCs w:val="32"/>
          <w14:textFill>
            <w14:solidFill>
              <w14:schemeClr w14:val="tx1"/>
            </w14:solidFill>
          </w14:textFill>
        </w:rPr>
        <w:t>载体40家以上，其中国家级、自治区级18家以上</w:t>
      </w:r>
      <w:r>
        <w:rPr>
          <w:rFonts w:hint="eastAsia" w:ascii="仿宋_GB2312" w:hAnsi="仿宋_GB2312" w:eastAsia="仿宋_GB2312" w:cs="Times New Roman"/>
          <w:color w:val="000000" w:themeColor="text1"/>
          <w:sz w:val="32"/>
          <w:szCs w:val="32"/>
          <w14:textFill>
            <w14:solidFill>
              <w14:schemeClr w14:val="tx1"/>
            </w14:solidFill>
          </w14:textFill>
        </w:rPr>
        <w:t>。</w:t>
      </w:r>
    </w:p>
    <w:tbl>
      <w:tblPr>
        <w:tblStyle w:val="19"/>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pPr>
              <w:spacing w:beforeLines="50" w:afterLines="50"/>
              <w:jc w:val="center"/>
              <w:rPr>
                <w:rFonts w:cs="宋体" w:asciiTheme="minorEastAsia" w:hAnsiTheme="minorEastAsia"/>
                <w:b/>
                <w:bCs/>
                <w:color w:val="000000" w:themeColor="text1"/>
                <w:sz w:val="44"/>
                <w:szCs w:val="21"/>
                <w14:textFill>
                  <w14:solidFill>
                    <w14:schemeClr w14:val="tx1"/>
                  </w14:solidFill>
                </w14:textFill>
              </w:rPr>
            </w:pPr>
            <w:r>
              <w:rPr>
                <w:rFonts w:hint="eastAsia" w:cs="宋体" w:asciiTheme="minorEastAsia" w:hAnsiTheme="minorEastAsia"/>
                <w:b/>
                <w:color w:val="000000" w:themeColor="text1"/>
                <w:szCs w:val="21"/>
                <w14:textFill>
                  <w14:solidFill>
                    <w14:schemeClr w14:val="tx1"/>
                  </w14:solidFill>
                </w14:textFill>
              </w:rPr>
              <w:t>专栏3-2 创新创业载体培育工程</w:t>
            </w:r>
          </w:p>
          <w:p>
            <w:pPr>
              <w:adjustRightInd w:val="0"/>
              <w:ind w:firstLine="411" w:firstLineChars="196"/>
              <w:rPr>
                <w:rFonts w:cs="宋体" w:asciiTheme="minorEastAsia" w:hAnsiTheme="minorEastAsia"/>
                <w:color w:val="000000" w:themeColor="text1"/>
                <w:szCs w:val="21"/>
                <w14:textFill>
                  <w14:solidFill>
                    <w14:schemeClr w14:val="tx1"/>
                  </w14:solidFill>
                </w14:textFill>
              </w:rPr>
            </w:pPr>
            <w:r>
              <w:rPr>
                <w:rFonts w:hint="eastAsia" w:cs="宋体" w:asciiTheme="minorEastAsia" w:hAnsiTheme="minorEastAsia"/>
                <w:color w:val="000000" w:themeColor="text1"/>
                <w:szCs w:val="21"/>
                <w14:textFill>
                  <w14:solidFill>
                    <w14:schemeClr w14:val="tx1"/>
                  </w14:solidFill>
                </w14:textFill>
              </w:rPr>
              <w:t>加快规划建设“滨江智谷”；加快建设国家创新创业示范基地；支持国家信息中心大数据</w:t>
            </w:r>
            <w:r>
              <w:rPr>
                <w:rFonts w:cs="宋体" w:asciiTheme="minorEastAsia" w:hAnsiTheme="minorEastAsia"/>
                <w:color w:val="000000" w:themeColor="text1"/>
                <w:szCs w:val="21"/>
                <w14:textFill>
                  <w14:solidFill>
                    <w14:schemeClr w14:val="tx1"/>
                  </w14:solidFill>
                </w14:textFill>
              </w:rPr>
              <w:t>工业应用（柳州）</w:t>
            </w:r>
            <w:r>
              <w:rPr>
                <w:rFonts w:hint="eastAsia" w:cs="宋体" w:asciiTheme="minorEastAsia" w:hAnsiTheme="minorEastAsia"/>
                <w:color w:val="000000" w:themeColor="text1"/>
                <w:szCs w:val="21"/>
                <w14:textFill>
                  <w14:solidFill>
                    <w14:schemeClr w14:val="tx1"/>
                  </w14:solidFill>
                </w14:textFill>
              </w:rPr>
              <w:t>基地、广西智能汽车生态科技孵化器、上海漕河泾柳东创新创业园、猪八戒网柳东数字经济产业园、柳州市海内外高端人才创业创新示范基地、柳州短视频直播基地、广西互联网教育产业园、柳州772数字文化创意产业园、机器人产业集群培育基地等加快发展。</w:t>
            </w:r>
          </w:p>
          <w:p>
            <w:pPr>
              <w:jc w:val="center"/>
              <w:rPr>
                <w:color w:val="000000" w:themeColor="text1"/>
                <w14:textFill>
                  <w14:solidFill>
                    <w14:schemeClr w14:val="tx1"/>
                  </w14:solidFill>
                </w14:textFill>
              </w:rPr>
            </w:pPr>
          </w:p>
        </w:tc>
      </w:tr>
    </w:tbl>
    <w:p>
      <w:pPr>
        <w:pStyle w:val="5"/>
        <w:spacing w:before="0" w:after="0" w:line="240" w:lineRule="auto"/>
        <w:ind w:firstLine="627" w:firstLineChars="196"/>
        <w:rPr>
          <w:rFonts w:ascii="黑体" w:hAnsi="黑体" w:eastAsia="黑体" w:cs="Times New Roman"/>
          <w:b w:val="0"/>
          <w:color w:val="000000" w:themeColor="text1"/>
          <w14:textFill>
            <w14:solidFill>
              <w14:schemeClr w14:val="tx1"/>
            </w14:solidFill>
          </w14:textFill>
        </w:rPr>
      </w:pPr>
      <w:r>
        <w:rPr>
          <w:rFonts w:hint="eastAsia" w:ascii="黑体" w:hAnsi="黑体" w:eastAsia="黑体" w:cs="Times New Roman"/>
          <w:b w:val="0"/>
          <w:color w:val="000000" w:themeColor="text1"/>
          <w14:textFill>
            <w14:solidFill>
              <w14:schemeClr w14:val="tx1"/>
            </w14:solidFill>
          </w14:textFill>
        </w:rPr>
        <w:t>二、搭建优质公共技术服务平台</w:t>
      </w:r>
    </w:p>
    <w:p>
      <w:pPr>
        <w:ind w:firstLine="640" w:firstLineChars="200"/>
        <w:rPr>
          <w:rFonts w:ascii="仿宋_GB2312" w:hAnsi="仿宋" w:eastAsia="仿宋_GB2312"/>
          <w:color w:val="000000" w:themeColor="text1"/>
          <w:sz w:val="32"/>
          <w:szCs w:val="32"/>
          <w14:textFill>
            <w14:solidFill>
              <w14:schemeClr w14:val="tx1"/>
            </w14:solidFill>
          </w14:textFill>
        </w:rPr>
      </w:pPr>
      <w:r>
        <w:rPr>
          <w:rFonts w:hint="eastAsia" w:ascii="仿宋_GB2312" w:hAnsi="仿宋" w:eastAsia="仿宋_GB2312"/>
          <w:color w:val="000000" w:themeColor="text1"/>
          <w:sz w:val="32"/>
          <w:szCs w:val="32"/>
          <w:lang w:eastAsia="zh-CN"/>
          <w14:textFill>
            <w14:solidFill>
              <w14:schemeClr w14:val="tx1"/>
            </w14:solidFill>
          </w14:textFill>
        </w:rPr>
        <w:t>紧抓</w:t>
      </w:r>
      <w:r>
        <w:rPr>
          <w:rFonts w:hint="eastAsia" w:ascii="仿宋_GB2312" w:hAnsi="仿宋" w:eastAsia="仿宋_GB2312"/>
          <w:color w:val="000000" w:themeColor="text1"/>
          <w:sz w:val="32"/>
          <w:szCs w:val="32"/>
          <w14:textFill>
            <w14:solidFill>
              <w14:schemeClr w14:val="tx1"/>
            </w14:solidFill>
          </w14:textFill>
        </w:rPr>
        <w:t>柳州</w:t>
      </w:r>
      <w:r>
        <w:rPr>
          <w:rFonts w:hint="eastAsia" w:ascii="仿宋_GB2312" w:hAnsi="仿宋" w:eastAsia="仿宋_GB2312"/>
          <w:color w:val="000000" w:themeColor="text1"/>
          <w:sz w:val="32"/>
          <w:szCs w:val="32"/>
          <w:lang w:eastAsia="zh-CN"/>
          <w14:textFill>
            <w14:solidFill>
              <w14:schemeClr w14:val="tx1"/>
            </w14:solidFill>
          </w14:textFill>
        </w:rPr>
        <w:t>国家</w:t>
      </w:r>
      <w:r>
        <w:rPr>
          <w:rFonts w:hint="eastAsia" w:ascii="仿宋_GB2312" w:hAnsi="仿宋" w:eastAsia="仿宋_GB2312"/>
          <w:color w:val="000000" w:themeColor="text1"/>
          <w:sz w:val="32"/>
          <w:szCs w:val="32"/>
          <w14:textFill>
            <w14:solidFill>
              <w14:schemeClr w14:val="tx1"/>
            </w14:solidFill>
          </w14:textFill>
        </w:rPr>
        <w:t>高新区高标准开发建设</w:t>
      </w:r>
      <w:r>
        <w:rPr>
          <w:rFonts w:hint="eastAsia" w:ascii="仿宋_GB2312" w:hAnsi="仿宋" w:eastAsia="仿宋_GB2312"/>
          <w:color w:val="000000" w:themeColor="text1"/>
          <w:sz w:val="32"/>
          <w:szCs w:val="32"/>
          <w:lang w:eastAsia="zh-CN"/>
          <w14:textFill>
            <w14:solidFill>
              <w14:schemeClr w14:val="tx1"/>
            </w14:solidFill>
          </w14:textFill>
        </w:rPr>
        <w:t>的良好</w:t>
      </w:r>
      <w:r>
        <w:rPr>
          <w:rFonts w:hint="eastAsia" w:ascii="仿宋_GB2312" w:hAnsi="仿宋" w:eastAsia="仿宋_GB2312"/>
          <w:color w:val="000000" w:themeColor="text1"/>
          <w:sz w:val="32"/>
          <w:szCs w:val="32"/>
          <w14:textFill>
            <w14:solidFill>
              <w14:schemeClr w14:val="tx1"/>
            </w14:solidFill>
          </w14:textFill>
        </w:rPr>
        <w:t>契机，围绕新区产业特点，以龙头企业自建、政企共建等方式，建设一批面向企业的汽车、装备制造研发设计、试验验证、检验检测等公共技术服务平台，重点加快建设新能源汽车检测中心等技术平台。加快推动国家汽车质量检验中心二期项目工程，进一步完善智能网联及无人驾驶汽车、汽车主动安全、汽车实车碰撞等试验能力。</w:t>
      </w:r>
      <w:r>
        <w:rPr>
          <w:rFonts w:hint="eastAsia" w:ascii="仿宋_GB2312" w:hAnsi="仿宋" w:eastAsia="仿宋_GB2312"/>
          <w:bCs/>
          <w:color w:val="000000" w:themeColor="text1"/>
          <w:sz w:val="32"/>
          <w:szCs w:val="32"/>
          <w14:textFill>
            <w14:solidFill>
              <w14:schemeClr w14:val="tx1"/>
            </w14:solidFill>
          </w14:textFill>
        </w:rPr>
        <w:t>推进上海交大汽车先进制造技术实验室智能制造示范基地、吉林大学智能网联车辆动力学实验室建设，为企业与国内外高校、科研院所开展合作提供专业化服务。</w:t>
      </w:r>
      <w:r>
        <w:rPr>
          <w:rFonts w:hint="eastAsia" w:ascii="仿宋_GB2312" w:hAnsi="仿宋" w:eastAsia="仿宋_GB2312"/>
          <w:color w:val="000000" w:themeColor="text1"/>
          <w:sz w:val="32"/>
          <w:szCs w:val="32"/>
          <w14:textFill>
            <w14:solidFill>
              <w14:schemeClr w14:val="tx1"/>
            </w14:solidFill>
          </w14:textFill>
        </w:rPr>
        <w:t>推动发展工业设计、知识产权、电子商务、创业孵化、信息服务等公共服务平台，形成完善的公共技术服务平台体系。</w:t>
      </w:r>
    </w:p>
    <w:tbl>
      <w:tblPr>
        <w:tblStyle w:val="19"/>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1" w:hRule="atLeast"/>
          <w:jc w:val="center"/>
        </w:trPr>
        <w:tc>
          <w:tcPr>
            <w:tcW w:w="8522" w:type="dxa"/>
          </w:tcPr>
          <w:p>
            <w:pPr>
              <w:spacing w:beforeLines="50" w:afterLines="50"/>
              <w:jc w:val="center"/>
              <w:rPr>
                <w:rFonts w:cs="宋体" w:asciiTheme="minorEastAsia" w:hAnsiTheme="minorEastAsia"/>
                <w:b/>
                <w:bCs/>
                <w:color w:val="000000" w:themeColor="text1"/>
                <w:sz w:val="44"/>
                <w:szCs w:val="21"/>
                <w14:textFill>
                  <w14:solidFill>
                    <w14:schemeClr w14:val="tx1"/>
                  </w14:solidFill>
                </w14:textFill>
              </w:rPr>
            </w:pPr>
            <w:r>
              <w:rPr>
                <w:rFonts w:hint="eastAsia" w:cs="宋体" w:asciiTheme="minorEastAsia" w:hAnsiTheme="minorEastAsia"/>
                <w:b/>
                <w:color w:val="000000" w:themeColor="text1"/>
                <w:szCs w:val="21"/>
                <w14:textFill>
                  <w14:solidFill>
                    <w14:schemeClr w14:val="tx1"/>
                  </w14:solidFill>
                </w14:textFill>
              </w:rPr>
              <w:t>专栏3-3 科技创新服务平台建设重点</w:t>
            </w:r>
          </w:p>
          <w:p>
            <w:pPr>
              <w:adjustRightInd w:val="0"/>
              <w:ind w:firstLine="411" w:firstLineChars="196"/>
              <w:rPr>
                <w:color w:val="000000" w:themeColor="text1"/>
                <w14:textFill>
                  <w14:solidFill>
                    <w14:schemeClr w14:val="tx1"/>
                  </w14:solidFill>
                </w14:textFill>
              </w:rPr>
            </w:pPr>
            <w:r>
              <w:rPr>
                <w:rFonts w:hint="eastAsia" w:cs="宋体" w:asciiTheme="minorEastAsia" w:hAnsiTheme="minorEastAsia"/>
                <w:color w:val="000000" w:themeColor="text1"/>
                <w:szCs w:val="21"/>
                <w14:textFill>
                  <w14:solidFill>
                    <w14:schemeClr w14:val="tx1"/>
                  </w14:solidFill>
                </w14:textFill>
              </w:rPr>
              <w:t>加快建设国家汽车质量检验中心（广西）二期、汽车测试场等一批项目。</w:t>
            </w:r>
          </w:p>
        </w:tc>
      </w:tr>
    </w:tbl>
    <w:p>
      <w:pPr>
        <w:pStyle w:val="5"/>
        <w:spacing w:before="0" w:after="0" w:line="240" w:lineRule="auto"/>
        <w:ind w:firstLine="627" w:firstLineChars="196"/>
        <w:rPr>
          <w:rFonts w:hint="eastAsia" w:ascii="黑体" w:hAnsi="黑体" w:eastAsia="黑体" w:cs="Times New Roman"/>
          <w:b w:val="0"/>
          <w:color w:val="000000" w:themeColor="text1"/>
          <w14:textFill>
            <w14:solidFill>
              <w14:schemeClr w14:val="tx1"/>
            </w14:solidFill>
          </w14:textFill>
        </w:rPr>
      </w:pPr>
      <w:r>
        <w:rPr>
          <w:rFonts w:hint="eastAsia" w:ascii="黑体" w:hAnsi="黑体" w:eastAsia="黑体" w:cs="Times New Roman"/>
          <w:b w:val="0"/>
          <w:color w:val="000000" w:themeColor="text1"/>
          <w14:textFill>
            <w14:solidFill>
              <w14:schemeClr w14:val="tx1"/>
            </w14:solidFill>
          </w14:textFill>
        </w:rPr>
        <w:t>三、健全成果转化市场服务体系</w:t>
      </w:r>
    </w:p>
    <w:p>
      <w:pPr>
        <w:pStyle w:val="9"/>
        <w:ind w:firstLine="643" w:firstLineChars="201"/>
        <w:rPr>
          <w:rFonts w:ascii="仿宋_GB2312" w:hAnsi="仿宋" w:eastAsia="仿宋_GB2312"/>
          <w:color w:val="000000" w:themeColor="text1"/>
          <w:sz w:val="32"/>
          <w:szCs w:val="32"/>
          <w14:textFill>
            <w14:solidFill>
              <w14:schemeClr w14:val="tx1"/>
            </w14:solidFill>
          </w14:textFill>
        </w:rPr>
      </w:pPr>
      <w:r>
        <w:rPr>
          <w:rFonts w:hint="eastAsia" w:ascii="仿宋_GB2312" w:hAnsi="仿宋" w:eastAsia="仿宋_GB2312"/>
          <w:color w:val="000000" w:themeColor="text1"/>
          <w:sz w:val="32"/>
          <w:szCs w:val="32"/>
          <w14:textFill>
            <w14:solidFill>
              <w14:schemeClr w14:val="tx1"/>
            </w14:solidFill>
          </w14:textFill>
        </w:rPr>
        <w:t>坚持政府引导、市场主导原则，持续完善技术产业化、知识产权、科技金融等创新服务，推动</w:t>
      </w:r>
      <w:r>
        <w:rPr>
          <w:rFonts w:hint="eastAsia" w:ascii="仿宋_GB2312" w:hAnsi="仿宋" w:eastAsia="仿宋_GB2312"/>
          <w:color w:val="000000" w:themeColor="text1"/>
          <w:sz w:val="32"/>
          <w:szCs w:val="32"/>
          <w:lang w:eastAsia="zh-CN"/>
          <w14:textFill>
            <w14:solidFill>
              <w14:schemeClr w14:val="tx1"/>
            </w14:solidFill>
          </w14:textFill>
        </w:rPr>
        <w:t>柳州国家高新区</w:t>
      </w:r>
      <w:r>
        <w:rPr>
          <w:rFonts w:hint="eastAsia" w:ascii="仿宋_GB2312" w:hAnsi="仿宋" w:eastAsia="仿宋_GB2312"/>
          <w:color w:val="000000" w:themeColor="text1"/>
          <w:sz w:val="32"/>
          <w:szCs w:val="32"/>
          <w14:textFill>
            <w14:solidFill>
              <w14:schemeClr w14:val="tx1"/>
            </w14:solidFill>
          </w14:textFill>
        </w:rPr>
        <w:t>创建国家科技成果转移转化示范区，建立高效的科技创新成果转化服务体系。健全技术转移机制，建设完善科技大市场，加快引进和培育专业性技术转移服务机构，打造区域科技成果交易中心。支持东城集团与国内大型国企、战略投资者、高校院所和创投机构共建重大科技成果产业化落地促进平台。</w:t>
      </w:r>
      <w:r>
        <w:rPr>
          <w:rFonts w:hint="eastAsia" w:eastAsia="仿宋_GB2312"/>
          <w:color w:val="000000" w:themeColor="text1"/>
          <w:sz w:val="32"/>
          <w:szCs w:val="32"/>
          <w14:textFill>
            <w14:solidFill>
              <w14:schemeClr w14:val="tx1"/>
            </w14:solidFill>
          </w14:textFill>
        </w:rPr>
        <w:t>积极申报自治区专利导航项目，筹备成立知识产权联盟以及打造专利池等创新举措，</w:t>
      </w:r>
      <w:r>
        <w:rPr>
          <w:rFonts w:hint="eastAsia" w:ascii="仿宋_GB2312" w:hAnsi="仿宋" w:eastAsia="仿宋_GB2312"/>
          <w:color w:val="000000" w:themeColor="text1"/>
          <w:sz w:val="32"/>
          <w:szCs w:val="32"/>
          <w14:textFill>
            <w14:solidFill>
              <w14:schemeClr w14:val="tx1"/>
            </w14:solidFill>
          </w14:textFill>
        </w:rPr>
        <w:t>积极引进国内外知名知识产权专业服务机构、专业运营机构，提供优质知识产权服务。开展科技和金融结合、投贷联动、金融科技应用等试点，探索设立科技支行等科技金融专营机构，通过科技小额贷款、专利质押融资、股权质押融资、产业引导基金、科技保险等渠道，不断完善科技金融服务体系。“十四五”期内，新区科技服务业营业收入争取实现年均增长10％以上。</w:t>
      </w:r>
    </w:p>
    <w:p>
      <w:pPr>
        <w:pStyle w:val="4"/>
        <w:jc w:val="center"/>
        <w:rPr>
          <w:rFonts w:hint="eastAsia" w:ascii="黑体" w:hAnsi="黑体" w:eastAsia="黑体" w:cs="Times New Roman"/>
          <w:b w:val="0"/>
          <w:color w:val="000000" w:themeColor="text1"/>
          <w14:textFill>
            <w14:solidFill>
              <w14:schemeClr w14:val="tx1"/>
            </w14:solidFill>
          </w14:textFill>
        </w:rPr>
      </w:pPr>
      <w:bookmarkStart w:id="114" w:name="_Toc1931"/>
      <w:bookmarkStart w:id="115" w:name="_Toc23575"/>
      <w:bookmarkStart w:id="116" w:name="_Toc20585"/>
      <w:bookmarkStart w:id="117" w:name="_Toc9952"/>
      <w:bookmarkStart w:id="118" w:name="_Toc25295"/>
      <w:bookmarkStart w:id="119" w:name="_Toc22572"/>
      <w:r>
        <w:rPr>
          <w:rFonts w:hint="eastAsia" w:ascii="黑体" w:hAnsi="黑体" w:eastAsia="黑体" w:cs="Times New Roman"/>
          <w:b w:val="0"/>
          <w:color w:val="000000" w:themeColor="text1"/>
          <w14:textFill>
            <w14:solidFill>
              <w14:schemeClr w14:val="tx1"/>
            </w14:solidFill>
          </w14:textFill>
        </w:rPr>
        <w:t>第三节 完善创新创业环境</w:t>
      </w:r>
      <w:bookmarkEnd w:id="114"/>
      <w:bookmarkEnd w:id="115"/>
      <w:bookmarkEnd w:id="116"/>
      <w:bookmarkEnd w:id="117"/>
      <w:bookmarkEnd w:id="118"/>
      <w:bookmarkEnd w:id="119"/>
    </w:p>
    <w:p>
      <w:pPr>
        <w:pStyle w:val="5"/>
        <w:spacing w:before="0" w:after="0" w:line="240" w:lineRule="auto"/>
        <w:ind w:firstLine="627" w:firstLineChars="196"/>
        <w:rPr>
          <w:rFonts w:ascii="黑体" w:hAnsi="黑体" w:eastAsia="黑体" w:cs="Times New Roman"/>
          <w:b w:val="0"/>
          <w:color w:val="000000" w:themeColor="text1"/>
          <w14:textFill>
            <w14:solidFill>
              <w14:schemeClr w14:val="tx1"/>
            </w14:solidFill>
          </w14:textFill>
        </w:rPr>
      </w:pPr>
      <w:r>
        <w:rPr>
          <w:rFonts w:hint="eastAsia" w:ascii="黑体" w:hAnsi="黑体" w:eastAsia="黑体" w:cs="Times New Roman"/>
          <w:b w:val="0"/>
          <w:color w:val="000000" w:themeColor="text1"/>
          <w14:textFill>
            <w14:solidFill>
              <w14:schemeClr w14:val="tx1"/>
            </w14:solidFill>
          </w14:textFill>
        </w:rPr>
        <w:t>一、深化科技体制机制改革创新</w:t>
      </w:r>
    </w:p>
    <w:p>
      <w:pPr>
        <w:pStyle w:val="9"/>
        <w:ind w:firstLine="643" w:firstLineChars="201"/>
        <w:rPr>
          <w:rFonts w:ascii="仿宋_GB2312" w:hAnsi="仿宋" w:eastAsia="仿宋_GB2312"/>
          <w:color w:val="000000" w:themeColor="text1"/>
          <w:sz w:val="32"/>
          <w:szCs w:val="32"/>
          <w14:textFill>
            <w14:solidFill>
              <w14:schemeClr w14:val="tx1"/>
            </w14:solidFill>
          </w14:textFill>
        </w:rPr>
      </w:pPr>
      <w:r>
        <w:rPr>
          <w:rFonts w:hint="eastAsia" w:ascii="仿宋_GB2312" w:hAnsi="仿宋" w:eastAsia="仿宋_GB2312"/>
          <w:color w:val="000000" w:themeColor="text1"/>
          <w:sz w:val="32"/>
          <w:szCs w:val="32"/>
          <w14:textFill>
            <w14:solidFill>
              <w14:schemeClr w14:val="tx1"/>
            </w14:solidFill>
          </w14:textFill>
        </w:rPr>
        <w:t>力促柳州国家高新区高质量发展，建立高新技术成果产出、转化和产业化机制，攻克一批支撑产业和区域发展的关键核心技术，形成一批自主可控、国际领先的产品，培育一批具有国际竞争力的创新型企业和产业集群，推动柳州国家高新区科技创新综合实力在自治区排名持续保持首位。积极与自治区和国家有关部门对接，争取在国家高新区复制推广自贸试验区和国家自主创新示范区相关试点政策。深化科技创新和职业教育体制机制改革，争取部区市合作共建机制，打造国内一流的产教融合示范区。</w:t>
      </w:r>
    </w:p>
    <w:p>
      <w:pPr>
        <w:pStyle w:val="5"/>
        <w:spacing w:before="0" w:after="0" w:line="240" w:lineRule="auto"/>
        <w:ind w:firstLine="643" w:firstLineChars="201"/>
        <w:rPr>
          <w:rFonts w:ascii="黑体" w:hAnsi="黑体" w:eastAsia="黑体" w:cs="Times New Roman"/>
          <w:b w:val="0"/>
          <w:color w:val="000000" w:themeColor="text1"/>
          <w14:textFill>
            <w14:solidFill>
              <w14:schemeClr w14:val="tx1"/>
            </w14:solidFill>
          </w14:textFill>
        </w:rPr>
      </w:pPr>
      <w:r>
        <w:rPr>
          <w:rFonts w:hint="eastAsia" w:ascii="黑体" w:hAnsi="黑体" w:eastAsia="黑体" w:cs="Times New Roman"/>
          <w:b w:val="0"/>
          <w:color w:val="000000" w:themeColor="text1"/>
          <w14:textFill>
            <w14:solidFill>
              <w14:schemeClr w14:val="tx1"/>
            </w14:solidFill>
          </w14:textFill>
        </w:rPr>
        <w:t>二、健全科技创新政策支撑体系</w:t>
      </w:r>
    </w:p>
    <w:p>
      <w:pPr>
        <w:pStyle w:val="9"/>
        <w:spacing w:after="0"/>
        <w:ind w:firstLine="643" w:firstLineChars="201"/>
        <w:rPr>
          <w:rFonts w:ascii="仿宋_GB2312" w:hAnsi="仿宋" w:eastAsia="仿宋_GB2312"/>
          <w:color w:val="000000" w:themeColor="text1"/>
          <w:sz w:val="32"/>
          <w:szCs w:val="32"/>
          <w14:textFill>
            <w14:solidFill>
              <w14:schemeClr w14:val="tx1"/>
            </w14:solidFill>
          </w14:textFill>
        </w:rPr>
      </w:pPr>
      <w:r>
        <w:rPr>
          <w:rFonts w:hint="eastAsia" w:ascii="仿宋_GB2312" w:hAnsi="仿宋" w:eastAsia="仿宋_GB2312"/>
          <w:color w:val="000000" w:themeColor="text1"/>
          <w:sz w:val="32"/>
          <w:szCs w:val="32"/>
          <w14:textFill>
            <w14:solidFill>
              <w14:schemeClr w14:val="tx1"/>
            </w14:solidFill>
          </w14:textFill>
        </w:rPr>
        <w:t>持续加大政府财政科技投入，将科技支出作为每年预算保障的重点，确保财政科技支出只增不减。加快推进财政科技投入体制机制改革，综合运用无偿资助、后补助、政府采购、风险补偿、股权投资等多种投入方式，增强财政资金的杠杆效应。扩大科技创新券适用范围，支持高校、科研院所科技人员个人申领使用科技创新券，服务企业科技成果转移转化。完善政府采购企业创新产品和服务政策，探索推行政府首购、订购和“三首”（首台套、首批次、首版次）的应用示范政策。</w:t>
      </w:r>
    </w:p>
    <w:p>
      <w:pPr>
        <w:pStyle w:val="5"/>
        <w:spacing w:before="0" w:after="0" w:line="240" w:lineRule="auto"/>
        <w:ind w:firstLine="643" w:firstLineChars="201"/>
        <w:rPr>
          <w:rFonts w:ascii="黑体" w:hAnsi="黑体" w:eastAsia="黑体" w:cs="Times New Roman"/>
          <w:b w:val="0"/>
          <w:color w:val="000000" w:themeColor="text1"/>
          <w14:textFill>
            <w14:solidFill>
              <w14:schemeClr w14:val="tx1"/>
            </w14:solidFill>
          </w14:textFill>
        </w:rPr>
      </w:pPr>
      <w:r>
        <w:rPr>
          <w:rFonts w:hint="eastAsia" w:ascii="黑体" w:hAnsi="黑体" w:eastAsia="黑体" w:cs="Times New Roman"/>
          <w:b w:val="0"/>
          <w:color w:val="000000" w:themeColor="text1"/>
          <w14:textFill>
            <w14:solidFill>
              <w14:schemeClr w14:val="tx1"/>
            </w14:solidFill>
          </w14:textFill>
        </w:rPr>
        <w:t>三、营造创新创业良好氛围</w:t>
      </w:r>
    </w:p>
    <w:p>
      <w:pPr>
        <w:pStyle w:val="9"/>
        <w:spacing w:after="0"/>
        <w:ind w:firstLine="640" w:firstLineChars="200"/>
        <w:rPr>
          <w:rFonts w:ascii="仿宋_GB2312" w:eastAsia="仿宋_GB2312"/>
          <w:bCs/>
          <w:color w:val="000000" w:themeColor="text1"/>
          <w:sz w:val="32"/>
          <w:szCs w:val="32"/>
          <w14:textFill>
            <w14:solidFill>
              <w14:schemeClr w14:val="tx1"/>
            </w14:solidFill>
          </w14:textFill>
        </w:rPr>
      </w:pPr>
      <w:r>
        <w:rPr>
          <w:rFonts w:hint="eastAsia" w:ascii="仿宋_GB2312" w:hAnsi="仿宋" w:eastAsia="仿宋_GB2312"/>
          <w:color w:val="000000" w:themeColor="text1"/>
          <w:sz w:val="32"/>
          <w:szCs w:val="32"/>
          <w14:textFill>
            <w14:solidFill>
              <w14:schemeClr w14:val="tx1"/>
            </w14:solidFill>
          </w14:textFill>
        </w:rPr>
        <w:t>积极推动国家“双创”示范基地建设，加大知识产权保护力度，严厉打击侵犯知识产权的不法行为，为新区企业知识产权保护和涉外知识产权维权援助保驾护航。加强对新区标志性创新平台、重大科技项目的舆论宣传，广泛凝聚社会共识，推动形成争创一流国家级高新区的良好态势。积极组织和承办各类国家级、自治区级创新创业大赛，激发“草根”创业创新潜力，促进新业态、新模式发展，构建产业上下游融合生态圈。推动青年就业见习计划、青年创业创新行动，宣传创业文化，培育企业家精神，营造诚实守信、鼓励探索、宽容失败的良好创新氛围，形成大众创业、万众创新的生动局面。</w:t>
      </w:r>
    </w:p>
    <w:p>
      <w:pPr>
        <w:pStyle w:val="4"/>
        <w:jc w:val="center"/>
        <w:rPr>
          <w:rFonts w:hint="eastAsia" w:ascii="黑体" w:hAnsi="黑体" w:eastAsia="黑体" w:cs="Times New Roman"/>
          <w:b w:val="0"/>
          <w:color w:val="000000" w:themeColor="text1"/>
          <w14:textFill>
            <w14:solidFill>
              <w14:schemeClr w14:val="tx1"/>
            </w14:solidFill>
          </w14:textFill>
        </w:rPr>
      </w:pPr>
      <w:bookmarkStart w:id="120" w:name="_Toc30323"/>
      <w:bookmarkStart w:id="121" w:name="_Toc7883"/>
      <w:bookmarkStart w:id="122" w:name="_Toc22771"/>
      <w:bookmarkStart w:id="123" w:name="_Toc4673"/>
      <w:bookmarkStart w:id="124" w:name="_Toc313"/>
      <w:bookmarkStart w:id="125" w:name="_Toc27319"/>
      <w:r>
        <w:rPr>
          <w:rFonts w:hint="eastAsia" w:ascii="黑体" w:hAnsi="黑体" w:eastAsia="黑体" w:cs="Times New Roman"/>
          <w:b w:val="0"/>
          <w:color w:val="000000" w:themeColor="text1"/>
          <w14:textFill>
            <w14:solidFill>
              <w14:schemeClr w14:val="tx1"/>
            </w14:solidFill>
          </w14:textFill>
        </w:rPr>
        <w:t>第四节 汇聚创新创业人才</w:t>
      </w:r>
      <w:bookmarkEnd w:id="120"/>
      <w:bookmarkEnd w:id="121"/>
      <w:bookmarkEnd w:id="122"/>
      <w:bookmarkEnd w:id="123"/>
      <w:bookmarkEnd w:id="124"/>
      <w:bookmarkEnd w:id="125"/>
    </w:p>
    <w:p>
      <w:pPr>
        <w:pStyle w:val="5"/>
        <w:spacing w:before="0" w:after="0" w:line="240" w:lineRule="auto"/>
        <w:ind w:firstLine="643" w:firstLineChars="201"/>
        <w:rPr>
          <w:rFonts w:ascii="黑体" w:hAnsi="黑体" w:eastAsia="黑体" w:cs="Times New Roman"/>
          <w:b w:val="0"/>
          <w:color w:val="000000" w:themeColor="text1"/>
          <w14:textFill>
            <w14:solidFill>
              <w14:schemeClr w14:val="tx1"/>
            </w14:solidFill>
          </w14:textFill>
        </w:rPr>
      </w:pPr>
      <w:r>
        <w:rPr>
          <w:rFonts w:hint="eastAsia" w:ascii="黑体" w:hAnsi="黑体" w:eastAsia="黑体" w:cs="Times New Roman"/>
          <w:b w:val="0"/>
          <w:color w:val="000000" w:themeColor="text1"/>
          <w14:textFill>
            <w14:solidFill>
              <w14:schemeClr w14:val="tx1"/>
            </w14:solidFill>
          </w14:textFill>
        </w:rPr>
        <w:t>一、加大高层次人才引培力度</w:t>
      </w:r>
    </w:p>
    <w:p>
      <w:pPr>
        <w:pStyle w:val="9"/>
        <w:spacing w:after="0"/>
        <w:ind w:firstLine="643" w:firstLineChars="201"/>
        <w:rPr>
          <w:rFonts w:ascii="仿宋_GB2312" w:hAnsi="仿宋" w:eastAsia="仿宋_GB2312"/>
          <w:color w:val="000000" w:themeColor="text1"/>
          <w:sz w:val="32"/>
          <w:szCs w:val="32"/>
          <w14:textFill>
            <w14:solidFill>
              <w14:schemeClr w14:val="tx1"/>
            </w14:solidFill>
          </w14:textFill>
        </w:rPr>
      </w:pPr>
      <w:r>
        <w:rPr>
          <w:rFonts w:hint="eastAsia" w:ascii="仿宋_GB2312" w:hAnsi="仿宋" w:eastAsia="仿宋_GB2312"/>
          <w:color w:val="000000" w:themeColor="text1"/>
          <w:sz w:val="32"/>
          <w:szCs w:val="32"/>
          <w14:textFill>
            <w14:solidFill>
              <w14:schemeClr w14:val="tx1"/>
            </w14:solidFill>
          </w14:textFill>
        </w:rPr>
        <w:t>突出“高精尖缺”导向，建立重点产业急需紧缺人才目录，搭建急需紧缺人才对接平台，以需求为导向定向精准引才。以加快发展现代服务业为抓手，增强园区产业配套和综合服务能力，提高劳动力的根植性和产业对高端人才的吸附力，实现“以产引人”。依托柳州海创基地，通过邀请来访、</w:t>
      </w:r>
      <w:r>
        <w:rPr>
          <w:rFonts w:hint="eastAsia" w:ascii="仿宋_GB2312" w:hAnsi="仿宋" w:eastAsia="仿宋_GB2312"/>
          <w:color w:val="000000" w:themeColor="text1"/>
          <w:sz w:val="32"/>
          <w:szCs w:val="32"/>
          <w:lang w:eastAsia="zh-CN"/>
          <w14:textFill>
            <w14:solidFill>
              <w14:schemeClr w14:val="tx1"/>
            </w14:solidFill>
          </w14:textFill>
        </w:rPr>
        <w:t>举办</w:t>
      </w:r>
      <w:r>
        <w:rPr>
          <w:rFonts w:hint="eastAsia" w:ascii="仿宋_GB2312" w:hAnsi="仿宋" w:eastAsia="仿宋_GB2312"/>
          <w:color w:val="000000" w:themeColor="text1"/>
          <w:sz w:val="32"/>
          <w:szCs w:val="32"/>
          <w14:textFill>
            <w14:solidFill>
              <w14:schemeClr w14:val="tx1"/>
            </w14:solidFill>
          </w14:textFill>
        </w:rPr>
        <w:t>高端论坛、项目合作等方式，积极拓展国际人才交流与合作，对接潜在合作国内外专家。加强与国内知名院校、知名高新企业之间的合作，加强与海外同学会、海外商会、海外高校院所等机构之间的联络，充分利用中国－东盟（柳州）汽车工业博览会、创新创业大赛、创客大赛、“互联网+”大学生创新创业大赛等平台集聚创新创业要素，创新市场化引才机制，不断拓宽国际国内人才招揽渠道。通过顾问指导、挂职、兼职、技术咨询、退休特聘等多种形式，多管齐下加大柔性引才力度。</w:t>
      </w:r>
    </w:p>
    <w:p>
      <w:pPr>
        <w:pStyle w:val="5"/>
        <w:spacing w:before="0" w:after="0" w:line="240" w:lineRule="auto"/>
        <w:ind w:firstLine="643" w:firstLineChars="201"/>
        <w:rPr>
          <w:rFonts w:ascii="黑体" w:hAnsi="黑体" w:eastAsia="黑体" w:cs="Times New Roman"/>
          <w:b w:val="0"/>
          <w:color w:val="000000" w:themeColor="text1"/>
          <w14:textFill>
            <w14:solidFill>
              <w14:schemeClr w14:val="tx1"/>
            </w14:solidFill>
          </w14:textFill>
        </w:rPr>
      </w:pPr>
      <w:r>
        <w:rPr>
          <w:rFonts w:hint="eastAsia" w:ascii="黑体" w:hAnsi="黑体" w:eastAsia="黑体" w:cs="Times New Roman"/>
          <w:b w:val="0"/>
          <w:color w:val="000000" w:themeColor="text1"/>
          <w14:textFill>
            <w14:solidFill>
              <w14:schemeClr w14:val="tx1"/>
            </w14:solidFill>
          </w14:textFill>
        </w:rPr>
        <w:t>二、壮大工匠型技能人才队伍</w:t>
      </w:r>
    </w:p>
    <w:p>
      <w:pPr>
        <w:pStyle w:val="9"/>
        <w:spacing w:after="0"/>
        <w:ind w:firstLine="643" w:firstLineChars="201"/>
        <w:rPr>
          <w:color w:val="000000" w:themeColor="text1"/>
          <w14:textFill>
            <w14:solidFill>
              <w14:schemeClr w14:val="tx1"/>
            </w14:solidFill>
          </w14:textFill>
        </w:rPr>
      </w:pPr>
      <w:r>
        <w:rPr>
          <w:rFonts w:hint="eastAsia" w:ascii="仿宋_GB2312" w:hAnsi="仿宋" w:eastAsia="仿宋_GB2312"/>
          <w:color w:val="000000" w:themeColor="text1"/>
          <w:sz w:val="32"/>
          <w:szCs w:val="32"/>
          <w14:textFill>
            <w14:solidFill>
              <w14:schemeClr w14:val="tx1"/>
            </w14:solidFill>
          </w14:textFill>
        </w:rPr>
        <w:t>围绕汽车等重点产业领域，培育引进一批一流工程师人才，做强新区产业发展的中坚力量。积极推动职教园区拓展区规划建设，充分利用职教园区人才储备优势，引导学生在柳东新区就业创业，鼓励企业利用新区职业教育培训资源，推进校企合作，支持高职院校与新区主导产业关联学科建设，培养造就一大批面向生产一线的技术技能人才。联合各方力量探索规划建设“中欧工匠学院”，推动</w:t>
      </w:r>
      <w:r>
        <w:rPr>
          <w:rFonts w:hint="eastAsia" w:ascii="仿宋_GB2312" w:hAnsi="仿宋_GB2312" w:eastAsia="仿宋_GB2312" w:cs="仿宋_GB2312"/>
          <w:color w:val="000000" w:themeColor="text1"/>
          <w:sz w:val="32"/>
          <w:szCs w:val="32"/>
          <w14:textFill>
            <w14:solidFill>
              <w14:schemeClr w14:val="tx1"/>
            </w14:solidFill>
          </w14:textFill>
        </w:rPr>
        <w:t>企业与地方院校共同开发教学资源和培训项目。</w:t>
      </w:r>
      <w:r>
        <w:rPr>
          <w:rFonts w:hint="eastAsia" w:ascii="仿宋_GB2312" w:hAnsi="宋体" w:eastAsia="仿宋_GB2312" w:cs="仿宋_GB2312"/>
          <w:color w:val="000000" w:themeColor="text1"/>
          <w:sz w:val="32"/>
          <w:szCs w:val="32"/>
          <w14:textFill>
            <w14:solidFill>
              <w14:schemeClr w14:val="tx1"/>
            </w14:solidFill>
          </w14:textFill>
        </w:rPr>
        <w:t>加强技能大师工作室、技师工作站、高技能人才培训基地等</w:t>
      </w:r>
      <w:r>
        <w:rPr>
          <w:rFonts w:hint="eastAsia" w:ascii="仿宋_GB2312" w:hAnsi="宋体" w:eastAsia="仿宋_GB2312"/>
          <w:color w:val="000000" w:themeColor="text1"/>
          <w:sz w:val="32"/>
          <w:szCs w:val="32"/>
          <w14:textFill>
            <w14:solidFill>
              <w14:schemeClr w14:val="tx1"/>
            </w14:solidFill>
          </w14:textFill>
        </w:rPr>
        <w:t>工匠基地建设</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仿宋_GB2312" w:hAnsi="仿宋" w:eastAsia="仿宋_GB2312"/>
          <w:color w:val="000000" w:themeColor="text1"/>
          <w:sz w:val="32"/>
          <w:szCs w:val="32"/>
          <w14:textFill>
            <w14:solidFill>
              <w14:schemeClr w14:val="tx1"/>
            </w14:solidFill>
          </w14:textFill>
        </w:rPr>
        <w:t>积极推进“工匠精神”深入企业、深入生产一线，培育</w:t>
      </w:r>
      <w:r>
        <w:rPr>
          <w:rFonts w:hint="eastAsia" w:ascii="仿宋_GB2312" w:hAnsi="仿宋_GB2312" w:eastAsia="仿宋_GB2312" w:cs="仿宋_GB2312"/>
          <w:color w:val="000000" w:themeColor="text1"/>
          <w:sz w:val="32"/>
          <w:szCs w:val="32"/>
          <w14:textFill>
            <w14:solidFill>
              <w14:schemeClr w14:val="tx1"/>
            </w14:solidFill>
          </w14:textFill>
        </w:rPr>
        <w:t>集聚</w:t>
      </w:r>
      <w:r>
        <w:rPr>
          <w:rFonts w:hint="eastAsia" w:ascii="仿宋_GB2312" w:hAnsi="仿宋" w:eastAsia="仿宋_GB2312"/>
          <w:color w:val="000000" w:themeColor="text1"/>
          <w:sz w:val="32"/>
          <w:szCs w:val="32"/>
          <w14:textFill>
            <w14:solidFill>
              <w14:schemeClr w14:val="tx1"/>
            </w14:solidFill>
          </w14:textFill>
        </w:rPr>
        <w:t>一批技术专业、勇于创新、追求卓越的优秀工匠型技能人才。</w:t>
      </w:r>
    </w:p>
    <w:p>
      <w:pPr>
        <w:pStyle w:val="5"/>
        <w:spacing w:before="0" w:after="0" w:line="240" w:lineRule="auto"/>
        <w:ind w:firstLine="643" w:firstLineChars="201"/>
        <w:rPr>
          <w:rFonts w:ascii="黑体" w:hAnsi="黑体" w:eastAsia="黑体" w:cs="Times New Roman"/>
          <w:b w:val="0"/>
          <w:color w:val="000000" w:themeColor="text1"/>
          <w14:textFill>
            <w14:solidFill>
              <w14:schemeClr w14:val="tx1"/>
            </w14:solidFill>
          </w14:textFill>
        </w:rPr>
      </w:pPr>
      <w:r>
        <w:rPr>
          <w:rFonts w:hint="eastAsia" w:ascii="黑体" w:hAnsi="黑体" w:eastAsia="黑体" w:cs="Times New Roman"/>
          <w:b w:val="0"/>
          <w:color w:val="000000" w:themeColor="text1"/>
          <w14:textFill>
            <w14:solidFill>
              <w14:schemeClr w14:val="tx1"/>
            </w14:solidFill>
          </w14:textFill>
        </w:rPr>
        <w:t>三、构建完善的人才服务体系</w:t>
      </w:r>
    </w:p>
    <w:p>
      <w:pPr>
        <w:pStyle w:val="9"/>
        <w:spacing w:after="0"/>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 w:eastAsia="仿宋_GB2312"/>
          <w:color w:val="000000" w:themeColor="text1"/>
          <w:sz w:val="32"/>
          <w:szCs w:val="32"/>
          <w14:textFill>
            <w14:solidFill>
              <w14:schemeClr w14:val="tx1"/>
            </w14:solidFill>
          </w14:textFill>
        </w:rPr>
        <w:t>不断完善新区综合服务功能，打造众创空间、孵化器等高品质创新载体，整合资源，汇聚高端人才，完善创新服务体系。强化人才服务配套工作，整合人力资源服务机构、创业孵化组织、金融机构等组织力量，加快建设人才创新创业综合服务平台，提供一站式、多元化、全链条的人才服务，打通人才流动通道。实施分层分类的人才服务工程，为重点人才提供量身定制的创新创业服务。积极为各类优秀人才提供更加优质高效的户籍办理、公共服务、项目对接、商事登记等绿色通道。做好优秀人才的住房保障工作，完善人才公寓服务管理，实施“配售、配租、补贴”等三位一体的人才住房政策，完善配套设施，营造富有吸引力的人才宜居环境。</w:t>
      </w:r>
    </w:p>
    <w:p>
      <w:pPr>
        <w:widowControl/>
        <w:jc w:val="left"/>
        <w:rPr>
          <w:rFonts w:ascii="黑体" w:hAnsi="黑体" w:eastAsia="黑体" w:cs="宋体"/>
          <w:bCs/>
          <w:color w:val="000000" w:themeColor="text1"/>
          <w:kern w:val="36"/>
          <w:sz w:val="32"/>
          <w:szCs w:val="32"/>
          <w14:textFill>
            <w14:solidFill>
              <w14:schemeClr w14:val="tx1"/>
            </w14:solidFill>
          </w14:textFill>
        </w:rPr>
      </w:pPr>
      <w:r>
        <w:rPr>
          <w:rFonts w:ascii="黑体" w:hAnsi="黑体" w:eastAsia="黑体" w:cs="宋体"/>
          <w:b/>
          <w:color w:val="000000" w:themeColor="text1"/>
          <w:kern w:val="36"/>
          <w:sz w:val="32"/>
          <w:szCs w:val="32"/>
          <w14:textFill>
            <w14:solidFill>
              <w14:schemeClr w14:val="tx1"/>
            </w14:solidFill>
          </w14:textFill>
        </w:rPr>
        <w:br w:type="page"/>
      </w:r>
    </w:p>
    <w:p>
      <w:pPr>
        <w:pStyle w:val="3"/>
        <w:keepLines w:val="0"/>
        <w:widowControl/>
        <w:spacing w:before="0" w:afterLines="100" w:line="240" w:lineRule="auto"/>
        <w:jc w:val="center"/>
        <w:rPr>
          <w:rFonts w:ascii="黑体" w:hAnsi="黑体" w:eastAsia="黑体" w:cs="Times New Roman"/>
          <w:b w:val="0"/>
          <w:color w:val="000000" w:themeColor="text1"/>
          <w:sz w:val="32"/>
          <w:szCs w:val="32"/>
          <w14:textFill>
            <w14:solidFill>
              <w14:schemeClr w14:val="tx1"/>
            </w14:solidFill>
          </w14:textFill>
        </w:rPr>
      </w:pPr>
      <w:bookmarkStart w:id="126" w:name="_Toc22901"/>
      <w:bookmarkStart w:id="127" w:name="_Toc26606"/>
      <w:bookmarkStart w:id="128" w:name="_Toc12597"/>
      <w:bookmarkStart w:id="129" w:name="_Toc12906"/>
      <w:bookmarkStart w:id="130" w:name="_Toc17628"/>
      <w:bookmarkStart w:id="131" w:name="_Toc10082"/>
      <w:r>
        <w:rPr>
          <w:rFonts w:hint="eastAsia" w:ascii="黑体" w:hAnsi="黑体" w:eastAsia="黑体" w:cs="Times New Roman"/>
          <w:b w:val="0"/>
          <w:color w:val="000000" w:themeColor="text1"/>
          <w:sz w:val="32"/>
          <w:szCs w:val="32"/>
          <w14:textFill>
            <w14:solidFill>
              <w14:schemeClr w14:val="tx1"/>
            </w14:solidFill>
          </w14:textFill>
        </w:rPr>
        <w:t>第四章 聚力高质量发展，打造升级版广西柳州汽车城</w:t>
      </w:r>
      <w:bookmarkEnd w:id="126"/>
      <w:bookmarkEnd w:id="127"/>
      <w:bookmarkEnd w:id="128"/>
      <w:bookmarkEnd w:id="129"/>
      <w:bookmarkEnd w:id="130"/>
      <w:bookmarkEnd w:id="131"/>
    </w:p>
    <w:p>
      <w:pPr>
        <w:ind w:firstLine="640" w:firstLineChars="200"/>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抓住新一轮技术革命和产业变革的历史机遇，凝心聚力抓产业，真抓实干培育发展新动能，坚定发展实体经济，推进产业基础高级化、产业链现代化，提高经济效益和核心竞争力，全面打造“1+3+5”的现代产业体系，</w:t>
      </w:r>
      <w:r>
        <w:rPr>
          <w:rFonts w:ascii="仿宋_GB2312" w:eastAsia="仿宋_GB2312"/>
          <w:color w:val="000000" w:themeColor="text1"/>
          <w:sz w:val="32"/>
          <w14:textFill>
            <w14:solidFill>
              <w14:schemeClr w14:val="tx1"/>
            </w14:solidFill>
          </w14:textFill>
        </w:rPr>
        <w:t>加快形成</w:t>
      </w:r>
      <w:r>
        <w:rPr>
          <w:rFonts w:hint="eastAsia" w:ascii="仿宋_GB2312" w:hAnsi="仿宋_GB2312" w:eastAsia="仿宋_GB2312" w:cs="仿宋_GB2312"/>
          <w:color w:val="000000" w:themeColor="text1"/>
          <w:sz w:val="32"/>
          <w14:textFill>
            <w14:solidFill>
              <w14:schemeClr w14:val="tx1"/>
            </w14:solidFill>
          </w14:textFill>
        </w:rPr>
        <w:t>“一主多专”的</w:t>
      </w:r>
      <w:r>
        <w:rPr>
          <w:rFonts w:ascii="仿宋_GB2312" w:eastAsia="仿宋_GB2312"/>
          <w:color w:val="000000" w:themeColor="text1"/>
          <w:sz w:val="32"/>
          <w14:textFill>
            <w14:solidFill>
              <w14:schemeClr w14:val="tx1"/>
            </w14:solidFill>
          </w14:textFill>
        </w:rPr>
        <w:t>产业多元化发展格局和新的经济增长极</w:t>
      </w:r>
      <w:r>
        <w:rPr>
          <w:rFonts w:hint="eastAsia" w:ascii="仿宋_GB2312" w:eastAsia="仿宋_GB2312"/>
          <w:color w:val="000000" w:themeColor="text1"/>
          <w:sz w:val="32"/>
          <w14:textFill>
            <w14:solidFill>
              <w14:schemeClr w14:val="tx1"/>
            </w14:solidFill>
          </w14:textFill>
        </w:rPr>
        <w:t>，</w:t>
      </w:r>
      <w:r>
        <w:rPr>
          <w:rFonts w:hint="eastAsia" w:eastAsia="仿宋_GB2312"/>
          <w:color w:val="000000" w:themeColor="text1"/>
          <w:sz w:val="32"/>
          <w:szCs w:val="32"/>
          <w14:textFill>
            <w14:solidFill>
              <w14:schemeClr w14:val="tx1"/>
            </w14:solidFill>
          </w14:textFill>
        </w:rPr>
        <w:t>立足广西建设西部制造强区，立足柳州构筑现代制造城核心区，立足新区打造广西柳州汽车城升级版。</w:t>
      </w:r>
    </w:p>
    <w:p>
      <w:pPr>
        <w:ind w:firstLine="420" w:firstLineChars="200"/>
        <w:rPr>
          <w:color w:val="000000" w:themeColor="text1"/>
          <w14:textFill>
            <w14:solidFill>
              <w14:schemeClr w14:val="tx1"/>
            </w14:solidFill>
          </w14:textFill>
        </w:rPr>
      </w:pPr>
    </w:p>
    <w:p>
      <w:pPr>
        <w:pStyle w:val="4"/>
        <w:jc w:val="center"/>
        <w:rPr>
          <w:rFonts w:hint="eastAsia" w:ascii="黑体" w:hAnsi="黑体" w:eastAsia="黑体" w:cs="Times New Roman"/>
          <w:b w:val="0"/>
          <w:color w:val="000000" w:themeColor="text1"/>
          <w14:textFill>
            <w14:solidFill>
              <w14:schemeClr w14:val="tx1"/>
            </w14:solidFill>
          </w14:textFill>
        </w:rPr>
      </w:pPr>
      <w:bookmarkStart w:id="132" w:name="_Toc19287"/>
      <w:bookmarkStart w:id="133" w:name="_Toc13183"/>
      <w:bookmarkStart w:id="134" w:name="_Toc2716"/>
      <w:bookmarkStart w:id="135" w:name="_Toc1085"/>
      <w:bookmarkStart w:id="136" w:name="_Toc3162"/>
      <w:bookmarkStart w:id="137" w:name="_Toc13061"/>
      <w:r>
        <w:rPr>
          <w:rFonts w:hint="eastAsia" w:ascii="黑体" w:hAnsi="黑体" w:eastAsia="黑体" w:cs="Times New Roman"/>
          <w:b w:val="0"/>
          <w:color w:val="000000" w:themeColor="text1"/>
          <w14:textFill>
            <w14:solidFill>
              <w14:schemeClr w14:val="tx1"/>
            </w14:solidFill>
          </w14:textFill>
        </w:rPr>
        <w:t xml:space="preserve">第一节 </w:t>
      </w:r>
      <w:bookmarkEnd w:id="132"/>
      <w:bookmarkEnd w:id="133"/>
      <w:bookmarkEnd w:id="134"/>
      <w:bookmarkEnd w:id="135"/>
      <w:r>
        <w:rPr>
          <w:rFonts w:hint="eastAsia" w:ascii="黑体" w:hAnsi="黑体" w:eastAsia="黑体" w:cs="Times New Roman"/>
          <w:b w:val="0"/>
          <w:color w:val="000000" w:themeColor="text1"/>
          <w14:textFill>
            <w14:solidFill>
              <w14:schemeClr w14:val="tx1"/>
            </w14:solidFill>
          </w14:textFill>
        </w:rPr>
        <w:t>全速驱动汽车产业跨越升级</w:t>
      </w:r>
      <w:bookmarkEnd w:id="136"/>
      <w:bookmarkEnd w:id="137"/>
    </w:p>
    <w:p>
      <w:pPr>
        <w:pStyle w:val="5"/>
        <w:spacing w:before="0" w:after="0" w:line="240" w:lineRule="auto"/>
        <w:ind w:firstLine="643" w:firstLineChars="201"/>
        <w:rPr>
          <w:rFonts w:ascii="黑体" w:hAnsi="黑体" w:eastAsia="黑体" w:cs="Times New Roman"/>
          <w:b w:val="0"/>
          <w:color w:val="000000" w:themeColor="text1"/>
          <w14:textFill>
            <w14:solidFill>
              <w14:schemeClr w14:val="tx1"/>
            </w14:solidFill>
          </w14:textFill>
        </w:rPr>
      </w:pPr>
      <w:r>
        <w:rPr>
          <w:rFonts w:hint="eastAsia" w:ascii="黑体" w:hAnsi="黑体" w:eastAsia="黑体" w:cs="Times New Roman"/>
          <w:b w:val="0"/>
          <w:color w:val="000000" w:themeColor="text1"/>
          <w14:textFill>
            <w14:solidFill>
              <w14:schemeClr w14:val="tx1"/>
            </w14:solidFill>
          </w14:textFill>
        </w:rPr>
        <w:t>一、构建融合创新发展新格局</w:t>
      </w:r>
    </w:p>
    <w:p>
      <w:pPr>
        <w:ind w:firstLine="640" w:firstLineChars="200"/>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围绕建设升级版广西柳州汽车城，聚焦汽车核心技术和未来发展新趋势，发挥四大整车企业的龙头带动作用，全面推进“新四化”的产品布局，构建“高端研发、高质制造、高端服务”新型汽车产业生态体系、打造国内一流、国际先进的汽车产业集群，实现从规模速度型向质量效益型转变。立足</w:t>
      </w:r>
      <w:r>
        <w:rPr>
          <w:rFonts w:ascii="Times New Roman" w:hAnsi="Times New Roman" w:eastAsia="仿宋_GB2312" w:cs="Times New Roman"/>
          <w:color w:val="000000" w:themeColor="text1"/>
          <w:sz w:val="32"/>
          <w:szCs w:val="32"/>
          <w14:textFill>
            <w14:solidFill>
              <w14:schemeClr w14:val="tx1"/>
            </w14:solidFill>
          </w14:textFill>
        </w:rPr>
        <w:t>国六标准</w:t>
      </w:r>
      <w:r>
        <w:rPr>
          <w:rFonts w:hint="eastAsia" w:ascii="Times New Roman" w:hAnsi="Times New Roman" w:eastAsia="仿宋_GB2312"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低碳智联</w:t>
      </w:r>
      <w:r>
        <w:rPr>
          <w:rFonts w:hint="eastAsia" w:ascii="Times New Roman" w:hAnsi="Times New Roman" w:eastAsia="仿宋_GB2312" w:cs="Times New Roman"/>
          <w:color w:val="000000" w:themeColor="text1"/>
          <w:sz w:val="32"/>
          <w:szCs w:val="32"/>
          <w14:textFill>
            <w14:solidFill>
              <w14:schemeClr w14:val="tx1"/>
            </w14:solidFill>
          </w14:textFill>
        </w:rPr>
        <w:t>、新能源等领域，</w:t>
      </w:r>
      <w:r>
        <w:rPr>
          <w:rFonts w:hint="eastAsia" w:eastAsia="仿宋_GB2312"/>
          <w:color w:val="000000" w:themeColor="text1"/>
          <w:sz w:val="32"/>
          <w:szCs w:val="32"/>
          <w14:textFill>
            <w14:solidFill>
              <w14:schemeClr w14:val="tx1"/>
            </w14:solidFill>
          </w14:textFill>
        </w:rPr>
        <w:t>持续推动汽车产业做大做强做优，推动汽车制造企业服务化加速发展，促进汽车跨界融合、创新发展和品牌化发展，形成新能源汽车、智能网联汽车和先进节能汽车梯次、融合发展新格局。</w:t>
      </w:r>
      <w:r>
        <w:rPr>
          <w:rFonts w:hint="eastAsia" w:eastAsia="仿宋_GB2312"/>
          <w:color w:val="000000" w:themeColor="text1"/>
          <w:sz w:val="32"/>
          <w:szCs w:val="32"/>
          <w:lang w:eastAsia="zh-CN"/>
          <w14:textFill>
            <w14:solidFill>
              <w14:schemeClr w14:val="tx1"/>
            </w14:solidFill>
          </w14:textFill>
        </w:rPr>
        <w:t>力</w:t>
      </w:r>
      <w:r>
        <w:rPr>
          <w:rFonts w:hint="eastAsia" w:eastAsia="仿宋_GB2312"/>
          <w:color w:val="000000" w:themeColor="text1"/>
          <w:sz w:val="32"/>
          <w:szCs w:val="32"/>
          <w14:textFill>
            <w14:solidFill>
              <w14:schemeClr w14:val="tx1"/>
            </w14:solidFill>
          </w14:textFill>
        </w:rPr>
        <w:t>争到2025年，汽车工业总产值突破1200亿元。</w:t>
      </w:r>
    </w:p>
    <w:p>
      <w:pPr>
        <w:pStyle w:val="5"/>
        <w:spacing w:before="0" w:after="0" w:line="240" w:lineRule="auto"/>
        <w:ind w:firstLine="643" w:firstLineChars="201"/>
        <w:rPr>
          <w:rFonts w:ascii="黑体" w:hAnsi="黑体" w:eastAsia="黑体" w:cs="Times New Roman"/>
          <w:b w:val="0"/>
          <w:color w:val="000000" w:themeColor="text1"/>
          <w14:textFill>
            <w14:solidFill>
              <w14:schemeClr w14:val="tx1"/>
            </w14:solidFill>
          </w14:textFill>
        </w:rPr>
      </w:pPr>
      <w:r>
        <w:rPr>
          <w:rFonts w:hint="eastAsia" w:ascii="黑体" w:hAnsi="黑体" w:eastAsia="黑体" w:cs="Times New Roman"/>
          <w:b w:val="0"/>
          <w:color w:val="000000" w:themeColor="text1"/>
          <w14:textFill>
            <w14:solidFill>
              <w14:schemeClr w14:val="tx1"/>
            </w14:solidFill>
          </w14:textFill>
        </w:rPr>
        <w:t>二、推动汽车产品迭代升级</w:t>
      </w:r>
    </w:p>
    <w:p>
      <w:pPr>
        <w:numPr>
          <w:ilvl w:val="255"/>
          <w:numId w:val="0"/>
        </w:numPr>
        <w:ind w:firstLine="640" w:firstLineChars="200"/>
        <w:rPr>
          <w:rFonts w:ascii="仿宋_GB2312"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巩固提升乘用车发展优势，增强商用、专用车品牌竞争力、生命力，依托上汽通用五菱宝骏基地、东风柳汽乘用车及商用车基地、广西汽车集团专用车生产基地、一汽解放柳州新基地等四大整车基地的产业基础，</w:t>
      </w:r>
      <w:r>
        <w:rPr>
          <w:rFonts w:hint="eastAsia" w:ascii="仿宋_GB2312" w:eastAsia="仿宋_GB2312"/>
          <w:color w:val="000000" w:themeColor="text1"/>
          <w:sz w:val="32"/>
          <w:szCs w:val="32"/>
          <w14:textFill>
            <w14:solidFill>
              <w14:schemeClr w14:val="tx1"/>
            </w14:solidFill>
          </w14:textFill>
        </w:rPr>
        <w:t>不断丰富完善普通</w:t>
      </w:r>
      <w:r>
        <w:rPr>
          <w:rFonts w:hint="eastAsia" w:eastAsia="仿宋_GB2312"/>
          <w:color w:val="000000" w:themeColor="text1"/>
          <w:sz w:val="32"/>
          <w:szCs w:val="32"/>
          <w14:textFill>
            <w14:solidFill>
              <w14:schemeClr w14:val="tx1"/>
            </w14:solidFill>
          </w14:textFill>
        </w:rPr>
        <w:t>燃油、新能源和混合动力平台汽车</w:t>
      </w:r>
      <w:r>
        <w:rPr>
          <w:rFonts w:hint="eastAsia" w:ascii="仿宋_GB2312" w:eastAsia="仿宋_GB2312"/>
          <w:color w:val="000000" w:themeColor="text1"/>
          <w:sz w:val="32"/>
          <w:szCs w:val="32"/>
          <w14:textFill>
            <w14:solidFill>
              <w14:schemeClr w14:val="tx1"/>
            </w14:solidFill>
          </w14:textFill>
        </w:rPr>
        <w:t>产品线，加快乘用车、商用车、特种车新车型研发，拓展</w:t>
      </w:r>
      <w:r>
        <w:rPr>
          <w:rFonts w:hint="eastAsia" w:eastAsia="仿宋_GB2312"/>
          <w:color w:val="000000" w:themeColor="text1"/>
          <w:sz w:val="32"/>
          <w:szCs w:val="32"/>
          <w14:textFill>
            <w14:solidFill>
              <w14:schemeClr w14:val="tx1"/>
            </w14:solidFill>
          </w14:textFill>
        </w:rPr>
        <w:t>房车、观光车、改装车为重点的旅游交通车辆和装备，促进品牌产品迭代升级，</w:t>
      </w:r>
      <w:r>
        <w:rPr>
          <w:rFonts w:hint="eastAsia" w:ascii="仿宋_GB2312" w:eastAsia="仿宋_GB2312"/>
          <w:color w:val="000000" w:themeColor="text1"/>
          <w:sz w:val="32"/>
          <w:szCs w:val="32"/>
          <w14:textFill>
            <w14:solidFill>
              <w14:schemeClr w14:val="tx1"/>
            </w14:solidFill>
          </w14:textFill>
        </w:rPr>
        <w:t>实现整车产品价值向中高端迈进。</w:t>
      </w:r>
    </w:p>
    <w:p>
      <w:pPr>
        <w:pStyle w:val="5"/>
        <w:spacing w:before="0" w:after="0" w:line="240" w:lineRule="auto"/>
        <w:ind w:firstLine="643" w:firstLineChars="201"/>
        <w:rPr>
          <w:rFonts w:ascii="黑体" w:hAnsi="黑体" w:eastAsia="黑体" w:cs="Times New Roman"/>
          <w:b w:val="0"/>
          <w:color w:val="000000" w:themeColor="text1"/>
          <w14:textFill>
            <w14:solidFill>
              <w14:schemeClr w14:val="tx1"/>
            </w14:solidFill>
          </w14:textFill>
        </w:rPr>
      </w:pPr>
      <w:r>
        <w:rPr>
          <w:rFonts w:hint="eastAsia" w:ascii="黑体" w:hAnsi="黑体" w:eastAsia="黑体" w:cs="Times New Roman"/>
          <w:b w:val="0"/>
          <w:color w:val="000000" w:themeColor="text1"/>
          <w14:textFill>
            <w14:solidFill>
              <w14:schemeClr w14:val="tx1"/>
            </w14:solidFill>
          </w14:textFill>
        </w:rPr>
        <w:t>三、重点发展新能源汽车</w:t>
      </w:r>
    </w:p>
    <w:p>
      <w:pPr>
        <w:numPr>
          <w:ilvl w:val="255"/>
          <w:numId w:val="0"/>
        </w:numPr>
        <w:ind w:firstLine="640" w:firstLineChars="200"/>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坚定不移持续巩固新能源汽车在新区“十四五”产业发展格局中的核心地位，全面夯实产业基础，聚力补链、延链、强链提升发展优势，提速构建新能源汽车产业发展新生态。重点聚焦“新四化”和“三电”等关键领域，围绕纯电动汽车、插电式混合动力（含增程式）汽车、燃料电池汽车等主要品类布局整车技术创新链，研发新一代模块化高性能整车平台，攻关纯电动汽车底盘一体化设计、多能源动力系统集成技术，突破整车智能能量管理控制、轻量化、低摩阻等共性节能技术，提升电池管理、充电连接、结构设计等安全技术水平，以整车集成技术的持续创新全面提高新能源汽车整车综合性能，实现新区新能源汽车品牌认可度、产品美誉度及影响力显著增强。</w:t>
      </w:r>
    </w:p>
    <w:p>
      <w:pPr>
        <w:pStyle w:val="5"/>
        <w:spacing w:before="0" w:after="0" w:line="240" w:lineRule="auto"/>
        <w:ind w:firstLine="643" w:firstLineChars="201"/>
        <w:rPr>
          <w:rFonts w:ascii="黑体" w:hAnsi="黑体" w:eastAsia="黑体" w:cs="Times New Roman"/>
          <w:b w:val="0"/>
          <w:color w:val="000000" w:themeColor="text1"/>
          <w14:textFill>
            <w14:solidFill>
              <w14:schemeClr w14:val="tx1"/>
            </w14:solidFill>
          </w14:textFill>
        </w:rPr>
      </w:pPr>
      <w:r>
        <w:rPr>
          <w:rFonts w:hint="eastAsia" w:ascii="黑体" w:hAnsi="黑体" w:eastAsia="黑体" w:cs="Times New Roman"/>
          <w:b w:val="0"/>
          <w:color w:val="000000" w:themeColor="text1"/>
          <w14:textFill>
            <w14:solidFill>
              <w14:schemeClr w14:val="tx1"/>
            </w14:solidFill>
          </w14:textFill>
        </w:rPr>
        <w:t>四、构建汽车全产业链生态圈</w:t>
      </w:r>
    </w:p>
    <w:p>
      <w:pPr>
        <w:numPr>
          <w:ilvl w:val="255"/>
          <w:numId w:val="0"/>
        </w:numPr>
        <w:ind w:firstLine="640" w:firstLineChars="200"/>
        <w:rPr>
          <w:rFonts w:ascii="仿宋_GB2312" w:hAnsi="仿宋_GB2312" w:eastAsia="仿宋_GB2312" w:cs="仿宋_GB2312"/>
          <w:i/>
          <w:color w:val="000000" w:themeColor="text1"/>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做优本地配套和国产替代，提升核心部件生产和技术优势，保障产业链衔接紧密。围绕整车基地优化零部件产业布局，加快建设商用车、专用车零部件产业园，突破汽车电子以及轻量化零部件、高端制造等产业链短板，发挥汽车产业供应集群效应，全面打造电动化、智能网联化零部件供应体系。持续推进汽车整车及零部件产业集群建设，培育具有国际国内竞争力的零部件企业，实现汽车零部件综合配套率达到60%以上，形成从零部件到整车的全产业链生态体系。围绕产业链具体推进补短板、强弱项</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推动涡轮增压等节能型发动机自主研发和生产，重点发展活塞、曲轴、燃油喷射系统、喷油器、涡轮增压器、电控装置等高技术含量、高附加值的发动机零部件。支持发展离合器、传动轴，变速器总成、驱动桥、空气悬架、方向机等传动系统、悬架系统和转向系统，配套发展空调、座椅、内饰、仪表板总成、安全气囊及其控制模块、轮毂以及适合轻量化车身使用的材料、型材和链接件等车身附件及安全系统部件。重点支持上汽变速器、联合电子、耐世特、玲珑轮胎等一批优质零部件企业加快发展，推进兆丰汽车零部件及配件制造等项目建设投产。对接新能源汽车制造与使用需求，打造动力电池产业园，</w:t>
      </w:r>
      <w:r>
        <w:rPr>
          <w:rFonts w:hint="eastAsia" w:ascii="仿宋_GB2312" w:hAnsi="仿宋_GB2312" w:eastAsia="仿宋_GB2312" w:cs="仿宋_GB2312"/>
          <w:color w:val="000000" w:themeColor="text1"/>
          <w:sz w:val="32"/>
          <w14:textFill>
            <w14:solidFill>
              <w14:schemeClr w14:val="tx1"/>
            </w14:solidFill>
          </w14:textFill>
        </w:rPr>
        <w:t>统筹推进新能源动力电池、电池材料研发生产和电池梯次利用技术开发应用；</w:t>
      </w:r>
      <w:r>
        <w:rPr>
          <w:rFonts w:hint="eastAsia" w:ascii="仿宋_GB2312" w:hAnsi="仿宋_GB2312" w:eastAsia="仿宋_GB2312" w:cs="仿宋_GB2312"/>
          <w:color w:val="000000" w:themeColor="text1"/>
          <w:sz w:val="32"/>
          <w:szCs w:val="32"/>
          <w14:textFill>
            <w14:solidFill>
              <w14:schemeClr w14:val="tx1"/>
            </w14:solidFill>
          </w14:textFill>
        </w:rPr>
        <w:t>加快国轩高科动力电池生产基地建设，形成新能源动力电池制造领先优势；着力推动新能源充电桩研发制造与应用，发展高比能锂离子电池，支持燃料（氢能）电池研发和布局。完善驱动电机与电力电子技术供给体系，探索新一代车用电机驱动系统解决方案。</w:t>
      </w:r>
    </w:p>
    <w:p>
      <w:pPr>
        <w:pStyle w:val="5"/>
        <w:spacing w:before="0" w:after="0" w:line="240" w:lineRule="auto"/>
        <w:ind w:firstLine="643" w:firstLineChars="201"/>
        <w:rPr>
          <w:rFonts w:ascii="黑体" w:hAnsi="黑体" w:eastAsia="黑体" w:cs="Times New Roman"/>
          <w:b w:val="0"/>
          <w:color w:val="000000" w:themeColor="text1"/>
          <w14:textFill>
            <w14:solidFill>
              <w14:schemeClr w14:val="tx1"/>
            </w14:solidFill>
          </w14:textFill>
        </w:rPr>
      </w:pPr>
      <w:r>
        <w:rPr>
          <w:rFonts w:hint="eastAsia" w:ascii="黑体" w:hAnsi="黑体" w:eastAsia="黑体" w:cs="Times New Roman"/>
          <w:b w:val="0"/>
          <w:color w:val="000000" w:themeColor="text1"/>
          <w14:textFill>
            <w14:solidFill>
              <w14:schemeClr w14:val="tx1"/>
            </w14:solidFill>
          </w14:textFill>
        </w:rPr>
        <w:t>五、抓好前沿领域攻关破局</w:t>
      </w:r>
    </w:p>
    <w:p>
      <w:pPr>
        <w:numPr>
          <w:ilvl w:val="255"/>
          <w:numId w:val="0"/>
        </w:numPr>
        <w:ind w:firstLine="640" w:firstLineChars="200"/>
        <w:rPr>
          <w:rFonts w:eastAsia="仿宋_GB2312"/>
          <w:color w:val="000000" w:themeColor="text1"/>
          <w:sz w:val="32"/>
          <w:szCs w:val="32"/>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持续突破高效节能型发动机系统、高效自动变速器、整车及零部件轻量化、尾气排放处理装置等汽车节能关键技术，加大节能环保汽车推广应用力度；</w:t>
      </w:r>
      <w:r>
        <w:rPr>
          <w:rFonts w:hint="eastAsia" w:eastAsia="仿宋_GB2312"/>
          <w:color w:val="000000" w:themeColor="text1"/>
          <w:sz w:val="32"/>
          <w:szCs w:val="32"/>
          <w14:textFill>
            <w14:solidFill>
              <w14:schemeClr w14:val="tx1"/>
            </w14:solidFill>
          </w14:textFill>
        </w:rPr>
        <w:t>积极布局智能网联汽车，鼓励汽车整车及相关企业协同推进智能网联汽车技术研发，建设基于环境感知、智能决策、协同控制、与北斗等高精度定位兼容的国家智能网联汽车示范区；深入创建国家车联网先导区，推动相关硬件生产和软件研发体系发展。</w:t>
      </w:r>
    </w:p>
    <w:p>
      <w:pPr>
        <w:pStyle w:val="5"/>
        <w:spacing w:before="0" w:after="0" w:line="240" w:lineRule="auto"/>
        <w:ind w:firstLine="643" w:firstLineChars="201"/>
        <w:rPr>
          <w:rFonts w:ascii="黑体" w:hAnsi="黑体" w:eastAsia="黑体" w:cs="Times New Roman"/>
          <w:b w:val="0"/>
          <w:color w:val="000000" w:themeColor="text1"/>
          <w14:textFill>
            <w14:solidFill>
              <w14:schemeClr w14:val="tx1"/>
            </w14:solidFill>
          </w14:textFill>
        </w:rPr>
      </w:pPr>
      <w:r>
        <w:rPr>
          <w:rFonts w:hint="eastAsia" w:ascii="黑体" w:hAnsi="黑体" w:eastAsia="黑体" w:cs="Times New Roman"/>
          <w:b w:val="0"/>
          <w:color w:val="000000" w:themeColor="text1"/>
          <w14:textFill>
            <w14:solidFill>
              <w14:schemeClr w14:val="tx1"/>
            </w14:solidFill>
          </w14:textFill>
        </w:rPr>
        <w:t>六、创新汽车推广应用服务模式</w:t>
      </w:r>
    </w:p>
    <w:p>
      <w:pPr>
        <w:numPr>
          <w:ilvl w:val="255"/>
          <w:numId w:val="0"/>
        </w:numPr>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协同</w:t>
      </w:r>
      <w:r>
        <w:rPr>
          <w:rFonts w:ascii="Times New Roman" w:hAnsi="Times New Roman" w:eastAsia="仿宋_GB2312" w:cs="Times New Roman"/>
          <w:color w:val="000000" w:themeColor="text1"/>
          <w:sz w:val="32"/>
          <w:szCs w:val="32"/>
          <w14:textFill>
            <w14:solidFill>
              <w14:schemeClr w14:val="tx1"/>
            </w14:solidFill>
          </w14:textFill>
        </w:rPr>
        <w:t>培育</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上汽通用五菱</w:t>
      </w:r>
      <w:r>
        <w:rPr>
          <w:rFonts w:ascii="Times New Roman" w:hAnsi="Times New Roman" w:eastAsia="仿宋_GB2312" w:cs="Times New Roman"/>
          <w:color w:val="000000" w:themeColor="text1"/>
          <w:sz w:val="32"/>
          <w:szCs w:val="32"/>
          <w14:textFill>
            <w14:solidFill>
              <w14:schemeClr w14:val="tx1"/>
            </w14:solidFill>
          </w14:textFill>
        </w:rPr>
        <w:t>、风行等出行服务平台，创新业务模式，</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推广“</w:t>
      </w:r>
      <w:r>
        <w:rPr>
          <w:rFonts w:ascii="Times New Roman" w:hAnsi="Times New Roman" w:eastAsia="仿宋_GB2312" w:cs="Times New Roman"/>
          <w:color w:val="000000" w:themeColor="text1"/>
          <w:sz w:val="32"/>
          <w:szCs w:val="32"/>
          <w14:textFill>
            <w14:solidFill>
              <w14:schemeClr w14:val="tx1"/>
            </w14:solidFill>
          </w14:textFill>
        </w:rPr>
        <w:t>WarmCar共享汽车</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”服务模式，</w:t>
      </w:r>
      <w:r>
        <w:rPr>
          <w:rFonts w:hint="eastAsia" w:ascii="Times New Roman" w:hAnsi="Times New Roman" w:eastAsia="仿宋_GB2312" w:cs="Times New Roman"/>
          <w:color w:val="000000" w:themeColor="text1"/>
          <w:sz w:val="32"/>
          <w:szCs w:val="32"/>
          <w14:textFill>
            <w14:solidFill>
              <w14:schemeClr w14:val="tx1"/>
            </w14:solidFill>
          </w14:textFill>
        </w:rPr>
        <w:t>合力</w:t>
      </w:r>
      <w:r>
        <w:rPr>
          <w:rFonts w:ascii="Times New Roman" w:hAnsi="Times New Roman" w:eastAsia="仿宋_GB2312" w:cs="Times New Roman"/>
          <w:color w:val="000000" w:themeColor="text1"/>
          <w:sz w:val="32"/>
          <w:szCs w:val="32"/>
          <w14:textFill>
            <w14:solidFill>
              <w14:schemeClr w14:val="tx1"/>
            </w14:solidFill>
          </w14:textFill>
        </w:rPr>
        <w:t>推动新能源汽车在广西出租车、网约车等领域的推广</w:t>
      </w:r>
      <w:r>
        <w:rPr>
          <w:rFonts w:hint="eastAsia" w:ascii="Times New Roman" w:hAnsi="Times New Roman" w:eastAsia="仿宋_GB2312"/>
          <w:color w:val="000000" w:themeColor="text1"/>
          <w:sz w:val="32"/>
          <w:szCs w:val="32"/>
          <w14:textFill>
            <w14:solidFill>
              <w14:schemeClr w14:val="tx1"/>
            </w14:solidFill>
          </w14:textFill>
        </w:rPr>
        <w:t>，延展</w:t>
      </w:r>
      <w:r>
        <w:rPr>
          <w:rFonts w:ascii="Times New Roman" w:hAnsi="Times New Roman" w:eastAsia="仿宋_GB2312" w:cs="Times New Roman"/>
          <w:color w:val="000000" w:themeColor="text1"/>
          <w:sz w:val="32"/>
          <w:szCs w:val="32"/>
          <w14:textFill>
            <w14:solidFill>
              <w14:schemeClr w14:val="tx1"/>
            </w14:solidFill>
          </w14:textFill>
        </w:rPr>
        <w:t>新能源汽车推广应用</w:t>
      </w:r>
      <w:r>
        <w:rPr>
          <w:rFonts w:hint="eastAsia" w:ascii="Times New Roman" w:hAnsi="Times New Roman" w:eastAsia="仿宋_GB2312"/>
          <w:color w:val="000000" w:themeColor="text1"/>
          <w:sz w:val="32"/>
          <w:szCs w:val="32"/>
          <w14:textFill>
            <w14:solidFill>
              <w14:schemeClr w14:val="tx1"/>
            </w14:solidFill>
          </w14:textFill>
        </w:rPr>
        <w:t>的“</w:t>
      </w:r>
      <w:r>
        <w:rPr>
          <w:rFonts w:ascii="Times New Roman" w:hAnsi="Times New Roman" w:eastAsia="仿宋_GB2312" w:cs="Times New Roman"/>
          <w:color w:val="000000" w:themeColor="text1"/>
          <w:sz w:val="32"/>
          <w:szCs w:val="32"/>
          <w14:textFill>
            <w14:solidFill>
              <w14:schemeClr w14:val="tx1"/>
            </w14:solidFill>
          </w14:textFill>
        </w:rPr>
        <w:t>柳州模式</w:t>
      </w:r>
      <w:r>
        <w:rPr>
          <w:rFonts w:hint="eastAsia" w:ascii="Times New Roman" w:hAnsi="Times New Roman" w:eastAsia="仿宋_GB2312"/>
          <w:color w:val="000000" w:themeColor="text1"/>
          <w:sz w:val="32"/>
          <w:szCs w:val="32"/>
          <w14:textFill>
            <w14:solidFill>
              <w14:schemeClr w14:val="tx1"/>
            </w14:solidFill>
          </w14:textFill>
        </w:rPr>
        <w:t>”</w:t>
      </w:r>
      <w:r>
        <w:rPr>
          <w:rFonts w:hint="eastAsia" w:eastAsia="仿宋_GB2312"/>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抓好品牌推广</w:t>
      </w:r>
      <w:r>
        <w:rPr>
          <w:rFonts w:hint="eastAsia" w:ascii="Times New Roman" w:hAnsi="Times New Roman" w:eastAsia="仿宋_GB2312" w:cs="Times New Roman"/>
          <w:color w:val="000000" w:themeColor="text1"/>
          <w:sz w:val="32"/>
          <w:szCs w:val="32"/>
          <w14:textFill>
            <w14:solidFill>
              <w14:schemeClr w14:val="tx1"/>
            </w14:solidFill>
          </w14:textFill>
        </w:rPr>
        <w:t>和</w:t>
      </w:r>
      <w:r>
        <w:rPr>
          <w:rFonts w:ascii="Times New Roman" w:hAnsi="Times New Roman" w:eastAsia="仿宋_GB2312" w:cs="Times New Roman"/>
          <w:color w:val="000000" w:themeColor="text1"/>
          <w:sz w:val="32"/>
          <w:szCs w:val="32"/>
          <w14:textFill>
            <w14:solidFill>
              <w14:schemeClr w14:val="tx1"/>
            </w14:solidFill>
          </w14:textFill>
        </w:rPr>
        <w:t>市场开拓</w:t>
      </w:r>
      <w:r>
        <w:rPr>
          <w:rFonts w:hint="eastAsia" w:ascii="Times New Roman" w:hAnsi="Times New Roman" w:eastAsia="仿宋_GB2312" w:cs="Times New Roman"/>
          <w:color w:val="000000" w:themeColor="text1"/>
          <w:sz w:val="32"/>
          <w:szCs w:val="32"/>
          <w14:textFill>
            <w14:solidFill>
              <w14:schemeClr w14:val="tx1"/>
            </w14:solidFill>
          </w14:textFill>
        </w:rPr>
        <w:t>，延伸</w:t>
      </w:r>
      <w:r>
        <w:rPr>
          <w:rFonts w:ascii="Times New Roman" w:hAnsi="Times New Roman" w:eastAsia="仿宋_GB2312" w:cs="Times New Roman"/>
          <w:color w:val="000000" w:themeColor="text1"/>
          <w:sz w:val="32"/>
          <w:szCs w:val="32"/>
          <w14:textFill>
            <w14:solidFill>
              <w14:schemeClr w14:val="tx1"/>
            </w14:solidFill>
          </w14:textFill>
        </w:rPr>
        <w:t>产业价值链。</w:t>
      </w:r>
    </w:p>
    <w:tbl>
      <w:tblPr>
        <w:tblStyle w:val="19"/>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pPr>
              <w:spacing w:beforeLines="50"/>
              <w:jc w:val="center"/>
              <w:rPr>
                <w:rFonts w:cs="宋体" w:asciiTheme="minorEastAsia" w:hAnsiTheme="minorEastAsia"/>
                <w:b/>
                <w:color w:val="000000" w:themeColor="text1"/>
                <w:szCs w:val="21"/>
                <w14:textFill>
                  <w14:solidFill>
                    <w14:schemeClr w14:val="tx1"/>
                  </w14:solidFill>
                </w14:textFill>
              </w:rPr>
            </w:pPr>
            <w:r>
              <w:rPr>
                <w:rFonts w:hint="eastAsia" w:cs="宋体" w:asciiTheme="minorEastAsia" w:hAnsiTheme="minorEastAsia"/>
                <w:b/>
                <w:color w:val="000000" w:themeColor="text1"/>
                <w:szCs w:val="21"/>
                <w14:textFill>
                  <w14:solidFill>
                    <w14:schemeClr w14:val="tx1"/>
                  </w14:solidFill>
                </w14:textFill>
              </w:rPr>
              <w:t>专栏4-1 汽车产业建设重点</w:t>
            </w:r>
          </w:p>
          <w:p>
            <w:pPr>
              <w:widowControl/>
              <w:spacing w:beforeLines="50" w:afterLines="50"/>
              <w:ind w:firstLine="420" w:firstLineChars="200"/>
              <w:jc w:val="left"/>
              <w:textAlignment w:val="center"/>
              <w:rPr>
                <w:rFonts w:cs="宋体" w:asciiTheme="minorEastAsia" w:hAnsiTheme="minorEastAsia"/>
                <w:color w:val="000000" w:themeColor="text1"/>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上通五新宝骏品牌产品中期改款项目、上通五E平台中期改款产品项目、上通五大E平台产品项目、上通五CN220Car传统轿车产品项目、温州瑞明年产200万件铝合金铸件项目（二、三期）、柳州瑞明年产1500万件汽车铝铸件固定资产投资项目（一期）、柳州宏和年产平衡悬架总成6万套/轮毂总成20万套及铸件200万件项目、青岛博泰年产3万吨商用车底盘高性能铸件及EPP商用车卧铺总成项目、合肥建元汽车半轴等锻件零部件生产线建设项目、临海奇升年产200万根氟硅胶管项目、柳州日高整体退城入园项目等新开工项目；广西汽车集团新能源整车项目、上通五五菱品牌乘用车/商用车中期改款产品项目、广西汽车集团改装车转型升级项目、东风柳汽研发试验场新基建建设项目、上通五SGMW出行服务平台项目、上通五混合动力（PHEV/HEV）产品开发项目、东风柳汽混动开发项目、东风柳汽乘龙/风行品牌升级项目、东风柳汽M4产品项目、东风柳汽M6产品项目、东风柳汽零部件产业园、柳州爱柯迪汽车轻量化零部件建设项目、一汽解放柳州分公司退城进园项目、上通五CN202C/W/K产品群项目、上通五新宝骏品牌车型动力组合升级开发项目、东风柳汽低碳智联新重型商用车协同创新研发项目、东风柳汽高效能集成化氢燃料电池商用车协同开发项目、柳州顺菱车门系统与仪表板支架智能工厂项目、柳州启顺汽车零部件生产基地建设项目、柳州兆丰汽车零部件及配件制造项目等续建及期内竣工项目；</w:t>
            </w:r>
            <w:r>
              <w:rPr>
                <w:rFonts w:ascii="宋体" w:hAnsi="宋体" w:eastAsia="宋体" w:cs="宋体"/>
                <w:color w:val="000000" w:themeColor="text1"/>
                <w:kern w:val="0"/>
                <w:szCs w:val="21"/>
                <w14:textFill>
                  <w14:solidFill>
                    <w14:schemeClr w14:val="tx1"/>
                  </w14:solidFill>
                </w14:textFill>
              </w:rPr>
              <w:t>上通五2.0T发动机项目</w:t>
            </w:r>
            <w:r>
              <w:rPr>
                <w:rFonts w:hint="eastAsia" w:ascii="宋体" w:hAnsi="宋体" w:eastAsia="宋体" w:cs="宋体"/>
                <w:color w:val="000000" w:themeColor="text1"/>
                <w:kern w:val="0"/>
                <w:szCs w:val="21"/>
                <w14:textFill>
                  <w14:solidFill>
                    <w14:schemeClr w14:val="tx1"/>
                  </w14:solidFill>
                </w14:textFill>
              </w:rPr>
              <w:t>、</w:t>
            </w:r>
            <w:r>
              <w:rPr>
                <w:rFonts w:ascii="宋体" w:hAnsi="宋体" w:eastAsia="宋体" w:cs="宋体"/>
                <w:color w:val="000000" w:themeColor="text1"/>
                <w:kern w:val="0"/>
                <w:szCs w:val="21"/>
                <w14:textFill>
                  <w14:solidFill>
                    <w14:schemeClr w14:val="tx1"/>
                  </w14:solidFill>
                </w14:textFill>
              </w:rPr>
              <w:t>上通五前驱6AT自动变速器项目</w:t>
            </w:r>
            <w:r>
              <w:rPr>
                <w:rFonts w:hint="eastAsia" w:ascii="宋体" w:hAnsi="宋体" w:eastAsia="宋体" w:cs="宋体"/>
                <w:color w:val="000000" w:themeColor="text1"/>
                <w:kern w:val="0"/>
                <w:szCs w:val="21"/>
                <w14:textFill>
                  <w14:solidFill>
                    <w14:schemeClr w14:val="tx1"/>
                  </w14:solidFill>
                </w14:textFill>
              </w:rPr>
              <w:t>、柳州</w:t>
            </w:r>
            <w:r>
              <w:rPr>
                <w:rFonts w:ascii="宋体" w:hAnsi="宋体" w:eastAsia="宋体" w:cs="宋体"/>
                <w:color w:val="000000" w:themeColor="text1"/>
                <w:kern w:val="0"/>
                <w:szCs w:val="21"/>
                <w14:textFill>
                  <w14:solidFill>
                    <w14:schemeClr w14:val="tx1"/>
                  </w14:solidFill>
                </w14:textFill>
              </w:rPr>
              <w:t>红光汽车用手刹操纵机构总成</w:t>
            </w:r>
            <w:r>
              <w:rPr>
                <w:rFonts w:hint="eastAsia" w:ascii="宋体" w:hAnsi="宋体" w:eastAsia="宋体" w:cs="宋体"/>
                <w:color w:val="000000" w:themeColor="text1"/>
                <w:kern w:val="0"/>
                <w:szCs w:val="21"/>
                <w14:textFill>
                  <w14:solidFill>
                    <w14:schemeClr w14:val="tx1"/>
                  </w14:solidFill>
                </w14:textFill>
              </w:rPr>
              <w:t>/</w:t>
            </w:r>
            <w:r>
              <w:rPr>
                <w:rFonts w:ascii="宋体" w:hAnsi="宋体" w:eastAsia="宋体" w:cs="宋体"/>
                <w:color w:val="000000" w:themeColor="text1"/>
                <w:kern w:val="0"/>
                <w:szCs w:val="21"/>
                <w14:textFill>
                  <w14:solidFill>
                    <w14:schemeClr w14:val="tx1"/>
                  </w14:solidFill>
                </w14:textFill>
              </w:rPr>
              <w:t>踏板支架</w:t>
            </w:r>
            <w:r>
              <w:rPr>
                <w:rFonts w:hint="eastAsia" w:ascii="宋体" w:hAnsi="宋体" w:eastAsia="宋体" w:cs="宋体"/>
                <w:color w:val="000000" w:themeColor="text1"/>
                <w:kern w:val="0"/>
                <w:szCs w:val="21"/>
                <w14:textFill>
                  <w14:solidFill>
                    <w14:schemeClr w14:val="tx1"/>
                  </w14:solidFill>
                </w14:textFill>
              </w:rPr>
              <w:t>/</w:t>
            </w:r>
            <w:r>
              <w:rPr>
                <w:rFonts w:ascii="宋体" w:hAnsi="宋体" w:eastAsia="宋体" w:cs="宋体"/>
                <w:color w:val="000000" w:themeColor="text1"/>
                <w:kern w:val="0"/>
                <w:szCs w:val="21"/>
                <w14:textFill>
                  <w14:solidFill>
                    <w14:schemeClr w14:val="tx1"/>
                  </w14:solidFill>
                </w14:textFill>
              </w:rPr>
              <w:t>冲焊件总成项目</w:t>
            </w:r>
            <w:r>
              <w:rPr>
                <w:rFonts w:hint="eastAsia" w:ascii="宋体" w:hAnsi="宋体" w:eastAsia="宋体" w:cs="宋体"/>
                <w:color w:val="000000" w:themeColor="text1"/>
                <w:kern w:val="0"/>
                <w:szCs w:val="21"/>
                <w14:textFill>
                  <w14:solidFill>
                    <w14:schemeClr w14:val="tx1"/>
                  </w14:solidFill>
                </w14:textFill>
              </w:rPr>
              <w:t>、</w:t>
            </w:r>
            <w:r>
              <w:rPr>
                <w:rFonts w:ascii="宋体" w:hAnsi="宋体" w:eastAsia="宋体" w:cs="宋体"/>
                <w:color w:val="000000" w:themeColor="text1"/>
                <w:kern w:val="0"/>
                <w:szCs w:val="21"/>
                <w14:textFill>
                  <w14:solidFill>
                    <w14:schemeClr w14:val="tx1"/>
                  </w14:solidFill>
                </w14:textFill>
              </w:rPr>
              <w:t>东风柳汽商用车基地智能化改造升级项目</w:t>
            </w:r>
            <w:r>
              <w:rPr>
                <w:rFonts w:hint="eastAsia" w:ascii="宋体" w:hAnsi="宋体" w:eastAsia="宋体" w:cs="宋体"/>
                <w:color w:val="000000" w:themeColor="text1"/>
                <w:kern w:val="0"/>
                <w:szCs w:val="21"/>
                <w14:textFill>
                  <w14:solidFill>
                    <w14:schemeClr w14:val="tx1"/>
                  </w14:solidFill>
                </w14:textFill>
              </w:rPr>
              <w:t>、柳州曙光微型车桥生产线项目、柳州益昕汽车零部件配套项目、柳州协统汽车饰件生产基地项目、广西汽车集团陆上旅游交通装备综合产品开发及产能建设项目等前期项目。</w:t>
            </w:r>
          </w:p>
        </w:tc>
      </w:tr>
    </w:tbl>
    <w:p>
      <w:pPr>
        <w:pStyle w:val="9"/>
        <w:rPr>
          <w:color w:val="000000" w:themeColor="text1"/>
          <w14:textFill>
            <w14:solidFill>
              <w14:schemeClr w14:val="tx1"/>
            </w14:solidFill>
          </w14:textFill>
        </w:rPr>
      </w:pPr>
    </w:p>
    <w:p>
      <w:pPr>
        <w:pStyle w:val="4"/>
        <w:jc w:val="center"/>
        <w:rPr>
          <w:rFonts w:hint="eastAsia" w:ascii="黑体" w:hAnsi="黑体" w:eastAsia="黑体" w:cs="Times New Roman"/>
          <w:b w:val="0"/>
          <w:color w:val="000000" w:themeColor="text1"/>
          <w14:textFill>
            <w14:solidFill>
              <w14:schemeClr w14:val="tx1"/>
            </w14:solidFill>
          </w14:textFill>
        </w:rPr>
      </w:pPr>
      <w:bookmarkStart w:id="138" w:name="_Toc20860"/>
      <w:bookmarkStart w:id="139" w:name="_Toc8525"/>
      <w:bookmarkStart w:id="140" w:name="_Toc1122"/>
      <w:bookmarkStart w:id="141" w:name="_Toc21089"/>
      <w:bookmarkStart w:id="142" w:name="_Toc32188"/>
      <w:bookmarkStart w:id="143" w:name="_Toc26870"/>
      <w:r>
        <w:rPr>
          <w:rFonts w:hint="eastAsia" w:ascii="黑体" w:hAnsi="黑体" w:eastAsia="黑体" w:cs="Times New Roman"/>
          <w:b w:val="0"/>
          <w:color w:val="000000" w:themeColor="text1"/>
          <w14:textFill>
            <w14:solidFill>
              <w14:schemeClr w14:val="tx1"/>
            </w14:solidFill>
          </w14:textFill>
        </w:rPr>
        <w:t>第二节 培育壮大三大战略性新兴产业</w:t>
      </w:r>
      <w:bookmarkEnd w:id="138"/>
      <w:bookmarkEnd w:id="139"/>
      <w:bookmarkEnd w:id="140"/>
      <w:bookmarkEnd w:id="141"/>
      <w:bookmarkEnd w:id="142"/>
      <w:bookmarkEnd w:id="143"/>
    </w:p>
    <w:p>
      <w:pPr>
        <w:pStyle w:val="5"/>
        <w:spacing w:before="0" w:after="0" w:line="240" w:lineRule="auto"/>
        <w:ind w:firstLine="640" w:firstLineChars="200"/>
        <w:rPr>
          <w:rFonts w:ascii="黑体" w:hAnsi="黑体" w:eastAsia="黑体" w:cs="Times New Roman"/>
          <w:b w:val="0"/>
          <w:color w:val="000000" w:themeColor="text1"/>
          <w14:textFill>
            <w14:solidFill>
              <w14:schemeClr w14:val="tx1"/>
            </w14:solidFill>
          </w14:textFill>
        </w:rPr>
      </w:pPr>
      <w:r>
        <w:rPr>
          <w:rFonts w:hint="eastAsia" w:ascii="黑体" w:hAnsi="黑体" w:eastAsia="黑体" w:cs="Times New Roman"/>
          <w:b w:val="0"/>
          <w:color w:val="000000" w:themeColor="text1"/>
          <w14:textFill>
            <w14:solidFill>
              <w14:schemeClr w14:val="tx1"/>
            </w14:solidFill>
          </w14:textFill>
        </w:rPr>
        <w:t>一、积极拓展高端装备制造业</w:t>
      </w:r>
    </w:p>
    <w:p>
      <w:pPr>
        <w:ind w:firstLine="640" w:firstLineChars="200"/>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以轨道交通、智能装备、机器人、工程装备等领域为重点，依托产业园、大型骨干企业，完善产业链条，拓展产业领域，突破关键核心技术，不断推动高端装备产业规模化、高端化、智能化、服务化发展。</w:t>
      </w:r>
    </w:p>
    <w:p>
      <w:pPr>
        <w:ind w:firstLine="643" w:firstLineChars="200"/>
        <w:rPr>
          <w:rFonts w:eastAsia="仿宋_GB2312"/>
          <w:color w:val="000000" w:themeColor="text1"/>
          <w:sz w:val="32"/>
          <w:szCs w:val="32"/>
          <w14:textFill>
            <w14:solidFill>
              <w14:schemeClr w14:val="tx1"/>
            </w14:solidFill>
          </w14:textFill>
        </w:rPr>
      </w:pPr>
      <w:r>
        <w:rPr>
          <w:rFonts w:hint="eastAsia" w:eastAsia="仿宋_GB2312"/>
          <w:b/>
          <w:bCs/>
          <w:color w:val="000000" w:themeColor="text1"/>
          <w:sz w:val="32"/>
          <w:szCs w:val="32"/>
          <w14:textFill>
            <w14:solidFill>
              <w14:schemeClr w14:val="tx1"/>
            </w14:solidFill>
          </w14:textFill>
        </w:rPr>
        <w:t>全面打造走向国际的轨道交通产业基地。</w:t>
      </w:r>
      <w:r>
        <w:rPr>
          <w:rFonts w:hint="eastAsia" w:eastAsia="仿宋_GB2312"/>
          <w:color w:val="000000" w:themeColor="text1"/>
          <w:sz w:val="32"/>
          <w:szCs w:val="32"/>
          <w14:textFill>
            <w14:solidFill>
              <w14:schemeClr w14:val="tx1"/>
            </w14:solidFill>
          </w14:textFill>
        </w:rPr>
        <w:t xml:space="preserve">按照“需求牵引、项目带动、配套提升、集群发展”的思路，突出智能化轨道交通专用设备、关键系统及部件配套特色，打造轨道交通装备协作智造基地。加快柳州智能交通产业园建设，加强与中国中车合作，通过引进一批轨道交通产业链配套企业，加快发展牵引及控制系统、制动系统、车内电器、信息化和综合监控等机电系统设备，加速城市轨道交通产业规模化发展，构建从整车生产到零部件配套和维修服务的全产业链，成为面向国内国际的轨道交通南方生产基地。以跨坐式单轨车辆制造检修和线路建设维保为立足点，重点发展跨坐式单轨车辆和线路专有产品。围绕轨道交通整车制造需求，依托新区产业基础，创新发展变频空调、新型车辆座椅等技术先进、可靠性高、实用性强的轨道交通车辆内部装备。支持开展轨道交通工程机械及部件关键技术研发，重点发展综合作业车、小曲线轨道交通用施工维护设备，接触网多功能检修作业车，桥梁及隧道状态检测维修车等。 </w:t>
      </w:r>
    </w:p>
    <w:p>
      <w:pPr>
        <w:ind w:firstLine="643" w:firstLineChars="200"/>
        <w:rPr>
          <w:rFonts w:eastAsia="仿宋_GB2312"/>
          <w:color w:val="000000" w:themeColor="text1"/>
          <w:sz w:val="32"/>
          <w:szCs w:val="32"/>
          <w14:textFill>
            <w14:solidFill>
              <w14:schemeClr w14:val="tx1"/>
            </w14:solidFill>
          </w14:textFill>
        </w:rPr>
      </w:pPr>
      <w:r>
        <w:rPr>
          <w:rFonts w:hint="eastAsia" w:ascii="仿宋_GB2312" w:eastAsia="仿宋_GB2312"/>
          <w:b/>
          <w:bCs/>
          <w:color w:val="000000" w:themeColor="text1"/>
          <w:sz w:val="32"/>
          <w14:textFill>
            <w14:solidFill>
              <w14:schemeClr w14:val="tx1"/>
            </w14:solidFill>
          </w14:textFill>
        </w:rPr>
        <w:t>加快壮大“柳东智造”装备产业集群。</w:t>
      </w:r>
      <w:r>
        <w:rPr>
          <w:rFonts w:ascii="仿宋_GB2312" w:eastAsia="仿宋_GB2312"/>
          <w:color w:val="000000" w:themeColor="text1"/>
          <w:sz w:val="32"/>
          <w14:textFill>
            <w14:solidFill>
              <w14:schemeClr w14:val="tx1"/>
            </w14:solidFill>
          </w14:textFill>
        </w:rPr>
        <w:t>推动高端装备产业园规划落地和优质项目布局，引领我市支柱产业转型升级。</w:t>
      </w:r>
      <w:r>
        <w:rPr>
          <w:rFonts w:hint="eastAsia" w:eastAsia="仿宋_GB2312"/>
          <w:color w:val="000000" w:themeColor="text1"/>
          <w:sz w:val="32"/>
          <w:szCs w:val="32"/>
          <w14:textFill>
            <w14:solidFill>
              <w14:schemeClr w14:val="tx1"/>
            </w14:solidFill>
          </w14:textFill>
        </w:rPr>
        <w:t>整合内外创新资源要素，着力突破工业视觉检测、机器人协同装配等共性技术，重点发展具有自主知识产权的焊接机器人、喷涂机器人、搬运机器人、装配机器人、上下料机器人、专用机器人、康复辅助机器人等，着力引进一批机器人等装备项目及相关的智能化改造提升服务团队落户新区，开展机器人本体和关键零部件的研发制造，以及系统集成等环节。加快久日机械大型工程机械生产线等项目建设，发展工程主机为带动，以钎具钻具和零部件为配套，工程技术解决方案为支撑的工程装备制造与运维服务体系。培育发展游乐园设备、户外运动装备等文化旅游装备。发挥中德工业城市联盟、国际科技园协会等机构资源优势，以中德（柳州）工业园等载体，积极吸引德国及欧洲智能装备企业，发展智能装备领域，重点开发数控机床、加工中心等工业母机和重大成套装备。推广智能制造、工业互联网的应用，培育具备整体设计能力和解决方案提供能力的系统集成企业，支持企业智能化、数字化改造，推动有条件的企业建设智能生产线、数字车间和无人工厂，推出一批智能制造应用示范项目。争取到2025年，高端装备制造业总产值突破200亿元。</w:t>
      </w:r>
    </w:p>
    <w:p>
      <w:pPr>
        <w:pStyle w:val="5"/>
        <w:spacing w:before="0" w:after="0" w:line="240" w:lineRule="auto"/>
        <w:ind w:firstLine="640" w:firstLineChars="200"/>
        <w:rPr>
          <w:rFonts w:ascii="黑体" w:hAnsi="黑体" w:eastAsia="黑体" w:cs="Times New Roman"/>
          <w:b w:val="0"/>
          <w:color w:val="000000" w:themeColor="text1"/>
          <w14:textFill>
            <w14:solidFill>
              <w14:schemeClr w14:val="tx1"/>
            </w14:solidFill>
          </w14:textFill>
        </w:rPr>
      </w:pPr>
      <w:r>
        <w:rPr>
          <w:rFonts w:hint="eastAsia" w:ascii="黑体" w:hAnsi="黑体" w:eastAsia="黑体" w:cs="Times New Roman"/>
          <w:b w:val="0"/>
          <w:color w:val="000000" w:themeColor="text1"/>
          <w14:textFill>
            <w14:solidFill>
              <w14:schemeClr w14:val="tx1"/>
            </w14:solidFill>
          </w14:textFill>
        </w:rPr>
        <w:t>二、跨越式发展电子光电产业</w:t>
      </w:r>
    </w:p>
    <w:p>
      <w:pPr>
        <w:ind w:firstLine="643" w:firstLineChars="200"/>
        <w:rPr>
          <w:rFonts w:eastAsia="仿宋_GB2312"/>
          <w:color w:val="000000" w:themeColor="text1"/>
          <w:sz w:val="32"/>
          <w:szCs w:val="32"/>
          <w14:textFill>
            <w14:solidFill>
              <w14:schemeClr w14:val="tx1"/>
            </w14:solidFill>
          </w14:textFill>
        </w:rPr>
      </w:pPr>
      <w:r>
        <w:rPr>
          <w:rFonts w:hint="eastAsia" w:eastAsia="仿宋_GB2312"/>
          <w:b/>
          <w:bCs/>
          <w:color w:val="000000" w:themeColor="text1"/>
          <w:sz w:val="32"/>
          <w:szCs w:val="32"/>
          <w14:textFill>
            <w14:solidFill>
              <w14:schemeClr w14:val="tx1"/>
            </w14:solidFill>
          </w14:textFill>
        </w:rPr>
        <w:t>精耕细作新一代电子信息技术产业。</w:t>
      </w:r>
      <w:r>
        <w:rPr>
          <w:rFonts w:hint="eastAsia" w:eastAsia="仿宋_GB2312"/>
          <w:color w:val="000000" w:themeColor="text1"/>
          <w:sz w:val="32"/>
          <w:szCs w:val="32"/>
          <w14:textFill>
            <w14:solidFill>
              <w14:schemeClr w14:val="tx1"/>
            </w14:solidFill>
          </w14:textFill>
        </w:rPr>
        <w:t>围绕新一代电子信息技术产业，实施重点突破与产业协同战略，聚</w:t>
      </w:r>
      <w:r>
        <w:rPr>
          <w:rFonts w:hint="eastAsia" w:ascii="仿宋_GB2312" w:eastAsia="仿宋_GB2312"/>
          <w:color w:val="000000" w:themeColor="text1"/>
          <w:sz w:val="32"/>
          <w:szCs w:val="32"/>
          <w14:textFill>
            <w14:solidFill>
              <w14:schemeClr w14:val="tx1"/>
            </w14:solidFill>
          </w14:textFill>
        </w:rPr>
        <w:t>焦</w:t>
      </w:r>
      <w:r>
        <w:rPr>
          <w:rFonts w:hint="eastAsia" w:eastAsia="仿宋_GB2312"/>
          <w:color w:val="000000" w:themeColor="text1"/>
          <w:sz w:val="32"/>
          <w:szCs w:val="32"/>
          <w14:textFill>
            <w14:solidFill>
              <w14:schemeClr w14:val="tx1"/>
            </w14:solidFill>
          </w14:textFill>
        </w:rPr>
        <w:t>汽车电子、</w:t>
      </w:r>
      <w:r>
        <w:rPr>
          <w:rFonts w:hint="eastAsia" w:ascii="仿宋_GB2312" w:eastAsia="仿宋_GB2312"/>
          <w:color w:val="000000" w:themeColor="text1"/>
          <w:sz w:val="32"/>
          <w:szCs w:val="32"/>
          <w14:textFill>
            <w14:solidFill>
              <w14:schemeClr w14:val="tx1"/>
            </w14:solidFill>
          </w14:textFill>
        </w:rPr>
        <w:t>5G</w:t>
      </w:r>
      <w:r>
        <w:rPr>
          <w:rFonts w:hint="eastAsia" w:eastAsia="仿宋_GB2312"/>
          <w:color w:val="000000" w:themeColor="text1"/>
          <w:sz w:val="32"/>
          <w:szCs w:val="32"/>
          <w14:textFill>
            <w14:solidFill>
              <w14:schemeClr w14:val="tx1"/>
            </w14:solidFill>
          </w14:textFill>
        </w:rPr>
        <w:t>、集成电路</w:t>
      </w:r>
      <w:r>
        <w:rPr>
          <w:rFonts w:hint="eastAsia" w:ascii="仿宋_GB2312" w:eastAsia="仿宋_GB2312"/>
          <w:color w:val="000000" w:themeColor="text1"/>
          <w:sz w:val="32"/>
          <w:szCs w:val="32"/>
          <w14:textFill>
            <w14:solidFill>
              <w14:schemeClr w14:val="tx1"/>
            </w14:solidFill>
          </w14:textFill>
        </w:rPr>
        <w:t>、</w:t>
      </w:r>
      <w:r>
        <w:rPr>
          <w:rFonts w:hint="eastAsia" w:eastAsia="仿宋_GB2312"/>
          <w:color w:val="000000" w:themeColor="text1"/>
          <w:sz w:val="32"/>
          <w:szCs w:val="32"/>
          <w14:textFill>
            <w14:solidFill>
              <w14:schemeClr w14:val="tx1"/>
            </w14:solidFill>
          </w14:textFill>
        </w:rPr>
        <w:t>物联网、高</w:t>
      </w:r>
      <w:r>
        <w:rPr>
          <w:rFonts w:hint="eastAsia" w:ascii="仿宋_GB2312" w:hAnsi="仿宋_GB2312" w:eastAsia="仿宋_GB2312" w:cs="仿宋_GB2312"/>
          <w:color w:val="000000" w:themeColor="text1"/>
          <w:sz w:val="32"/>
          <w:szCs w:val="32"/>
          <w14:textFill>
            <w14:solidFill>
              <w14:schemeClr w14:val="tx1"/>
            </w14:solidFill>
          </w14:textFill>
        </w:rPr>
        <w:t>端软件等领域，</w:t>
      </w:r>
      <w:r>
        <w:rPr>
          <w:rFonts w:hint="eastAsia" w:ascii="仿宋_GB2312" w:hAnsi="仿宋_GB2312" w:eastAsia="仿宋_GB2312" w:cs="仿宋_GB2312"/>
          <w:color w:val="000000" w:themeColor="text1"/>
          <w:sz w:val="32"/>
          <w:szCs w:val="32"/>
          <w14:textFill>
            <w14:solidFill>
              <w14:schemeClr w14:val="tx1"/>
            </w14:solidFill>
          </w14:textFill>
        </w:rPr>
        <w:fldChar w:fldCharType="begin"/>
      </w:r>
      <w:r>
        <w:rPr>
          <w:rFonts w:hint="eastAsia" w:ascii="仿宋_GB2312" w:hAnsi="仿宋_GB2312" w:eastAsia="仿宋_GB2312" w:cs="仿宋_GB2312"/>
          <w:color w:val="000000" w:themeColor="text1"/>
          <w:sz w:val="32"/>
          <w:szCs w:val="32"/>
          <w14:textFill>
            <w14:solidFill>
              <w14:schemeClr w14:val="tx1"/>
            </w14:solidFill>
          </w14:textFill>
        </w:rPr>
        <w:instrText xml:space="preserve"> = 1 \* GB3 </w:instrText>
      </w:r>
      <w:r>
        <w:rPr>
          <w:rFonts w:hint="eastAsia" w:ascii="仿宋_GB2312" w:hAnsi="仿宋_GB2312" w:eastAsia="仿宋_GB2312" w:cs="仿宋_GB2312"/>
          <w:color w:val="000000" w:themeColor="text1"/>
          <w:sz w:val="32"/>
          <w:szCs w:val="32"/>
          <w14:textFill>
            <w14:solidFill>
              <w14:schemeClr w14:val="tx1"/>
            </w14:solidFill>
          </w14:textFill>
        </w:rPr>
        <w:fldChar w:fldCharType="end"/>
      </w:r>
      <w:r>
        <w:rPr>
          <w:rFonts w:hint="eastAsia" w:ascii="仿宋_GB2312" w:hAnsi="仿宋_GB2312" w:eastAsia="仿宋_GB2312" w:cs="仿宋_GB2312"/>
          <w:color w:val="000000" w:themeColor="text1"/>
          <w:sz w:val="32"/>
          <w:szCs w:val="32"/>
          <w14:textFill>
            <w14:solidFill>
              <w14:schemeClr w14:val="tx1"/>
            </w14:solidFill>
          </w14:textFill>
        </w:rPr>
        <w:fldChar w:fldCharType="begin"/>
      </w:r>
      <w:r>
        <w:rPr>
          <w:rFonts w:hint="eastAsia" w:ascii="仿宋_GB2312" w:hAnsi="仿宋_GB2312" w:eastAsia="仿宋_GB2312" w:cs="仿宋_GB2312"/>
          <w:color w:val="000000" w:themeColor="text1"/>
          <w:sz w:val="32"/>
          <w:szCs w:val="32"/>
          <w14:textFill>
            <w14:solidFill>
              <w14:schemeClr w14:val="tx1"/>
            </w14:solidFill>
          </w14:textFill>
        </w:rPr>
        <w:instrText xml:space="preserve"> = 2 \* GB3 </w:instrText>
      </w:r>
      <w:r>
        <w:rPr>
          <w:rFonts w:hint="eastAsia" w:ascii="仿宋_GB2312" w:hAnsi="仿宋_GB2312" w:eastAsia="仿宋_GB2312" w:cs="仿宋_GB2312"/>
          <w:color w:val="000000" w:themeColor="text1"/>
          <w:sz w:val="32"/>
          <w:szCs w:val="32"/>
          <w14:textFill>
            <w14:solidFill>
              <w14:schemeClr w14:val="tx1"/>
            </w14:solidFill>
          </w14:textFill>
        </w:rPr>
        <w:fldChar w:fldCharType="end"/>
      </w:r>
      <w:r>
        <w:rPr>
          <w:rFonts w:hint="eastAsia" w:ascii="仿宋_GB2312" w:hAnsi="仿宋_GB2312" w:eastAsia="仿宋_GB2312" w:cs="仿宋_GB2312"/>
          <w:color w:val="000000" w:themeColor="text1"/>
          <w:sz w:val="32"/>
          <w:szCs w:val="32"/>
          <w14:textFill>
            <w14:solidFill>
              <w14:schemeClr w14:val="tx1"/>
            </w14:solidFill>
          </w14:textFill>
        </w:rPr>
        <w:t>围绕产业链上下游开展精准招商。依托</w:t>
      </w:r>
      <w:r>
        <w:rPr>
          <w:rFonts w:hint="eastAsia" w:eastAsia="仿宋_GB2312"/>
          <w:color w:val="000000" w:themeColor="text1"/>
          <w:sz w:val="32"/>
          <w:szCs w:val="32"/>
          <w14:textFill>
            <w14:solidFill>
              <w14:schemeClr w14:val="tx1"/>
            </w14:solidFill>
          </w14:textFill>
        </w:rPr>
        <w:t>联合电子、耐世特等</w:t>
      </w:r>
      <w:r>
        <w:rPr>
          <w:rFonts w:hint="eastAsia" w:ascii="仿宋_GB2312" w:hAnsi="仿宋_GB2312" w:eastAsia="仿宋_GB2312" w:cs="仿宋_GB2312"/>
          <w:color w:val="000000" w:themeColor="text1"/>
          <w:sz w:val="32"/>
          <w:szCs w:val="32"/>
          <w14:textFill>
            <w14:solidFill>
              <w14:schemeClr w14:val="tx1"/>
            </w14:solidFill>
          </w14:textFill>
        </w:rPr>
        <w:t>龙头企业，重点引进产业链上下游优质企业，大力发展车身电子、发动机控制器、变速箱控制器、电池管理系统、电力驱动控制系统、电控系统等汽车电子产品。鼓励发展基于5G等下一代通信网络的卫星导航终端通信设备、应用系统集成，拓展在公共交通管理、汽车导航、城市管理等领域的应用。加快建设信炜科技集成电路产业园，加强与科研机构和高校合作，培育发展指纹芯片、3D摄像头、生物</w:t>
      </w:r>
      <w:r>
        <w:rPr>
          <w:rFonts w:hint="eastAsia" w:eastAsia="仿宋_GB2312"/>
          <w:color w:val="000000" w:themeColor="text1"/>
          <w:sz w:val="32"/>
          <w:szCs w:val="32"/>
          <w14:textFill>
            <w14:solidFill>
              <w14:schemeClr w14:val="tx1"/>
            </w14:solidFill>
          </w14:textFill>
        </w:rPr>
        <w:t>传感芯片及系统、基于人工智能的识别系统、机器视觉硬件等产品的研发、设计和制造。积极开展智慧物联产品等智慧城市、智慧交通、人工智能相关软件和产品研发，促进物联网、高端软件产业和城市交通、制造业、材料、能源、生物等其他领域的深度融合。</w:t>
      </w:r>
    </w:p>
    <w:p>
      <w:pPr>
        <w:ind w:firstLine="643" w:firstLineChars="200"/>
        <w:rPr>
          <w:rFonts w:ascii="仿宋_GB2312" w:eastAsia="仿宋_GB2312"/>
          <w:color w:val="000000" w:themeColor="text1"/>
          <w:sz w:val="32"/>
          <w:szCs w:val="32"/>
          <w14:textFill>
            <w14:solidFill>
              <w14:schemeClr w14:val="tx1"/>
            </w14:solidFill>
          </w14:textFill>
        </w:rPr>
      </w:pPr>
      <w:r>
        <w:rPr>
          <w:rFonts w:hint="eastAsia" w:eastAsia="仿宋_GB2312"/>
          <w:b/>
          <w:bCs/>
          <w:color w:val="000000" w:themeColor="text1"/>
          <w:sz w:val="32"/>
          <w:szCs w:val="32"/>
          <w14:textFill>
            <w14:solidFill>
              <w14:schemeClr w14:val="tx1"/>
            </w14:solidFill>
          </w14:textFill>
        </w:rPr>
        <w:t>创引发展光电显示产业。</w:t>
      </w:r>
      <w:r>
        <w:rPr>
          <w:rFonts w:hint="eastAsia" w:eastAsia="仿宋_GB2312"/>
          <w:color w:val="000000" w:themeColor="text1"/>
          <w:sz w:val="32"/>
          <w:szCs w:val="32"/>
          <w14:textFill>
            <w14:solidFill>
              <w14:schemeClr w14:val="tx1"/>
            </w14:solidFill>
          </w14:textFill>
        </w:rPr>
        <w:t>大力招大引强，积极发展以光电元器件、光电显示、激光、光伏发电等为代表的光电产业集群。推动新区光电产业重点招商项目纳入国家窗口指导范畴，积极引进光电显示产业链上下游企业，完善液晶显示面板、背光源产品、驱</w:t>
      </w:r>
      <w:r>
        <w:rPr>
          <w:rFonts w:hint="eastAsia" w:ascii="仿宋_GB2312" w:eastAsia="仿宋_GB2312"/>
          <w:color w:val="000000" w:themeColor="text1"/>
          <w:sz w:val="32"/>
          <w:szCs w:val="32"/>
          <w14:textFill>
            <w14:solidFill>
              <w14:schemeClr w14:val="tx1"/>
            </w14:solidFill>
          </w14:textFill>
        </w:rPr>
        <w:t>动IC、</w:t>
      </w:r>
      <w:r>
        <w:rPr>
          <w:rFonts w:hint="eastAsia" w:eastAsia="仿宋_GB2312"/>
          <w:color w:val="000000" w:themeColor="text1"/>
          <w:sz w:val="32"/>
          <w:szCs w:val="32"/>
          <w14:textFill>
            <w14:solidFill>
              <w14:schemeClr w14:val="tx1"/>
            </w14:solidFill>
          </w14:textFill>
        </w:rPr>
        <w:t>压力传感器、光电材料等产业链环节。支持晶联光电等企业做大做强，提高电子材料和器件配套能力，积极发展电子纸、有机发光材料、靶材、偏光片和新型电子元器件等光电材料、光电部件领域。研究布局前瞻性显示技术，加强技术储备，探索新型显示与</w:t>
      </w:r>
      <w:r>
        <w:rPr>
          <w:rFonts w:hint="eastAsia" w:ascii="仿宋_GB2312" w:eastAsia="仿宋_GB2312"/>
          <w:color w:val="000000" w:themeColor="text1"/>
          <w:sz w:val="32"/>
          <w:szCs w:val="32"/>
          <w14:textFill>
            <w14:solidFill>
              <w14:schemeClr w14:val="tx1"/>
            </w14:solidFill>
          </w14:textFill>
        </w:rPr>
        <w:t>5G、工</w:t>
      </w:r>
      <w:r>
        <w:rPr>
          <w:rFonts w:hint="eastAsia" w:eastAsia="仿宋_GB2312"/>
          <w:color w:val="000000" w:themeColor="text1"/>
          <w:sz w:val="32"/>
          <w:szCs w:val="32"/>
          <w14:textFill>
            <w14:solidFill>
              <w14:schemeClr w14:val="tx1"/>
            </w14:solidFill>
          </w14:textFill>
        </w:rPr>
        <w:t>业互联网、人工智能等新一代信息技术的创新融合。</w:t>
      </w:r>
      <w:r>
        <w:rPr>
          <w:rFonts w:hint="eastAsia" w:ascii="仿宋_GB2312" w:eastAsia="仿宋_GB2312"/>
          <w:color w:val="000000" w:themeColor="text1"/>
          <w:sz w:val="32"/>
          <w:szCs w:val="32"/>
          <w14:textFill>
            <w14:solidFill>
              <w14:schemeClr w14:val="tx1"/>
            </w14:solidFill>
          </w14:textFill>
        </w:rPr>
        <w:t>争取到2025年，电子光电产业工业总产值突破120亿元</w:t>
      </w:r>
      <w:r>
        <w:rPr>
          <w:rFonts w:hint="eastAsia" w:eastAsia="仿宋_GB2312"/>
          <w:color w:val="000000" w:themeColor="text1"/>
          <w:sz w:val="32"/>
          <w:szCs w:val="32"/>
          <w14:textFill>
            <w14:solidFill>
              <w14:schemeClr w14:val="tx1"/>
            </w14:solidFill>
          </w14:textFill>
        </w:rPr>
        <w:t>。</w:t>
      </w:r>
    </w:p>
    <w:p>
      <w:pPr>
        <w:pStyle w:val="5"/>
        <w:spacing w:before="0" w:after="0" w:line="240" w:lineRule="auto"/>
        <w:ind w:firstLine="640" w:firstLineChars="200"/>
        <w:rPr>
          <w:rFonts w:ascii="黑体" w:hAnsi="黑体" w:eastAsia="黑体" w:cs="Times New Roman"/>
          <w:b w:val="0"/>
          <w:color w:val="000000" w:themeColor="text1"/>
          <w14:textFill>
            <w14:solidFill>
              <w14:schemeClr w14:val="tx1"/>
            </w14:solidFill>
          </w14:textFill>
        </w:rPr>
      </w:pPr>
      <w:r>
        <w:rPr>
          <w:rFonts w:hint="eastAsia" w:ascii="黑体" w:hAnsi="黑体" w:eastAsia="黑体" w:cs="Times New Roman"/>
          <w:b w:val="0"/>
          <w:color w:val="000000" w:themeColor="text1"/>
          <w14:textFill>
            <w14:solidFill>
              <w14:schemeClr w14:val="tx1"/>
            </w14:solidFill>
          </w14:textFill>
        </w:rPr>
        <w:t>三、推动新材料产业上新台阶</w:t>
      </w:r>
    </w:p>
    <w:p>
      <w:pPr>
        <w:ind w:firstLine="640" w:firstLineChars="200"/>
        <w:rPr>
          <w:rFonts w:hint="eastAsia"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聚焦汽车绿色化、轻量化等领域发展需求，重点发展新能源材料、电子材料及其他新型材料，</w:t>
      </w:r>
      <w:r>
        <w:rPr>
          <w:rFonts w:eastAsia="仿宋_GB2312"/>
          <w:color w:val="000000" w:themeColor="text1"/>
          <w:sz w:val="32"/>
          <w:szCs w:val="32"/>
          <w14:textFill>
            <w14:solidFill>
              <w14:schemeClr w14:val="tx1"/>
            </w14:solidFill>
          </w14:textFill>
        </w:rPr>
        <w:t>打造新材料产业园</w:t>
      </w:r>
      <w:r>
        <w:rPr>
          <w:rFonts w:hint="eastAsia" w:eastAsia="仿宋_GB2312"/>
          <w:color w:val="000000" w:themeColor="text1"/>
          <w:sz w:val="32"/>
          <w:szCs w:val="32"/>
          <w14:textFill>
            <w14:solidFill>
              <w14:schemeClr w14:val="tx1"/>
            </w14:solidFill>
          </w14:textFill>
        </w:rPr>
        <w:t>。</w:t>
      </w:r>
    </w:p>
    <w:p>
      <w:pPr>
        <w:ind w:firstLine="643" w:firstLineChars="200"/>
        <w:rPr>
          <w:rFonts w:eastAsia="仿宋_GB2312"/>
          <w:color w:val="000000" w:themeColor="text1"/>
          <w:sz w:val="32"/>
          <w:szCs w:val="32"/>
          <w14:textFill>
            <w14:solidFill>
              <w14:schemeClr w14:val="tx1"/>
            </w14:solidFill>
          </w14:textFill>
        </w:rPr>
      </w:pPr>
      <w:r>
        <w:rPr>
          <w:rFonts w:hint="eastAsia" w:eastAsia="仿宋_GB2312"/>
          <w:b/>
          <w:bCs/>
          <w:color w:val="000000" w:themeColor="text1"/>
          <w:sz w:val="32"/>
          <w:szCs w:val="32"/>
          <w14:textFill>
            <w14:solidFill>
              <w14:schemeClr w14:val="tx1"/>
            </w14:solidFill>
          </w14:textFill>
        </w:rPr>
        <w:t>积极发展新能源材料</w:t>
      </w:r>
      <w:r>
        <w:rPr>
          <w:rFonts w:hint="eastAsia" w:eastAsia="仿宋_GB2312"/>
          <w:b/>
          <w:bCs/>
          <w:color w:val="000000" w:themeColor="text1"/>
          <w:sz w:val="32"/>
          <w:szCs w:val="32"/>
          <w:lang w:eastAsia="zh-CN"/>
          <w14:textFill>
            <w14:solidFill>
              <w14:schemeClr w14:val="tx1"/>
            </w14:solidFill>
          </w14:textFill>
        </w:rPr>
        <w:t>。</w:t>
      </w:r>
      <w:r>
        <w:rPr>
          <w:rFonts w:hint="eastAsia" w:eastAsia="仿宋_GB2312"/>
          <w:color w:val="000000" w:themeColor="text1"/>
          <w:sz w:val="32"/>
          <w:szCs w:val="32"/>
          <w14:textFill>
            <w14:solidFill>
              <w14:schemeClr w14:val="tx1"/>
            </w14:solidFill>
          </w14:textFill>
        </w:rPr>
        <w:t>结合新能源汽车产业发展需求，</w:t>
      </w:r>
      <w:r>
        <w:rPr>
          <w:rFonts w:eastAsia="仿宋_GB2312"/>
          <w:color w:val="000000" w:themeColor="text1"/>
          <w:sz w:val="32"/>
          <w:szCs w:val="32"/>
          <w14:textFill>
            <w14:solidFill>
              <w14:schemeClr w14:val="tx1"/>
            </w14:solidFill>
          </w14:textFill>
        </w:rPr>
        <w:t>实施桂柳化工搬迁改造</w:t>
      </w:r>
      <w:r>
        <w:rPr>
          <w:rFonts w:hint="eastAsia" w:eastAsia="仿宋_GB2312"/>
          <w:color w:val="000000" w:themeColor="text1"/>
          <w:sz w:val="32"/>
          <w:szCs w:val="32"/>
          <w14:textFill>
            <w14:solidFill>
              <w14:schemeClr w14:val="tx1"/>
            </w14:solidFill>
          </w14:textFill>
        </w:rPr>
        <w:t>项目，做大做精锰酸锂等电池新材料，重点发展高能量密度及长循环寿命电池正负极材料、耐高温低电阻隔膜、大容量超级电容等锂离子电池关键材料。</w:t>
      </w:r>
      <w:r>
        <w:rPr>
          <w:rFonts w:eastAsia="仿宋_GB2312"/>
          <w:color w:val="000000" w:themeColor="text1"/>
          <w:sz w:val="32"/>
          <w:szCs w:val="32"/>
          <w14:textFill>
            <w14:solidFill>
              <w14:schemeClr w14:val="tx1"/>
            </w14:solidFill>
          </w14:textFill>
        </w:rPr>
        <w:t>聚焦超级快充动力电池、耐磨轮胎、防腐涂装等领域，整合上海交大、湖大艾盛等科技平台和</w:t>
      </w:r>
      <w:r>
        <w:rPr>
          <w:rFonts w:hint="eastAsia" w:eastAsia="仿宋_GB2312"/>
          <w:color w:val="000000" w:themeColor="text1"/>
          <w:sz w:val="32"/>
          <w:szCs w:val="32"/>
          <w14:textFill>
            <w14:solidFill>
              <w14:schemeClr w14:val="tx1"/>
            </w14:solidFill>
          </w14:textFill>
        </w:rPr>
        <w:t>相关</w:t>
      </w:r>
      <w:r>
        <w:rPr>
          <w:rFonts w:eastAsia="仿宋_GB2312"/>
          <w:color w:val="000000" w:themeColor="text1"/>
          <w:sz w:val="32"/>
          <w:szCs w:val="32"/>
          <w14:textFill>
            <w14:solidFill>
              <w14:schemeClr w14:val="tx1"/>
            </w14:solidFill>
          </w14:textFill>
        </w:rPr>
        <w:t>企业资源，深化产业链合作和跨区域合作，加快构建产业新优势。</w:t>
      </w:r>
    </w:p>
    <w:p>
      <w:pPr>
        <w:ind w:firstLine="643" w:firstLineChars="200"/>
        <w:rPr>
          <w:rFonts w:hint="eastAsia" w:eastAsia="仿宋_GB2312"/>
          <w:color w:val="000000" w:themeColor="text1"/>
          <w:sz w:val="32"/>
          <w:szCs w:val="32"/>
          <w14:textFill>
            <w14:solidFill>
              <w14:schemeClr w14:val="tx1"/>
            </w14:solidFill>
          </w14:textFill>
        </w:rPr>
      </w:pPr>
      <w:r>
        <w:rPr>
          <w:rFonts w:hint="eastAsia" w:eastAsia="仿宋_GB2312"/>
          <w:b/>
          <w:bCs/>
          <w:color w:val="000000" w:themeColor="text1"/>
          <w:sz w:val="32"/>
          <w:szCs w:val="32"/>
          <w14:textFill>
            <w14:solidFill>
              <w14:schemeClr w14:val="tx1"/>
            </w14:solidFill>
          </w14:textFill>
        </w:rPr>
        <w:t>推动电子信息材料发展</w:t>
      </w:r>
      <w:r>
        <w:rPr>
          <w:rFonts w:hint="eastAsia" w:eastAsia="仿宋_GB2312"/>
          <w:b/>
          <w:bCs/>
          <w:color w:val="000000" w:themeColor="text1"/>
          <w:sz w:val="32"/>
          <w:szCs w:val="32"/>
          <w:lang w:eastAsia="zh-CN"/>
          <w14:textFill>
            <w14:solidFill>
              <w14:schemeClr w14:val="tx1"/>
            </w14:solidFill>
          </w14:textFill>
        </w:rPr>
        <w:t>。</w:t>
      </w:r>
      <w:r>
        <w:rPr>
          <w:rFonts w:hint="eastAsia" w:eastAsia="仿宋_GB2312"/>
          <w:color w:val="000000" w:themeColor="text1"/>
          <w:sz w:val="32"/>
          <w:szCs w:val="32"/>
          <w14:textFill>
            <w14:solidFill>
              <w14:schemeClr w14:val="tx1"/>
            </w14:solidFill>
          </w14:textFill>
        </w:rPr>
        <w:t>聚焦汽车电子等电子信息产业发展需求，大力发展平板显示材料、半导体照明材料、微电子材料、光电子材料及光通信材料等领域，支持高性能显示材料、高端电子封装材料等研制。</w:t>
      </w:r>
    </w:p>
    <w:p>
      <w:pPr>
        <w:ind w:firstLine="643" w:firstLineChars="200"/>
        <w:rPr>
          <w:rFonts w:eastAsia="仿宋_GB2312"/>
          <w:color w:val="000000" w:themeColor="text1"/>
          <w:sz w:val="32"/>
          <w:szCs w:val="32"/>
          <w14:textFill>
            <w14:solidFill>
              <w14:schemeClr w14:val="tx1"/>
            </w14:solidFill>
          </w14:textFill>
        </w:rPr>
      </w:pPr>
      <w:r>
        <w:rPr>
          <w:rFonts w:hint="eastAsia" w:eastAsia="仿宋_GB2312"/>
          <w:b/>
          <w:bCs/>
          <w:color w:val="000000" w:themeColor="text1"/>
          <w:sz w:val="32"/>
          <w:szCs w:val="32"/>
          <w14:textFill>
            <w14:solidFill>
              <w14:schemeClr w14:val="tx1"/>
            </w14:solidFill>
          </w14:textFill>
        </w:rPr>
        <w:t>积极发展其他新型材料</w:t>
      </w:r>
      <w:r>
        <w:rPr>
          <w:rFonts w:hint="eastAsia" w:eastAsia="仿宋_GB2312"/>
          <w:b/>
          <w:bCs/>
          <w:color w:val="000000" w:themeColor="text1"/>
          <w:sz w:val="32"/>
          <w:szCs w:val="32"/>
          <w:lang w:eastAsia="zh-CN"/>
          <w14:textFill>
            <w14:solidFill>
              <w14:schemeClr w14:val="tx1"/>
            </w14:solidFill>
          </w14:textFill>
        </w:rPr>
        <w:t>。</w:t>
      </w:r>
      <w:r>
        <w:rPr>
          <w:rFonts w:hint="eastAsia" w:eastAsia="仿宋_GB2312"/>
          <w:color w:val="000000" w:themeColor="text1"/>
          <w:sz w:val="32"/>
          <w:szCs w:val="32"/>
          <w14:textFill>
            <w14:solidFill>
              <w14:schemeClr w14:val="tx1"/>
            </w14:solidFill>
          </w14:textFill>
        </w:rPr>
        <w:t>加快发展面向新能源汽车、轨道交通等行业领域的高端金属材料，加快发展新型环保高性能涂料、防水材料、防火材料，引进先进陶瓷、特种玻璃、镀膜产品等新型无机非金属材料项目。围绕主机厂，加快一阳科技铝深加工、鼎铭精密电子金属异型材生产线</w:t>
      </w:r>
      <w:r>
        <w:rPr>
          <w:rFonts w:eastAsia="仿宋_GB2312"/>
          <w:color w:val="000000" w:themeColor="text1"/>
          <w:sz w:val="32"/>
          <w:szCs w:val="32"/>
          <w14:textFill>
            <w14:solidFill>
              <w14:schemeClr w14:val="tx1"/>
            </w14:solidFill>
          </w14:textFill>
        </w:rPr>
        <w:t>、温州瑞明</w:t>
      </w:r>
      <w:r>
        <w:rPr>
          <w:rFonts w:hint="eastAsia" w:eastAsia="仿宋_GB2312"/>
          <w:color w:val="000000" w:themeColor="text1"/>
          <w:sz w:val="32"/>
          <w:szCs w:val="32"/>
          <w14:textFill>
            <w14:solidFill>
              <w14:schemeClr w14:val="tx1"/>
            </w14:solidFill>
          </w14:textFill>
        </w:rPr>
        <w:t>铝合金铸件以及</w:t>
      </w:r>
      <w:r>
        <w:rPr>
          <w:rFonts w:eastAsia="仿宋_GB2312"/>
          <w:color w:val="000000" w:themeColor="text1"/>
          <w:sz w:val="32"/>
          <w:szCs w:val="32"/>
          <w14:textFill>
            <w14:solidFill>
              <w14:schemeClr w14:val="tx1"/>
            </w14:solidFill>
          </w14:textFill>
        </w:rPr>
        <w:t>艾盛创制、上汽变速器、爱柯迪等企业</w:t>
      </w:r>
      <w:r>
        <w:rPr>
          <w:rFonts w:hint="eastAsia" w:eastAsia="仿宋_GB2312"/>
          <w:color w:val="000000" w:themeColor="text1"/>
          <w:sz w:val="32"/>
          <w:szCs w:val="32"/>
          <w14:textFill>
            <w14:solidFill>
              <w14:schemeClr w14:val="tx1"/>
            </w14:solidFill>
          </w14:textFill>
        </w:rPr>
        <w:t>相关</w:t>
      </w:r>
      <w:r>
        <w:rPr>
          <w:rFonts w:eastAsia="仿宋_GB2312"/>
          <w:color w:val="000000" w:themeColor="text1"/>
          <w:sz w:val="32"/>
          <w:szCs w:val="32"/>
          <w14:textFill>
            <w14:solidFill>
              <w14:schemeClr w14:val="tx1"/>
            </w14:solidFill>
          </w14:textFill>
        </w:rPr>
        <w:t>项目</w:t>
      </w:r>
      <w:r>
        <w:rPr>
          <w:rFonts w:hint="eastAsia" w:eastAsia="仿宋_GB2312"/>
          <w:color w:val="000000" w:themeColor="text1"/>
          <w:sz w:val="32"/>
          <w:szCs w:val="32"/>
          <w14:textFill>
            <w14:solidFill>
              <w14:schemeClr w14:val="tx1"/>
            </w14:solidFill>
          </w14:textFill>
        </w:rPr>
        <w:t>建设，推动新材料产业规模化发展，打造西南地区领先的汽车零部件铝深加工产业。</w:t>
      </w:r>
    </w:p>
    <w:p>
      <w:pPr>
        <w:pStyle w:val="2"/>
        <w:ind w:firstLine="420"/>
        <w:rPr>
          <w:color w:val="000000" w:themeColor="text1"/>
          <w14:textFill>
            <w14:solidFill>
              <w14:schemeClr w14:val="tx1"/>
            </w14:solidFill>
          </w14:textFill>
        </w:rPr>
      </w:pPr>
    </w:p>
    <w:tbl>
      <w:tblPr>
        <w:tblStyle w:val="19"/>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pPr>
              <w:widowControl/>
              <w:spacing w:beforeLines="50"/>
              <w:ind w:firstLine="422" w:firstLineChars="200"/>
              <w:jc w:val="center"/>
              <w:rPr>
                <w:rFonts w:cs="宋体" w:asciiTheme="minorEastAsia" w:hAnsiTheme="minorEastAsia"/>
                <w:b/>
                <w:color w:val="000000" w:themeColor="text1"/>
                <w:szCs w:val="21"/>
                <w14:textFill>
                  <w14:solidFill>
                    <w14:schemeClr w14:val="tx1"/>
                  </w14:solidFill>
                </w14:textFill>
              </w:rPr>
            </w:pPr>
            <w:r>
              <w:rPr>
                <w:rFonts w:hint="eastAsia" w:cs="宋体" w:asciiTheme="minorEastAsia" w:hAnsiTheme="minorEastAsia"/>
                <w:b/>
                <w:color w:val="000000" w:themeColor="text1"/>
                <w:szCs w:val="21"/>
                <w14:textFill>
                  <w14:solidFill>
                    <w14:schemeClr w14:val="tx1"/>
                  </w14:solidFill>
                </w14:textFill>
              </w:rPr>
              <w:t>专栏4-2 三大战略性新兴产业建设重点</w:t>
            </w:r>
          </w:p>
          <w:p>
            <w:pPr>
              <w:widowControl/>
              <w:spacing w:beforeLines="50"/>
              <w:ind w:firstLine="422" w:firstLineChars="200"/>
              <w:jc w:val="left"/>
              <w:rPr>
                <w:rFonts w:ascii="宋体" w:hAnsi="宋体" w:eastAsia="宋体" w:cs="宋体"/>
                <w:color w:val="000000" w:themeColor="text1"/>
                <w:kern w:val="0"/>
                <w:szCs w:val="21"/>
                <w14:textFill>
                  <w14:solidFill>
                    <w14:schemeClr w14:val="tx1"/>
                  </w14:solidFill>
                </w14:textFill>
              </w:rPr>
            </w:pPr>
            <w:r>
              <w:rPr>
                <w:rFonts w:hint="eastAsia" w:cs="宋体" w:asciiTheme="minorEastAsia" w:hAnsiTheme="minorEastAsia"/>
                <w:b/>
                <w:color w:val="000000" w:themeColor="text1"/>
                <w:szCs w:val="21"/>
                <w14:textFill>
                  <w14:solidFill>
                    <w14:schemeClr w14:val="tx1"/>
                  </w14:solidFill>
                </w14:textFill>
              </w:rPr>
              <w:t>高端装备制造产业：</w:t>
            </w:r>
            <w:r>
              <w:rPr>
                <w:rFonts w:hint="eastAsia" w:ascii="宋体" w:hAnsi="宋体" w:eastAsia="宋体" w:cs="宋体"/>
                <w:color w:val="000000" w:themeColor="text1"/>
                <w:kern w:val="0"/>
                <w:szCs w:val="21"/>
                <w14:textFill>
                  <w14:solidFill>
                    <w14:schemeClr w14:val="tx1"/>
                  </w14:solidFill>
                </w14:textFill>
              </w:rPr>
              <w:t>重点建设深圳华迈兴微磁微粒微流控芯片微型化学发光免疫分析仪生产项目、</w:t>
            </w:r>
            <w:r>
              <w:rPr>
                <w:rFonts w:ascii="宋体" w:hAnsi="宋体" w:eastAsia="宋体" w:cs="宋体"/>
                <w:color w:val="000000" w:themeColor="text1"/>
                <w:kern w:val="0"/>
                <w:szCs w:val="21"/>
                <w14:textFill>
                  <w14:solidFill>
                    <w14:schemeClr w14:val="tx1"/>
                  </w14:solidFill>
                </w14:textFill>
              </w:rPr>
              <w:t>宏德大功率/大能量全光纤皮秒和飞秒超快脉冲激光器</w:t>
            </w:r>
            <w:r>
              <w:rPr>
                <w:rFonts w:hint="eastAsia" w:ascii="宋体" w:hAnsi="宋体" w:eastAsia="宋体" w:cs="宋体"/>
                <w:color w:val="000000" w:themeColor="text1"/>
                <w:kern w:val="0"/>
                <w:szCs w:val="21"/>
                <w14:textFill>
                  <w14:solidFill>
                    <w14:schemeClr w14:val="tx1"/>
                  </w14:solidFill>
                </w14:textFill>
              </w:rPr>
              <w:t>项目、深圳长朗3D打印智能制造产业基地、电力开关厂高低压开关柜/箱式变电站/全封闭全绝缘气体环网柜/智能电力监控系统/节能环保型电力变压器项目、一阳科技年产100台智能装备项目、久日机械年产2万台套大型工程机械结构件新产品生产线项目、长沙云高智能停车设备配套精加工生产基地、博泰柳州智能网联产业智造基地智能制造工厂等项目。配套实施</w:t>
            </w:r>
            <w:r>
              <w:rPr>
                <w:rFonts w:ascii="宋体" w:hAnsi="宋体" w:eastAsia="宋体" w:cs="宋体"/>
                <w:color w:val="000000" w:themeColor="text1"/>
                <w:kern w:val="0"/>
                <w:szCs w:val="21"/>
                <w14:textFill>
                  <w14:solidFill>
                    <w14:schemeClr w14:val="tx1"/>
                  </w14:solidFill>
                </w14:textFill>
              </w:rPr>
              <w:t>无刷电机转向管柱产线智能化改造</w:t>
            </w:r>
            <w:r>
              <w:rPr>
                <w:rFonts w:hint="eastAsia" w:ascii="宋体" w:hAnsi="宋体" w:eastAsia="宋体" w:cs="宋体"/>
                <w:color w:val="000000" w:themeColor="text1"/>
                <w:kern w:val="0"/>
                <w:szCs w:val="21"/>
                <w14:textFill>
                  <w14:solidFill>
                    <w14:schemeClr w14:val="tx1"/>
                  </w14:solidFill>
                </w14:textFill>
              </w:rPr>
              <w:t>、</w:t>
            </w:r>
            <w:r>
              <w:rPr>
                <w:rFonts w:ascii="宋体" w:hAnsi="宋体" w:eastAsia="宋体" w:cs="宋体"/>
                <w:color w:val="000000" w:themeColor="text1"/>
                <w:kern w:val="0"/>
                <w:szCs w:val="21"/>
                <w14:textFill>
                  <w14:solidFill>
                    <w14:schemeClr w14:val="tx1"/>
                  </w14:solidFill>
                </w14:textFill>
              </w:rPr>
              <w:t>塔式起重机标准节生产关键技术开发及应用</w:t>
            </w:r>
            <w:r>
              <w:rPr>
                <w:rFonts w:hint="eastAsia" w:ascii="宋体" w:hAnsi="宋体" w:eastAsia="宋体" w:cs="宋体"/>
                <w:color w:val="000000" w:themeColor="text1"/>
                <w:kern w:val="0"/>
                <w:szCs w:val="21"/>
                <w14:textFill>
                  <w14:solidFill>
                    <w14:schemeClr w14:val="tx1"/>
                  </w14:solidFill>
                </w14:textFill>
              </w:rPr>
              <w:t>等</w:t>
            </w:r>
            <w:r>
              <w:rPr>
                <w:rFonts w:ascii="宋体" w:hAnsi="宋体" w:eastAsia="宋体" w:cs="宋体"/>
                <w:color w:val="000000" w:themeColor="text1"/>
                <w:kern w:val="0"/>
                <w:szCs w:val="21"/>
                <w14:textFill>
                  <w14:solidFill>
                    <w14:schemeClr w14:val="tx1"/>
                  </w14:solidFill>
                </w14:textFill>
              </w:rPr>
              <w:t>项目</w:t>
            </w:r>
            <w:r>
              <w:rPr>
                <w:rFonts w:hint="eastAsia" w:ascii="宋体" w:hAnsi="宋体" w:eastAsia="宋体" w:cs="宋体"/>
                <w:color w:val="000000" w:themeColor="text1"/>
                <w:kern w:val="0"/>
                <w:szCs w:val="21"/>
                <w14:textFill>
                  <w14:solidFill>
                    <w14:schemeClr w14:val="tx1"/>
                  </w14:solidFill>
                </w14:textFill>
              </w:rPr>
              <w:t>。围绕智能轨道交通产业重点建设全国铁路计量检测公共服务平台及轨道交通检测技术研究中心、轨道交通机电设备实时监控自动化及保护系统、柳州煜乾轨道交通钢绞线、广西昊桥模块化钢构产品生产基地、南京瑞发轨道交通配件生产基地、柳州金力盛轨道交通内饰配件生产基地、广西金桂盛轨道交通内饰配件生产基地、柳州轨道交通导电生产基地等项目。</w:t>
            </w:r>
          </w:p>
          <w:p>
            <w:pPr>
              <w:pStyle w:val="2"/>
              <w:ind w:firstLine="422"/>
              <w:rPr>
                <w:color w:val="000000" w:themeColor="text1"/>
                <w14:textFill>
                  <w14:solidFill>
                    <w14:schemeClr w14:val="tx1"/>
                  </w14:solidFill>
                </w14:textFill>
              </w:rPr>
            </w:pPr>
            <w:r>
              <w:rPr>
                <w:rFonts w:hint="eastAsia" w:cs="宋体" w:asciiTheme="minorEastAsia" w:hAnsiTheme="minorEastAsia" w:eastAsiaTheme="minorEastAsia"/>
                <w:b/>
                <w:color w:val="000000" w:themeColor="text1"/>
                <w:szCs w:val="21"/>
                <w14:textFill>
                  <w14:solidFill>
                    <w14:schemeClr w14:val="tx1"/>
                  </w14:solidFill>
                </w14:textFill>
              </w:rPr>
              <w:t>电子光电产业：</w:t>
            </w:r>
            <w:r>
              <w:rPr>
                <w:rFonts w:hint="eastAsia" w:ascii="宋体" w:hAnsi="宋体" w:eastAsia="宋体" w:cs="宋体"/>
                <w:color w:val="000000" w:themeColor="text1"/>
                <w:kern w:val="0"/>
                <w:szCs w:val="21"/>
                <w14:textFill>
                  <w14:solidFill>
                    <w14:schemeClr w14:val="tx1"/>
                  </w14:solidFill>
                </w14:textFill>
              </w:rPr>
              <w:t>推动实施上通五“智能网联”建设项目、柳州澳多年产100万套汽车电子零部件项目、浙江大华柳州研发基地、有方科技物联网产业基地、博泰柳州智能网联产业智造基地、联合汽车电子三期等项目。大力引进光电行业头部企业，打造柳东新区电子光电产业园，加快广西晶联光电超高密度细晶ITO靶材研制、柳州天星光电科技有限公司模组等项目落地实施。</w:t>
            </w:r>
          </w:p>
          <w:p>
            <w:pPr>
              <w:widowControl/>
              <w:spacing w:beforeLines="50"/>
              <w:ind w:firstLine="422" w:firstLineChars="200"/>
              <w:jc w:val="left"/>
              <w:rPr>
                <w:rFonts w:cs="宋体" w:asciiTheme="minorEastAsia" w:hAnsiTheme="minorEastAsia"/>
                <w:color w:val="000000" w:themeColor="text1"/>
                <w:szCs w:val="21"/>
                <w14:textFill>
                  <w14:solidFill>
                    <w14:schemeClr w14:val="tx1"/>
                  </w14:solidFill>
                </w14:textFill>
              </w:rPr>
            </w:pPr>
            <w:r>
              <w:rPr>
                <w:rFonts w:hint="eastAsia" w:cs="宋体" w:asciiTheme="minorEastAsia" w:hAnsiTheme="minorEastAsia"/>
                <w:b/>
                <w:color w:val="000000" w:themeColor="text1"/>
                <w:szCs w:val="21"/>
                <w14:textFill>
                  <w14:solidFill>
                    <w14:schemeClr w14:val="tx1"/>
                  </w14:solidFill>
                </w14:textFill>
              </w:rPr>
              <w:t>新材料产业：</w:t>
            </w:r>
            <w:r>
              <w:rPr>
                <w:rFonts w:hint="eastAsia" w:ascii="宋体" w:hAnsi="宋体" w:eastAsia="宋体" w:cs="宋体"/>
                <w:color w:val="000000" w:themeColor="text1"/>
                <w:kern w:val="0"/>
                <w:szCs w:val="21"/>
                <w14:textFill>
                  <w14:solidFill>
                    <w14:schemeClr w14:val="tx1"/>
                  </w14:solidFill>
                </w14:textFill>
              </w:rPr>
              <w:t>打造柳东新区连丰片新材料产业园，重点建设桂柳化工锰酸锂电池材料、温州瑞明年产200万件铝合金铸件项目（二、三期）、一阳科技年产100万台套铝铸件项目、广西永烨精密电子金属异</w:t>
            </w:r>
            <w:r>
              <w:rPr>
                <w:rFonts w:hint="eastAsia" w:cs="宋体" w:asciiTheme="minorEastAsia" w:hAnsiTheme="minorEastAsia"/>
                <w:color w:val="000000" w:themeColor="text1"/>
                <w:szCs w:val="21"/>
                <w14:textFill>
                  <w14:solidFill>
                    <w14:schemeClr w14:val="tx1"/>
                  </w14:solidFill>
                </w14:textFill>
              </w:rPr>
              <w:t>型材生产线</w:t>
            </w:r>
            <w:r>
              <w:rPr>
                <w:rFonts w:hint="eastAsia" w:ascii="宋体" w:hAnsi="宋体" w:eastAsia="宋体" w:cs="宋体"/>
                <w:color w:val="000000" w:themeColor="text1"/>
                <w:kern w:val="0"/>
                <w:szCs w:val="21"/>
                <w14:textFill>
                  <w14:solidFill>
                    <w14:schemeClr w14:val="tx1"/>
                  </w14:solidFill>
                </w14:textFill>
              </w:rPr>
              <w:t>等一批项目</w:t>
            </w:r>
            <w:r>
              <w:rPr>
                <w:rFonts w:hint="eastAsia" w:cs="宋体" w:asciiTheme="minorEastAsia" w:hAnsiTheme="minorEastAsia"/>
                <w:color w:val="000000" w:themeColor="text1"/>
                <w:szCs w:val="21"/>
                <w14:textFill>
                  <w14:solidFill>
                    <w14:schemeClr w14:val="tx1"/>
                  </w14:solidFill>
                </w14:textFill>
              </w:rPr>
              <w:t>。</w:t>
            </w:r>
          </w:p>
          <w:p>
            <w:pPr>
              <w:pStyle w:val="2"/>
              <w:ind w:firstLine="420"/>
              <w:rPr>
                <w:color w:val="000000" w:themeColor="text1"/>
                <w14:textFill>
                  <w14:solidFill>
                    <w14:schemeClr w14:val="tx1"/>
                  </w14:solidFill>
                </w14:textFill>
              </w:rPr>
            </w:pPr>
          </w:p>
        </w:tc>
      </w:tr>
    </w:tbl>
    <w:p>
      <w:pPr>
        <w:pStyle w:val="4"/>
        <w:jc w:val="center"/>
        <w:rPr>
          <w:rFonts w:hint="eastAsia" w:ascii="黑体" w:hAnsi="黑体" w:eastAsia="黑体" w:cs="Times New Roman"/>
          <w:b w:val="0"/>
          <w:color w:val="000000" w:themeColor="text1"/>
          <w14:textFill>
            <w14:solidFill>
              <w14:schemeClr w14:val="tx1"/>
            </w14:solidFill>
          </w14:textFill>
        </w:rPr>
      </w:pPr>
      <w:bookmarkStart w:id="144" w:name="_Toc29903"/>
      <w:bookmarkStart w:id="145" w:name="_Toc12341"/>
      <w:bookmarkStart w:id="146" w:name="_Toc10383"/>
      <w:bookmarkStart w:id="147" w:name="_Toc16195"/>
      <w:bookmarkStart w:id="148" w:name="_Toc19723"/>
      <w:bookmarkStart w:id="149" w:name="_Toc10077"/>
      <w:r>
        <w:rPr>
          <w:rFonts w:hint="eastAsia" w:ascii="黑体" w:hAnsi="黑体" w:eastAsia="黑体" w:cs="Times New Roman"/>
          <w:b w:val="0"/>
          <w:color w:val="000000" w:themeColor="text1"/>
          <w14:textFill>
            <w14:solidFill>
              <w14:schemeClr w14:val="tx1"/>
            </w14:solidFill>
          </w14:textFill>
        </w:rPr>
        <w:t>第三节 推动现代服务业集聚发展</w:t>
      </w:r>
      <w:bookmarkEnd w:id="144"/>
      <w:bookmarkEnd w:id="145"/>
      <w:bookmarkEnd w:id="146"/>
      <w:bookmarkEnd w:id="147"/>
      <w:bookmarkEnd w:id="148"/>
      <w:bookmarkEnd w:id="149"/>
    </w:p>
    <w:p>
      <w:pPr>
        <w:pStyle w:val="5"/>
        <w:spacing w:before="0" w:after="0" w:line="240" w:lineRule="auto"/>
        <w:ind w:firstLine="640" w:firstLineChars="200"/>
        <w:rPr>
          <w:rFonts w:ascii="黑体" w:hAnsi="黑体" w:eastAsia="黑体" w:cs="Times New Roman"/>
          <w:b w:val="0"/>
          <w:color w:val="000000" w:themeColor="text1"/>
          <w14:textFill>
            <w14:solidFill>
              <w14:schemeClr w14:val="tx1"/>
            </w14:solidFill>
          </w14:textFill>
        </w:rPr>
      </w:pPr>
      <w:r>
        <w:rPr>
          <w:rFonts w:hint="eastAsia" w:ascii="黑体" w:hAnsi="黑体" w:eastAsia="黑体" w:cs="Times New Roman"/>
          <w:b w:val="0"/>
          <w:color w:val="000000" w:themeColor="text1"/>
          <w14:textFill>
            <w14:solidFill>
              <w14:schemeClr w14:val="tx1"/>
            </w14:solidFill>
          </w14:textFill>
        </w:rPr>
        <w:t>一、强势发展科技服务业</w:t>
      </w:r>
    </w:p>
    <w:p>
      <w:pPr>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推动科技服务业快速发展，加大上规入统企业培育，重点发展研发服务、检测服务、产教融合等领域。加快建设集科技创新、科技孵化、政产学研平台、科技中介服务为一体的“柳州市科技创新创业示范基地”，充分发挥广西汽车研究院、龙湖东片区科技研发基地、上海交大</w:t>
      </w:r>
      <w:r>
        <w:rPr>
          <w:rFonts w:hint="eastAsia" w:eastAsia="仿宋_GB2312"/>
          <w:color w:val="000000" w:themeColor="text1"/>
          <w:sz w:val="32"/>
          <w:szCs w:val="32"/>
          <w14:textFill>
            <w14:solidFill>
              <w14:schemeClr w14:val="tx1"/>
            </w14:solidFill>
          </w14:textFill>
        </w:rPr>
        <w:t>汽车先进制造技术实验室、广工大网络安全技术实验室、</w:t>
      </w:r>
      <w:r>
        <w:rPr>
          <w:rFonts w:hint="eastAsia" w:ascii="仿宋_GB2312" w:hAnsi="仿宋_GB2312" w:eastAsia="仿宋_GB2312" w:cs="仿宋_GB2312"/>
          <w:color w:val="000000" w:themeColor="text1"/>
          <w:sz w:val="32"/>
          <w:szCs w:val="32"/>
          <w14:textFill>
            <w14:solidFill>
              <w14:schemeClr w14:val="tx1"/>
            </w14:solidFill>
          </w14:textFill>
        </w:rPr>
        <w:t>湖大艾盛车身实验室等载体功能，培育形成一批国家级、自治区级研发平台。以政产学研合作的模式引进或共建一批高新技术实验室、科研平台和成果转化中心。提升汽车检验检测服务能力，推动国家汽车质监检验中心（柳州）二期等项目建设，打造国内一流的汽车检验检测技术公共服务平台，整合检验检测能力，搭建柳州汽车产业“智能检测+信息共享”体系。开发利用柳州职教园区存量资源，建设若干产教融合示范点，推进产教融合协同育人，努力培养高素质创新人才和技术技能人才，为产业提供支撑。</w:t>
      </w:r>
    </w:p>
    <w:p>
      <w:pPr>
        <w:pStyle w:val="5"/>
        <w:spacing w:before="0" w:after="0" w:line="240" w:lineRule="auto"/>
        <w:ind w:firstLine="640" w:firstLineChars="200"/>
        <w:rPr>
          <w:rFonts w:ascii="黑体" w:hAnsi="黑体" w:eastAsia="黑体" w:cs="Times New Roman"/>
          <w:b w:val="0"/>
          <w:color w:val="000000" w:themeColor="text1"/>
          <w14:textFill>
            <w14:solidFill>
              <w14:schemeClr w14:val="tx1"/>
            </w14:solidFill>
          </w14:textFill>
        </w:rPr>
      </w:pPr>
      <w:r>
        <w:rPr>
          <w:rFonts w:hint="eastAsia" w:ascii="黑体" w:hAnsi="黑体" w:eastAsia="黑体" w:cs="Times New Roman"/>
          <w:b w:val="0"/>
          <w:color w:val="000000" w:themeColor="text1"/>
          <w14:textFill>
            <w14:solidFill>
              <w14:schemeClr w14:val="tx1"/>
            </w14:solidFill>
          </w14:textFill>
        </w:rPr>
        <w:t>二、创先发展智慧物流业</w:t>
      </w:r>
    </w:p>
    <w:p>
      <w:pPr>
        <w:ind w:firstLine="640" w:firstLineChars="200"/>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把握广西“五网”建设大会战发展机遇，加快推进新区“物流网”建设进度，全面布局物流网点，完善“水公铁”多式联运体系，实现物流港货物运输无缝衔接，降低物流成本，提高物流效益。促进传统物流服务业向全流程或多环节供应链服务转型升，促进大数据、物联网、云计算、区块链等技术与供应链深度融合。重点以柳州官塘港、柳州雒容铁路商品汽车发运基地、国家公路运输枢纽柳东物流中心等为基础，推动建设</w:t>
      </w:r>
      <w:r>
        <w:rPr>
          <w:rFonts w:eastAsia="仿宋_GB2312"/>
          <w:color w:val="000000" w:themeColor="text1"/>
          <w:sz w:val="32"/>
          <w:szCs w:val="32"/>
          <w14:textFill>
            <w14:solidFill>
              <w14:schemeClr w14:val="tx1"/>
            </w14:solidFill>
          </w14:textFill>
        </w:rPr>
        <w:t>官塘物流港</w:t>
      </w:r>
      <w:r>
        <w:rPr>
          <w:rFonts w:hint="eastAsia" w:eastAsia="仿宋_GB2312"/>
          <w:color w:val="000000" w:themeColor="text1"/>
          <w:sz w:val="32"/>
          <w:szCs w:val="32"/>
          <w14:textFill>
            <w14:solidFill>
              <w14:schemeClr w14:val="tx1"/>
            </w14:solidFill>
          </w14:textFill>
        </w:rPr>
        <w:t>“</w:t>
      </w:r>
      <w:r>
        <w:rPr>
          <w:rFonts w:eastAsia="仿宋_GB2312"/>
          <w:color w:val="000000" w:themeColor="text1"/>
          <w:sz w:val="32"/>
          <w:szCs w:val="32"/>
          <w14:textFill>
            <w14:solidFill>
              <w14:schemeClr w14:val="tx1"/>
            </w14:solidFill>
          </w14:textFill>
        </w:rPr>
        <w:t>水公铁</w:t>
      </w:r>
      <w:r>
        <w:rPr>
          <w:rFonts w:hint="eastAsia" w:eastAsia="仿宋_GB2312"/>
          <w:color w:val="000000" w:themeColor="text1"/>
          <w:sz w:val="32"/>
          <w:szCs w:val="32"/>
          <w14:textFill>
            <w14:solidFill>
              <w14:schemeClr w14:val="tx1"/>
            </w14:solidFill>
          </w14:textFill>
        </w:rPr>
        <w:t>”</w:t>
      </w:r>
      <w:r>
        <w:rPr>
          <w:rFonts w:eastAsia="仿宋_GB2312"/>
          <w:color w:val="000000" w:themeColor="text1"/>
          <w:sz w:val="32"/>
          <w:szCs w:val="32"/>
          <w14:textFill>
            <w14:solidFill>
              <w14:schemeClr w14:val="tx1"/>
            </w14:solidFill>
          </w14:textFill>
        </w:rPr>
        <w:t>多式联运示范物流基地</w:t>
      </w:r>
      <w:r>
        <w:rPr>
          <w:rFonts w:hint="eastAsia" w:eastAsia="仿宋_GB2312"/>
          <w:color w:val="000000" w:themeColor="text1"/>
          <w:sz w:val="32"/>
          <w:szCs w:val="32"/>
          <w14:textFill>
            <w14:solidFill>
              <w14:schemeClr w14:val="tx1"/>
            </w14:solidFill>
          </w14:textFill>
        </w:rPr>
        <w:t>，构建数字化高效快捷的工业物流体系，打造川渝黔粤通道铁水联运重要节点、西南地区重要的多式联运物流配送基地、柳州市工业产品集散地；推动雒容整车发运及停车设施等项目建设，加快现有设施专业化改造升级、集约发展；发挥柳州保税物流中心的优势，推动形成开放型物流体系。大力发展电商服务，依托保税物流中心、冷链物流园建设，与苏宁易购桂北电商产业园、柳州医药物流园等联动，实现快速分拨、联通全国、保税进口，打造区域型电子商务物流集散地。对接落实高铁东站选址，建设高铁服务圈，加快建设铁路物流基础设施，争创新区商贸物流枢纽新优势。</w:t>
      </w:r>
    </w:p>
    <w:p>
      <w:pPr>
        <w:pStyle w:val="5"/>
        <w:spacing w:before="0" w:after="0" w:line="240" w:lineRule="auto"/>
        <w:ind w:firstLine="640" w:firstLineChars="200"/>
        <w:rPr>
          <w:rFonts w:ascii="黑体" w:hAnsi="黑体" w:eastAsia="黑体" w:cs="Times New Roman"/>
          <w:b w:val="0"/>
          <w:color w:val="000000" w:themeColor="text1"/>
          <w14:textFill>
            <w14:solidFill>
              <w14:schemeClr w14:val="tx1"/>
            </w14:solidFill>
          </w14:textFill>
        </w:rPr>
      </w:pPr>
      <w:r>
        <w:rPr>
          <w:rFonts w:hint="eastAsia" w:ascii="黑体" w:hAnsi="黑体" w:eastAsia="黑体" w:cs="Times New Roman"/>
          <w:b w:val="0"/>
          <w:color w:val="000000" w:themeColor="text1"/>
          <w14:textFill>
            <w14:solidFill>
              <w14:schemeClr w14:val="tx1"/>
            </w14:solidFill>
          </w14:textFill>
        </w:rPr>
        <w:t>三、统筹发展商务会展业</w:t>
      </w:r>
    </w:p>
    <w:p>
      <w:pPr>
        <w:ind w:firstLine="643" w:firstLineChars="200"/>
        <w:rPr>
          <w:rFonts w:eastAsia="仿宋_GB2312"/>
          <w:color w:val="000000" w:themeColor="text1"/>
          <w:sz w:val="32"/>
          <w:szCs w:val="32"/>
          <w14:textFill>
            <w14:solidFill>
              <w14:schemeClr w14:val="tx1"/>
            </w14:solidFill>
          </w14:textFill>
        </w:rPr>
      </w:pPr>
      <w:r>
        <w:rPr>
          <w:rFonts w:hint="eastAsia" w:eastAsia="仿宋_GB2312"/>
          <w:b/>
          <w:bCs/>
          <w:color w:val="000000" w:themeColor="text1"/>
          <w:sz w:val="32"/>
          <w:szCs w:val="32"/>
          <w14:textFill>
            <w14:solidFill>
              <w14:schemeClr w14:val="tx1"/>
            </w14:solidFill>
          </w14:textFill>
        </w:rPr>
        <w:t>完善现代商贸流通体系。</w:t>
      </w:r>
      <w:r>
        <w:rPr>
          <w:rFonts w:hint="eastAsia" w:eastAsia="仿宋_GB2312"/>
          <w:color w:val="000000" w:themeColor="text1"/>
          <w:sz w:val="32"/>
          <w:szCs w:val="32"/>
          <w14:textFill>
            <w14:solidFill>
              <w14:schemeClr w14:val="tx1"/>
            </w14:solidFill>
          </w14:textFill>
        </w:rPr>
        <w:t>加快培育现代专业交易市场，促进产业与市场联动发展。</w:t>
      </w:r>
      <w:r>
        <w:rPr>
          <w:rFonts w:hint="eastAsia" w:ascii="仿宋_GB2312" w:hAnsi="仿宋_GB2312" w:eastAsia="仿宋_GB2312" w:cs="仿宋"/>
          <w:color w:val="000000" w:themeColor="text1"/>
          <w:sz w:val="32"/>
          <w:szCs w:val="32"/>
          <w14:textFill>
            <w14:solidFill>
              <w14:schemeClr w14:val="tx1"/>
            </w14:solidFill>
          </w14:textFill>
        </w:rPr>
        <w:t>提速建设柳州东盟汽车贸易中心，加快建设新区汽车后市场，为汽车商贸流通企业提供稳定、高品质的展览、展示、商贸平台和发展机遇。</w:t>
      </w:r>
      <w:r>
        <w:rPr>
          <w:rFonts w:hint="eastAsia" w:eastAsia="仿宋_GB2312"/>
          <w:color w:val="000000" w:themeColor="text1"/>
          <w:sz w:val="32"/>
          <w:szCs w:val="32"/>
          <w14:textFill>
            <w14:solidFill>
              <w14:schemeClr w14:val="tx1"/>
            </w14:solidFill>
          </w14:textFill>
        </w:rPr>
        <w:t>打造综合农贸批发市场、综合性建材市场和综合性休闲市场，</w:t>
      </w:r>
      <w:r>
        <w:rPr>
          <w:rFonts w:hint="eastAsia" w:ascii="仿宋_GB2312" w:hAnsi="仿宋_GB2312" w:eastAsia="仿宋_GB2312" w:cs="仿宋"/>
          <w:color w:val="000000" w:themeColor="text1"/>
          <w:sz w:val="32"/>
          <w:szCs w:val="32"/>
          <w14:textFill>
            <w14:solidFill>
              <w14:schemeClr w14:val="tx1"/>
            </w14:solidFill>
          </w14:textFill>
        </w:rPr>
        <w:t>升级改造老旧市场，布局冷链物流配套设施，</w:t>
      </w:r>
      <w:r>
        <w:rPr>
          <w:rFonts w:hint="eastAsia" w:eastAsia="仿宋_GB2312"/>
          <w:color w:val="000000" w:themeColor="text1"/>
          <w:sz w:val="32"/>
          <w:szCs w:val="32"/>
          <w14:textFill>
            <w14:solidFill>
              <w14:schemeClr w14:val="tx1"/>
            </w14:solidFill>
          </w14:textFill>
        </w:rPr>
        <w:t>利用大数据、区块链、互联网等新技术，推动交易模式和服务功能创新，</w:t>
      </w:r>
      <w:r>
        <w:rPr>
          <w:rFonts w:hint="eastAsia" w:ascii="仿宋_GB2312" w:hAnsi="仿宋_GB2312" w:eastAsia="仿宋_GB2312" w:cs="仿宋"/>
          <w:color w:val="000000" w:themeColor="text1"/>
          <w:sz w:val="32"/>
          <w:szCs w:val="32"/>
          <w14:textFill>
            <w14:solidFill>
              <w14:schemeClr w14:val="tx1"/>
            </w14:solidFill>
          </w14:textFill>
        </w:rPr>
        <w:t>构建柳东大商贸格局。</w:t>
      </w:r>
    </w:p>
    <w:p>
      <w:pPr>
        <w:ind w:firstLine="643" w:firstLineChars="200"/>
        <w:rPr>
          <w:rFonts w:eastAsia="仿宋_GB2312"/>
          <w:color w:val="000000" w:themeColor="text1"/>
          <w:sz w:val="32"/>
          <w:szCs w:val="32"/>
          <w14:textFill>
            <w14:solidFill>
              <w14:schemeClr w14:val="tx1"/>
            </w14:solidFill>
          </w14:textFill>
        </w:rPr>
      </w:pPr>
      <w:r>
        <w:rPr>
          <w:rFonts w:hint="eastAsia" w:eastAsia="仿宋_GB2312"/>
          <w:b/>
          <w:bCs/>
          <w:color w:val="000000" w:themeColor="text1"/>
          <w:sz w:val="32"/>
          <w:szCs w:val="32"/>
          <w14:textFill>
            <w14:solidFill>
              <w14:schemeClr w14:val="tx1"/>
            </w14:solidFill>
          </w14:textFill>
        </w:rPr>
        <w:t>促进城市消费服务升级。</w:t>
      </w:r>
      <w:r>
        <w:rPr>
          <w:rFonts w:hint="eastAsia" w:eastAsia="仿宋_GB2312"/>
          <w:color w:val="000000" w:themeColor="text1"/>
          <w:sz w:val="32"/>
          <w:szCs w:val="32"/>
          <w14:textFill>
            <w14:solidFill>
              <w14:schemeClr w14:val="tx1"/>
            </w14:solidFill>
          </w14:textFill>
        </w:rPr>
        <w:t>完善配套保障需求升级，构建多元融合、吸引力强、现代化水平高、特色突出的多层次商业</w:t>
      </w:r>
      <w:r>
        <w:rPr>
          <w:rFonts w:hint="eastAsia" w:ascii="仿宋_GB2312" w:hAnsi="仿宋_GB2312" w:eastAsia="仿宋_GB2312"/>
          <w:color w:val="000000" w:themeColor="text1"/>
          <w:sz w:val="32"/>
          <w:szCs w:val="32"/>
          <w14:textFill>
            <w14:solidFill>
              <w14:schemeClr w14:val="tx1"/>
            </w14:solidFill>
          </w14:textFill>
        </w:rPr>
        <w:t>服务体系。持续实施《柳东新区商业网点发展规划（2019-2035）》，重点打造1个市级商业中心、1个片区级</w:t>
      </w:r>
      <w:r>
        <w:rPr>
          <w:rFonts w:hint="eastAsia" w:eastAsia="仿宋_GB2312"/>
          <w:color w:val="000000" w:themeColor="text1"/>
          <w:sz w:val="32"/>
          <w:szCs w:val="32"/>
          <w14:textFill>
            <w14:solidFill>
              <w14:schemeClr w14:val="tx1"/>
            </w14:solidFill>
          </w14:textFill>
        </w:rPr>
        <w:t>商业中</w:t>
      </w:r>
      <w:r>
        <w:rPr>
          <w:rFonts w:hint="eastAsia" w:ascii="仿宋_GB2312" w:hAnsi="仿宋_GB2312" w:eastAsia="仿宋_GB2312"/>
          <w:color w:val="000000" w:themeColor="text1"/>
          <w:sz w:val="32"/>
          <w:szCs w:val="32"/>
          <w14:textFill>
            <w14:solidFill>
              <w14:schemeClr w14:val="tx1"/>
            </w14:solidFill>
          </w14:textFill>
        </w:rPr>
        <w:t>心、30个社区（街道）级商业节点、1条特色商业街，以及各类专业市场和社区级商业、综合市场、百货超市等为补充的立体商业网点体系。加大基础商业设施建设，积极推进友邻汇项目建设及招商，致力建设“15</w:t>
      </w:r>
      <w:r>
        <w:rPr>
          <w:rFonts w:hint="eastAsia" w:eastAsia="仿宋_GB2312"/>
          <w:color w:val="000000" w:themeColor="text1"/>
          <w:sz w:val="32"/>
          <w:szCs w:val="32"/>
          <w14:textFill>
            <w14:solidFill>
              <w14:schemeClr w14:val="tx1"/>
            </w14:solidFill>
          </w14:textFill>
        </w:rPr>
        <w:t>分钟生活圈”，推动新区农贸市场、肉菜市场超市化升级，在满足居民需求基础上提升购物体验感。全面打造大型商业综合体，高水平开发建设龙湖</w:t>
      </w:r>
      <w:r>
        <w:rPr>
          <w:rFonts w:hint="eastAsia" w:ascii="仿宋_GB2312" w:hAnsi="仿宋_GB2312" w:eastAsia="仿宋_GB2312"/>
          <w:color w:val="000000" w:themeColor="text1"/>
          <w:sz w:val="32"/>
          <w:szCs w:val="32"/>
          <w14:textFill>
            <w14:solidFill>
              <w14:schemeClr w14:val="tx1"/>
            </w14:solidFill>
          </w14:textFill>
        </w:rPr>
        <w:t>CBD、</w:t>
      </w:r>
      <w:r>
        <w:rPr>
          <w:rFonts w:hint="eastAsia" w:eastAsia="仿宋_GB2312"/>
          <w:color w:val="000000" w:themeColor="text1"/>
          <w:sz w:val="32"/>
          <w:szCs w:val="32"/>
          <w14:textFill>
            <w14:solidFill>
              <w14:schemeClr w14:val="tx1"/>
            </w14:solidFill>
          </w14:textFill>
        </w:rPr>
        <w:t>万象汇、红星爱琴海购物公园、卡乐天地商业一条街等项目，引进新业种、新业态和新商户，鼓励发展“网红经济”“夜间经济”，丰富多元化消费业态，全面提升商业服务业发展品质，打造独具魅力的生活休闲和消费购物环境。</w:t>
      </w:r>
    </w:p>
    <w:p>
      <w:pPr>
        <w:ind w:firstLine="643" w:firstLineChars="200"/>
        <w:rPr>
          <w:rFonts w:eastAsia="仿宋_GB2312"/>
          <w:color w:val="000000" w:themeColor="text1"/>
          <w:sz w:val="32"/>
          <w:szCs w:val="32"/>
          <w14:textFill>
            <w14:solidFill>
              <w14:schemeClr w14:val="tx1"/>
            </w14:solidFill>
          </w14:textFill>
        </w:rPr>
      </w:pPr>
      <w:r>
        <w:rPr>
          <w:rFonts w:hint="eastAsia" w:eastAsia="仿宋_GB2312"/>
          <w:b/>
          <w:bCs/>
          <w:color w:val="000000" w:themeColor="text1"/>
          <w:sz w:val="32"/>
          <w:szCs w:val="32"/>
          <w14:textFill>
            <w14:solidFill>
              <w14:schemeClr w14:val="tx1"/>
            </w14:solidFill>
          </w14:textFill>
        </w:rPr>
        <w:t>增强会展服务聚引效应。</w:t>
      </w:r>
      <w:r>
        <w:rPr>
          <w:rFonts w:hint="eastAsia" w:eastAsia="仿宋_GB2312"/>
          <w:color w:val="000000" w:themeColor="text1"/>
          <w:sz w:val="32"/>
          <w:szCs w:val="32"/>
          <w14:textFill>
            <w14:solidFill>
              <w14:schemeClr w14:val="tx1"/>
            </w14:solidFill>
          </w14:textFill>
        </w:rPr>
        <w:t>依托会展中心的场馆资源，持续完善会展中心周边交通、配套商业、商务、商旅等设施，引进国际知名会展企业、会展组织和会展人才，引导会展业集聚发展，提升国际会展中心引擎效应。重点打造具有高品质、专业性的会展品牌，聚焦新经济产业，以“中国－东盟汽车工业博览会”为龙头，培育具有发展潜力的轨道交通、智能装备等专业会展品牌，壮大农产品、家居建材、汽车销售、旅游装备等消费性会展品牌，增强品牌效应，将新区打造成为区域性会展、会议、论坛举办的首选地，服务柳来河经济带、珠江－西江经济带和粤桂黔高铁经济带产业和创新交流与合作。以会展中心运营为带动，推动全市会展业统筹规划、有序引导、协调管理。</w:t>
      </w:r>
    </w:p>
    <w:p>
      <w:pPr>
        <w:pStyle w:val="5"/>
        <w:spacing w:before="0" w:after="0" w:line="240" w:lineRule="auto"/>
        <w:ind w:firstLine="640" w:firstLineChars="200"/>
        <w:rPr>
          <w:rFonts w:ascii="黑体" w:hAnsi="黑体" w:eastAsia="黑体" w:cs="Times New Roman"/>
          <w:b w:val="0"/>
          <w:color w:val="000000" w:themeColor="text1"/>
          <w14:textFill>
            <w14:solidFill>
              <w14:schemeClr w14:val="tx1"/>
            </w14:solidFill>
          </w14:textFill>
        </w:rPr>
      </w:pPr>
      <w:r>
        <w:rPr>
          <w:rFonts w:hint="eastAsia" w:ascii="黑体" w:hAnsi="黑体" w:eastAsia="黑体" w:cs="Times New Roman"/>
          <w:b w:val="0"/>
          <w:color w:val="000000" w:themeColor="text1"/>
          <w14:textFill>
            <w14:solidFill>
              <w14:schemeClr w14:val="tx1"/>
            </w14:solidFill>
          </w14:textFill>
        </w:rPr>
        <w:t>四、融合发展文化体育旅游业</w:t>
      </w:r>
    </w:p>
    <w:p>
      <w:pPr>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olor w:val="000000" w:themeColor="text1"/>
          <w:sz w:val="32"/>
          <w:szCs w:val="32"/>
          <w:lang w:eastAsia="zh-CN"/>
          <w14:textFill>
            <w14:solidFill>
              <w14:schemeClr w14:val="tx1"/>
            </w14:solidFill>
          </w14:textFill>
        </w:rPr>
        <w:t>积极推动</w:t>
      </w:r>
      <w:r>
        <w:rPr>
          <w:rFonts w:hint="eastAsia" w:ascii="仿宋_GB2312" w:hAnsi="仿宋_GB2312" w:eastAsia="仿宋_GB2312"/>
          <w:color w:val="000000" w:themeColor="text1"/>
          <w:sz w:val="32"/>
          <w:szCs w:val="32"/>
          <w14:textFill>
            <w14:solidFill>
              <w14:schemeClr w14:val="tx1"/>
            </w14:solidFill>
          </w14:textFill>
        </w:rPr>
        <w:t>柳州</w:t>
      </w:r>
      <w:r>
        <w:rPr>
          <w:rFonts w:hint="eastAsia" w:ascii="仿宋_GB2312" w:hAnsi="仿宋_GB2312" w:eastAsia="仿宋_GB2312"/>
          <w:color w:val="000000" w:themeColor="text1"/>
          <w:sz w:val="32"/>
          <w:szCs w:val="32"/>
          <w:lang w:eastAsia="zh-CN"/>
          <w14:textFill>
            <w14:solidFill>
              <w14:schemeClr w14:val="tx1"/>
            </w14:solidFill>
          </w14:textFill>
        </w:rPr>
        <w:t>市</w:t>
      </w:r>
      <w:r>
        <w:rPr>
          <w:rFonts w:hint="eastAsia" w:ascii="仿宋_GB2312" w:hAnsi="仿宋_GB2312" w:eastAsia="仿宋_GB2312"/>
          <w:color w:val="000000" w:themeColor="text1"/>
          <w:sz w:val="32"/>
          <w:szCs w:val="32"/>
          <w14:textFill>
            <w14:solidFill>
              <w14:schemeClr w14:val="tx1"/>
            </w14:solidFill>
          </w14:textFill>
        </w:rPr>
        <w:t>全域</w:t>
      </w:r>
      <w:r>
        <w:rPr>
          <w:rFonts w:hint="eastAsia" w:ascii="仿宋_GB2312" w:hAnsi="仿宋_GB2312" w:eastAsia="仿宋_GB2312"/>
          <w:color w:val="000000" w:themeColor="text1"/>
          <w:sz w:val="32"/>
          <w:szCs w:val="32"/>
          <w:lang w:eastAsia="zh-CN"/>
          <w14:textFill>
            <w14:solidFill>
              <w14:schemeClr w14:val="tx1"/>
            </w14:solidFill>
          </w14:textFill>
        </w:rPr>
        <w:t>旅游发展，</w:t>
      </w:r>
      <w:r>
        <w:rPr>
          <w:rFonts w:hint="eastAsia" w:ascii="仿宋_GB2312" w:hAnsi="仿宋_GB2312" w:eastAsia="仿宋_GB2312"/>
          <w:color w:val="000000" w:themeColor="text1"/>
          <w:sz w:val="32"/>
          <w:szCs w:val="32"/>
          <w14:textFill>
            <w14:solidFill>
              <w14:schemeClr w14:val="tx1"/>
            </w14:solidFill>
          </w14:textFill>
        </w:rPr>
        <w:t>围绕</w:t>
      </w:r>
      <w:r>
        <w:rPr>
          <w:rFonts w:hint="eastAsia" w:ascii="仿宋_GB2312" w:hAnsi="仿宋_GB2312" w:eastAsia="仿宋_GB2312"/>
          <w:color w:val="000000" w:themeColor="text1"/>
          <w:sz w:val="32"/>
          <w:szCs w:val="32"/>
          <w:lang w:eastAsia="zh-CN"/>
          <w14:textFill>
            <w14:solidFill>
              <w14:schemeClr w14:val="tx1"/>
            </w14:solidFill>
          </w14:textFill>
        </w:rPr>
        <w:t>新区</w:t>
      </w:r>
      <w:r>
        <w:rPr>
          <w:rFonts w:hint="eastAsia" w:ascii="仿宋_GB2312" w:hAnsi="仿宋_GB2312" w:eastAsia="仿宋_GB2312"/>
          <w:color w:val="000000" w:themeColor="text1"/>
          <w:sz w:val="32"/>
          <w:szCs w:val="32"/>
          <w14:textFill>
            <w14:solidFill>
              <w14:schemeClr w14:val="tx1"/>
            </w14:solidFill>
          </w14:textFill>
        </w:rPr>
        <w:t>四个4A景区等重点项目，在设施配套、产品创新、模式改革、服务升级和市场推广等方面加大力度，打造以工业旅游、科技体验、观光休闲为特色的广西文旅打卡地。推动新区汽车制造、科技创新与文旅产业联动发展，</w:t>
      </w:r>
      <w:r>
        <w:rPr>
          <w:rFonts w:hint="eastAsia" w:ascii="仿宋_GB2312" w:hAnsi="仿宋_GB2312" w:eastAsia="仿宋_GB2312"/>
          <w:color w:val="000000" w:themeColor="text1"/>
          <w:sz w:val="32"/>
          <w:szCs w:val="32"/>
          <w:lang w:eastAsia="zh-CN"/>
          <w14:textFill>
            <w14:solidFill>
              <w14:schemeClr w14:val="tx1"/>
            </w14:solidFill>
          </w14:textFill>
        </w:rPr>
        <w:t>推进</w:t>
      </w:r>
      <w:r>
        <w:rPr>
          <w:rFonts w:hint="eastAsia" w:ascii="仿宋_GB2312" w:hAnsi="仿宋_GB2312" w:eastAsia="仿宋_GB2312"/>
          <w:color w:val="000000" w:themeColor="text1"/>
          <w:sz w:val="32"/>
          <w:szCs w:val="32"/>
          <w14:textFill>
            <w14:solidFill>
              <w14:schemeClr w14:val="tx1"/>
            </w14:solidFill>
          </w14:textFill>
        </w:rPr>
        <w:t>“共享汽车+旅游出行”</w:t>
      </w:r>
      <w:r>
        <w:rPr>
          <w:rFonts w:hint="eastAsia" w:ascii="仿宋_GB2312" w:hAnsi="仿宋_GB2312" w:eastAsia="仿宋_GB2312"/>
          <w:color w:val="000000" w:themeColor="text1"/>
          <w:sz w:val="32"/>
          <w:szCs w:val="32"/>
          <w:lang w:eastAsia="zh-CN"/>
          <w14:textFill>
            <w14:solidFill>
              <w14:schemeClr w14:val="tx1"/>
            </w14:solidFill>
          </w14:textFill>
        </w:rPr>
        <w:t>旅游模式</w:t>
      </w:r>
      <w:r>
        <w:rPr>
          <w:rFonts w:hint="eastAsia" w:ascii="仿宋_GB2312" w:hAnsi="仿宋_GB2312" w:eastAsia="仿宋_GB2312"/>
          <w:color w:val="000000" w:themeColor="text1"/>
          <w:sz w:val="32"/>
          <w:szCs w:val="32"/>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谋划打造新区汽车文旅系列项目，建设主题酒店、汽车电影院、房车营地等设施，</w:t>
      </w:r>
      <w:r>
        <w:rPr>
          <w:rFonts w:hint="eastAsia" w:ascii="仿宋_GB2312" w:hAnsi="仿宋_GB2312" w:eastAsia="仿宋_GB2312"/>
          <w:color w:val="000000" w:themeColor="text1"/>
          <w:sz w:val="32"/>
          <w:szCs w:val="32"/>
          <w14:textFill>
            <w14:solidFill>
              <w14:schemeClr w14:val="tx1"/>
            </w14:solidFill>
          </w14:textFill>
        </w:rPr>
        <w:t>促进汽车城文化传播。依托新区文化广场、会展中心、卡乐星球、文化艺术中心、体育中心等场馆资源，举办丰富多彩的文体活动，活跃文化生态。依托柳州 772 数字文化创意产业园，推出系列富有汽车城特色的文创产品。</w:t>
      </w:r>
      <w:r>
        <w:rPr>
          <w:rFonts w:hint="eastAsia" w:ascii="仿宋_GB2312" w:hAnsi="仿宋_GB2312" w:eastAsia="仿宋_GB2312" w:cs="仿宋_GB2312"/>
          <w:color w:val="000000" w:themeColor="text1"/>
          <w:sz w:val="32"/>
          <w:szCs w:val="32"/>
          <w14:textFill>
            <w14:solidFill>
              <w14:schemeClr w14:val="tx1"/>
            </w14:solidFill>
          </w14:textFill>
        </w:rPr>
        <w:t>加快建设柳州体育综合体项目，</w:t>
      </w:r>
      <w:r>
        <w:rPr>
          <w:rFonts w:hint="eastAsia" w:ascii="仿宋_GB2312" w:hAnsi="仿宋_GB2312" w:eastAsia="仿宋_GB2312" w:cs="仿宋"/>
          <w:color w:val="000000" w:themeColor="text1"/>
          <w:sz w:val="32"/>
          <w:szCs w:val="32"/>
          <w14:textFill>
            <w14:solidFill>
              <w14:schemeClr w14:val="tx1"/>
            </w14:solidFill>
          </w14:textFill>
        </w:rPr>
        <w:t>充实丰富会展片区功能，打造城市新名</w:t>
      </w:r>
      <w:r>
        <w:rPr>
          <w:rFonts w:hint="eastAsia" w:ascii="仿宋_GB2312" w:hAnsi="仿宋_GB2312" w:eastAsia="仿宋_GB2312"/>
          <w:color w:val="000000" w:themeColor="text1"/>
          <w:sz w:val="32"/>
          <w:szCs w:val="32"/>
          <w14:textFill>
            <w14:solidFill>
              <w14:schemeClr w14:val="tx1"/>
            </w14:solidFill>
          </w14:textFill>
        </w:rPr>
        <w:t>片，促进文体产业集聚</w:t>
      </w:r>
      <w:r>
        <w:rPr>
          <w:rFonts w:hint="eastAsia" w:ascii="仿宋_GB2312" w:hAnsi="仿宋_GB2312" w:eastAsia="仿宋_GB2312" w:cs="仿宋_GB2312"/>
          <w:color w:val="000000" w:themeColor="text1"/>
          <w:sz w:val="32"/>
          <w:szCs w:val="32"/>
          <w14:textFill>
            <w14:solidFill>
              <w14:schemeClr w14:val="tx1"/>
            </w14:solidFill>
          </w14:textFill>
        </w:rPr>
        <w:t>。推动</w:t>
      </w:r>
      <w:r>
        <w:rPr>
          <w:rFonts w:hint="eastAsia" w:ascii="仿宋_GB2312" w:hAnsi="仿宋_GB2312" w:eastAsia="仿宋_GB2312"/>
          <w:color w:val="000000" w:themeColor="text1"/>
          <w:sz w:val="32"/>
          <w:szCs w:val="32"/>
          <w14:textFill>
            <w14:solidFill>
              <w14:schemeClr w14:val="tx1"/>
            </w14:solidFill>
          </w14:textFill>
        </w:rPr>
        <w:t>雒容特色小镇、洛埠特色小镇、马步水库文化旅游度假区（</w:t>
      </w:r>
      <w:r>
        <w:rPr>
          <w:rFonts w:ascii="仿宋_GB2312" w:hAnsi="仿宋_GB2312" w:eastAsia="仿宋_GB2312"/>
          <w:color w:val="000000" w:themeColor="text1"/>
          <w:sz w:val="32"/>
          <w:szCs w:val="32"/>
          <w14:textFill>
            <w14:solidFill>
              <w14:schemeClr w14:val="tx1"/>
            </w14:solidFill>
          </w14:textFill>
        </w:rPr>
        <w:t>下金田乡村振兴</w:t>
      </w:r>
      <w:r>
        <w:rPr>
          <w:rFonts w:hint="eastAsia" w:ascii="仿宋_GB2312" w:hAnsi="仿宋_GB2312" w:eastAsia="仿宋_GB2312"/>
          <w:color w:val="000000" w:themeColor="text1"/>
          <w:sz w:val="32"/>
          <w:szCs w:val="32"/>
          <w14:textFill>
            <w14:solidFill>
              <w14:schemeClr w14:val="tx1"/>
            </w14:solidFill>
          </w14:textFill>
        </w:rPr>
        <w:t>项目）、</w:t>
      </w:r>
      <w:r>
        <w:rPr>
          <w:rFonts w:hint="eastAsia" w:ascii="仿宋_GB2312" w:hAnsi="仿宋_GB2312" w:eastAsia="仿宋_GB2312" w:cs="仿宋_GB2312"/>
          <w:color w:val="000000" w:themeColor="text1"/>
          <w:sz w:val="32"/>
          <w:szCs w:val="32"/>
          <w14:textFill>
            <w14:solidFill>
              <w14:schemeClr w14:val="tx1"/>
            </w14:solidFill>
          </w14:textFill>
        </w:rPr>
        <w:t>三门江油茶示范区</w:t>
      </w:r>
      <w:r>
        <w:rPr>
          <w:rFonts w:hint="eastAsia" w:ascii="仿宋_GB2312" w:hAnsi="仿宋_GB2312" w:eastAsia="仿宋_GB2312"/>
          <w:color w:val="000000" w:themeColor="text1"/>
          <w:sz w:val="32"/>
          <w:szCs w:val="32"/>
          <w14:textFill>
            <w14:solidFill>
              <w14:schemeClr w14:val="tx1"/>
            </w14:solidFill>
          </w14:textFill>
        </w:rPr>
        <w:t>等项目建</w:t>
      </w:r>
      <w:r>
        <w:rPr>
          <w:rFonts w:hint="eastAsia" w:ascii="仿宋_GB2312" w:hAnsi="黑体" w:eastAsia="仿宋_GB2312"/>
          <w:color w:val="000000" w:themeColor="text1"/>
          <w:sz w:val="32"/>
          <w:szCs w:val="32"/>
          <w14:textFill>
            <w14:solidFill>
              <w14:schemeClr w14:val="tx1"/>
            </w14:solidFill>
          </w14:textFill>
        </w:rPr>
        <w:t>设，</w:t>
      </w:r>
      <w:r>
        <w:rPr>
          <w:rFonts w:hint="eastAsia" w:ascii="仿宋_GB2312" w:hAnsi="仿宋_GB2312" w:eastAsia="仿宋_GB2312" w:cs="仿宋_GB2312"/>
          <w:color w:val="000000" w:themeColor="text1"/>
          <w:sz w:val="32"/>
          <w:szCs w:val="32"/>
          <w14:textFill>
            <w14:solidFill>
              <w14:schemeClr w14:val="tx1"/>
            </w14:solidFill>
          </w14:textFill>
        </w:rPr>
        <w:t>打造一批休闲观光农业项目，发展全域旅游和乡村旅游。加强与鹿寨、桂林沟通合作，发展柳州东线旅游，对阳朔旅游市场进行有效补充与合理衔接，形成“古今山水观桂林，汽车文化看柳东”的联动营销效应。</w:t>
      </w:r>
    </w:p>
    <w:p>
      <w:pPr>
        <w:pStyle w:val="5"/>
        <w:spacing w:before="0" w:after="0" w:line="240" w:lineRule="auto"/>
        <w:ind w:firstLine="640" w:firstLineChars="200"/>
        <w:rPr>
          <w:rFonts w:ascii="黑体" w:hAnsi="黑体" w:eastAsia="黑体" w:cs="Times New Roman"/>
          <w:b w:val="0"/>
          <w:color w:val="000000" w:themeColor="text1"/>
          <w14:textFill>
            <w14:solidFill>
              <w14:schemeClr w14:val="tx1"/>
            </w14:solidFill>
          </w14:textFill>
        </w:rPr>
      </w:pPr>
      <w:r>
        <w:rPr>
          <w:rFonts w:hint="eastAsia" w:ascii="黑体" w:hAnsi="黑体" w:eastAsia="黑体" w:cs="Times New Roman"/>
          <w:b w:val="0"/>
          <w:color w:val="000000" w:themeColor="text1"/>
          <w14:textFill>
            <w14:solidFill>
              <w14:schemeClr w14:val="tx1"/>
            </w14:solidFill>
          </w14:textFill>
        </w:rPr>
        <w:t>五、引领发展大数据产业</w:t>
      </w:r>
    </w:p>
    <w:p>
      <w:pPr>
        <w:ind w:firstLine="640" w:firstLineChars="200"/>
        <w:rPr>
          <w:rFonts w:ascii="仿宋_GB2312" w:eastAsia="仿宋_GB2312"/>
          <w:color w:val="000000" w:themeColor="text1"/>
          <w:sz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立足产业数字化、数字产业化，精心谋划、科学布局大数据产业，扎实打造数字产业示范园区和大数据中心，以整合全市汽车行业数据资源为突破口，挖掘大数据价值，开发大数据产品，推动在人工智能、物联网等技术中的应用。抢占柳州建设广西首个工业互联网城市的有利先机，在汽车、机械等新区优势行业领域，推进实体经济与互联网、大数据、人工智能深度融合，精心打造一批智能工厂、数字化车间。加快自治区工业互联网标识解析二级节点建设，推动工业互联网平台建设及应用升级，不断扩大企业和工业设备联网上云上平台规模，有效整合产品设计、生产工艺、设备运行、运营管理等数据资源，汇聚设计能力、生产能力、软件资源、知识模型等资源，推动智能制造发展，构建大中小企业融通发展格局，打造广西工业互联网示范园区。持续完善广工大网络安全实验室、</w:t>
      </w:r>
      <w:r>
        <w:rPr>
          <w:rFonts w:ascii="仿宋_GB2312" w:eastAsia="仿宋_GB2312"/>
          <w:color w:val="000000" w:themeColor="text1"/>
          <w:sz w:val="32"/>
          <w14:textFill>
            <w14:solidFill>
              <w14:schemeClr w14:val="tx1"/>
            </w14:solidFill>
          </w14:textFill>
        </w:rPr>
        <w:t>柳州数字文化创意产业园</w:t>
      </w:r>
      <w:r>
        <w:rPr>
          <w:rFonts w:hint="eastAsia" w:ascii="仿宋_GB2312" w:eastAsia="仿宋_GB2312"/>
          <w:color w:val="000000" w:themeColor="text1"/>
          <w:sz w:val="32"/>
          <w14:textFill>
            <w14:solidFill>
              <w14:schemeClr w14:val="tx1"/>
            </w14:solidFill>
          </w14:textFill>
        </w:rPr>
        <w:t>、</w:t>
      </w:r>
      <w:r>
        <w:rPr>
          <w:rFonts w:ascii="仿宋_GB2312" w:eastAsia="仿宋_GB2312"/>
          <w:color w:val="000000" w:themeColor="text1"/>
          <w:sz w:val="32"/>
          <w14:textFill>
            <w14:solidFill>
              <w14:schemeClr w14:val="tx1"/>
            </w14:solidFill>
          </w14:textFill>
        </w:rPr>
        <w:t>广西互联网教育产业园</w:t>
      </w:r>
      <w:r>
        <w:rPr>
          <w:rFonts w:hint="eastAsia" w:ascii="仿宋_GB2312" w:eastAsia="仿宋_GB2312"/>
          <w:color w:val="000000" w:themeColor="text1"/>
          <w:sz w:val="32"/>
          <w14:textFill>
            <w14:solidFill>
              <w14:schemeClr w14:val="tx1"/>
            </w14:solidFill>
          </w14:textFill>
        </w:rPr>
        <w:t>等专业平台建设，支持东城集团围绕智慧城市运营业务，打造智慧应用产业化创新载体，构建数字经济核心产业集群，打造“数字广西”柳东样板。</w:t>
      </w:r>
    </w:p>
    <w:tbl>
      <w:tblPr>
        <w:tblStyle w:val="19"/>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pPr>
              <w:pStyle w:val="9"/>
              <w:spacing w:beforeLines="50" w:afterLines="50"/>
              <w:jc w:val="center"/>
              <w:rPr>
                <w:rFonts w:cs="宋体" w:asciiTheme="minorEastAsia" w:hAnsiTheme="minorEastAsia"/>
                <w:b/>
                <w:color w:val="000000" w:themeColor="text1"/>
                <w:szCs w:val="21"/>
                <w14:textFill>
                  <w14:solidFill>
                    <w14:schemeClr w14:val="tx1"/>
                  </w14:solidFill>
                </w14:textFill>
              </w:rPr>
            </w:pPr>
            <w:r>
              <w:rPr>
                <w:rFonts w:hint="eastAsia" w:cs="宋体" w:asciiTheme="minorEastAsia" w:hAnsiTheme="minorEastAsia"/>
                <w:b/>
                <w:color w:val="000000" w:themeColor="text1"/>
                <w:szCs w:val="21"/>
                <w14:textFill>
                  <w14:solidFill>
                    <w14:schemeClr w14:val="tx1"/>
                  </w14:solidFill>
                </w14:textFill>
              </w:rPr>
              <w:t>专栏4-3 现代服务业建设重点</w:t>
            </w:r>
          </w:p>
          <w:p>
            <w:pPr>
              <w:pStyle w:val="9"/>
              <w:spacing w:beforeLines="50"/>
              <w:ind w:firstLine="422" w:firstLineChars="200"/>
              <w:rPr>
                <w:color w:val="000000" w:themeColor="text1"/>
                <w14:textFill>
                  <w14:solidFill>
                    <w14:schemeClr w14:val="tx1"/>
                  </w14:solidFill>
                </w14:textFill>
              </w:rPr>
            </w:pPr>
            <w:r>
              <w:rPr>
                <w:rFonts w:hint="eastAsia"/>
                <w:b/>
                <w:color w:val="000000" w:themeColor="text1"/>
                <w14:textFill>
                  <w14:solidFill>
                    <w14:schemeClr w14:val="tx1"/>
                  </w14:solidFill>
                </w14:textFill>
              </w:rPr>
              <w:t>科技服务：</w:t>
            </w:r>
            <w:r>
              <w:rPr>
                <w:rFonts w:hint="eastAsia"/>
                <w:color w:val="000000" w:themeColor="text1"/>
                <w14:textFill>
                  <w14:solidFill>
                    <w14:schemeClr w14:val="tx1"/>
                  </w14:solidFill>
                </w14:textFill>
              </w:rPr>
              <w:t>重点建设国家级汽车质监检验中心（柳州）二期、</w:t>
            </w:r>
            <w:r>
              <w:rPr>
                <w:rFonts w:hint="eastAsia" w:ascii="宋体" w:hAnsi="宋体" w:eastAsia="宋体" w:cs="宋体"/>
                <w:color w:val="000000" w:themeColor="text1"/>
                <w:szCs w:val="21"/>
                <w14:textFill>
                  <w14:solidFill>
                    <w14:schemeClr w14:val="tx1"/>
                  </w14:solidFill>
                </w14:textFill>
              </w:rPr>
              <w:t>全国铁路计量检测公共服务平台及轨道交通检测技术研究中心项目、</w:t>
            </w:r>
            <w:r>
              <w:rPr>
                <w:rFonts w:hint="eastAsia" w:cs="宋体" w:asciiTheme="minorEastAsia" w:hAnsiTheme="minorEastAsia"/>
                <w:color w:val="000000" w:themeColor="text1"/>
                <w:szCs w:val="21"/>
                <w14:textFill>
                  <w14:solidFill>
                    <w14:schemeClr w14:val="tx1"/>
                  </w14:solidFill>
                </w14:textFill>
              </w:rPr>
              <w:t>上通五“智能网联”项目、柳州市科技创新创业示范基地（一期）、上海漕河泾柳东创新创业园、国检中心改扩建三期项目等项目。</w:t>
            </w:r>
          </w:p>
          <w:p>
            <w:pPr>
              <w:pStyle w:val="9"/>
              <w:spacing w:beforeLines="50"/>
              <w:ind w:firstLine="422" w:firstLineChars="200"/>
              <w:rPr>
                <w:rFonts w:cs="宋体" w:asciiTheme="minorEastAsia" w:hAnsiTheme="minorEastAsia"/>
                <w:color w:val="000000" w:themeColor="text1"/>
                <w14:textFill>
                  <w14:solidFill>
                    <w14:schemeClr w14:val="tx1"/>
                  </w14:solidFill>
                </w14:textFill>
              </w:rPr>
            </w:pPr>
            <w:r>
              <w:rPr>
                <w:rFonts w:hint="eastAsia" w:cs="宋体" w:asciiTheme="minorEastAsia" w:hAnsiTheme="minorEastAsia"/>
                <w:b/>
                <w:color w:val="000000" w:themeColor="text1"/>
                <w14:textFill>
                  <w14:solidFill>
                    <w14:schemeClr w14:val="tx1"/>
                  </w14:solidFill>
                </w14:textFill>
              </w:rPr>
              <w:t>智慧物流服务：</w:t>
            </w:r>
            <w:r>
              <w:rPr>
                <w:rFonts w:hint="eastAsia" w:cs="宋体" w:asciiTheme="minorEastAsia" w:hAnsiTheme="minorEastAsia"/>
                <w:color w:val="000000" w:themeColor="text1"/>
                <w14:textFill>
                  <w14:solidFill>
                    <w14:schemeClr w14:val="tx1"/>
                  </w14:solidFill>
                </w14:textFill>
              </w:rPr>
              <w:t>重点建设柳州国家公路枢纽柳东物流中心、柳东新区汽车物流中心、柳东车辆制造基地智能物流项目、智慧医药供应链体系建设、东城汽车后市场产业服务园（东城汽车后市场（一期）项目）、保税区仓储物流中心、柳州市东城花岭物流中心等项目。</w:t>
            </w:r>
          </w:p>
          <w:p>
            <w:pPr>
              <w:pStyle w:val="9"/>
              <w:spacing w:beforeLines="50" w:after="0"/>
              <w:ind w:firstLine="422" w:firstLineChars="200"/>
              <w:rPr>
                <w:rFonts w:cs="宋体" w:asciiTheme="minorEastAsia" w:hAnsiTheme="minorEastAsia"/>
                <w:color w:val="000000" w:themeColor="text1"/>
                <w:szCs w:val="21"/>
                <w14:textFill>
                  <w14:solidFill>
                    <w14:schemeClr w14:val="tx1"/>
                  </w14:solidFill>
                </w14:textFill>
              </w:rPr>
            </w:pPr>
            <w:r>
              <w:rPr>
                <w:rFonts w:hint="eastAsia"/>
                <w:b/>
                <w:color w:val="000000" w:themeColor="text1"/>
                <w14:textFill>
                  <w14:solidFill>
                    <w14:schemeClr w14:val="tx1"/>
                  </w14:solidFill>
                </w14:textFill>
              </w:rPr>
              <w:t>商务会展服务：</w:t>
            </w:r>
            <w:r>
              <w:rPr>
                <w:rFonts w:hint="eastAsia"/>
                <w:color w:val="000000" w:themeColor="text1"/>
                <w14:textFill>
                  <w14:solidFill>
                    <w14:schemeClr w14:val="tx1"/>
                  </w14:solidFill>
                </w14:textFill>
              </w:rPr>
              <w:t>重点建设</w:t>
            </w:r>
            <w:r>
              <w:rPr>
                <w:rFonts w:hint="eastAsia" w:cs="宋体" w:asciiTheme="minorEastAsia" w:hAnsiTheme="minorEastAsia"/>
                <w:color w:val="000000" w:themeColor="text1"/>
                <w14:textFill>
                  <w14:solidFill>
                    <w14:schemeClr w14:val="tx1"/>
                  </w14:solidFill>
                </w14:textFill>
              </w:rPr>
              <w:t>苏宁易购广西桂北智慧电商产业园（一期）、</w:t>
            </w:r>
            <w:r>
              <w:rPr>
                <w:rFonts w:hint="eastAsia" w:cs="宋体" w:asciiTheme="minorEastAsia" w:hAnsiTheme="minorEastAsia"/>
                <w:color w:val="000000" w:themeColor="text1"/>
                <w:szCs w:val="21"/>
                <w14:textFill>
                  <w14:solidFill>
                    <w14:schemeClr w14:val="tx1"/>
                  </w14:solidFill>
                </w14:textFill>
              </w:rPr>
              <w:t>会展特色商业区、</w:t>
            </w:r>
            <w:r>
              <w:rPr>
                <w:rFonts w:hint="eastAsia"/>
                <w:color w:val="000000" w:themeColor="text1"/>
                <w14:textFill>
                  <w14:solidFill>
                    <w14:schemeClr w14:val="tx1"/>
                  </w14:solidFill>
                </w14:textFill>
              </w:rPr>
              <w:t>龙湖CBD商业圈、万象综合体、爱琴海项目、体验园东北部主题酒店、科技园商业综合体（A地块）、三门江友邻汇、龙湖友邻汇、南寨友邻汇、上通五友邻汇、九岭西岸友邻汇、</w:t>
            </w:r>
            <w:r>
              <w:rPr>
                <w:rFonts w:hint="eastAsia" w:cs="宋体" w:asciiTheme="minorEastAsia" w:hAnsiTheme="minorEastAsia"/>
                <w:color w:val="000000" w:themeColor="text1"/>
                <w:szCs w:val="21"/>
                <w14:textFill>
                  <w14:solidFill>
                    <w14:schemeClr w14:val="tx1"/>
                  </w14:solidFill>
                </w14:textFill>
              </w:rPr>
              <w:t>连锁药店扩展项目、职教园南部共享区邻里中心 （悦汇城）、园博园北部城镇化配套项目二期、九子岭西北部城镇化配套项目、龙湖西CBD商业开发项目、东方锦绣等项目。</w:t>
            </w:r>
          </w:p>
          <w:p>
            <w:pPr>
              <w:pStyle w:val="9"/>
              <w:spacing w:beforeLines="50"/>
              <w:ind w:firstLine="422" w:firstLineChars="200"/>
              <w:rPr>
                <w:color w:val="000000" w:themeColor="text1"/>
                <w14:textFill>
                  <w14:solidFill>
                    <w14:schemeClr w14:val="tx1"/>
                  </w14:solidFill>
                </w14:textFill>
              </w:rPr>
            </w:pPr>
            <w:r>
              <w:rPr>
                <w:rFonts w:hint="eastAsia"/>
                <w:b/>
                <w:color w:val="000000" w:themeColor="text1"/>
                <w14:textFill>
                  <w14:solidFill>
                    <w14:schemeClr w14:val="tx1"/>
                  </w14:solidFill>
                </w14:textFill>
              </w:rPr>
              <w:t>文化旅游服务：</w:t>
            </w:r>
            <w:r>
              <w:rPr>
                <w:rFonts w:hint="eastAsia"/>
                <w:color w:val="000000" w:themeColor="text1"/>
                <w14:textFill>
                  <w14:solidFill>
                    <w14:schemeClr w14:val="tx1"/>
                  </w14:solidFill>
                </w14:textFill>
              </w:rPr>
              <w:t>重点建设柳东新区雪世界项目、三门江林场马步分场场部功能提升改造暨森林康养旅游示范项目；推进柳州体育健康城、马步水库乡村旅游示范区、柳州国际汽车文化旅游度假区、雒容特色小镇项目、洛埠特色小镇等项目规划实施。</w:t>
            </w:r>
          </w:p>
          <w:p>
            <w:pPr>
              <w:ind w:firstLine="422" w:firstLineChars="200"/>
              <w:rPr>
                <w:color w:val="000000" w:themeColor="text1"/>
                <w14:textFill>
                  <w14:solidFill>
                    <w14:schemeClr w14:val="tx1"/>
                  </w14:solidFill>
                </w14:textFill>
              </w:rPr>
            </w:pPr>
            <w:r>
              <w:rPr>
                <w:rFonts w:hint="eastAsia"/>
                <w:b/>
                <w:color w:val="000000" w:themeColor="text1"/>
                <w14:textFill>
                  <w14:solidFill>
                    <w14:schemeClr w14:val="tx1"/>
                  </w14:solidFill>
                </w14:textFill>
              </w:rPr>
              <w:t>大数据服务：</w:t>
            </w:r>
            <w:r>
              <w:rPr>
                <w:rFonts w:hint="eastAsia" w:cs="宋体" w:asciiTheme="minorEastAsia" w:hAnsiTheme="minorEastAsia"/>
                <w:color w:val="000000" w:themeColor="text1"/>
                <w:szCs w:val="21"/>
                <w14:textFill>
                  <w14:solidFill>
                    <w14:schemeClr w14:val="tx1"/>
                  </w14:solidFill>
                </w14:textFill>
              </w:rPr>
              <w:t>重点建设“数字柳东”</w:t>
            </w:r>
            <w:r>
              <w:rPr>
                <w:rFonts w:hint="eastAsia"/>
                <w:color w:val="000000" w:themeColor="text1"/>
                <w:kern w:val="0"/>
                <w14:textFill>
                  <w14:solidFill>
                    <w14:schemeClr w14:val="tx1"/>
                  </w14:solidFill>
                </w14:textFill>
              </w:rPr>
              <w:t>智慧城市、工业互联网标识解析二级节点、国家信息中心大数据工业应用柳州基地、数字产业示范园区、广工大网络安全实验室、互联网教育产业园、数字文化创意产业园、猪八戒网柳州基地等。</w:t>
            </w:r>
          </w:p>
        </w:tc>
      </w:tr>
    </w:tbl>
    <w:p>
      <w:pPr>
        <w:pStyle w:val="9"/>
        <w:rPr>
          <w:color w:val="000000" w:themeColor="text1"/>
          <w14:textFill>
            <w14:solidFill>
              <w14:schemeClr w14:val="tx1"/>
            </w14:solidFill>
          </w14:textFill>
        </w:rPr>
      </w:pPr>
    </w:p>
    <w:p>
      <w:pPr>
        <w:pStyle w:val="4"/>
        <w:jc w:val="center"/>
        <w:rPr>
          <w:rFonts w:hint="eastAsia" w:ascii="黑体" w:hAnsi="黑体" w:eastAsia="黑体" w:cs="Times New Roman"/>
          <w:b w:val="0"/>
          <w:color w:val="000000" w:themeColor="text1"/>
          <w14:textFill>
            <w14:solidFill>
              <w14:schemeClr w14:val="tx1"/>
            </w14:solidFill>
          </w14:textFill>
        </w:rPr>
      </w:pPr>
      <w:bookmarkStart w:id="150" w:name="_Toc14782"/>
      <w:bookmarkStart w:id="151" w:name="_Toc27003"/>
      <w:bookmarkStart w:id="152" w:name="_Toc14000"/>
      <w:bookmarkStart w:id="153" w:name="_Toc27779"/>
      <w:bookmarkStart w:id="154" w:name="_Toc18481"/>
      <w:bookmarkStart w:id="155" w:name="_Toc21729"/>
      <w:r>
        <w:rPr>
          <w:rFonts w:hint="eastAsia" w:ascii="黑体" w:hAnsi="黑体" w:eastAsia="黑体" w:cs="Times New Roman"/>
          <w:b w:val="0"/>
          <w:color w:val="000000" w:themeColor="text1"/>
          <w14:textFill>
            <w14:solidFill>
              <w14:schemeClr w14:val="tx1"/>
            </w14:solidFill>
          </w14:textFill>
        </w:rPr>
        <w:t>第四节 积极布局培育前沿性产业</w:t>
      </w:r>
      <w:bookmarkEnd w:id="150"/>
      <w:bookmarkEnd w:id="151"/>
      <w:bookmarkEnd w:id="152"/>
      <w:bookmarkEnd w:id="153"/>
      <w:bookmarkEnd w:id="154"/>
      <w:bookmarkEnd w:id="155"/>
    </w:p>
    <w:p>
      <w:pPr>
        <w:pStyle w:val="5"/>
        <w:spacing w:before="0" w:after="0" w:line="240" w:lineRule="auto"/>
        <w:ind w:firstLine="640" w:firstLineChars="200"/>
        <w:rPr>
          <w:rFonts w:ascii="黑体" w:hAnsi="黑体" w:eastAsia="黑体" w:cs="Times New Roman"/>
          <w:b w:val="0"/>
          <w:color w:val="000000" w:themeColor="text1"/>
          <w14:textFill>
            <w14:solidFill>
              <w14:schemeClr w14:val="tx1"/>
            </w14:solidFill>
          </w14:textFill>
        </w:rPr>
      </w:pPr>
      <w:r>
        <w:rPr>
          <w:rFonts w:hint="eastAsia" w:ascii="黑体" w:hAnsi="黑体" w:eastAsia="黑体" w:cs="Times New Roman"/>
          <w:b w:val="0"/>
          <w:color w:val="000000" w:themeColor="text1"/>
          <w14:textFill>
            <w14:solidFill>
              <w14:schemeClr w14:val="tx1"/>
            </w14:solidFill>
          </w14:textFill>
        </w:rPr>
        <w:t>一、前瞻布局产业金融核心区</w:t>
      </w:r>
    </w:p>
    <w:p>
      <w:pPr>
        <w:ind w:firstLine="640" w:firstLineChars="200"/>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积极引导、培育优质金融机构入驻，发展以地区总部、后台服务、金融租赁为主的产业金融，打造供应链金融产业聚集地，创建辐射东盟的区域性产业金融中心和</w:t>
      </w:r>
      <w:r>
        <w:rPr>
          <w:rFonts w:ascii="Times New Roman" w:hAnsi="Times New Roman" w:eastAsia="仿宋_GB2312" w:cs="Times New Roman"/>
          <w:color w:val="000000" w:themeColor="text1"/>
          <w:sz w:val="32"/>
          <w:szCs w:val="32"/>
          <w14:textFill>
            <w14:solidFill>
              <w14:schemeClr w14:val="tx1"/>
            </w14:solidFill>
          </w14:textFill>
        </w:rPr>
        <w:t>绿色金融示范区</w:t>
      </w:r>
      <w:r>
        <w:rPr>
          <w:rFonts w:hint="eastAsia" w:eastAsia="仿宋_GB2312"/>
          <w:color w:val="000000" w:themeColor="text1"/>
          <w:sz w:val="32"/>
          <w:szCs w:val="32"/>
          <w14:textFill>
            <w14:solidFill>
              <w14:schemeClr w14:val="tx1"/>
            </w14:solidFill>
          </w14:textFill>
        </w:rPr>
        <w:t>。重点建设中央商务区金融聚集区，鼓励知名银行、证券公司、保险公司、信托投资公司和基金管理公司等金融机构在新区设立服务网点、搭建金融服务平台，充分利用神州顺利办等平台提供金融服务，开展评估、担保、融资租赁、商业保险和金融信息等多元化服务。以资源聚集和金融创新为抓手，建成多层次、多元化的市场体系和金融综合服务体系，积极发展数字金融和云金融等，提升金融服务对产业转型升级的支撑能力。着力构建多层次科创融资体系，借鉴深圳等城市的经验，发展天使投资、创业投资、股权投资等，加大对不同成长期科技型企业的支持力度，推动科技型小额贷款公司、科技企业融资担保公司联盟式发展，助力中小微企业成长。加快本地产业基金发展，充分导入自治区、柳州市产业基金，提升新区金融服务的杠杆作用。探索建设柳东新区主题基金园区，引进和培育私募证券基金、私募商品（期货）基金、对冲基金、量化投资基金及私募股权基金，打造柳州面向东盟的基金业务交流平台、基金发行服务平台、股权交易平台以及实体经济金融服务平台。</w:t>
      </w:r>
    </w:p>
    <w:p>
      <w:pPr>
        <w:pStyle w:val="5"/>
        <w:spacing w:before="0" w:after="0" w:line="240" w:lineRule="auto"/>
        <w:ind w:firstLine="640" w:firstLineChars="200"/>
        <w:rPr>
          <w:rFonts w:ascii="黑体" w:hAnsi="黑体" w:eastAsia="黑体" w:cs="Times New Roman"/>
          <w:b w:val="0"/>
          <w:color w:val="000000" w:themeColor="text1"/>
          <w14:textFill>
            <w14:solidFill>
              <w14:schemeClr w14:val="tx1"/>
            </w14:solidFill>
          </w14:textFill>
        </w:rPr>
      </w:pPr>
      <w:r>
        <w:rPr>
          <w:rFonts w:hint="eastAsia" w:ascii="黑体" w:hAnsi="黑体" w:eastAsia="黑体" w:cs="Times New Roman"/>
          <w:b w:val="0"/>
          <w:color w:val="000000" w:themeColor="text1"/>
          <w14:textFill>
            <w14:solidFill>
              <w14:schemeClr w14:val="tx1"/>
            </w14:solidFill>
          </w14:textFill>
        </w:rPr>
        <w:t>二、加快发展生命健康产业</w:t>
      </w:r>
    </w:p>
    <w:p>
      <w:pPr>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紧扣生命科学纵深发展、生物技术与信息技术融合的主题，围绕柳州市加快打造大健康和文化旅游装备制造基地的目标，以满足人们日益增长的健康需求为导向，大力发展医疗器械、生物医药、健康服务等重点行业，推动产业发展与民生幸福联动升级。培育发展医疗器械领域，重点关注数字化移动健康设备、健康管理设备、康复辅助器具等领域。支持生物医药领域发展，谋划中意（柳州）未来科技城生物医药辐射区建设，引进意大利等医疗产业资源，发展基因工程药物、疫苗、生物诊断试剂、健康食品等。积极发展新型健康服务领域，创新发展干细胞治疗、肿瘤免疫治疗、基因检测、健康管理、康养等领域高端技术、新型服务、新兴业态。</w:t>
      </w:r>
    </w:p>
    <w:tbl>
      <w:tblPr>
        <w:tblStyle w:val="19"/>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pPr>
              <w:pStyle w:val="9"/>
              <w:spacing w:beforeLines="50" w:afterLines="50"/>
              <w:ind w:firstLine="422" w:firstLineChars="200"/>
              <w:jc w:val="center"/>
              <w:rPr>
                <w:rFonts w:cs="宋体" w:asciiTheme="minorEastAsia" w:hAnsiTheme="minorEastAsia"/>
                <w:b/>
                <w:color w:val="000000" w:themeColor="text1"/>
                <w:szCs w:val="21"/>
                <w14:textFill>
                  <w14:solidFill>
                    <w14:schemeClr w14:val="tx1"/>
                  </w14:solidFill>
                </w14:textFill>
              </w:rPr>
            </w:pPr>
            <w:r>
              <w:rPr>
                <w:rFonts w:hint="eastAsia" w:cs="宋体" w:asciiTheme="minorEastAsia" w:hAnsiTheme="minorEastAsia"/>
                <w:b/>
                <w:color w:val="000000" w:themeColor="text1"/>
                <w:szCs w:val="21"/>
                <w14:textFill>
                  <w14:solidFill>
                    <w14:schemeClr w14:val="tx1"/>
                  </w14:solidFill>
                </w14:textFill>
              </w:rPr>
              <w:t>专栏4-4 新兴前沿产业建设重点</w:t>
            </w:r>
          </w:p>
          <w:p>
            <w:pPr>
              <w:pStyle w:val="9"/>
              <w:spacing w:beforeLines="50"/>
              <w:ind w:firstLine="422" w:firstLineChars="200"/>
              <w:rPr>
                <w:rFonts w:cs="宋体" w:asciiTheme="minorEastAsia" w:hAnsiTheme="minorEastAsia"/>
                <w:color w:val="000000" w:themeColor="text1"/>
                <w:szCs w:val="21"/>
                <w14:textFill>
                  <w14:solidFill>
                    <w14:schemeClr w14:val="tx1"/>
                  </w14:solidFill>
                </w14:textFill>
              </w:rPr>
            </w:pPr>
            <w:r>
              <w:rPr>
                <w:rFonts w:hint="eastAsia" w:cs="宋体" w:asciiTheme="minorEastAsia" w:hAnsiTheme="minorEastAsia"/>
                <w:b/>
                <w:color w:val="000000" w:themeColor="text1"/>
                <w:szCs w:val="21"/>
                <w14:textFill>
                  <w14:solidFill>
                    <w14:schemeClr w14:val="tx1"/>
                  </w14:solidFill>
                </w14:textFill>
              </w:rPr>
              <w:t>金融业：</w:t>
            </w:r>
            <w:r>
              <w:rPr>
                <w:rFonts w:hint="eastAsia" w:cs="宋体" w:asciiTheme="minorEastAsia" w:hAnsiTheme="minorEastAsia"/>
                <w:color w:val="000000" w:themeColor="text1"/>
                <w:szCs w:val="21"/>
                <w14:textFill>
                  <w14:solidFill>
                    <w14:schemeClr w14:val="tx1"/>
                  </w14:solidFill>
                </w14:textFill>
              </w:rPr>
              <w:t>推动建设中央商务区金融聚集区、柳东新区主题基金园区、科技金融联合实验室等项目；开展核心区产业金融中心前期。</w:t>
            </w:r>
          </w:p>
          <w:p>
            <w:pPr>
              <w:pStyle w:val="9"/>
              <w:spacing w:afterLines="50"/>
              <w:ind w:firstLine="422" w:firstLineChars="200"/>
              <w:rPr>
                <w:color w:val="000000" w:themeColor="text1"/>
                <w14:textFill>
                  <w14:solidFill>
                    <w14:schemeClr w14:val="tx1"/>
                  </w14:solidFill>
                </w14:textFill>
              </w:rPr>
            </w:pPr>
            <w:r>
              <w:rPr>
                <w:rFonts w:hint="eastAsia"/>
                <w:b/>
                <w:color w:val="000000" w:themeColor="text1"/>
                <w14:textFill>
                  <w14:solidFill>
                    <w14:schemeClr w14:val="tx1"/>
                  </w14:solidFill>
                </w14:textFill>
              </w:rPr>
              <w:t>生命健康产业：</w:t>
            </w:r>
            <w:r>
              <w:rPr>
                <w:rFonts w:hint="eastAsia"/>
                <w:color w:val="000000" w:themeColor="text1"/>
                <w14:textFill>
                  <w14:solidFill>
                    <w14:schemeClr w14:val="tx1"/>
                  </w14:solidFill>
                </w14:textFill>
              </w:rPr>
              <w:t>推动中源协和柳东新区细胞与基因产业基地、</w:t>
            </w:r>
            <w:r>
              <w:rPr>
                <w:rFonts w:hint="eastAsia" w:cs="宋体" w:asciiTheme="minorEastAsia" w:hAnsiTheme="minorEastAsia"/>
                <w:color w:val="000000" w:themeColor="text1"/>
                <w:szCs w:val="21"/>
                <w14:textFill>
                  <w14:solidFill>
                    <w14:schemeClr w14:val="tx1"/>
                  </w14:solidFill>
                </w14:textFill>
              </w:rPr>
              <w:t>银丰细胞组织实验室项目建设；谋划建设</w:t>
            </w:r>
            <w:r>
              <w:rPr>
                <w:rFonts w:hint="eastAsia"/>
                <w:color w:val="000000" w:themeColor="text1"/>
                <w14:textFill>
                  <w14:solidFill>
                    <w14:schemeClr w14:val="tx1"/>
                  </w14:solidFill>
                </w14:textFill>
              </w:rPr>
              <w:t>中意生物医药辐射区；开展中源协和柳东新区细胞与基因产业基地项目前期工作。</w:t>
            </w:r>
          </w:p>
        </w:tc>
      </w:tr>
    </w:tbl>
    <w:p>
      <w:pPr>
        <w:pStyle w:val="4"/>
        <w:jc w:val="center"/>
        <w:rPr>
          <w:rFonts w:hint="eastAsia" w:ascii="黑体" w:hAnsi="黑体" w:eastAsia="黑体" w:cs="Times New Roman"/>
          <w:b w:val="0"/>
          <w:color w:val="000000" w:themeColor="text1"/>
          <w14:textFill>
            <w14:solidFill>
              <w14:schemeClr w14:val="tx1"/>
            </w14:solidFill>
          </w14:textFill>
        </w:rPr>
      </w:pPr>
      <w:bookmarkStart w:id="156" w:name="_Toc29769"/>
      <w:bookmarkStart w:id="157" w:name="_Toc23568"/>
      <w:bookmarkStart w:id="158" w:name="_Toc8126"/>
      <w:bookmarkStart w:id="159" w:name="_Toc31272"/>
      <w:bookmarkStart w:id="160" w:name="_Toc8319"/>
      <w:bookmarkStart w:id="161" w:name="_Toc25511"/>
      <w:r>
        <w:rPr>
          <w:rFonts w:hint="eastAsia" w:ascii="黑体" w:hAnsi="黑体" w:eastAsia="黑体" w:cs="Times New Roman"/>
          <w:b w:val="0"/>
          <w:color w:val="000000" w:themeColor="text1"/>
          <w14:textFill>
            <w14:solidFill>
              <w14:schemeClr w14:val="tx1"/>
            </w14:solidFill>
          </w14:textFill>
        </w:rPr>
        <w:t>第五节 推动产业转型和高质发展</w:t>
      </w:r>
      <w:bookmarkEnd w:id="156"/>
      <w:bookmarkEnd w:id="157"/>
      <w:bookmarkEnd w:id="158"/>
      <w:bookmarkEnd w:id="159"/>
      <w:bookmarkEnd w:id="160"/>
      <w:bookmarkEnd w:id="161"/>
    </w:p>
    <w:p>
      <w:pPr>
        <w:pStyle w:val="5"/>
        <w:spacing w:before="0" w:after="0" w:line="240" w:lineRule="auto"/>
        <w:ind w:firstLine="640" w:firstLineChars="200"/>
        <w:rPr>
          <w:rFonts w:ascii="黑体" w:hAnsi="黑体" w:eastAsia="黑体" w:cs="Times New Roman"/>
          <w:b w:val="0"/>
          <w:color w:val="000000" w:themeColor="text1"/>
          <w14:textFill>
            <w14:solidFill>
              <w14:schemeClr w14:val="tx1"/>
            </w14:solidFill>
          </w14:textFill>
        </w:rPr>
      </w:pPr>
      <w:r>
        <w:rPr>
          <w:rFonts w:hint="eastAsia" w:ascii="黑体" w:hAnsi="黑体" w:eastAsia="黑体" w:cs="Times New Roman"/>
          <w:b w:val="0"/>
          <w:color w:val="000000" w:themeColor="text1"/>
          <w14:textFill>
            <w14:solidFill>
              <w14:schemeClr w14:val="tx1"/>
            </w14:solidFill>
          </w14:textFill>
        </w:rPr>
        <w:t>一、拓展招商模式引进优质项目</w:t>
      </w:r>
    </w:p>
    <w:p>
      <w:pPr>
        <w:ind w:firstLine="640" w:firstLineChars="200"/>
        <w:rPr>
          <w:rFonts w:ascii="仿宋_GB2312" w:eastAsia="仿宋_GB2312"/>
          <w:color w:val="000000" w:themeColor="text1"/>
          <w:sz w:val="32"/>
          <w:szCs w:val="32"/>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以构建完整产业链为导向，推动精准招商。围绕“1+3+5”产业体系，加大国际、国内龙头企业、知名高科技公司等产业引领型企业引进力度。鼓励产业园区、创新载体等功能区，以股权招商，推动一批独角兽企业、瞪羚企业、高科技上市企业、隐形冠军企业等优质企业以较低成本落地，通过拓展融资渠道、提供政策辅导等多种形式支持中小微企业发展。倡导并购招商模式，通过设立产业并购引导基金、加大奖励等方式，支持龙头企业、上市公司并购国内外关键核心技术企业，将并购的项目引回新区发展。创新新区招商体制模式。实现企业化招商，企业化运营，激发</w:t>
      </w:r>
      <w:r>
        <w:rPr>
          <w:rFonts w:hint="eastAsia" w:ascii="仿宋_GB2312" w:eastAsia="仿宋_GB2312"/>
          <w:color w:val="000000" w:themeColor="text1"/>
          <w:sz w:val="32"/>
          <w:szCs w:val="32"/>
          <w:lang w:eastAsia="zh-CN"/>
          <w14:textFill>
            <w14:solidFill>
              <w14:schemeClr w14:val="tx1"/>
            </w14:solidFill>
          </w14:textFill>
        </w:rPr>
        <w:t>招商</w:t>
      </w:r>
      <w:r>
        <w:rPr>
          <w:rFonts w:hint="eastAsia" w:ascii="仿宋_GB2312" w:eastAsia="仿宋_GB2312"/>
          <w:color w:val="000000" w:themeColor="text1"/>
          <w:sz w:val="32"/>
          <w:szCs w:val="32"/>
          <w14:textFill>
            <w14:solidFill>
              <w14:schemeClr w14:val="tx1"/>
            </w14:solidFill>
          </w14:textFill>
        </w:rPr>
        <w:t>工作</w:t>
      </w:r>
      <w:r>
        <w:rPr>
          <w:rFonts w:hint="eastAsia" w:ascii="仿宋_GB2312" w:eastAsia="仿宋_GB2312"/>
          <w:color w:val="000000" w:themeColor="text1"/>
          <w:sz w:val="32"/>
          <w:szCs w:val="32"/>
          <w:lang w:eastAsia="zh-CN"/>
          <w14:textFill>
            <w14:solidFill>
              <w14:schemeClr w14:val="tx1"/>
            </w14:solidFill>
          </w14:textFill>
        </w:rPr>
        <w:t>动力</w:t>
      </w:r>
      <w:r>
        <w:rPr>
          <w:rFonts w:hint="eastAsia" w:ascii="仿宋_GB2312" w:eastAsia="仿宋_GB2312"/>
          <w:color w:val="000000" w:themeColor="text1"/>
          <w:sz w:val="32"/>
          <w:szCs w:val="32"/>
          <w14:textFill>
            <w14:solidFill>
              <w14:schemeClr w14:val="tx1"/>
            </w14:solidFill>
          </w14:textFill>
        </w:rPr>
        <w:t>，提高招商引资实效。积极在国内国外经济发达和创新活跃的城市设立异地孵化器或海外孵化器，以股权为纽带，支持创新创业，推动在新区实现产业化。</w:t>
      </w:r>
    </w:p>
    <w:p>
      <w:pPr>
        <w:pStyle w:val="5"/>
        <w:spacing w:before="0" w:after="0" w:line="240" w:lineRule="auto"/>
        <w:ind w:firstLine="640" w:firstLineChars="200"/>
        <w:rPr>
          <w:rFonts w:ascii="黑体" w:hAnsi="黑体" w:eastAsia="黑体" w:cs="Times New Roman"/>
          <w:b w:val="0"/>
          <w:color w:val="000000" w:themeColor="text1"/>
          <w14:textFill>
            <w14:solidFill>
              <w14:schemeClr w14:val="tx1"/>
            </w14:solidFill>
          </w14:textFill>
        </w:rPr>
      </w:pPr>
      <w:r>
        <w:rPr>
          <w:rFonts w:hint="eastAsia" w:ascii="黑体" w:hAnsi="黑体" w:eastAsia="黑体" w:cs="Times New Roman"/>
          <w:b w:val="0"/>
          <w:color w:val="000000" w:themeColor="text1"/>
          <w14:textFill>
            <w14:solidFill>
              <w14:schemeClr w14:val="tx1"/>
            </w14:solidFill>
          </w14:textFill>
        </w:rPr>
        <w:t>二、持续实施六大升级行动</w:t>
      </w:r>
    </w:p>
    <w:p>
      <w:pPr>
        <w:ind w:firstLine="640" w:firstLineChars="200"/>
        <w:rPr>
          <w:rFonts w:ascii="仿宋_GB2312" w:eastAsia="仿宋_GB2312"/>
          <w:color w:val="000000" w:themeColor="text1"/>
          <w:sz w:val="32"/>
          <w:szCs w:val="32"/>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对标高质量发展要求，把握现代经济发展特征和规律，立足新区基础条件和发展实际，以项目带动、招商拉动、智能推动、创新驱动、人才流动、开放互动为核心抓手，持续实施项目带动升级行动、智造推动升级行动、创新提质升级行动、质量品牌升级行动、人才兴区升级行动、开放合作升级行动等“六大升级行动”，着力调结构、补短板、强支撑，持续推进产业生态构建和发展要素集聚，全面实现新区发展动能转换、产业转型升级，以高质量发展开创新区现代产业体系发展新格局。</w:t>
      </w:r>
    </w:p>
    <w:tbl>
      <w:tblPr>
        <w:tblStyle w:val="19"/>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pPr>
              <w:spacing w:beforeLines="50" w:afterLines="50"/>
              <w:jc w:val="center"/>
              <w:rPr>
                <w:rFonts w:cs="宋体" w:asciiTheme="minorEastAsia" w:hAnsiTheme="minorEastAsia"/>
                <w:b/>
                <w:color w:val="000000" w:themeColor="text1"/>
                <w:szCs w:val="21"/>
                <w14:textFill>
                  <w14:solidFill>
                    <w14:schemeClr w14:val="tx1"/>
                  </w14:solidFill>
                </w14:textFill>
              </w:rPr>
            </w:pPr>
            <w:r>
              <w:rPr>
                <w:rFonts w:hint="eastAsia" w:cs="宋体" w:asciiTheme="minorEastAsia" w:hAnsiTheme="minorEastAsia"/>
                <w:b/>
                <w:color w:val="000000" w:themeColor="text1"/>
                <w:szCs w:val="21"/>
                <w14:textFill>
                  <w14:solidFill>
                    <w14:schemeClr w14:val="tx1"/>
                  </w14:solidFill>
                </w14:textFill>
              </w:rPr>
              <w:t>专栏4-5 实施六大升级行动</w:t>
            </w:r>
          </w:p>
          <w:p>
            <w:pPr>
              <w:widowControl/>
              <w:spacing w:afterLines="50"/>
              <w:ind w:firstLine="422" w:firstLineChars="200"/>
              <w:rPr>
                <w:rFonts w:cs="宋体" w:asciiTheme="minorEastAsia" w:hAnsiTheme="minorEastAsia"/>
                <w:color w:val="000000" w:themeColor="text1"/>
                <w:szCs w:val="21"/>
                <w14:textFill>
                  <w14:solidFill>
                    <w14:schemeClr w14:val="tx1"/>
                  </w14:solidFill>
                </w14:textFill>
              </w:rPr>
            </w:pPr>
            <w:r>
              <w:rPr>
                <w:rFonts w:hint="eastAsia" w:cs="宋体" w:asciiTheme="minorEastAsia" w:hAnsiTheme="minorEastAsia"/>
                <w:b/>
                <w:color w:val="000000" w:themeColor="text1"/>
                <w:szCs w:val="21"/>
                <w14:textFill>
                  <w14:solidFill>
                    <w14:schemeClr w14:val="tx1"/>
                  </w14:solidFill>
                </w14:textFill>
              </w:rPr>
              <w:t>项目带动升级行动。</w:t>
            </w:r>
            <w:r>
              <w:rPr>
                <w:rFonts w:hint="eastAsia" w:cs="宋体" w:asciiTheme="minorEastAsia" w:hAnsiTheme="minorEastAsia"/>
                <w:color w:val="000000" w:themeColor="text1"/>
                <w:szCs w:val="21"/>
                <w14:textFill>
                  <w14:solidFill>
                    <w14:schemeClr w14:val="tx1"/>
                  </w14:solidFill>
                </w14:textFill>
              </w:rPr>
              <w:t>立足新区“1+3+5”产业领域，主动谋划，每年引进一批市场前景好、科技含量高、带动效应强的大项目、好项目，持续充实完善高质量发展项目库，积极引进一批带动性强、“高、精、专”的产业链配套“小巨人”项目。每年从高质量工业、科技、基础设施、民生、招商引资、党建人才等六个领域，确定六个十大高质量发展重点项目，作为新区年度高质量发展标志性工程。</w:t>
            </w:r>
          </w:p>
          <w:p>
            <w:pPr>
              <w:widowControl/>
              <w:spacing w:afterLines="50"/>
              <w:ind w:firstLine="422" w:firstLineChars="200"/>
              <w:rPr>
                <w:rFonts w:cs="宋体" w:asciiTheme="minorEastAsia" w:hAnsiTheme="minorEastAsia"/>
                <w:color w:val="000000" w:themeColor="text1"/>
                <w:szCs w:val="21"/>
                <w14:textFill>
                  <w14:solidFill>
                    <w14:schemeClr w14:val="tx1"/>
                  </w14:solidFill>
                </w14:textFill>
              </w:rPr>
            </w:pPr>
            <w:r>
              <w:rPr>
                <w:rFonts w:hint="eastAsia" w:cs="宋体" w:asciiTheme="minorEastAsia" w:hAnsiTheme="minorEastAsia"/>
                <w:b/>
                <w:color w:val="000000" w:themeColor="text1"/>
                <w:szCs w:val="21"/>
                <w14:textFill>
                  <w14:solidFill>
                    <w14:schemeClr w14:val="tx1"/>
                  </w14:solidFill>
                </w14:textFill>
              </w:rPr>
              <w:t>智造推动升级行动。</w:t>
            </w:r>
            <w:r>
              <w:rPr>
                <w:rFonts w:hint="eastAsia" w:cs="宋体" w:asciiTheme="minorEastAsia" w:hAnsiTheme="minorEastAsia"/>
                <w:color w:val="000000" w:themeColor="text1"/>
                <w:szCs w:val="21"/>
                <w14:textFill>
                  <w14:solidFill>
                    <w14:schemeClr w14:val="tx1"/>
                  </w14:solidFill>
                </w14:textFill>
              </w:rPr>
              <w:t>推进智能制造，重点推进龙头企业工业机器人智能工厂示范应用，带动配套企业推动设备互联、数据集成、智能管控，促进生产过程的精准化、柔性化、敏捷化。重点推进智能制造示范项目，打造数字化车间和智能工厂。加强两化融合对标、贯标，引导企业系统进行技术创新和管理变革。深入推进企业“两化融合”提升工程，借助柳东新区智能制造服务站，开展专家与企业面对面会诊活动，为企业提供智能制造发展规划路线图和编制、“两化融合”和智能制造评估、工业软件和系统开发等服务。</w:t>
            </w:r>
          </w:p>
          <w:p>
            <w:pPr>
              <w:widowControl/>
              <w:spacing w:afterLines="50"/>
              <w:ind w:firstLine="422" w:firstLineChars="200"/>
              <w:rPr>
                <w:rFonts w:cs="宋体" w:asciiTheme="minorEastAsia" w:hAnsiTheme="minorEastAsia"/>
                <w:color w:val="000000" w:themeColor="text1"/>
                <w:szCs w:val="21"/>
                <w14:textFill>
                  <w14:solidFill>
                    <w14:schemeClr w14:val="tx1"/>
                  </w14:solidFill>
                </w14:textFill>
              </w:rPr>
            </w:pPr>
            <w:r>
              <w:rPr>
                <w:rFonts w:hint="eastAsia" w:cs="宋体" w:asciiTheme="minorEastAsia" w:hAnsiTheme="minorEastAsia"/>
                <w:b/>
                <w:color w:val="000000" w:themeColor="text1"/>
                <w:szCs w:val="21"/>
                <w14:textFill>
                  <w14:solidFill>
                    <w14:schemeClr w14:val="tx1"/>
                  </w14:solidFill>
                </w14:textFill>
              </w:rPr>
              <w:t>创新提质升级行动。</w:t>
            </w:r>
            <w:r>
              <w:rPr>
                <w:rFonts w:hint="eastAsia" w:cs="宋体" w:asciiTheme="minorEastAsia" w:hAnsiTheme="minorEastAsia"/>
                <w:color w:val="000000" w:themeColor="text1"/>
                <w:szCs w:val="21"/>
                <w14:textFill>
                  <w14:solidFill>
                    <w14:schemeClr w14:val="tx1"/>
                  </w14:solidFill>
                </w14:textFill>
              </w:rPr>
              <w:t xml:space="preserve">加速核心企业的创新效应，实施大型企业研发机构全覆盖行动，支持工业骨干企业创建区级以上企业技术中心、重点实验室、工程中心、工程技术实验室，组建重点制造业创新中心等新型研发机构。支持大型骨干企业建设研究院，开展前沿先导技术研发和重大战略产品开发。积极与高校院所合作，引进高端创新团队。支持以企业为主导建立产业技术创新战略联盟。 </w:t>
            </w:r>
          </w:p>
          <w:p>
            <w:pPr>
              <w:widowControl/>
              <w:spacing w:afterLines="50"/>
              <w:ind w:firstLine="422" w:firstLineChars="200"/>
              <w:rPr>
                <w:rFonts w:cs="宋体" w:asciiTheme="minorEastAsia" w:hAnsiTheme="minorEastAsia"/>
                <w:color w:val="000000" w:themeColor="text1"/>
                <w:szCs w:val="21"/>
                <w14:textFill>
                  <w14:solidFill>
                    <w14:schemeClr w14:val="tx1"/>
                  </w14:solidFill>
                </w14:textFill>
              </w:rPr>
            </w:pPr>
            <w:r>
              <w:rPr>
                <w:rFonts w:hint="eastAsia" w:cs="宋体" w:asciiTheme="minorEastAsia" w:hAnsiTheme="minorEastAsia"/>
                <w:b/>
                <w:color w:val="000000" w:themeColor="text1"/>
                <w:szCs w:val="21"/>
                <w14:textFill>
                  <w14:solidFill>
                    <w14:schemeClr w14:val="tx1"/>
                  </w14:solidFill>
                </w14:textFill>
              </w:rPr>
              <w:t>质量品牌升级行动。</w:t>
            </w:r>
            <w:r>
              <w:rPr>
                <w:rFonts w:hint="eastAsia" w:cs="宋体" w:asciiTheme="minorEastAsia" w:hAnsiTheme="minorEastAsia"/>
                <w:color w:val="000000" w:themeColor="text1"/>
                <w:szCs w:val="21"/>
                <w14:textFill>
                  <w14:solidFill>
                    <w14:schemeClr w14:val="tx1"/>
                  </w14:solidFill>
                </w14:textFill>
              </w:rPr>
              <w:t>以品牌为核心，实施以“质量+商标”为核心的品牌战略，大力推广先进质量管理理念和现代质量管理方法，加快企业质量信用体系和品牌培育体系建设。深入实施标准化建设，投身柳州 “百城千业万企对标达标提升专项行动”，引导和支持行业龙头企业参与标准的制订修订，提升申报名牌产品数量。打造“柳东品牌”发布平台，不定期举办新产品新技术发布会，加大品牌宣传力度。到2025年，力争实现自治区级以上名牌企业数70家以上。</w:t>
            </w:r>
          </w:p>
          <w:p>
            <w:pPr>
              <w:widowControl/>
              <w:spacing w:afterLines="50"/>
              <w:ind w:firstLine="422" w:firstLineChars="200"/>
              <w:rPr>
                <w:rFonts w:cs="宋体" w:asciiTheme="minorEastAsia" w:hAnsiTheme="minorEastAsia"/>
                <w:color w:val="000000" w:themeColor="text1"/>
                <w:szCs w:val="21"/>
                <w14:textFill>
                  <w14:solidFill>
                    <w14:schemeClr w14:val="tx1"/>
                  </w14:solidFill>
                </w14:textFill>
              </w:rPr>
            </w:pPr>
            <w:r>
              <w:rPr>
                <w:rFonts w:hint="eastAsia" w:cs="宋体" w:asciiTheme="minorEastAsia" w:hAnsiTheme="minorEastAsia"/>
                <w:b/>
                <w:color w:val="000000" w:themeColor="text1"/>
                <w:szCs w:val="21"/>
                <w14:textFill>
                  <w14:solidFill>
                    <w14:schemeClr w14:val="tx1"/>
                  </w14:solidFill>
                </w14:textFill>
              </w:rPr>
              <w:t>人才兴区升级行动。</w:t>
            </w:r>
            <w:r>
              <w:rPr>
                <w:rFonts w:hint="eastAsia" w:cs="宋体" w:asciiTheme="minorEastAsia" w:hAnsiTheme="minorEastAsia"/>
                <w:color w:val="000000" w:themeColor="text1"/>
                <w:szCs w:val="21"/>
                <w14:textFill>
                  <w14:solidFill>
                    <w14:schemeClr w14:val="tx1"/>
                  </w14:solidFill>
                </w14:textFill>
              </w:rPr>
              <w:t>充分利用新区职业教育资源，推进校企合作，培养造就一批面向生产一线的技术技能人才。发挥院士工作站、博士工作站、高校研究院所、企业技术中心等人才高地作用，建立新区高端人才专家顾问库，为新区建设发展建言献策。着重开展企业家培育工作，鼓励有带动力、创新力、资源聚合力的企业家在新区深耕企业发展。着力打造人力资源服务平台，以服务创新、制度创新、战略创新为产业筑巢引凤。</w:t>
            </w:r>
          </w:p>
          <w:p>
            <w:pPr>
              <w:spacing w:afterLines="50"/>
              <w:ind w:firstLine="422" w:firstLineChars="200"/>
              <w:rPr>
                <w:rFonts w:cs="宋体" w:asciiTheme="minorEastAsia" w:hAnsiTheme="minorEastAsia"/>
                <w:color w:val="000000" w:themeColor="text1"/>
                <w:szCs w:val="21"/>
                <w14:textFill>
                  <w14:solidFill>
                    <w14:schemeClr w14:val="tx1"/>
                  </w14:solidFill>
                </w14:textFill>
              </w:rPr>
            </w:pPr>
            <w:r>
              <w:rPr>
                <w:rFonts w:hint="eastAsia" w:cs="宋体" w:asciiTheme="minorEastAsia" w:hAnsiTheme="minorEastAsia"/>
                <w:b/>
                <w:color w:val="000000" w:themeColor="text1"/>
                <w:szCs w:val="21"/>
                <w14:textFill>
                  <w14:solidFill>
                    <w14:schemeClr w14:val="tx1"/>
                  </w14:solidFill>
                </w14:textFill>
              </w:rPr>
              <w:t>开放合作升级行动。</w:t>
            </w:r>
            <w:r>
              <w:rPr>
                <w:rFonts w:hint="eastAsia" w:cs="宋体" w:asciiTheme="minorEastAsia" w:hAnsiTheme="minorEastAsia"/>
                <w:color w:val="000000" w:themeColor="text1"/>
                <w:szCs w:val="21"/>
                <w14:textFill>
                  <w14:solidFill>
                    <w14:schemeClr w14:val="tx1"/>
                  </w14:solidFill>
                </w14:textFill>
              </w:rPr>
              <w:t>依托国际会展中心平台，深入拓展中国－东盟（柳州）汽车工业博览会等影响力深厚的平台功能；与粤桂黔高铁经济带沿线地区，开展长期合作，实现互惠共赢；依托中意（柳州）未来科技城等，创造国际合作新环境。支持企业不断拓展海外业务、提高产品国际竞争力，持续加快“柳东制造”国际化步伐。</w:t>
            </w:r>
          </w:p>
        </w:tc>
      </w:tr>
    </w:tbl>
    <w:p>
      <w:pPr>
        <w:pStyle w:val="5"/>
        <w:spacing w:before="0" w:after="0" w:line="240" w:lineRule="auto"/>
        <w:ind w:firstLine="640" w:firstLineChars="200"/>
        <w:rPr>
          <w:rFonts w:ascii="黑体" w:hAnsi="黑体" w:eastAsia="黑体" w:cs="Times New Roman"/>
          <w:b w:val="0"/>
          <w:color w:val="000000" w:themeColor="text1"/>
          <w14:textFill>
            <w14:solidFill>
              <w14:schemeClr w14:val="tx1"/>
            </w14:solidFill>
          </w14:textFill>
        </w:rPr>
      </w:pPr>
      <w:r>
        <w:rPr>
          <w:rFonts w:hint="eastAsia" w:ascii="黑体" w:hAnsi="黑体" w:eastAsia="黑体" w:cs="Times New Roman"/>
          <w:b w:val="0"/>
          <w:color w:val="000000" w:themeColor="text1"/>
          <w14:textFill>
            <w14:solidFill>
              <w14:schemeClr w14:val="tx1"/>
            </w14:solidFill>
          </w14:textFill>
        </w:rPr>
        <w:t>三、创新产业链服务模式</w:t>
      </w:r>
    </w:p>
    <w:p>
      <w:pPr>
        <w:ind w:firstLine="640" w:firstLineChars="200"/>
        <w:rPr>
          <w:color w:val="000000" w:themeColor="text1"/>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聚焦新区支柱产业，精准化推进“强链、补链、连链、延链”，保障产业链安全，提升产业链水平。制定支柱产业的产业链图谱，建立柳东产业地图，加强对产业链重点企业的监测和服务，找准产业链关键、薄弱、缺失环节，重点引进一批产业链上有实力企业和关键环节重大项目落户。以集群治理新模式完善产业链配套水平，探索建立“政府引导，市场主导”产业链发展的市场化机制，引导社会资本和政府合作发展产业链服务公司等新型产业服务组织，依托产业链图谱进行精准招商。</w:t>
      </w:r>
    </w:p>
    <w:p>
      <w:pPr>
        <w:pStyle w:val="4"/>
        <w:jc w:val="center"/>
        <w:rPr>
          <w:rFonts w:hint="eastAsia" w:ascii="黑体" w:hAnsi="黑体" w:eastAsia="黑体" w:cs="Times New Roman"/>
          <w:b w:val="0"/>
          <w:color w:val="000000" w:themeColor="text1"/>
          <w14:textFill>
            <w14:solidFill>
              <w14:schemeClr w14:val="tx1"/>
            </w14:solidFill>
          </w14:textFill>
        </w:rPr>
      </w:pPr>
      <w:bookmarkStart w:id="162" w:name="_Toc1813"/>
      <w:bookmarkStart w:id="163" w:name="_Toc4996"/>
      <w:bookmarkStart w:id="164" w:name="_Toc20911"/>
      <w:bookmarkStart w:id="165" w:name="_Toc30707"/>
      <w:bookmarkStart w:id="166" w:name="_Toc30097"/>
      <w:bookmarkStart w:id="167" w:name="_Toc19143"/>
      <w:r>
        <w:rPr>
          <w:rFonts w:hint="eastAsia" w:ascii="黑体" w:hAnsi="黑体" w:eastAsia="黑体" w:cs="Times New Roman"/>
          <w:b w:val="0"/>
          <w:color w:val="000000" w:themeColor="text1"/>
          <w14:textFill>
            <w14:solidFill>
              <w14:schemeClr w14:val="tx1"/>
            </w14:solidFill>
          </w14:textFill>
        </w:rPr>
        <w:t>第六节 统筹“三片四园七区”布局</w:t>
      </w:r>
      <w:bookmarkEnd w:id="162"/>
      <w:bookmarkEnd w:id="163"/>
      <w:bookmarkEnd w:id="164"/>
      <w:bookmarkEnd w:id="165"/>
      <w:bookmarkEnd w:id="166"/>
      <w:bookmarkEnd w:id="167"/>
    </w:p>
    <w:p>
      <w:pPr>
        <w:pStyle w:val="5"/>
        <w:spacing w:before="0" w:after="0" w:line="240" w:lineRule="auto"/>
        <w:ind w:firstLine="640" w:firstLineChars="200"/>
        <w:rPr>
          <w:rFonts w:ascii="黑体" w:hAnsi="黑体" w:eastAsia="黑体" w:cs="Times New Roman"/>
          <w:b w:val="0"/>
          <w:color w:val="000000" w:themeColor="text1"/>
          <w14:textFill>
            <w14:solidFill>
              <w14:schemeClr w14:val="tx1"/>
            </w14:solidFill>
          </w14:textFill>
        </w:rPr>
      </w:pPr>
      <w:r>
        <w:rPr>
          <w:rFonts w:hint="eastAsia" w:ascii="黑体" w:hAnsi="黑体" w:eastAsia="黑体" w:cs="Times New Roman"/>
          <w:b w:val="0"/>
          <w:color w:val="000000" w:themeColor="text1"/>
          <w14:textFill>
            <w14:solidFill>
              <w14:schemeClr w14:val="tx1"/>
            </w14:solidFill>
          </w14:textFill>
        </w:rPr>
        <w:t>一、打造高品质产业空间</w:t>
      </w:r>
    </w:p>
    <w:p>
      <w:pPr>
        <w:ind w:firstLine="640" w:firstLineChars="200"/>
        <w:rPr>
          <w:rFonts w:ascii="仿宋_GB2312" w:eastAsia="仿宋_GB2312"/>
          <w:color w:val="000000" w:themeColor="text1"/>
          <w:sz w:val="32"/>
          <w:szCs w:val="32"/>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加大土地整备力度，推进土地利用与科技创新、产业发展、生活服务、生态保护结合，为推动新区产业高质量发展提升空间保障。加强连片产业用地整备，积极推进雒容工业园东区搬迁，加大新区土地收储和整备力度。创新产业用地供应与管理方式，逐步完善已征未用土地管理方式，解决历史遗留问题；鼓励以联合申请、先租后让方式申请产业用地，探索长期租赁、弹性年期出让等新型产业用地供应方式，提高产业用地配置效率。允许制造业的工业物业产权在取得合法产权后按幢、层等固定界限，能独立使用的不动产为基本单元分割，用于引进相关产业链合作伙伴的产业项目。增加高品质产业载体供应，以整备出的连片产业用地为基础，依托专业的产业园区运营机构，鼓励建设特色园中园、特色小微企业孵化园等，打造一批“产业主题+产业定制+产业服务+智慧管理+配套服务”的现代产业园。增加平价产业用房供应，积极发挥东城集团等国企拥有的园区资源优势，提供</w:t>
      </w:r>
      <w:r>
        <w:rPr>
          <w:rFonts w:ascii="仿宋_GB2312" w:eastAsia="仿宋_GB2312"/>
          <w:color w:val="000000" w:themeColor="text1"/>
          <w:sz w:val="32"/>
          <w:szCs w:val="32"/>
          <w14:textFill>
            <w14:solidFill>
              <w14:schemeClr w14:val="tx1"/>
            </w14:solidFill>
          </w14:textFill>
        </w:rPr>
        <w:t>一批</w:t>
      </w:r>
      <w:r>
        <w:rPr>
          <w:rFonts w:hint="eastAsia" w:ascii="仿宋_GB2312" w:eastAsia="仿宋_GB2312"/>
          <w:color w:val="000000" w:themeColor="text1"/>
          <w:sz w:val="32"/>
          <w:szCs w:val="32"/>
          <w14:textFill>
            <w14:solidFill>
              <w14:schemeClr w14:val="tx1"/>
            </w14:solidFill>
          </w14:textFill>
        </w:rPr>
        <w:t>低成本</w:t>
      </w:r>
      <w:r>
        <w:rPr>
          <w:rFonts w:ascii="仿宋_GB2312" w:eastAsia="仿宋_GB2312"/>
          <w:color w:val="000000" w:themeColor="text1"/>
          <w:sz w:val="32"/>
          <w:szCs w:val="32"/>
          <w14:textFill>
            <w14:solidFill>
              <w14:schemeClr w14:val="tx1"/>
            </w14:solidFill>
          </w14:textFill>
        </w:rPr>
        <w:t>、高质量的</w:t>
      </w:r>
      <w:r>
        <w:rPr>
          <w:rFonts w:hint="eastAsia" w:ascii="仿宋_GB2312" w:eastAsia="仿宋_GB2312"/>
          <w:color w:val="000000" w:themeColor="text1"/>
          <w:sz w:val="32"/>
          <w:szCs w:val="32"/>
          <w14:textFill>
            <w14:solidFill>
              <w14:schemeClr w14:val="tx1"/>
            </w14:solidFill>
          </w14:textFill>
        </w:rPr>
        <w:t>创新载体和</w:t>
      </w:r>
      <w:r>
        <w:rPr>
          <w:rFonts w:ascii="仿宋_GB2312" w:eastAsia="仿宋_GB2312"/>
          <w:color w:val="000000" w:themeColor="text1"/>
          <w:sz w:val="32"/>
          <w:szCs w:val="32"/>
          <w14:textFill>
            <w14:solidFill>
              <w14:schemeClr w14:val="tx1"/>
            </w14:solidFill>
          </w14:textFill>
        </w:rPr>
        <w:t>产业</w:t>
      </w:r>
      <w:r>
        <w:rPr>
          <w:rFonts w:hint="eastAsia" w:ascii="仿宋_GB2312" w:eastAsia="仿宋_GB2312"/>
          <w:color w:val="000000" w:themeColor="text1"/>
          <w:sz w:val="32"/>
          <w:szCs w:val="32"/>
          <w14:textFill>
            <w14:solidFill>
              <w14:schemeClr w14:val="tx1"/>
            </w14:solidFill>
          </w14:textFill>
        </w:rPr>
        <w:t>载体，发挥产业用房市场稳定器作用。</w:t>
      </w:r>
      <w:r>
        <w:rPr>
          <w:rFonts w:hint="eastAsia" w:eastAsia="仿宋_GB2312"/>
          <w:color w:val="000000" w:themeColor="text1"/>
          <w:sz w:val="32"/>
          <w:szCs w:val="32"/>
          <w14:textFill>
            <w14:solidFill>
              <w14:schemeClr w14:val="tx1"/>
            </w14:solidFill>
          </w14:textFill>
        </w:rPr>
        <w:t>至</w:t>
      </w:r>
      <w:r>
        <w:rPr>
          <w:rFonts w:hint="eastAsia" w:ascii="仿宋_GB2312" w:eastAsia="仿宋_GB2312"/>
          <w:color w:val="000000" w:themeColor="text1"/>
          <w:sz w:val="32"/>
          <w:szCs w:val="32"/>
          <w14:textFill>
            <w14:solidFill>
              <w14:schemeClr w14:val="tx1"/>
            </w14:solidFill>
          </w14:textFill>
        </w:rPr>
        <w:t>2025</w:t>
      </w:r>
      <w:r>
        <w:rPr>
          <w:rFonts w:hint="eastAsia" w:eastAsia="仿宋_GB2312"/>
          <w:color w:val="000000" w:themeColor="text1"/>
          <w:sz w:val="32"/>
          <w:szCs w:val="32"/>
          <w14:textFill>
            <w14:solidFill>
              <w14:schemeClr w14:val="tx1"/>
            </w14:solidFill>
          </w14:textFill>
        </w:rPr>
        <w:t>年，新区“三片四园七区”构架全面建成，从技术研发、创业孵化、市场培育、行业环境、融资支持等多方面为新区高质量发展提供强有力的空间保障。</w:t>
      </w:r>
    </w:p>
    <w:p>
      <w:pPr>
        <w:pStyle w:val="5"/>
        <w:spacing w:before="0" w:after="0" w:line="240" w:lineRule="auto"/>
        <w:ind w:firstLine="640" w:firstLineChars="200"/>
        <w:rPr>
          <w:rFonts w:ascii="黑体" w:hAnsi="黑体" w:eastAsia="黑体" w:cs="Times New Roman"/>
          <w:b w:val="0"/>
          <w:color w:val="000000" w:themeColor="text1"/>
          <w14:textFill>
            <w14:solidFill>
              <w14:schemeClr w14:val="tx1"/>
            </w14:solidFill>
          </w14:textFill>
        </w:rPr>
      </w:pPr>
      <w:r>
        <w:rPr>
          <w:rFonts w:hint="eastAsia" w:ascii="黑体" w:hAnsi="黑体" w:eastAsia="黑体" w:cs="Times New Roman"/>
          <w:b w:val="0"/>
          <w:color w:val="000000" w:themeColor="text1"/>
          <w14:textFill>
            <w14:solidFill>
              <w14:schemeClr w14:val="tx1"/>
            </w14:solidFill>
          </w14:textFill>
        </w:rPr>
        <w:t>二、明确三大城镇功能片</w:t>
      </w:r>
    </w:p>
    <w:p>
      <w:pPr>
        <w:ind w:firstLine="640" w:firstLineChars="200"/>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围绕城市生态绿廊镶接而成的基础功能片，着力发展科教服务片、产业聚集片和城镇升级片三大功能片区。发展滨江科教服务片，以工业和产学研服务融合发展为引领，依托科教、会展、高端商住、物流等生活生产配套，完善产学研联动的产业创新服务体系，为新区发展提供智力支持；以滨江智谷为启动区，谋划建设中意（柳州）未来科技城，打造成战略性新兴产业的国际化载体、</w:t>
      </w:r>
      <w:r>
        <w:rPr>
          <w:rFonts w:hint="eastAsia" w:eastAsia="仿宋_GB2312"/>
          <w:color w:val="000000" w:themeColor="text1"/>
          <w:sz w:val="32"/>
          <w:szCs w:val="32"/>
          <w:lang w:eastAsia="zh-CN"/>
          <w14:textFill>
            <w14:solidFill>
              <w14:schemeClr w14:val="tx1"/>
            </w14:solidFill>
          </w14:textFill>
        </w:rPr>
        <w:t>一带一路倡议</w:t>
      </w:r>
      <w:r>
        <w:rPr>
          <w:rFonts w:hint="eastAsia" w:eastAsia="仿宋_GB2312"/>
          <w:color w:val="000000" w:themeColor="text1"/>
          <w:sz w:val="32"/>
          <w:szCs w:val="32"/>
          <w14:textFill>
            <w14:solidFill>
              <w14:schemeClr w14:val="tx1"/>
            </w14:solidFill>
          </w14:textFill>
        </w:rPr>
        <w:t>的重要示范区、中欧区域合作的示范项目。发展中部产业聚集片，重点依托北部产城拓展区、汽车产业发展区和重大物流片区，以工业高质量发展升级行动为支撑，结合新区</w:t>
      </w:r>
      <w:r>
        <w:rPr>
          <w:rFonts w:hint="eastAsia" w:ascii="仿宋_GB2312" w:eastAsia="仿宋_GB2312"/>
          <w:color w:val="000000" w:themeColor="text1"/>
          <w:sz w:val="32"/>
          <w:szCs w:val="32"/>
          <w14:textFill>
            <w14:solidFill>
              <w14:schemeClr w14:val="tx1"/>
            </w14:solidFill>
          </w14:textFill>
        </w:rPr>
        <w:t>“1+3+5”产业发</w:t>
      </w:r>
      <w:r>
        <w:rPr>
          <w:rFonts w:hint="eastAsia" w:eastAsia="仿宋_GB2312"/>
          <w:color w:val="000000" w:themeColor="text1"/>
          <w:sz w:val="32"/>
          <w:szCs w:val="32"/>
          <w14:textFill>
            <w14:solidFill>
              <w14:schemeClr w14:val="tx1"/>
            </w14:solidFill>
          </w14:textFill>
        </w:rPr>
        <w:t>展方向，合理规划主题产业园区，引导产业集聚发展。发展雒容商贸城镇升级片，以雒容镇为核心，带动南北区域联动发展，以特色小镇与产业新城融合发展为基础，焕发雒容老镇新貌、力促商贸服务业升级、注入制造业新动能，成为商贸服务功能完善，宜居宜业的城市新片区。</w:t>
      </w:r>
    </w:p>
    <w:p>
      <w:pPr>
        <w:pStyle w:val="5"/>
        <w:spacing w:before="0" w:after="0" w:line="240" w:lineRule="auto"/>
        <w:ind w:firstLine="640" w:firstLineChars="200"/>
        <w:rPr>
          <w:rFonts w:ascii="黑体" w:hAnsi="黑体" w:eastAsia="黑体" w:cs="Times New Roman"/>
          <w:b w:val="0"/>
          <w:color w:val="000000" w:themeColor="text1"/>
          <w14:textFill>
            <w14:solidFill>
              <w14:schemeClr w14:val="tx1"/>
            </w14:solidFill>
          </w14:textFill>
        </w:rPr>
      </w:pPr>
      <w:r>
        <w:rPr>
          <w:rFonts w:hint="eastAsia" w:ascii="黑体" w:hAnsi="黑体" w:eastAsia="黑体" w:cs="Times New Roman"/>
          <w:b w:val="0"/>
          <w:color w:val="000000" w:themeColor="text1"/>
          <w14:textFill>
            <w14:solidFill>
              <w14:schemeClr w14:val="tx1"/>
            </w14:solidFill>
          </w14:textFill>
        </w:rPr>
        <w:t>三、发展四大生产性服务园</w:t>
      </w:r>
    </w:p>
    <w:p>
      <w:pPr>
        <w:ind w:firstLine="640" w:firstLineChars="200"/>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积极发展科教创业园、保税物流园、金融科创园、高新孵化园四大生产性服务园，成为新区产业转型助力区和产业发展新高地。发展科教创业园，以产业在产品、服务与生产的应用创新为核心，推动成果产业化、产业集聚化，建成立足柳东、面向柳州、辐射西南、东融大湾区、连接东盟和欧盟的产业创新高地、开放合作高地、产教融合示范区。发展保税物流园，大力发展保税仓储、保税流通增值服务、国际采购和分销、保税检测和维修、进出口贸易和转口贸易等功能，并积极争取政策支持，发展零部件进出口、跨境电商、生鲜农产品冷链物流、“保税+实体新零售”等新型保税业态，打造新区乃至全市对外开放新格局。发展金融科创园，以柳州建设面向东盟的金融开放门户为契机，着力构建科技、金融有机统一、互动发展，先进技术产业和高效金融资本流动相辅相成的金融科技生态圈，有效支撑新区建设面向东盟的产业金融中心。发展高新孵化园，完善科技成果转化服务体系，推动创新成果商品化、产业化，支持科技企业创新、创业和成长。</w:t>
      </w:r>
    </w:p>
    <w:p>
      <w:pPr>
        <w:pStyle w:val="5"/>
        <w:spacing w:before="0" w:after="0" w:line="240" w:lineRule="auto"/>
        <w:ind w:firstLine="640" w:firstLineChars="200"/>
        <w:rPr>
          <w:rFonts w:ascii="黑体" w:hAnsi="黑体" w:eastAsia="黑体" w:cs="Times New Roman"/>
          <w:b w:val="0"/>
          <w:color w:val="000000" w:themeColor="text1"/>
          <w14:textFill>
            <w14:solidFill>
              <w14:schemeClr w14:val="tx1"/>
            </w14:solidFill>
          </w14:textFill>
        </w:rPr>
      </w:pPr>
      <w:r>
        <w:rPr>
          <w:rFonts w:hint="eastAsia" w:ascii="黑体" w:hAnsi="黑体" w:eastAsia="黑体" w:cs="Times New Roman"/>
          <w:b w:val="0"/>
          <w:color w:val="000000" w:themeColor="text1"/>
          <w14:textFill>
            <w14:solidFill>
              <w14:schemeClr w14:val="tx1"/>
            </w14:solidFill>
          </w14:textFill>
        </w:rPr>
        <w:t>四、建设七大产业集聚区</w:t>
      </w:r>
    </w:p>
    <w:p>
      <w:pPr>
        <w:ind w:firstLine="640" w:firstLineChars="200"/>
        <w:rPr>
          <w:color w:val="000000" w:themeColor="text1"/>
          <w14:textFill>
            <w14:solidFill>
              <w14:schemeClr w14:val="tx1"/>
            </w14:solidFill>
          </w14:textFill>
        </w:rPr>
      </w:pPr>
      <w:r>
        <w:rPr>
          <w:rFonts w:hint="eastAsia" w:eastAsia="仿宋_GB2312"/>
          <w:color w:val="000000" w:themeColor="text1"/>
          <w:sz w:val="32"/>
          <w:szCs w:val="32"/>
          <w14:textFill>
            <w14:solidFill>
              <w14:schemeClr w14:val="tx1"/>
            </w14:solidFill>
          </w14:textFill>
        </w:rPr>
        <w:t>以未来产业发展方向为引领，培育发展汽车综合产业区、新能源汽车产业区（智能汽车产业区）、智能交通产业区、电子光电产业区、装备制造产业区、新材料产业区、新一代信息技术产业区等七大产业集聚，成为新区制造业承载高地。围绕产业主题，重点完善以</w:t>
      </w:r>
      <w:r>
        <w:rPr>
          <w:rFonts w:hint="eastAsia" w:ascii="仿宋_GB2312" w:eastAsia="仿宋_GB2312"/>
          <w:color w:val="000000" w:themeColor="text1"/>
          <w:sz w:val="32"/>
          <w:szCs w:val="32"/>
          <w14:textFill>
            <w14:solidFill>
              <w14:schemeClr w14:val="tx1"/>
            </w14:solidFill>
          </w14:textFill>
        </w:rPr>
        <w:t>5G为基础的智慧园区基础设施，健全</w:t>
      </w:r>
      <w:r>
        <w:rPr>
          <w:rFonts w:hint="eastAsia" w:eastAsia="仿宋_GB2312"/>
          <w:color w:val="000000" w:themeColor="text1"/>
          <w:sz w:val="32"/>
          <w:szCs w:val="32"/>
          <w14:textFill>
            <w14:solidFill>
              <w14:schemeClr w14:val="tx1"/>
            </w14:solidFill>
          </w14:textFill>
        </w:rPr>
        <w:t>专业技术平台、商务服务平台、信息共享平台等服务功能，吸引行业龙头企业入驻，带动上、下游企业集聚。强化各集聚区的空间管控，制定专项规划，明确主导产业和各区功能体系，确定企业入驻标准，有序推进招商引资。对不同类型功能区采取差别化土地开发策略，引导经济、社会、产业和生态等进一步集聚和优化布局。</w:t>
      </w:r>
    </w:p>
    <w:tbl>
      <w:tblPr>
        <w:tblStyle w:val="19"/>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pPr>
              <w:spacing w:beforeLines="50" w:afterLines="50"/>
              <w:jc w:val="center"/>
              <w:rPr>
                <w:rFonts w:cs="宋体" w:asciiTheme="minorEastAsia" w:hAnsiTheme="minorEastAsia"/>
                <w:b/>
                <w:color w:val="000000" w:themeColor="text1"/>
                <w:szCs w:val="21"/>
                <w14:textFill>
                  <w14:solidFill>
                    <w14:schemeClr w14:val="tx1"/>
                  </w14:solidFill>
                </w14:textFill>
              </w:rPr>
            </w:pPr>
            <w:r>
              <w:rPr>
                <w:rFonts w:hint="eastAsia" w:cs="宋体" w:asciiTheme="minorEastAsia" w:hAnsiTheme="minorEastAsia"/>
                <w:b/>
                <w:color w:val="000000" w:themeColor="text1"/>
                <w:szCs w:val="21"/>
                <w14:textFill>
                  <w14:solidFill>
                    <w14:schemeClr w14:val="tx1"/>
                  </w14:solidFill>
                </w14:textFill>
              </w:rPr>
              <w:t>专栏4-6 “三片四园七区”建设重点与布局</w:t>
            </w:r>
          </w:p>
          <w:p>
            <w:pPr>
              <w:pStyle w:val="9"/>
              <w:spacing w:afterLines="50"/>
              <w:ind w:firstLine="420"/>
              <w:rPr>
                <w:color w:val="000000" w:themeColor="text1"/>
                <w14:textFill>
                  <w14:solidFill>
                    <w14:schemeClr w14:val="tx1"/>
                  </w14:solidFill>
                </w14:textFill>
              </w:rPr>
            </w:pPr>
            <w:r>
              <w:rPr>
                <w:rFonts w:hint="eastAsia"/>
                <w:b/>
                <w:color w:val="000000" w:themeColor="text1"/>
                <w14:textFill>
                  <w14:solidFill>
                    <w14:schemeClr w14:val="tx1"/>
                  </w14:solidFill>
                </w14:textFill>
              </w:rPr>
              <w:t>科教服务片：</w:t>
            </w:r>
            <w:r>
              <w:rPr>
                <w:rFonts w:hint="eastAsia"/>
                <w:color w:val="000000" w:themeColor="text1"/>
                <w14:textFill>
                  <w14:solidFill>
                    <w14:schemeClr w14:val="tx1"/>
                  </w14:solidFill>
                </w14:textFill>
              </w:rPr>
              <w:t>重点建设保税物流园、科教创业园等生产性服务园。</w:t>
            </w:r>
          </w:p>
          <w:p>
            <w:pPr>
              <w:pStyle w:val="9"/>
              <w:spacing w:afterLines="50"/>
              <w:ind w:firstLine="420"/>
              <w:rPr>
                <w:color w:val="000000" w:themeColor="text1"/>
                <w14:textFill>
                  <w14:solidFill>
                    <w14:schemeClr w14:val="tx1"/>
                  </w14:solidFill>
                </w14:textFill>
              </w:rPr>
            </w:pPr>
            <w:r>
              <w:rPr>
                <w:rFonts w:hint="eastAsia"/>
                <w:b/>
                <w:color w:val="000000" w:themeColor="text1"/>
                <w14:textFill>
                  <w14:solidFill>
                    <w14:schemeClr w14:val="tx1"/>
                  </w14:solidFill>
                </w14:textFill>
              </w:rPr>
              <w:t>产业聚集片：</w:t>
            </w:r>
            <w:r>
              <w:rPr>
                <w:rFonts w:hint="eastAsia"/>
                <w:color w:val="000000" w:themeColor="text1"/>
                <w14:textFill>
                  <w14:solidFill>
                    <w14:schemeClr w14:val="tx1"/>
                  </w14:solidFill>
                </w14:textFill>
              </w:rPr>
              <w:t>重点建设金融科创园、高新孵化园等生产性服务园，以及汽车综合产业区、新能源汽车产业区（智能汽车产业区）、智能交通产业区、电子光电产业区、装备制造产业区、新一代信息技术产业区等产业集聚区，E区标准厂房。</w:t>
            </w:r>
          </w:p>
          <w:p>
            <w:pPr>
              <w:pStyle w:val="9"/>
              <w:spacing w:afterLines="50"/>
              <w:ind w:firstLine="420"/>
              <w:rPr>
                <w:color w:val="000000" w:themeColor="text1"/>
                <w14:textFill>
                  <w14:solidFill>
                    <w14:schemeClr w14:val="tx1"/>
                  </w14:solidFill>
                </w14:textFill>
              </w:rPr>
            </w:pPr>
            <w:r>
              <w:rPr>
                <w:rFonts w:hint="eastAsia"/>
                <w:b/>
                <w:color w:val="000000" w:themeColor="text1"/>
                <w14:textFill>
                  <w14:solidFill>
                    <w14:schemeClr w14:val="tx1"/>
                  </w14:solidFill>
                </w14:textFill>
              </w:rPr>
              <w:t>城镇升级片：</w:t>
            </w:r>
            <w:r>
              <w:rPr>
                <w:rFonts w:hint="eastAsia"/>
                <w:color w:val="000000" w:themeColor="text1"/>
                <w14:textFill>
                  <w14:solidFill>
                    <w14:schemeClr w14:val="tx1"/>
                  </w14:solidFill>
                </w14:textFill>
              </w:rPr>
              <w:t>重点建设新材料产业集聚区、中山街商业服务片区。</w:t>
            </w:r>
          </w:p>
          <w:p>
            <w:pPr>
              <w:spacing w:afterLines="50"/>
              <w:ind w:firstLine="422" w:firstLineChars="200"/>
              <w:jc w:val="left"/>
              <w:rPr>
                <w:rFonts w:cs="宋体" w:asciiTheme="minorEastAsia" w:hAnsiTheme="minorEastAsia"/>
                <w:color w:val="000000" w:themeColor="text1"/>
                <w:szCs w:val="21"/>
                <w14:textFill>
                  <w14:solidFill>
                    <w14:schemeClr w14:val="tx1"/>
                  </w14:solidFill>
                </w14:textFill>
              </w:rPr>
            </w:pPr>
            <w:r>
              <w:rPr>
                <w:rFonts w:hint="eastAsia" w:cs="宋体" w:asciiTheme="minorEastAsia" w:hAnsiTheme="minorEastAsia"/>
                <w:b/>
                <w:color w:val="000000" w:themeColor="text1"/>
                <w:szCs w:val="21"/>
                <w14:textFill>
                  <w14:solidFill>
                    <w14:schemeClr w14:val="tx1"/>
                  </w14:solidFill>
                </w14:textFill>
              </w:rPr>
              <w:t>中意（柳州）未来科技城：</w:t>
            </w:r>
            <w:r>
              <w:rPr>
                <w:rFonts w:hint="eastAsia" w:cs="宋体" w:asciiTheme="minorEastAsia" w:hAnsiTheme="minorEastAsia"/>
                <w:color w:val="000000" w:themeColor="text1"/>
                <w:szCs w:val="21"/>
                <w14:textFill>
                  <w14:solidFill>
                    <w14:schemeClr w14:val="tx1"/>
                  </w14:solidFill>
                </w14:textFill>
              </w:rPr>
              <w:t>谋划构建“一核心六辐射区”的国际合作园区。核心区以“滨江智谷”为起步区，辐射区结合柳东新区现有不同区域的产业基础、发展定位和区域规划，按照高端制造、先进汽车、工业设计、教育合作、生物医药、信息技术等产业方向。分别在柳东新区中欧片与秀水片区、官塘片区、中欧职教园等地，打造中意智能制造示范区、中意（欧）先进汽车制造辐射区、中意（欧）新一代信息技术辐射区、中意生物医药辐射区、中意工业设计辐射区、中意文旅教育辐射区等六大辐射区。</w:t>
            </w:r>
          </w:p>
          <w:p>
            <w:pPr>
              <w:rPr>
                <w:color w:val="000000" w:themeColor="text1"/>
                <w14:textFill>
                  <w14:solidFill>
                    <w14:schemeClr w14:val="tx1"/>
                  </w14:solidFill>
                </w14:textFill>
              </w:rPr>
            </w:pPr>
          </w:p>
        </w:tc>
      </w:tr>
    </w:tbl>
    <w:p>
      <w:pPr>
        <w:ind w:firstLine="420" w:firstLineChars="200"/>
        <w:rPr>
          <w:color w:val="000000" w:themeColor="text1"/>
          <w14:textFill>
            <w14:solidFill>
              <w14:schemeClr w14:val="tx1"/>
            </w14:solidFill>
          </w14:textFill>
        </w:rPr>
      </w:pPr>
    </w:p>
    <w:p>
      <w:pPr>
        <w:pStyle w:val="9"/>
        <w:rPr>
          <w:color w:val="000000" w:themeColor="text1"/>
          <w14:textFill>
            <w14:solidFill>
              <w14:schemeClr w14:val="tx1"/>
            </w14:solidFill>
          </w14:textFill>
        </w:rPr>
      </w:pPr>
      <w:r>
        <w:rPr>
          <w:rFonts w:hint="eastAsia"/>
          <w:color w:val="000000" w:themeColor="text1"/>
          <w14:textFill>
            <w14:solidFill>
              <w14:schemeClr w14:val="tx1"/>
            </w14:solidFill>
          </w14:textFill>
        </w:rPr>
        <w:drawing>
          <wp:inline distT="0" distB="0" distL="0" distR="0">
            <wp:extent cx="5335270" cy="4827905"/>
            <wp:effectExtent l="0" t="0" r="17780" b="1079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8" cstate="print"/>
                    <a:srcRect/>
                    <a:stretch>
                      <a:fillRect/>
                    </a:stretch>
                  </pic:blipFill>
                  <pic:spPr>
                    <a:xfrm>
                      <a:off x="0" y="0"/>
                      <a:ext cx="5335270" cy="4827905"/>
                    </a:xfrm>
                    <a:prstGeom prst="rect">
                      <a:avLst/>
                    </a:prstGeom>
                    <a:noFill/>
                    <a:ln w="9525">
                      <a:noFill/>
                      <a:miter lim="800000"/>
                      <a:headEnd/>
                      <a:tailEnd/>
                    </a:ln>
                  </pic:spPr>
                </pic:pic>
              </a:graphicData>
            </a:graphic>
          </wp:inline>
        </w:drawing>
      </w:r>
    </w:p>
    <w:p>
      <w:pPr>
        <w:pStyle w:val="9"/>
        <w:widowControl/>
        <w:snapToGrid w:val="0"/>
        <w:spacing w:beforeLines="50" w:afterLines="50"/>
        <w:jc w:val="center"/>
        <w:rPr>
          <w:rFonts w:ascii="黑体" w:hAnsi="黑体" w:eastAsia="黑体" w:cs="宋体"/>
          <w:bCs/>
          <w:color w:val="000000" w:themeColor="text1"/>
          <w:kern w:val="36"/>
          <w:sz w:val="32"/>
          <w:szCs w:val="32"/>
          <w14:textFill>
            <w14:solidFill>
              <w14:schemeClr w14:val="tx1"/>
            </w14:solidFill>
          </w14:textFill>
        </w:rPr>
      </w:pPr>
      <w:bookmarkStart w:id="168" w:name="_Toc18372"/>
      <w:r>
        <w:rPr>
          <w:rFonts w:hint="eastAsia" w:ascii="黑体" w:hAnsi="黑体" w:eastAsia="黑体" w:cs="黑体"/>
          <w:color w:val="000000" w:themeColor="text1"/>
          <w:sz w:val="28"/>
          <w:szCs w:val="28"/>
          <w14:textFill>
            <w14:solidFill>
              <w14:schemeClr w14:val="tx1"/>
            </w14:solidFill>
          </w14:textFill>
        </w:rPr>
        <w:t>图4-1 柳东新区产业发展布局图</w:t>
      </w:r>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168"/>
      <w:bookmarkStart w:id="169" w:name="_Toc23454"/>
      <w:bookmarkStart w:id="170" w:name="_Toc6369"/>
      <w:bookmarkStart w:id="171" w:name="_Toc18194"/>
      <w:r>
        <w:rPr>
          <w:rFonts w:ascii="黑体" w:hAnsi="黑体" w:eastAsia="黑体" w:cs="宋体"/>
          <w:b/>
          <w:color w:val="000000" w:themeColor="text1"/>
          <w:kern w:val="36"/>
          <w:sz w:val="32"/>
          <w:szCs w:val="32"/>
          <w14:textFill>
            <w14:solidFill>
              <w14:schemeClr w14:val="tx1"/>
            </w14:solidFill>
          </w14:textFill>
        </w:rPr>
        <w:br w:type="page"/>
      </w:r>
    </w:p>
    <w:p>
      <w:pPr>
        <w:pStyle w:val="3"/>
        <w:keepLines w:val="0"/>
        <w:widowControl/>
        <w:spacing w:before="0" w:afterLines="100" w:line="240" w:lineRule="auto"/>
        <w:jc w:val="center"/>
        <w:rPr>
          <w:rFonts w:ascii="黑体" w:hAnsi="黑体" w:eastAsia="黑体" w:cs="Times New Roman"/>
          <w:b w:val="0"/>
          <w:color w:val="000000" w:themeColor="text1"/>
          <w:sz w:val="32"/>
          <w:szCs w:val="32"/>
          <w14:textFill>
            <w14:solidFill>
              <w14:schemeClr w14:val="tx1"/>
            </w14:solidFill>
          </w14:textFill>
        </w:rPr>
      </w:pPr>
      <w:bookmarkStart w:id="172" w:name="_Toc7700"/>
      <w:bookmarkStart w:id="173" w:name="_Toc31728"/>
      <w:bookmarkStart w:id="174" w:name="_Toc20592"/>
      <w:bookmarkStart w:id="175" w:name="_Toc3944"/>
      <w:bookmarkStart w:id="176" w:name="_Toc75341673"/>
      <w:bookmarkStart w:id="177" w:name="_Toc23068"/>
      <w:bookmarkStart w:id="178" w:name="_Toc3437"/>
      <w:bookmarkStart w:id="179" w:name="_Toc5863"/>
      <w:bookmarkStart w:id="180" w:name="_Toc16960"/>
      <w:bookmarkStart w:id="181" w:name="_Toc17656"/>
      <w:bookmarkStart w:id="182" w:name="_Toc3299"/>
      <w:bookmarkStart w:id="183" w:name="_Toc5163"/>
      <w:bookmarkStart w:id="184" w:name="_Toc24758"/>
      <w:bookmarkStart w:id="185" w:name="_Toc2995"/>
      <w:bookmarkStart w:id="186" w:name="_Toc14887"/>
      <w:bookmarkStart w:id="187" w:name="_Toc21825"/>
      <w:bookmarkStart w:id="188" w:name="_Toc10283"/>
      <w:bookmarkStart w:id="189" w:name="_Toc10802"/>
      <w:bookmarkStart w:id="190" w:name="_Toc24704"/>
      <w:bookmarkStart w:id="191" w:name="_Toc1176"/>
      <w:bookmarkStart w:id="192" w:name="_Toc1394"/>
      <w:r>
        <w:rPr>
          <w:rFonts w:hint="eastAsia" w:ascii="黑体" w:hAnsi="黑体" w:eastAsia="黑体" w:cs="Times New Roman"/>
          <w:b w:val="0"/>
          <w:color w:val="000000" w:themeColor="text1"/>
          <w:sz w:val="32"/>
          <w:szCs w:val="32"/>
          <w14:textFill>
            <w14:solidFill>
              <w14:schemeClr w14:val="tx1"/>
            </w14:solidFill>
          </w14:textFill>
        </w:rPr>
        <w:t>第五章 加快产城融合，实现新区品质全面提升</w:t>
      </w:r>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p>
    <w:p>
      <w:pPr>
        <w:adjustRightInd w:val="0"/>
        <w:ind w:firstLine="640" w:firstLineChars="200"/>
        <w:rPr>
          <w:rFonts w:ascii="仿宋_GB2312" w:hAnsi="仿宋" w:eastAsia="仿宋_GB2312"/>
          <w:color w:val="000000" w:themeColor="text1"/>
          <w:sz w:val="32"/>
          <w:szCs w:val="32"/>
          <w14:textFill>
            <w14:solidFill>
              <w14:schemeClr w14:val="tx1"/>
            </w14:solidFill>
          </w14:textFill>
        </w:rPr>
      </w:pPr>
      <w:bookmarkStart w:id="193" w:name="_Toc30761"/>
      <w:r>
        <w:rPr>
          <w:rFonts w:hint="eastAsia" w:ascii="仿宋_GB2312" w:hAnsi="仿宋" w:eastAsia="仿宋_GB2312"/>
          <w:color w:val="000000" w:themeColor="text1"/>
          <w:sz w:val="32"/>
          <w:szCs w:val="32"/>
          <w14:textFill>
            <w14:solidFill>
              <w14:schemeClr w14:val="tx1"/>
            </w14:solidFill>
          </w14:textFill>
        </w:rPr>
        <w:t>全面融入</w:t>
      </w:r>
      <w:r>
        <w:rPr>
          <w:rFonts w:hint="eastAsia" w:ascii="仿宋_GB2312" w:hAnsi="仿宋" w:eastAsia="仿宋_GB2312"/>
          <w:color w:val="000000" w:themeColor="text1"/>
          <w:sz w:val="32"/>
          <w:szCs w:val="32"/>
          <w:lang w:eastAsia="zh-CN"/>
          <w14:textFill>
            <w14:solidFill>
              <w14:schemeClr w14:val="tx1"/>
            </w14:solidFill>
          </w14:textFill>
        </w:rPr>
        <w:t>广西壮族</w:t>
      </w:r>
      <w:r>
        <w:rPr>
          <w:rFonts w:hint="eastAsia" w:ascii="仿宋_GB2312" w:hAnsi="仿宋" w:eastAsia="仿宋_GB2312"/>
          <w:color w:val="000000" w:themeColor="text1"/>
          <w:sz w:val="32"/>
          <w:szCs w:val="32"/>
          <w14:textFill>
            <w14:solidFill>
              <w14:schemeClr w14:val="tx1"/>
            </w14:solidFill>
          </w14:textFill>
        </w:rPr>
        <w:t>自治区、柳州市</w:t>
      </w:r>
      <w:r>
        <w:rPr>
          <w:rFonts w:ascii="仿宋_GB2312" w:hAnsi="仿宋" w:eastAsia="仿宋_GB2312"/>
          <w:color w:val="000000" w:themeColor="text1"/>
          <w:sz w:val="32"/>
          <w:szCs w:val="32"/>
          <w14:textFill>
            <w14:solidFill>
              <w14:schemeClr w14:val="tx1"/>
            </w14:solidFill>
          </w14:textFill>
        </w:rPr>
        <w:t>新型城镇化规划（2021—2035年）</w:t>
      </w:r>
      <w:r>
        <w:rPr>
          <w:rFonts w:hint="eastAsia" w:ascii="仿宋_GB2312" w:hAnsi="仿宋" w:eastAsia="仿宋_GB2312"/>
          <w:color w:val="000000" w:themeColor="text1"/>
          <w:sz w:val="32"/>
          <w:szCs w:val="32"/>
          <w14:textFill>
            <w14:solidFill>
              <w14:schemeClr w14:val="tx1"/>
            </w14:solidFill>
          </w14:textFill>
        </w:rPr>
        <w:t>等重大规划布局，围绕建设</w:t>
      </w:r>
      <w:r>
        <w:rPr>
          <w:rFonts w:ascii="仿宋_GB2312" w:hAnsi="仿宋" w:eastAsia="仿宋_GB2312"/>
          <w:color w:val="000000" w:themeColor="text1"/>
          <w:sz w:val="32"/>
          <w:szCs w:val="32"/>
          <w14:textFill>
            <w14:solidFill>
              <w14:schemeClr w14:val="tx1"/>
            </w14:solidFill>
          </w14:textFill>
        </w:rPr>
        <w:t>西南领先、全国一流的产城融合示范区</w:t>
      </w:r>
      <w:r>
        <w:rPr>
          <w:rFonts w:hint="eastAsia" w:ascii="仿宋_GB2312" w:hAnsi="仿宋" w:eastAsia="仿宋_GB2312"/>
          <w:color w:val="000000" w:themeColor="text1"/>
          <w:sz w:val="32"/>
          <w:szCs w:val="32"/>
          <w14:textFill>
            <w14:solidFill>
              <w14:schemeClr w14:val="tx1"/>
            </w14:solidFill>
          </w14:textFill>
        </w:rPr>
        <w:t>，谋划新区新时期空间发展新思路，着力</w:t>
      </w:r>
      <w:r>
        <w:rPr>
          <w:rFonts w:ascii="仿宋_GB2312" w:hAnsi="仿宋" w:eastAsia="仿宋_GB2312"/>
          <w:color w:val="000000" w:themeColor="text1"/>
          <w:sz w:val="32"/>
          <w:szCs w:val="32"/>
          <w14:textFill>
            <w14:solidFill>
              <w14:schemeClr w14:val="tx1"/>
            </w14:solidFill>
          </w14:textFill>
        </w:rPr>
        <w:t>提高国土空间利用效率</w:t>
      </w:r>
      <w:r>
        <w:rPr>
          <w:rFonts w:hint="eastAsia" w:ascii="仿宋_GB2312" w:hAnsi="仿宋" w:eastAsia="仿宋_GB2312"/>
          <w:color w:val="000000" w:themeColor="text1"/>
          <w:sz w:val="32"/>
          <w:szCs w:val="32"/>
          <w14:textFill>
            <w14:solidFill>
              <w14:schemeClr w14:val="tx1"/>
            </w14:solidFill>
          </w14:textFill>
        </w:rPr>
        <w:t>强化综合</w:t>
      </w:r>
      <w:r>
        <w:rPr>
          <w:rFonts w:ascii="仿宋_GB2312" w:hAnsi="仿宋" w:eastAsia="仿宋_GB2312"/>
          <w:color w:val="000000" w:themeColor="text1"/>
          <w:sz w:val="32"/>
          <w:szCs w:val="32"/>
          <w14:textFill>
            <w14:solidFill>
              <w14:schemeClr w14:val="tx1"/>
            </w14:solidFill>
          </w14:textFill>
        </w:rPr>
        <w:t>承载力，</w:t>
      </w:r>
      <w:r>
        <w:rPr>
          <w:rFonts w:hint="eastAsia" w:ascii="仿宋_GB2312" w:hAnsi="仿宋" w:eastAsia="仿宋_GB2312"/>
          <w:color w:val="000000" w:themeColor="text1"/>
          <w:sz w:val="32"/>
          <w:szCs w:val="32"/>
          <w14:textFill>
            <w14:solidFill>
              <w14:schemeClr w14:val="tx1"/>
            </w14:solidFill>
          </w14:textFill>
        </w:rPr>
        <w:t>推进</w:t>
      </w:r>
      <w:r>
        <w:rPr>
          <w:rFonts w:ascii="仿宋_GB2312" w:hAnsi="仿宋" w:eastAsia="仿宋_GB2312"/>
          <w:color w:val="000000" w:themeColor="text1"/>
          <w:sz w:val="32"/>
          <w:szCs w:val="32"/>
          <w14:textFill>
            <w14:solidFill>
              <w14:schemeClr w14:val="tx1"/>
            </w14:solidFill>
          </w14:textFill>
        </w:rPr>
        <w:t>城市基础设施</w:t>
      </w:r>
      <w:r>
        <w:rPr>
          <w:rFonts w:hint="eastAsia" w:ascii="仿宋_GB2312" w:hAnsi="仿宋" w:eastAsia="仿宋_GB2312"/>
          <w:color w:val="000000" w:themeColor="text1"/>
          <w:sz w:val="32"/>
          <w:szCs w:val="32"/>
          <w14:textFill>
            <w14:solidFill>
              <w14:schemeClr w14:val="tx1"/>
            </w14:solidFill>
          </w14:textFill>
        </w:rPr>
        <w:t>建设</w:t>
      </w:r>
      <w:r>
        <w:rPr>
          <w:rFonts w:ascii="仿宋_GB2312" w:hAnsi="仿宋" w:eastAsia="仿宋_GB2312"/>
          <w:color w:val="000000" w:themeColor="text1"/>
          <w:sz w:val="32"/>
          <w:szCs w:val="32"/>
          <w14:textFill>
            <w14:solidFill>
              <w14:schemeClr w14:val="tx1"/>
            </w14:solidFill>
          </w14:textFill>
        </w:rPr>
        <w:t>，加快完善商业配套设施，提升公共服务能力</w:t>
      </w:r>
      <w:r>
        <w:rPr>
          <w:rFonts w:hint="eastAsia" w:ascii="仿宋_GB2312" w:hAnsi="仿宋" w:eastAsia="仿宋_GB2312"/>
          <w:color w:val="000000" w:themeColor="text1"/>
          <w:sz w:val="32"/>
          <w:szCs w:val="32"/>
          <w14:textFill>
            <w14:solidFill>
              <w14:schemeClr w14:val="tx1"/>
            </w14:solidFill>
          </w14:textFill>
        </w:rPr>
        <w:t>、</w:t>
      </w:r>
      <w:r>
        <w:rPr>
          <w:rFonts w:ascii="仿宋_GB2312" w:hAnsi="仿宋" w:eastAsia="仿宋_GB2312"/>
          <w:color w:val="000000" w:themeColor="text1"/>
          <w:sz w:val="32"/>
          <w:szCs w:val="32"/>
          <w14:textFill>
            <w14:solidFill>
              <w14:schemeClr w14:val="tx1"/>
            </w14:solidFill>
          </w14:textFill>
        </w:rPr>
        <w:t>人口集聚能力</w:t>
      </w:r>
      <w:r>
        <w:rPr>
          <w:rFonts w:hint="eastAsia" w:ascii="仿宋_GB2312" w:hAnsi="仿宋" w:eastAsia="仿宋_GB2312"/>
          <w:color w:val="000000" w:themeColor="text1"/>
          <w:sz w:val="32"/>
          <w:szCs w:val="32"/>
          <w14:textFill>
            <w14:solidFill>
              <w14:schemeClr w14:val="tx1"/>
            </w14:solidFill>
          </w14:textFill>
        </w:rPr>
        <w:t>，全面升级城市功能</w:t>
      </w:r>
      <w:r>
        <w:rPr>
          <w:rFonts w:ascii="仿宋_GB2312" w:hAnsi="仿宋" w:eastAsia="仿宋_GB2312"/>
          <w:color w:val="000000" w:themeColor="text1"/>
          <w:sz w:val="32"/>
          <w:szCs w:val="32"/>
          <w14:textFill>
            <w14:solidFill>
              <w14:schemeClr w14:val="tx1"/>
            </w14:solidFill>
          </w14:textFill>
        </w:rPr>
        <w:t>品质</w:t>
      </w:r>
      <w:r>
        <w:rPr>
          <w:rFonts w:hint="eastAsia" w:ascii="仿宋_GB2312" w:hAnsi="仿宋" w:eastAsia="仿宋_GB2312"/>
          <w:color w:val="000000" w:themeColor="text1"/>
          <w:sz w:val="32"/>
          <w:szCs w:val="32"/>
          <w14:textFill>
            <w14:solidFill>
              <w14:schemeClr w14:val="tx1"/>
            </w14:solidFill>
          </w14:textFill>
        </w:rPr>
        <w:t>，促进产城融合和城乡</w:t>
      </w:r>
      <w:r>
        <w:rPr>
          <w:rFonts w:ascii="仿宋_GB2312" w:hAnsi="仿宋" w:eastAsia="仿宋_GB2312"/>
          <w:color w:val="000000" w:themeColor="text1"/>
          <w:sz w:val="32"/>
          <w:szCs w:val="32"/>
          <w14:textFill>
            <w14:solidFill>
              <w14:schemeClr w14:val="tx1"/>
            </w14:solidFill>
          </w14:textFill>
        </w:rPr>
        <w:t>协调发展，</w:t>
      </w:r>
      <w:r>
        <w:rPr>
          <w:rFonts w:hint="eastAsia" w:ascii="仿宋_GB2312" w:hAnsi="仿宋" w:eastAsia="仿宋_GB2312"/>
          <w:color w:val="000000" w:themeColor="text1"/>
          <w:sz w:val="32"/>
          <w:szCs w:val="32"/>
          <w14:textFill>
            <w14:solidFill>
              <w14:schemeClr w14:val="tx1"/>
            </w14:solidFill>
          </w14:textFill>
        </w:rPr>
        <w:t>筑造西江经济带龙头城市先锋样板城区。</w:t>
      </w:r>
    </w:p>
    <w:p>
      <w:pPr>
        <w:pStyle w:val="4"/>
        <w:jc w:val="center"/>
        <w:rPr>
          <w:rFonts w:hint="eastAsia" w:ascii="黑体" w:hAnsi="黑体" w:eastAsia="黑体" w:cs="Times New Roman"/>
          <w:b w:val="0"/>
          <w:color w:val="000000" w:themeColor="text1"/>
          <w14:textFill>
            <w14:solidFill>
              <w14:schemeClr w14:val="tx1"/>
            </w14:solidFill>
          </w14:textFill>
        </w:rPr>
      </w:pPr>
      <w:bookmarkStart w:id="194" w:name="_Toc18491"/>
      <w:bookmarkStart w:id="195" w:name="_Toc4032"/>
      <w:bookmarkStart w:id="196" w:name="_Toc17922"/>
      <w:bookmarkStart w:id="197" w:name="_Toc16962"/>
      <w:bookmarkStart w:id="198" w:name="_Toc26449"/>
      <w:bookmarkStart w:id="199" w:name="_Toc16377"/>
      <w:bookmarkStart w:id="200" w:name="_Toc27395"/>
      <w:bookmarkStart w:id="201" w:name="_Toc28829"/>
      <w:bookmarkStart w:id="202" w:name="_Toc17081"/>
      <w:bookmarkStart w:id="203" w:name="_Toc8831"/>
      <w:bookmarkStart w:id="204" w:name="_Toc22507"/>
      <w:bookmarkStart w:id="205" w:name="_Toc13305"/>
      <w:bookmarkStart w:id="206" w:name="_Toc15657"/>
      <w:bookmarkStart w:id="207" w:name="_Toc16516"/>
      <w:bookmarkStart w:id="208" w:name="_Toc27217"/>
      <w:bookmarkStart w:id="209" w:name="_Toc75341674"/>
      <w:bookmarkStart w:id="210" w:name="_Toc22911"/>
      <w:bookmarkStart w:id="211" w:name="_Toc27348"/>
      <w:bookmarkStart w:id="212" w:name="_Toc24799"/>
      <w:bookmarkStart w:id="213" w:name="_Toc13524"/>
      <w:bookmarkStart w:id="214" w:name="_Toc15325"/>
      <w:bookmarkStart w:id="215" w:name="_Toc26052"/>
      <w:bookmarkStart w:id="216" w:name="_Toc4288"/>
      <w:bookmarkStart w:id="217" w:name="_Toc2225"/>
      <w:r>
        <w:rPr>
          <w:rFonts w:hint="eastAsia" w:ascii="黑体" w:hAnsi="黑体" w:eastAsia="黑体" w:cs="Times New Roman"/>
          <w:b w:val="0"/>
          <w:color w:val="000000" w:themeColor="text1"/>
          <w14:textFill>
            <w14:solidFill>
              <w14:schemeClr w14:val="tx1"/>
            </w14:solidFill>
          </w14:textFill>
        </w:rPr>
        <w:t xml:space="preserve">第一节 </w:t>
      </w:r>
      <w:bookmarkEnd w:id="193"/>
      <w:r>
        <w:rPr>
          <w:rFonts w:hint="eastAsia" w:ascii="黑体" w:hAnsi="黑体" w:eastAsia="黑体" w:cs="Times New Roman"/>
          <w:b w:val="0"/>
          <w:color w:val="000000" w:themeColor="text1"/>
          <w14:textFill>
            <w14:solidFill>
              <w14:schemeClr w14:val="tx1"/>
            </w14:solidFill>
          </w14:textFill>
        </w:rPr>
        <w:t>全域统筹提升新区发展新高度</w:t>
      </w:r>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p>
    <w:p>
      <w:pPr>
        <w:pStyle w:val="5"/>
        <w:spacing w:before="0" w:after="0" w:line="240" w:lineRule="auto"/>
        <w:ind w:firstLine="640" w:firstLineChars="200"/>
        <w:rPr>
          <w:rFonts w:ascii="黑体" w:hAnsi="黑体" w:eastAsia="黑体" w:cs="Times New Roman"/>
          <w:b w:val="0"/>
          <w:color w:val="000000" w:themeColor="text1"/>
          <w14:textFill>
            <w14:solidFill>
              <w14:schemeClr w14:val="tx1"/>
            </w14:solidFill>
          </w14:textFill>
        </w:rPr>
      </w:pPr>
      <w:r>
        <w:rPr>
          <w:rFonts w:hint="eastAsia" w:ascii="黑体" w:hAnsi="黑体" w:eastAsia="黑体" w:cs="Times New Roman"/>
          <w:b w:val="0"/>
          <w:color w:val="000000" w:themeColor="text1"/>
          <w14:textFill>
            <w14:solidFill>
              <w14:schemeClr w14:val="tx1"/>
            </w14:solidFill>
          </w14:textFill>
        </w:rPr>
        <w:t>一、构建面向未来的柳州东部中心</w:t>
      </w:r>
    </w:p>
    <w:p>
      <w:pPr>
        <w:pStyle w:val="28"/>
        <w:spacing w:line="240" w:lineRule="auto"/>
        <w:ind w:firstLine="640" w:firstLineChars="200"/>
        <w:rPr>
          <w:rFonts w:ascii="仿宋_GB2312" w:eastAsia="仿宋_GB2312" w:hAnsiTheme="minorHAnsi" w:cstheme="minorBidi"/>
          <w:color w:val="000000" w:themeColor="text1"/>
          <w:sz w:val="32"/>
          <w:szCs w:val="32"/>
          <w:lang w:val="zh-CN" w:eastAsia="zh-CN" w:bidi="ar-SA"/>
          <w14:textFill>
            <w14:solidFill>
              <w14:schemeClr w14:val="tx1"/>
            </w14:solidFill>
          </w14:textFill>
        </w:rPr>
      </w:pPr>
      <w:r>
        <w:rPr>
          <w:rFonts w:hint="eastAsia" w:ascii="仿宋_GB2312" w:hAnsi="Calibri" w:eastAsia="仿宋_GB2312" w:cs="Times New Roman"/>
          <w:color w:val="000000" w:themeColor="text1"/>
          <w:sz w:val="32"/>
          <w:szCs w:val="32"/>
          <w:lang w:val="en-US" w:eastAsia="zh-CN" w:bidi="ar-SA"/>
          <w14:textFill>
            <w14:solidFill>
              <w14:schemeClr w14:val="tx1"/>
            </w14:solidFill>
          </w14:textFill>
        </w:rPr>
        <w:t>协同全市推进“一主三新”都市核心区建设，结合新区北部土地功能调整，重构新区面向未来的</w:t>
      </w:r>
      <w:r>
        <w:rPr>
          <w:rFonts w:hint="eastAsia" w:ascii="仿宋_GB2312" w:hAnsi="Calibri" w:eastAsia="仿宋_GB2312" w:cs="Times New Roman"/>
          <w:color w:val="000000" w:themeColor="text1"/>
          <w:sz w:val="32"/>
          <w:szCs w:val="32"/>
          <w:lang w:val="zh-CN" w:eastAsia="zh-CN" w:bidi="ar-SA"/>
          <w14:textFill>
            <w14:solidFill>
              <w14:schemeClr w14:val="tx1"/>
            </w14:solidFill>
          </w14:textFill>
        </w:rPr>
        <w:t>“</w:t>
      </w:r>
      <w:r>
        <w:rPr>
          <w:rFonts w:hint="eastAsia" w:ascii="仿宋_GB2312" w:hAnsi="Calibri" w:eastAsia="仿宋_GB2312" w:cs="Times New Roman"/>
          <w:color w:val="000000" w:themeColor="text1"/>
          <w:sz w:val="32"/>
          <w:szCs w:val="32"/>
          <w:lang w:val="en-US" w:eastAsia="zh-CN" w:bidi="ar-SA"/>
          <w14:textFill>
            <w14:solidFill>
              <w14:schemeClr w14:val="tx1"/>
            </w14:solidFill>
          </w14:textFill>
        </w:rPr>
        <w:t>三</w:t>
      </w:r>
      <w:r>
        <w:rPr>
          <w:rFonts w:hint="eastAsia" w:ascii="仿宋_GB2312" w:hAnsi="Calibri" w:eastAsia="仿宋_GB2312" w:cs="Times New Roman"/>
          <w:color w:val="000000" w:themeColor="text1"/>
          <w:sz w:val="32"/>
          <w:szCs w:val="32"/>
          <w:lang w:val="zh-CN" w:eastAsia="zh-CN" w:bidi="ar-SA"/>
          <w14:textFill>
            <w14:solidFill>
              <w14:schemeClr w14:val="tx1"/>
            </w14:solidFill>
          </w14:textFill>
        </w:rPr>
        <w:t>轴、</w:t>
      </w:r>
      <w:r>
        <w:rPr>
          <w:rFonts w:hint="eastAsia" w:ascii="仿宋_GB2312" w:hAnsi="Calibri" w:eastAsia="仿宋_GB2312" w:cs="Times New Roman"/>
          <w:color w:val="000000" w:themeColor="text1"/>
          <w:sz w:val="32"/>
          <w:szCs w:val="32"/>
          <w:lang w:val="en-US" w:eastAsia="zh-CN" w:bidi="ar-SA"/>
          <w14:textFill>
            <w14:solidFill>
              <w14:schemeClr w14:val="tx1"/>
            </w14:solidFill>
          </w14:textFill>
        </w:rPr>
        <w:t>一核两副</w:t>
      </w:r>
      <w:r>
        <w:rPr>
          <w:rFonts w:hint="eastAsia" w:ascii="仿宋_GB2312" w:hAnsi="Calibri" w:eastAsia="仿宋_GB2312" w:cs="Times New Roman"/>
          <w:color w:val="000000" w:themeColor="text1"/>
          <w:sz w:val="32"/>
          <w:szCs w:val="32"/>
          <w:lang w:val="zh-CN" w:eastAsia="zh-CN" w:bidi="ar-SA"/>
          <w14:textFill>
            <w14:solidFill>
              <w14:schemeClr w14:val="tx1"/>
            </w14:solidFill>
          </w14:textFill>
        </w:rPr>
        <w:t>、</w:t>
      </w:r>
      <w:r>
        <w:rPr>
          <w:rFonts w:hint="eastAsia" w:ascii="仿宋_GB2312" w:hAnsi="Calibri" w:eastAsia="仿宋_GB2312" w:cs="Times New Roman"/>
          <w:color w:val="000000" w:themeColor="text1"/>
          <w:sz w:val="32"/>
          <w:szCs w:val="32"/>
          <w:lang w:val="en-US" w:eastAsia="zh-CN" w:bidi="ar-SA"/>
          <w14:textFill>
            <w14:solidFill>
              <w14:schemeClr w14:val="tx1"/>
            </w14:solidFill>
          </w14:textFill>
        </w:rPr>
        <w:t>三片区、</w:t>
      </w:r>
      <w:r>
        <w:rPr>
          <w:rFonts w:hint="eastAsia" w:ascii="仿宋_GB2312" w:hAnsi="Calibri" w:eastAsia="仿宋_GB2312" w:cs="Times New Roman"/>
          <w:color w:val="000000" w:themeColor="text1"/>
          <w:sz w:val="32"/>
          <w:szCs w:val="32"/>
          <w:lang w:val="zh-CN" w:eastAsia="zh-CN" w:bidi="ar-SA"/>
          <w14:textFill>
            <w14:solidFill>
              <w14:schemeClr w14:val="tx1"/>
            </w14:solidFill>
          </w14:textFill>
        </w:rPr>
        <w:t>多节点”空间格局。</w:t>
      </w:r>
      <w:r>
        <w:rPr>
          <w:rFonts w:hint="eastAsia" w:ascii="仿宋_GB2312" w:hAnsi="Calibri" w:eastAsia="仿宋_GB2312" w:cs="Times New Roman"/>
          <w:b/>
          <w:bCs/>
          <w:color w:val="000000" w:themeColor="text1"/>
          <w:sz w:val="32"/>
          <w:szCs w:val="32"/>
          <w:lang w:val="en-US" w:eastAsia="zh-CN" w:bidi="ar-SA"/>
          <w14:textFill>
            <w14:solidFill>
              <w14:schemeClr w14:val="tx1"/>
            </w14:solidFill>
          </w14:textFill>
        </w:rPr>
        <w:t>高标准打造“三轴”：</w:t>
      </w:r>
      <w:r>
        <w:rPr>
          <w:rFonts w:hint="eastAsia" w:ascii="仿宋_GB2312" w:hAnsi="Calibri" w:eastAsia="仿宋_GB2312" w:cs="Times New Roman"/>
          <w:color w:val="000000" w:themeColor="text1"/>
          <w:sz w:val="32"/>
          <w:szCs w:val="32"/>
          <w:lang w:val="zh-CN" w:eastAsia="zh-CN" w:bidi="ar-SA"/>
          <w14:textFill>
            <w14:solidFill>
              <w14:schemeClr w14:val="tx1"/>
            </w14:solidFill>
          </w14:textFill>
        </w:rPr>
        <w:t>以新柳大道以及南北向主干道为城市发展主轴，以官塘大道为城市次要发展轴，着力完善基础设施和服务功能，推动商务服务和产业经济沿轴线集聚发展，完善公共服务配套，提升沿线城市功能和景观，营造现代</w:t>
      </w:r>
      <w:r>
        <w:rPr>
          <w:rFonts w:hint="eastAsia" w:ascii="仿宋_GB2312" w:hAnsi="Calibri" w:eastAsia="仿宋_GB2312" w:cs="Times New Roman"/>
          <w:color w:val="000000" w:themeColor="text1"/>
          <w:sz w:val="32"/>
          <w:szCs w:val="32"/>
          <w:lang w:val="en-US" w:eastAsia="zh-CN" w:bidi="ar-SA"/>
          <w14:textFill>
            <w14:solidFill>
              <w14:schemeClr w14:val="tx1"/>
            </w14:solidFill>
          </w14:textFill>
        </w:rPr>
        <w:t>城区风貌和</w:t>
      </w:r>
      <w:r>
        <w:rPr>
          <w:rFonts w:hint="eastAsia" w:ascii="仿宋_GB2312" w:hAnsi="Calibri" w:eastAsia="仿宋_GB2312" w:cs="Times New Roman"/>
          <w:color w:val="000000" w:themeColor="text1"/>
          <w:sz w:val="32"/>
          <w:szCs w:val="32"/>
          <w:lang w:val="zh-CN" w:eastAsia="zh-CN" w:bidi="ar-SA"/>
          <w14:textFill>
            <w14:solidFill>
              <w14:schemeClr w14:val="tx1"/>
            </w14:solidFill>
          </w14:textFill>
        </w:rPr>
        <w:t>新型产业发展环境。</w:t>
      </w:r>
      <w:r>
        <w:rPr>
          <w:rFonts w:hint="eastAsia" w:ascii="仿宋_GB2312" w:hAnsi="Calibri" w:eastAsia="仿宋_GB2312" w:cs="Times New Roman"/>
          <w:b/>
          <w:bCs/>
          <w:color w:val="000000" w:themeColor="text1"/>
          <w:sz w:val="32"/>
          <w:szCs w:val="32"/>
          <w:lang w:val="en-US" w:eastAsia="zh-CN" w:bidi="ar-SA"/>
          <w14:textFill>
            <w14:solidFill>
              <w14:schemeClr w14:val="tx1"/>
            </w14:solidFill>
          </w14:textFill>
        </w:rPr>
        <w:t>高品质建设</w:t>
      </w:r>
      <w:r>
        <w:rPr>
          <w:rFonts w:hint="eastAsia" w:ascii="仿宋_GB2312" w:hAnsi="Calibri" w:eastAsia="仿宋_GB2312" w:cs="Times New Roman"/>
          <w:b/>
          <w:bCs/>
          <w:color w:val="000000" w:themeColor="text1"/>
          <w:sz w:val="32"/>
          <w:szCs w:val="32"/>
          <w:lang w:val="zh-CN" w:eastAsia="zh-CN" w:bidi="ar-SA"/>
          <w14:textFill>
            <w14:solidFill>
              <w14:schemeClr w14:val="tx1"/>
            </w14:solidFill>
          </w14:textFill>
        </w:rPr>
        <w:t>“</w:t>
      </w:r>
      <w:r>
        <w:rPr>
          <w:rFonts w:hint="eastAsia" w:ascii="仿宋_GB2312" w:hAnsi="Calibri" w:eastAsia="仿宋_GB2312" w:cs="Times New Roman"/>
          <w:b/>
          <w:bCs/>
          <w:color w:val="000000" w:themeColor="text1"/>
          <w:sz w:val="32"/>
          <w:szCs w:val="32"/>
          <w:lang w:val="en-US" w:eastAsia="zh-CN" w:bidi="ar-SA"/>
          <w14:textFill>
            <w14:solidFill>
              <w14:schemeClr w14:val="tx1"/>
            </w14:solidFill>
          </w14:textFill>
        </w:rPr>
        <w:t>一核”“两副”：</w:t>
      </w:r>
      <w:r>
        <w:rPr>
          <w:rFonts w:hint="eastAsia" w:ascii="仿宋_GB2312" w:hAnsi="Calibri" w:eastAsia="仿宋_GB2312" w:cs="Times New Roman"/>
          <w:color w:val="000000" w:themeColor="text1"/>
          <w:sz w:val="32"/>
          <w:szCs w:val="32"/>
          <w:lang w:val="zh-CN" w:eastAsia="zh-CN" w:bidi="ar-SA"/>
          <w14:textFill>
            <w14:solidFill>
              <w14:schemeClr w14:val="tx1"/>
            </w14:solidFill>
          </w14:textFill>
        </w:rPr>
        <w:t>“</w:t>
      </w:r>
      <w:r>
        <w:rPr>
          <w:rFonts w:hint="eastAsia" w:ascii="仿宋_GB2312" w:hAnsi="Calibri" w:eastAsia="仿宋_GB2312" w:cs="Times New Roman"/>
          <w:color w:val="000000" w:themeColor="text1"/>
          <w:sz w:val="32"/>
          <w:szCs w:val="32"/>
          <w:lang w:val="en-US" w:eastAsia="zh-CN" w:bidi="ar-SA"/>
          <w14:textFill>
            <w14:solidFill>
              <w14:schemeClr w14:val="tx1"/>
            </w14:solidFill>
          </w14:textFill>
        </w:rPr>
        <w:t>一核”为龙湖中心商务区，打造集行政、文化、商务、商业、金融、会展、休闲、娱乐等功能于一体的城市新中心，成为引领柳州东拓发展的核心引擎；“</w:t>
      </w:r>
      <w:r>
        <w:rPr>
          <w:rFonts w:hint="eastAsia" w:ascii="仿宋_GB2312" w:hAnsi="Calibri" w:eastAsia="仿宋_GB2312" w:cs="Times New Roman"/>
          <w:color w:val="000000" w:themeColor="text1"/>
          <w:sz w:val="32"/>
          <w:szCs w:val="32"/>
          <w:lang w:val="zh-CN" w:eastAsia="zh-CN" w:bidi="ar-SA"/>
          <w14:textFill>
            <w14:solidFill>
              <w14:schemeClr w14:val="tx1"/>
            </w14:solidFill>
          </w14:textFill>
        </w:rPr>
        <w:t>两副”为</w:t>
      </w:r>
      <w:r>
        <w:rPr>
          <w:rFonts w:hint="eastAsia" w:ascii="仿宋_GB2312" w:hAnsi="Calibri" w:eastAsia="仿宋_GB2312" w:cs="Times New Roman"/>
          <w:color w:val="000000" w:themeColor="text1"/>
          <w:sz w:val="32"/>
          <w:szCs w:val="32"/>
          <w:lang w:val="en-US" w:eastAsia="zh-CN" w:bidi="ar-SA"/>
          <w14:textFill>
            <w14:solidFill>
              <w14:schemeClr w14:val="tx1"/>
            </w14:solidFill>
          </w14:textFill>
        </w:rPr>
        <w:t>高铁新城副中心和</w:t>
      </w:r>
      <w:r>
        <w:rPr>
          <w:rFonts w:hint="eastAsia" w:ascii="仿宋_GB2312" w:hAnsi="Calibri" w:eastAsia="仿宋_GB2312" w:cs="Times New Roman"/>
          <w:color w:val="000000" w:themeColor="text1"/>
          <w:sz w:val="32"/>
          <w:szCs w:val="32"/>
          <w:lang w:val="zh-CN" w:eastAsia="zh-CN" w:bidi="ar-SA"/>
          <w14:textFill>
            <w14:solidFill>
              <w14:schemeClr w14:val="tx1"/>
            </w14:solidFill>
          </w14:textFill>
        </w:rPr>
        <w:t>北环北部新区</w:t>
      </w:r>
      <w:r>
        <w:rPr>
          <w:rFonts w:hint="eastAsia" w:ascii="仿宋_GB2312" w:hAnsi="Calibri" w:eastAsia="仿宋_GB2312" w:cs="Times New Roman"/>
          <w:color w:val="000000" w:themeColor="text1"/>
          <w:sz w:val="32"/>
          <w:szCs w:val="32"/>
          <w:lang w:val="en-US" w:eastAsia="zh-CN" w:bidi="ar-SA"/>
          <w14:textFill>
            <w14:solidFill>
              <w14:schemeClr w14:val="tx1"/>
            </w14:solidFill>
          </w14:textFill>
        </w:rPr>
        <w:t>副中心</w:t>
      </w:r>
      <w:r>
        <w:rPr>
          <w:rFonts w:hint="eastAsia" w:ascii="仿宋_GB2312" w:hAnsi="Calibri" w:eastAsia="仿宋_GB2312" w:cs="Times New Roman"/>
          <w:color w:val="000000" w:themeColor="text1"/>
          <w:sz w:val="32"/>
          <w:szCs w:val="32"/>
          <w:lang w:val="zh-CN" w:eastAsia="zh-CN" w:bidi="ar-SA"/>
          <w14:textFill>
            <w14:solidFill>
              <w14:schemeClr w14:val="tx1"/>
            </w14:solidFill>
          </w14:textFill>
        </w:rPr>
        <w:t>，</w:t>
      </w:r>
      <w:r>
        <w:rPr>
          <w:rFonts w:hint="eastAsia" w:ascii="仿宋_GB2312" w:hAnsi="Calibri" w:eastAsia="仿宋_GB2312" w:cs="Times New Roman"/>
          <w:color w:val="000000" w:themeColor="text1"/>
          <w:sz w:val="32"/>
          <w:szCs w:val="32"/>
          <w:lang w:val="en-US" w:eastAsia="zh-CN" w:bidi="ar-SA"/>
          <w14:textFill>
            <w14:solidFill>
              <w14:schemeClr w14:val="tx1"/>
            </w14:solidFill>
          </w14:textFill>
        </w:rPr>
        <w:t>高铁新城副中心</w:t>
      </w:r>
      <w:r>
        <w:rPr>
          <w:rFonts w:hint="eastAsia" w:ascii="仿宋_GB2312" w:hAnsi="Calibri" w:eastAsia="仿宋_GB2312" w:cs="Times New Roman"/>
          <w:color w:val="000000" w:themeColor="text1"/>
          <w:sz w:val="32"/>
          <w:szCs w:val="32"/>
          <w:lang w:val="zh-CN" w:eastAsia="zh-CN" w:bidi="ar-SA"/>
          <w14:textFill>
            <w14:solidFill>
              <w14:schemeClr w14:val="tx1"/>
            </w14:solidFill>
          </w14:textFill>
        </w:rPr>
        <w:t>依托雒容镇建成区和高铁</w:t>
      </w:r>
      <w:r>
        <w:rPr>
          <w:rFonts w:hint="eastAsia" w:ascii="仿宋_GB2312" w:hAnsi="Calibri" w:eastAsia="仿宋_GB2312" w:cs="Times New Roman"/>
          <w:color w:val="000000" w:themeColor="text1"/>
          <w:sz w:val="32"/>
          <w:szCs w:val="32"/>
          <w:lang w:val="en-US" w:eastAsia="zh-CN" w:bidi="ar-SA"/>
          <w14:textFill>
            <w14:solidFill>
              <w14:schemeClr w14:val="tx1"/>
            </w14:solidFill>
          </w14:textFill>
        </w:rPr>
        <w:t>柳州</w:t>
      </w:r>
      <w:r>
        <w:rPr>
          <w:rFonts w:hint="eastAsia" w:ascii="仿宋_GB2312" w:hAnsi="Calibri" w:eastAsia="仿宋_GB2312" w:cs="Times New Roman"/>
          <w:color w:val="000000" w:themeColor="text1"/>
          <w:sz w:val="32"/>
          <w:szCs w:val="32"/>
          <w:lang w:val="zh-CN" w:eastAsia="zh-CN" w:bidi="ar-SA"/>
          <w14:textFill>
            <w14:solidFill>
              <w14:schemeClr w14:val="tx1"/>
            </w14:solidFill>
          </w14:textFill>
        </w:rPr>
        <w:t>东站，</w:t>
      </w:r>
      <w:r>
        <w:rPr>
          <w:rFonts w:hint="eastAsia" w:ascii="仿宋_GB2312" w:hAnsi="Calibri" w:eastAsia="仿宋_GB2312" w:cs="Times New Roman"/>
          <w:color w:val="000000" w:themeColor="text1"/>
          <w:sz w:val="32"/>
          <w:szCs w:val="32"/>
          <w:lang w:val="en-US" w:eastAsia="zh-CN" w:bidi="ar-SA"/>
          <w14:textFill>
            <w14:solidFill>
              <w14:schemeClr w14:val="tx1"/>
            </w14:solidFill>
          </w14:textFill>
        </w:rPr>
        <w:t>重点</w:t>
      </w:r>
      <w:r>
        <w:rPr>
          <w:rFonts w:hint="eastAsia" w:ascii="仿宋_GB2312" w:hAnsi="Calibri" w:eastAsia="仿宋_GB2312" w:cs="Times New Roman"/>
          <w:color w:val="000000" w:themeColor="text1"/>
          <w:sz w:val="32"/>
          <w:szCs w:val="32"/>
          <w:lang w:val="zh-CN" w:eastAsia="zh-CN" w:bidi="ar-SA"/>
          <w14:textFill>
            <w14:solidFill>
              <w14:schemeClr w14:val="tx1"/>
            </w14:solidFill>
          </w14:textFill>
        </w:rPr>
        <w:t>布</w:t>
      </w:r>
      <w:r>
        <w:rPr>
          <w:rFonts w:hint="eastAsia" w:ascii="仿宋_GB2312" w:hAnsi="Calibri" w:eastAsia="仿宋_GB2312" w:cs="Times New Roman"/>
          <w:color w:val="000000" w:themeColor="text1"/>
          <w:sz w:val="32"/>
          <w:szCs w:val="32"/>
          <w:lang w:val="en-US" w:eastAsia="zh-CN" w:bidi="ar-SA"/>
          <w14:textFill>
            <w14:solidFill>
              <w14:schemeClr w14:val="tx1"/>
            </w14:solidFill>
          </w14:textFill>
        </w:rPr>
        <w:t>局办公</w:t>
      </w:r>
      <w:r>
        <w:rPr>
          <w:rFonts w:hint="eastAsia" w:ascii="仿宋_GB2312" w:hAnsi="Calibri" w:eastAsia="仿宋_GB2312" w:cs="Times New Roman"/>
          <w:color w:val="000000" w:themeColor="text1"/>
          <w:sz w:val="32"/>
          <w:szCs w:val="32"/>
          <w:lang w:val="zh-CN" w:eastAsia="zh-CN" w:bidi="ar-SA"/>
          <w14:textFill>
            <w14:solidFill>
              <w14:schemeClr w14:val="tx1"/>
            </w14:solidFill>
          </w14:textFill>
        </w:rPr>
        <w:t>、文化娱乐、科技展览、酒店宾馆等功能，打造服务功能</w:t>
      </w:r>
      <w:r>
        <w:rPr>
          <w:rFonts w:hint="eastAsia" w:ascii="仿宋_GB2312" w:hAnsi="Calibri" w:eastAsia="仿宋_GB2312" w:cs="Times New Roman"/>
          <w:color w:val="000000" w:themeColor="text1"/>
          <w:sz w:val="32"/>
          <w:szCs w:val="32"/>
          <w:lang w:val="en-US" w:eastAsia="zh-CN" w:bidi="ar-SA"/>
          <w14:textFill>
            <w14:solidFill>
              <w14:schemeClr w14:val="tx1"/>
            </w14:solidFill>
          </w14:textFill>
        </w:rPr>
        <w:t>复合</w:t>
      </w:r>
      <w:r>
        <w:rPr>
          <w:rFonts w:hint="eastAsia" w:ascii="仿宋_GB2312" w:hAnsi="Calibri" w:eastAsia="仿宋_GB2312" w:cs="Times New Roman"/>
          <w:color w:val="000000" w:themeColor="text1"/>
          <w:sz w:val="32"/>
          <w:szCs w:val="32"/>
          <w:lang w:val="zh-CN" w:eastAsia="zh-CN" w:bidi="ar-SA"/>
          <w14:textFill>
            <w14:solidFill>
              <w14:schemeClr w14:val="tx1"/>
            </w14:solidFill>
          </w14:textFill>
        </w:rPr>
        <w:t>、景观文化交融的区域综合交通中心、</w:t>
      </w:r>
      <w:r>
        <w:rPr>
          <w:rFonts w:hint="eastAsia" w:ascii="仿宋_GB2312" w:hAnsi="Calibri" w:eastAsia="仿宋_GB2312" w:cs="Times New Roman"/>
          <w:color w:val="000000" w:themeColor="text1"/>
          <w:sz w:val="32"/>
          <w:szCs w:val="32"/>
          <w:lang w:val="en-US" w:eastAsia="zh-CN" w:bidi="ar-SA"/>
          <w14:textFill>
            <w14:solidFill>
              <w14:schemeClr w14:val="tx1"/>
            </w14:solidFill>
          </w14:textFill>
        </w:rPr>
        <w:t>城市东部门户和城市经济发展新极点；</w:t>
      </w:r>
      <w:r>
        <w:rPr>
          <w:rFonts w:hint="eastAsia" w:ascii="仿宋_GB2312" w:hAnsi="Calibri" w:eastAsia="仿宋_GB2312" w:cs="Times New Roman"/>
          <w:color w:val="000000" w:themeColor="text1"/>
          <w:sz w:val="32"/>
          <w:szCs w:val="32"/>
          <w:lang w:val="zh-CN" w:eastAsia="zh-CN" w:bidi="ar-SA"/>
          <w14:textFill>
            <w14:solidFill>
              <w14:schemeClr w14:val="tx1"/>
            </w14:solidFill>
          </w14:textFill>
        </w:rPr>
        <w:t>北环北部新区</w:t>
      </w:r>
      <w:r>
        <w:rPr>
          <w:rFonts w:hint="eastAsia" w:ascii="仿宋_GB2312" w:hAnsi="Calibri" w:eastAsia="仿宋_GB2312" w:cs="Times New Roman"/>
          <w:color w:val="000000" w:themeColor="text1"/>
          <w:sz w:val="32"/>
          <w:szCs w:val="32"/>
          <w:lang w:val="en-US" w:eastAsia="zh-CN" w:bidi="ar-SA"/>
          <w14:textFill>
            <w14:solidFill>
              <w14:schemeClr w14:val="tx1"/>
            </w14:solidFill>
          </w14:textFill>
        </w:rPr>
        <w:t>副中心布局生活服务和</w:t>
      </w:r>
      <w:r>
        <w:rPr>
          <w:rFonts w:hint="eastAsia" w:ascii="仿宋_GB2312" w:hAnsi="Calibri" w:eastAsia="仿宋_GB2312" w:cs="Times New Roman"/>
          <w:color w:val="000000" w:themeColor="text1"/>
          <w:sz w:val="32"/>
          <w:szCs w:val="32"/>
          <w:lang w:val="zh-CN" w:eastAsia="zh-CN" w:bidi="ar-SA"/>
          <w14:textFill>
            <w14:solidFill>
              <w14:schemeClr w14:val="tx1"/>
            </w14:solidFill>
          </w14:textFill>
        </w:rPr>
        <w:t>商务商贸设施，主要为</w:t>
      </w:r>
      <w:r>
        <w:rPr>
          <w:rFonts w:hint="eastAsia" w:ascii="仿宋_GB2312" w:hAnsi="Calibri" w:eastAsia="仿宋_GB2312" w:cs="Times New Roman"/>
          <w:color w:val="000000" w:themeColor="text1"/>
          <w:sz w:val="32"/>
          <w:szCs w:val="32"/>
          <w:lang w:val="en-US" w:eastAsia="zh-CN" w:bidi="ar-SA"/>
          <w14:textFill>
            <w14:solidFill>
              <w14:schemeClr w14:val="tx1"/>
            </w14:solidFill>
          </w14:textFill>
        </w:rPr>
        <w:t>北部片区</w:t>
      </w:r>
      <w:r>
        <w:rPr>
          <w:rFonts w:hint="eastAsia" w:ascii="仿宋_GB2312" w:hAnsi="Calibri" w:eastAsia="仿宋_GB2312" w:cs="Times New Roman"/>
          <w:color w:val="000000" w:themeColor="text1"/>
          <w:sz w:val="32"/>
          <w:szCs w:val="32"/>
          <w:lang w:val="zh-CN" w:eastAsia="zh-CN" w:bidi="ar-SA"/>
          <w14:textFill>
            <w14:solidFill>
              <w14:schemeClr w14:val="tx1"/>
            </w14:solidFill>
          </w14:textFill>
        </w:rPr>
        <w:t>居住及</w:t>
      </w:r>
      <w:r>
        <w:rPr>
          <w:rFonts w:hint="eastAsia" w:ascii="仿宋_GB2312" w:hAnsi="Calibri" w:eastAsia="仿宋_GB2312" w:cs="Times New Roman"/>
          <w:color w:val="000000" w:themeColor="text1"/>
          <w:sz w:val="32"/>
          <w:szCs w:val="32"/>
          <w:lang w:val="en-US" w:eastAsia="zh-CN" w:bidi="ar-SA"/>
          <w14:textFill>
            <w14:solidFill>
              <w14:schemeClr w14:val="tx1"/>
            </w14:solidFill>
          </w14:textFill>
        </w:rPr>
        <w:t>产业集聚区</w:t>
      </w:r>
      <w:r>
        <w:rPr>
          <w:rFonts w:hint="eastAsia" w:ascii="仿宋_GB2312" w:hAnsi="Calibri" w:eastAsia="仿宋_GB2312" w:cs="Times New Roman"/>
          <w:color w:val="000000" w:themeColor="text1"/>
          <w:sz w:val="32"/>
          <w:szCs w:val="32"/>
          <w:lang w:val="zh-CN" w:eastAsia="zh-CN" w:bidi="ar-SA"/>
          <w14:textFill>
            <w14:solidFill>
              <w14:schemeClr w14:val="tx1"/>
            </w14:solidFill>
          </w14:textFill>
        </w:rPr>
        <w:t>进行配套</w:t>
      </w:r>
      <w:r>
        <w:rPr>
          <w:rFonts w:hint="eastAsia" w:ascii="仿宋_GB2312" w:hAnsi="Calibri" w:eastAsia="仿宋_GB2312" w:cs="Times New Roman"/>
          <w:color w:val="000000" w:themeColor="text1"/>
          <w:sz w:val="32"/>
          <w:szCs w:val="32"/>
          <w:lang w:val="en-US" w:eastAsia="zh-CN" w:bidi="ar-SA"/>
          <w14:textFill>
            <w14:solidFill>
              <w14:schemeClr w14:val="tx1"/>
            </w14:solidFill>
          </w14:textFill>
        </w:rPr>
        <w:t>服务；</w:t>
      </w:r>
      <w:r>
        <w:rPr>
          <w:rFonts w:hint="eastAsia" w:ascii="仿宋_GB2312" w:hAnsi="Calibri" w:eastAsia="仿宋_GB2312" w:cs="Times New Roman"/>
          <w:b/>
          <w:bCs/>
          <w:color w:val="000000" w:themeColor="text1"/>
          <w:sz w:val="32"/>
          <w:szCs w:val="32"/>
          <w:lang w:val="en-US" w:eastAsia="zh-CN" w:bidi="ar-SA"/>
          <w14:textFill>
            <w14:solidFill>
              <w14:schemeClr w14:val="tx1"/>
            </w14:solidFill>
          </w14:textFill>
        </w:rPr>
        <w:t>高水平构建“</w:t>
      </w:r>
      <w:r>
        <w:rPr>
          <w:rFonts w:hint="eastAsia" w:ascii="仿宋_GB2312" w:hAnsi="Calibri" w:eastAsia="仿宋_GB2312" w:cs="Times New Roman"/>
          <w:b/>
          <w:bCs/>
          <w:color w:val="000000" w:themeColor="text1"/>
          <w:sz w:val="32"/>
          <w:szCs w:val="32"/>
          <w:lang w:val="zh-CN" w:eastAsia="zh-CN" w:bidi="ar-SA"/>
          <w14:textFill>
            <w14:solidFill>
              <w14:schemeClr w14:val="tx1"/>
            </w14:solidFill>
          </w14:textFill>
        </w:rPr>
        <w:t>三片”：</w:t>
      </w:r>
      <w:r>
        <w:rPr>
          <w:rFonts w:hint="eastAsia" w:ascii="仿宋_GB2312" w:hAnsi="Calibri" w:eastAsia="仿宋_GB2312" w:cs="Times New Roman"/>
          <w:color w:val="000000" w:themeColor="text1"/>
          <w:sz w:val="32"/>
          <w:szCs w:val="32"/>
          <w:lang w:val="zh-CN" w:eastAsia="zh-CN" w:bidi="ar-SA"/>
          <w14:textFill>
            <w14:solidFill>
              <w14:schemeClr w14:val="tx1"/>
            </w14:solidFill>
          </w14:textFill>
        </w:rPr>
        <w:t>着力推动</w:t>
      </w:r>
      <w:r>
        <w:rPr>
          <w:rFonts w:hint="eastAsia" w:ascii="仿宋_GB2312" w:hAnsi="Calibri" w:eastAsia="仿宋_GB2312" w:cs="Times New Roman"/>
          <w:color w:val="000000" w:themeColor="text1"/>
          <w:sz w:val="32"/>
          <w:szCs w:val="32"/>
          <w:lang w:val="en-US" w:eastAsia="zh-CN" w:bidi="ar-SA"/>
          <w14:textFill>
            <w14:solidFill>
              <w14:schemeClr w14:val="tx1"/>
            </w14:solidFill>
          </w14:textFill>
        </w:rPr>
        <w:t>龙湖</w:t>
      </w:r>
      <w:r>
        <w:rPr>
          <w:rFonts w:hint="eastAsia" w:ascii="仿宋_GB2312" w:hAnsi="Calibri" w:eastAsia="仿宋_GB2312" w:cs="Times New Roman"/>
          <w:color w:val="000000" w:themeColor="text1"/>
          <w:sz w:val="32"/>
          <w:szCs w:val="32"/>
          <w:lang w:val="zh-CN" w:eastAsia="zh-CN" w:bidi="ar-SA"/>
          <w14:textFill>
            <w14:solidFill>
              <w14:schemeClr w14:val="tx1"/>
            </w14:solidFill>
          </w14:textFill>
        </w:rPr>
        <w:t>中心片、北环片、雒容片区发展，形成三大综合性产城融合区域。</w:t>
      </w:r>
      <w:r>
        <w:rPr>
          <w:rFonts w:hint="eastAsia" w:ascii="仿宋_GB2312" w:hAnsi="Calibri" w:eastAsia="仿宋_GB2312" w:cs="Times New Roman"/>
          <w:b/>
          <w:bCs/>
          <w:color w:val="000000" w:themeColor="text1"/>
          <w:sz w:val="32"/>
          <w:szCs w:val="32"/>
          <w:lang w:val="en-US" w:eastAsia="zh-CN" w:bidi="ar-SA"/>
          <w14:textFill>
            <w14:solidFill>
              <w14:schemeClr w14:val="tx1"/>
            </w14:solidFill>
          </w14:textFill>
        </w:rPr>
        <w:t>因地制宜打造“多节点”：</w:t>
      </w:r>
      <w:r>
        <w:rPr>
          <w:rFonts w:hint="eastAsia" w:ascii="仿宋_GB2312" w:hAnsi="仿宋" w:eastAsia="仿宋_GB2312"/>
          <w:color w:val="000000" w:themeColor="text1"/>
          <w:sz w:val="32"/>
          <w:szCs w:val="32"/>
          <w:lang w:val="en-US" w:eastAsia="zh-CN"/>
          <w14:textFill>
            <w14:solidFill>
              <w14:schemeClr w14:val="tx1"/>
            </w14:solidFill>
          </w14:textFill>
        </w:rPr>
        <w:t>突出</w:t>
      </w:r>
      <w:r>
        <w:rPr>
          <w:rFonts w:ascii="仿宋_GB2312" w:hAnsi="仿宋" w:eastAsia="仿宋_GB2312"/>
          <w:color w:val="000000" w:themeColor="text1"/>
          <w:sz w:val="32"/>
          <w:szCs w:val="32"/>
          <w14:textFill>
            <w14:solidFill>
              <w14:schemeClr w14:val="tx1"/>
            </w14:solidFill>
          </w14:textFill>
        </w:rPr>
        <w:t>具有</w:t>
      </w:r>
      <w:r>
        <w:rPr>
          <w:rFonts w:hint="eastAsia" w:ascii="仿宋_GB2312" w:hAnsi="仿宋" w:eastAsia="仿宋_GB2312"/>
          <w:color w:val="000000" w:themeColor="text1"/>
          <w:sz w:val="32"/>
          <w:szCs w:val="32"/>
          <w14:textFill>
            <w14:solidFill>
              <w14:schemeClr w14:val="tx1"/>
            </w14:solidFill>
          </w14:textFill>
        </w:rPr>
        <w:t>产业</w:t>
      </w:r>
      <w:r>
        <w:rPr>
          <w:rFonts w:ascii="仿宋_GB2312" w:hAnsi="仿宋" w:eastAsia="仿宋_GB2312"/>
          <w:color w:val="000000" w:themeColor="text1"/>
          <w:sz w:val="32"/>
          <w:szCs w:val="32"/>
          <w14:textFill>
            <w14:solidFill>
              <w14:schemeClr w14:val="tx1"/>
            </w14:solidFill>
          </w14:textFill>
        </w:rPr>
        <w:t>、生</w:t>
      </w:r>
      <w:r>
        <w:rPr>
          <w:rFonts w:hint="eastAsia" w:ascii="仿宋_GB2312" w:hAnsi="仿宋" w:eastAsia="仿宋_GB2312"/>
          <w:color w:val="000000" w:themeColor="text1"/>
          <w:sz w:val="32"/>
          <w:szCs w:val="32"/>
          <w:lang w:eastAsia="zh-CN"/>
          <w14:textFill>
            <w14:solidFill>
              <w14:schemeClr w14:val="tx1"/>
            </w14:solidFill>
          </w14:textFill>
        </w:rPr>
        <w:t>活</w:t>
      </w:r>
      <w:r>
        <w:rPr>
          <w:rFonts w:ascii="仿宋_GB2312" w:hAnsi="仿宋" w:eastAsia="仿宋_GB2312"/>
          <w:color w:val="000000" w:themeColor="text1"/>
          <w:sz w:val="32"/>
          <w:szCs w:val="32"/>
          <w14:textFill>
            <w14:solidFill>
              <w14:schemeClr w14:val="tx1"/>
            </w14:solidFill>
          </w14:textFill>
        </w:rPr>
        <w:t>、</w:t>
      </w:r>
      <w:r>
        <w:rPr>
          <w:rFonts w:hint="eastAsia" w:ascii="仿宋_GB2312" w:hAnsi="仿宋" w:eastAsia="仿宋_GB2312"/>
          <w:color w:val="000000" w:themeColor="text1"/>
          <w:sz w:val="32"/>
          <w:szCs w:val="32"/>
          <w:lang w:eastAsia="zh-CN"/>
          <w14:textFill>
            <w14:solidFill>
              <w14:schemeClr w14:val="tx1"/>
            </w14:solidFill>
          </w14:textFill>
        </w:rPr>
        <w:t>文化、生态</w:t>
      </w:r>
      <w:r>
        <w:rPr>
          <w:rFonts w:ascii="仿宋_GB2312" w:hAnsi="仿宋" w:eastAsia="仿宋_GB2312"/>
          <w:color w:val="000000" w:themeColor="text1"/>
          <w:sz w:val="32"/>
          <w:szCs w:val="32"/>
          <w14:textFill>
            <w14:solidFill>
              <w14:schemeClr w14:val="tx1"/>
            </w14:solidFill>
          </w14:textFill>
        </w:rPr>
        <w:t>等</w:t>
      </w:r>
      <w:r>
        <w:rPr>
          <w:rFonts w:hint="eastAsia" w:ascii="仿宋_GB2312" w:hAnsi="仿宋" w:eastAsia="仿宋_GB2312"/>
          <w:color w:val="000000" w:themeColor="text1"/>
          <w:sz w:val="32"/>
          <w:szCs w:val="32"/>
          <w14:textFill>
            <w14:solidFill>
              <w14:schemeClr w14:val="tx1"/>
            </w14:solidFill>
          </w14:textFill>
        </w:rPr>
        <w:t>特色</w:t>
      </w:r>
      <w:r>
        <w:rPr>
          <w:rFonts w:hint="eastAsia" w:ascii="仿宋_GB2312" w:hAnsi="仿宋" w:eastAsia="仿宋_GB2312"/>
          <w:color w:val="000000" w:themeColor="text1"/>
          <w:sz w:val="32"/>
          <w:szCs w:val="32"/>
          <w:lang w:eastAsia="zh-CN"/>
          <w14:textFill>
            <w14:solidFill>
              <w14:schemeClr w14:val="tx1"/>
            </w14:solidFill>
          </w14:textFill>
        </w:rPr>
        <w:t>明显的</w:t>
      </w:r>
      <w:r>
        <w:rPr>
          <w:rFonts w:hint="eastAsia" w:ascii="仿宋_GB2312" w:hAnsi="仿宋" w:eastAsia="仿宋_GB2312"/>
          <w:color w:val="000000" w:themeColor="text1"/>
          <w:sz w:val="32"/>
          <w:szCs w:val="32"/>
          <w14:textFill>
            <w14:solidFill>
              <w14:schemeClr w14:val="tx1"/>
            </w14:solidFill>
          </w14:textFill>
        </w:rPr>
        <w:t>片区</w:t>
      </w:r>
      <w:r>
        <w:rPr>
          <w:rFonts w:ascii="仿宋_GB2312" w:hAnsi="仿宋" w:eastAsia="仿宋_GB2312"/>
          <w:color w:val="000000" w:themeColor="text1"/>
          <w:sz w:val="32"/>
          <w:szCs w:val="32"/>
          <w14:textFill>
            <w14:solidFill>
              <w14:schemeClr w14:val="tx1"/>
            </w14:solidFill>
          </w14:textFill>
        </w:rPr>
        <w:t>，</w:t>
      </w:r>
      <w:r>
        <w:rPr>
          <w:rFonts w:hint="eastAsia" w:ascii="仿宋_GB2312" w:hAnsi="仿宋" w:eastAsia="仿宋_GB2312"/>
          <w:color w:val="000000" w:themeColor="text1"/>
          <w:sz w:val="32"/>
          <w:szCs w:val="32"/>
          <w14:textFill>
            <w14:solidFill>
              <w14:schemeClr w14:val="tx1"/>
            </w14:solidFill>
          </w14:textFill>
        </w:rPr>
        <w:t>打造多个空间</w:t>
      </w:r>
      <w:r>
        <w:rPr>
          <w:rFonts w:ascii="仿宋_GB2312" w:hAnsi="仿宋" w:eastAsia="仿宋_GB2312"/>
          <w:color w:val="000000" w:themeColor="text1"/>
          <w:sz w:val="32"/>
          <w:szCs w:val="32"/>
          <w14:textFill>
            <w14:solidFill>
              <w14:schemeClr w14:val="tx1"/>
            </w14:solidFill>
          </w14:textFill>
        </w:rPr>
        <w:t>布局</w:t>
      </w:r>
      <w:r>
        <w:rPr>
          <w:rFonts w:hint="eastAsia" w:ascii="仿宋_GB2312" w:hAnsi="仿宋" w:eastAsia="仿宋_GB2312"/>
          <w:color w:val="000000" w:themeColor="text1"/>
          <w:sz w:val="32"/>
          <w:szCs w:val="32"/>
          <w:lang w:eastAsia="zh-CN"/>
          <w14:textFill>
            <w14:solidFill>
              <w14:schemeClr w14:val="tx1"/>
            </w14:solidFill>
          </w14:textFill>
        </w:rPr>
        <w:t>合理</w:t>
      </w:r>
      <w:r>
        <w:rPr>
          <w:rFonts w:hint="eastAsia" w:ascii="仿宋_GB2312" w:hAnsi="仿宋" w:eastAsia="仿宋_GB2312"/>
          <w:color w:val="000000" w:themeColor="text1"/>
          <w:sz w:val="32"/>
          <w:szCs w:val="32"/>
          <w14:textFill>
            <w14:solidFill>
              <w14:schemeClr w14:val="tx1"/>
            </w14:solidFill>
          </w14:textFill>
        </w:rPr>
        <w:t>的城市</w:t>
      </w:r>
      <w:r>
        <w:rPr>
          <w:rFonts w:ascii="仿宋_GB2312" w:hAnsi="仿宋" w:eastAsia="仿宋_GB2312"/>
          <w:color w:val="000000" w:themeColor="text1"/>
          <w:sz w:val="32"/>
          <w:szCs w:val="32"/>
          <w14:textFill>
            <w14:solidFill>
              <w14:schemeClr w14:val="tx1"/>
            </w14:solidFill>
          </w14:textFill>
        </w:rPr>
        <w:t>发展节点</w:t>
      </w:r>
      <w:r>
        <w:rPr>
          <w:rFonts w:hint="eastAsia" w:ascii="仿宋_GB2312" w:hAnsi="仿宋" w:eastAsia="仿宋_GB2312"/>
          <w:color w:val="000000" w:themeColor="text1"/>
          <w:sz w:val="32"/>
          <w:szCs w:val="32"/>
          <w14:textFill>
            <w14:solidFill>
              <w14:schemeClr w14:val="tx1"/>
            </w14:solidFill>
          </w14:textFill>
        </w:rPr>
        <w:t>，</w:t>
      </w:r>
      <w:r>
        <w:rPr>
          <w:rFonts w:hint="eastAsia" w:ascii="仿宋_GB2312" w:hAnsi="Calibri" w:eastAsia="仿宋_GB2312" w:cs="Times New Roman"/>
          <w:color w:val="000000" w:themeColor="text1"/>
          <w:sz w:val="32"/>
          <w:szCs w:val="32"/>
          <w:lang w:val="en-US" w:eastAsia="zh-CN" w:bidi="ar-SA"/>
          <w14:textFill>
            <w14:solidFill>
              <w14:schemeClr w14:val="tx1"/>
            </w14:solidFill>
          </w14:textFill>
        </w:rPr>
        <w:t>重点推进</w:t>
      </w:r>
      <w:r>
        <w:rPr>
          <w:rFonts w:hint="eastAsia" w:ascii="仿宋_GB2312" w:hAnsi="Calibri" w:eastAsia="仿宋_GB2312" w:cs="Times New Roman"/>
          <w:color w:val="000000" w:themeColor="text1"/>
          <w:sz w:val="32"/>
          <w:szCs w:val="32"/>
          <w:lang w:val="zh-CN" w:eastAsia="zh-CN" w:bidi="ar-SA"/>
          <w14:textFill>
            <w14:solidFill>
              <w14:schemeClr w14:val="tx1"/>
            </w14:solidFill>
          </w14:textFill>
        </w:rPr>
        <w:t>“滨江智谷”、三门江大桥东岸门户区建设，推动花岭片区、会展中心及周边片区、秀水北片区和职教园东侧片区等控制性详细规划的调整，重构片区发展定位和功能，实现新区协调均衡发展。</w:t>
      </w:r>
      <w:r>
        <w:rPr>
          <w:rFonts w:hint="eastAsia" w:ascii="仿宋_GB2312" w:eastAsia="仿宋_GB2312" w:hAnsiTheme="minorHAnsi" w:cstheme="minorBidi"/>
          <w:color w:val="000000" w:themeColor="text1"/>
          <w:sz w:val="32"/>
          <w:szCs w:val="32"/>
          <w:lang w:val="en-US" w:eastAsia="zh-CN" w:bidi="ar-SA"/>
          <w14:textFill>
            <w14:solidFill>
              <w14:schemeClr w14:val="tx1"/>
            </w14:solidFill>
          </w14:textFill>
        </w:rPr>
        <w:t>启动新区</w:t>
      </w:r>
      <w:r>
        <w:rPr>
          <w:rFonts w:hint="eastAsia" w:ascii="仿宋_GB2312" w:eastAsia="仿宋_GB2312" w:hAnsiTheme="minorHAnsi" w:cstheme="minorBidi"/>
          <w:color w:val="000000" w:themeColor="text1"/>
          <w:sz w:val="32"/>
          <w:szCs w:val="32"/>
          <w:lang w:val="zh-CN" w:eastAsia="zh-CN" w:bidi="ar-SA"/>
          <w14:textFill>
            <w14:solidFill>
              <w14:schemeClr w14:val="tx1"/>
            </w14:solidFill>
          </w14:textFill>
        </w:rPr>
        <w:t>东扩发展规划研究，推动</w:t>
      </w:r>
      <w:r>
        <w:rPr>
          <w:rFonts w:hint="eastAsia" w:ascii="仿宋_GB2312" w:eastAsia="仿宋_GB2312" w:hAnsiTheme="minorHAnsi" w:cstheme="minorBidi"/>
          <w:color w:val="000000" w:themeColor="text1"/>
          <w:sz w:val="32"/>
          <w:szCs w:val="32"/>
          <w:lang w:val="en-US" w:eastAsia="zh-CN" w:bidi="ar-SA"/>
          <w14:textFill>
            <w14:solidFill>
              <w14:schemeClr w14:val="tx1"/>
            </w14:solidFill>
          </w14:textFill>
        </w:rPr>
        <w:t>新区城市</w:t>
      </w:r>
      <w:r>
        <w:rPr>
          <w:rFonts w:hint="eastAsia" w:ascii="仿宋_GB2312" w:eastAsia="仿宋_GB2312" w:hAnsiTheme="minorHAnsi" w:cstheme="minorBidi"/>
          <w:color w:val="000000" w:themeColor="text1"/>
          <w:sz w:val="32"/>
          <w:szCs w:val="32"/>
          <w:lang w:val="zh-CN" w:eastAsia="zh-CN" w:bidi="ar-SA"/>
          <w14:textFill>
            <w14:solidFill>
              <w14:schemeClr w14:val="tx1"/>
            </w14:solidFill>
          </w14:textFill>
        </w:rPr>
        <w:t>向江口、导江方向发展，加快</w:t>
      </w:r>
      <w:r>
        <w:rPr>
          <w:rFonts w:hint="eastAsia" w:ascii="仿宋_GB2312" w:eastAsia="仿宋_GB2312" w:hAnsiTheme="minorHAnsi" w:cstheme="minorBidi"/>
          <w:color w:val="000000" w:themeColor="text1"/>
          <w:sz w:val="32"/>
          <w:szCs w:val="32"/>
          <w:lang w:val="en-US" w:eastAsia="zh-CN" w:bidi="ar-SA"/>
          <w14:textFill>
            <w14:solidFill>
              <w14:schemeClr w14:val="tx1"/>
            </w14:solidFill>
          </w14:textFill>
        </w:rPr>
        <w:t>片区</w:t>
      </w:r>
      <w:r>
        <w:rPr>
          <w:rFonts w:hint="eastAsia" w:ascii="仿宋_GB2312" w:eastAsia="仿宋_GB2312" w:hAnsiTheme="minorHAnsi" w:cstheme="minorBidi"/>
          <w:color w:val="000000" w:themeColor="text1"/>
          <w:sz w:val="32"/>
          <w:szCs w:val="32"/>
          <w:lang w:val="zh-CN" w:eastAsia="zh-CN" w:bidi="ar-SA"/>
          <w14:textFill>
            <w14:solidFill>
              <w14:schemeClr w14:val="tx1"/>
            </w14:solidFill>
          </w14:textFill>
        </w:rPr>
        <w:t>路网等基础设施建设。</w:t>
      </w:r>
      <w:r>
        <w:rPr>
          <w:rFonts w:hint="eastAsia" w:ascii="仿宋_GB2312" w:eastAsia="仿宋_GB2312" w:hAnsiTheme="minorHAnsi" w:cstheme="minorBidi"/>
          <w:color w:val="000000" w:themeColor="text1"/>
          <w:sz w:val="32"/>
          <w:szCs w:val="32"/>
          <w:lang w:val="en-US" w:eastAsia="zh-CN" w:bidi="ar-SA"/>
          <w14:textFill>
            <w14:solidFill>
              <w14:schemeClr w14:val="tx1"/>
            </w14:solidFill>
          </w14:textFill>
        </w:rPr>
        <w:t>拓展柳东新区发展空间</w:t>
      </w:r>
      <w:r>
        <w:rPr>
          <w:rFonts w:hint="eastAsia" w:ascii="仿宋_GB2312" w:eastAsia="仿宋_GB2312" w:hAnsiTheme="minorHAnsi" w:cstheme="minorBidi"/>
          <w:color w:val="000000" w:themeColor="text1"/>
          <w:sz w:val="32"/>
          <w:szCs w:val="32"/>
          <w:lang w:val="zh-CN" w:eastAsia="zh-CN" w:bidi="ar-SA"/>
          <w14:textFill>
            <w14:solidFill>
              <w14:schemeClr w14:val="tx1"/>
            </w14:solidFill>
          </w14:textFill>
        </w:rPr>
        <w:t>。</w:t>
      </w:r>
    </w:p>
    <w:tbl>
      <w:tblPr>
        <w:tblStyle w:val="18"/>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Borders>
              <w:top w:val="single" w:color="auto" w:sz="4" w:space="0"/>
              <w:left w:val="single" w:color="auto" w:sz="4" w:space="0"/>
              <w:bottom w:val="single" w:color="auto" w:sz="4" w:space="0"/>
              <w:right w:val="single" w:color="auto" w:sz="4" w:space="0"/>
              <w:tl2br w:val="nil"/>
              <w:tr2bl w:val="nil"/>
            </w:tcBorders>
          </w:tcPr>
          <w:p>
            <w:pPr>
              <w:pStyle w:val="9"/>
              <w:spacing w:beforeLines="50" w:afterLines="50" w:line="360" w:lineRule="auto"/>
              <w:jc w:val="center"/>
              <w:rPr>
                <w:rFonts w:ascii="宋体" w:hAnsi="宋体"/>
                <w:b/>
                <w:color w:val="000000" w:themeColor="text1"/>
                <w:sz w:val="44"/>
                <w14:textFill>
                  <w14:solidFill>
                    <w14:schemeClr w14:val="tx1"/>
                  </w14:solidFill>
                </w14:textFill>
              </w:rPr>
            </w:pPr>
            <w:r>
              <w:rPr>
                <w:rFonts w:hint="eastAsia" w:ascii="宋体" w:hAnsi="宋体"/>
                <w:b/>
                <w:color w:val="000000" w:themeColor="text1"/>
                <w14:textFill>
                  <w14:solidFill>
                    <w14:schemeClr w14:val="tx1"/>
                  </w14:solidFill>
                </w14:textFill>
              </w:rPr>
              <w:t>专栏5-1 “多节点”建设重点</w:t>
            </w:r>
          </w:p>
          <w:p>
            <w:pPr>
              <w:pStyle w:val="9"/>
              <w:ind w:firstLine="422" w:firstLineChars="200"/>
              <w:rPr>
                <w:rFonts w:asciiTheme="minorEastAsia" w:hAnsiTheme="minorEastAsia" w:cstheme="minorEastAsia"/>
                <w:color w:val="000000" w:themeColor="text1"/>
                <w14:textFill>
                  <w14:solidFill>
                    <w14:schemeClr w14:val="tx1"/>
                  </w14:solidFill>
                </w14:textFill>
              </w:rPr>
            </w:pPr>
            <w:r>
              <w:rPr>
                <w:rFonts w:hint="eastAsia" w:asciiTheme="minorEastAsia" w:hAnsiTheme="minorEastAsia" w:cstheme="minorEastAsia"/>
                <w:b/>
                <w:bCs/>
                <w:color w:val="000000" w:themeColor="text1"/>
                <w14:textFill>
                  <w14:solidFill>
                    <w14:schemeClr w14:val="tx1"/>
                  </w14:solidFill>
                </w14:textFill>
              </w:rPr>
              <w:t>滨江智谷:</w:t>
            </w:r>
            <w:r>
              <w:rPr>
                <w:rFonts w:hint="eastAsia" w:asciiTheme="minorEastAsia" w:hAnsiTheme="minorEastAsia" w:cstheme="minorEastAsia"/>
                <w:color w:val="000000" w:themeColor="text1"/>
                <w14:textFill>
                  <w14:solidFill>
                    <w14:schemeClr w14:val="tx1"/>
                  </w14:solidFill>
                </w14:textFill>
              </w:rPr>
              <w:t>完善市政基础、人居项目、生态环境、公共服务等设施建设，增强资源集聚能力，建成立足柳东、面向柳州、辐射西南、东融大湾区、连接东盟—欧盟的科创综合体；</w:t>
            </w:r>
          </w:p>
          <w:p>
            <w:pPr>
              <w:pStyle w:val="9"/>
              <w:ind w:firstLine="422" w:firstLineChars="200"/>
              <w:rPr>
                <w:rFonts w:asciiTheme="minorEastAsia" w:hAnsiTheme="minorEastAsia" w:cstheme="minorEastAsia"/>
                <w:color w:val="000000" w:themeColor="text1"/>
                <w14:textFill>
                  <w14:solidFill>
                    <w14:schemeClr w14:val="tx1"/>
                  </w14:solidFill>
                </w14:textFill>
              </w:rPr>
            </w:pPr>
            <w:r>
              <w:rPr>
                <w:rFonts w:hint="eastAsia" w:asciiTheme="minorEastAsia" w:hAnsiTheme="minorEastAsia" w:cstheme="minorEastAsia"/>
                <w:b/>
                <w:bCs/>
                <w:color w:val="000000" w:themeColor="text1"/>
                <w14:textFill>
                  <w14:solidFill>
                    <w14:schemeClr w14:val="tx1"/>
                  </w14:solidFill>
                </w14:textFill>
              </w:rPr>
              <w:t>三门江大桥东岸门户区域:</w:t>
            </w:r>
            <w:r>
              <w:rPr>
                <w:rFonts w:hint="eastAsia" w:asciiTheme="minorEastAsia" w:hAnsiTheme="minorEastAsia" w:cstheme="minorEastAsia"/>
                <w:color w:val="000000" w:themeColor="text1"/>
                <w14:textFill>
                  <w14:solidFill>
                    <w14:schemeClr w14:val="tx1"/>
                  </w14:solidFill>
                </w14:textFill>
              </w:rPr>
              <w:t>大力进行环境美化，促进品质提升，完善居住、商务、休闲等多元化功能，打造新区商务新地标；</w:t>
            </w:r>
          </w:p>
          <w:p>
            <w:pPr>
              <w:pStyle w:val="9"/>
              <w:adjustRightInd w:val="0"/>
              <w:spacing w:after="0"/>
              <w:ind w:firstLine="422" w:firstLineChars="200"/>
              <w:rPr>
                <w:color w:val="000000" w:themeColor="text1"/>
                <w14:textFill>
                  <w14:solidFill>
                    <w14:schemeClr w14:val="tx1"/>
                  </w14:solidFill>
                </w14:textFill>
              </w:rPr>
            </w:pPr>
            <w:r>
              <w:rPr>
                <w:rFonts w:hint="eastAsia" w:asciiTheme="minorEastAsia" w:hAnsiTheme="minorEastAsia" w:cstheme="minorEastAsia"/>
                <w:b/>
                <w:bCs/>
                <w:color w:val="000000" w:themeColor="text1"/>
                <w14:textFill>
                  <w14:solidFill>
                    <w14:schemeClr w14:val="tx1"/>
                  </w14:solidFill>
                </w14:textFill>
              </w:rPr>
              <w:t>秀水北片区:</w:t>
            </w:r>
            <w:r>
              <w:rPr>
                <w:rFonts w:hint="eastAsia" w:asciiTheme="minorEastAsia" w:hAnsiTheme="minorEastAsia" w:cstheme="minorEastAsia"/>
                <w:color w:val="000000" w:themeColor="text1"/>
                <w14:textFill>
                  <w14:solidFill>
                    <w14:schemeClr w14:val="tx1"/>
                  </w14:solidFill>
                </w14:textFill>
              </w:rPr>
              <w:t>调整为集中成连片的产业用地为产业发展提供空间，巩固柳东新区的产业链；加快北部片区生活配套和邻里中心建设，打造便民生活圈。</w:t>
            </w:r>
          </w:p>
        </w:tc>
      </w:tr>
    </w:tbl>
    <w:p>
      <w:pPr>
        <w:pStyle w:val="5"/>
        <w:spacing w:before="0" w:after="0" w:line="240" w:lineRule="auto"/>
        <w:ind w:firstLine="640" w:firstLineChars="200"/>
        <w:rPr>
          <w:rFonts w:ascii="黑体" w:hAnsi="黑体" w:eastAsia="黑体" w:cs="Times New Roman"/>
          <w:b w:val="0"/>
          <w:color w:val="000000" w:themeColor="text1"/>
          <w14:textFill>
            <w14:solidFill>
              <w14:schemeClr w14:val="tx1"/>
            </w14:solidFill>
          </w14:textFill>
        </w:rPr>
      </w:pPr>
      <w:r>
        <w:rPr>
          <w:rFonts w:hint="eastAsia" w:ascii="黑体" w:hAnsi="黑体" w:eastAsia="黑体" w:cs="Times New Roman"/>
          <w:b w:val="0"/>
          <w:color w:val="000000" w:themeColor="text1"/>
          <w14:textFill>
            <w14:solidFill>
              <w14:schemeClr w14:val="tx1"/>
            </w14:solidFill>
          </w14:textFill>
        </w:rPr>
        <w:t>二、强化空间治理和空间管控</w:t>
      </w:r>
    </w:p>
    <w:p>
      <w:pPr>
        <w:pStyle w:val="28"/>
        <w:spacing w:line="240" w:lineRule="auto"/>
        <w:ind w:firstLine="640" w:firstLineChars="200"/>
        <w:rPr>
          <w:rFonts w:ascii="仿宋_GB2312" w:eastAsia="仿宋_GB2312" w:hAnsiTheme="minorHAnsi" w:cstheme="minorBidi"/>
          <w:color w:val="000000" w:themeColor="text1"/>
          <w:sz w:val="32"/>
          <w:szCs w:val="32"/>
          <w:lang w:val="zh-CN" w:eastAsia="zh-CN" w:bidi="ar-SA"/>
          <w14:textFill>
            <w14:solidFill>
              <w14:schemeClr w14:val="tx1"/>
            </w14:solidFill>
          </w14:textFill>
        </w:rPr>
      </w:pPr>
      <w:r>
        <w:rPr>
          <w:rFonts w:hint="eastAsia" w:ascii="仿宋_GB2312" w:eastAsia="仿宋_GB2312" w:hAnsiTheme="minorHAnsi" w:cstheme="minorBidi"/>
          <w:color w:val="000000" w:themeColor="text1"/>
          <w:sz w:val="32"/>
          <w:szCs w:val="32"/>
          <w:lang w:val="zh-CN" w:eastAsia="zh-CN" w:bidi="ar-SA"/>
          <w14:textFill>
            <w14:solidFill>
              <w14:schemeClr w14:val="tx1"/>
            </w14:solidFill>
          </w14:textFill>
        </w:rPr>
        <w:t>坚持生态环境保护优先，在国土空间分区规划中落实“三区三线”刚性约束，严守全市划定的生态保护红线和永久基本农田控制线，科学、高效、集约利用城镇开发建设空间。统筹建设空间和山水林田湖草非建设空间，协调差异，探索全域全要素的国土空间规划分区划定方法及管制规则。配合全市推进“三线一单”编制工作，构建新区“三线一单”生态环境管控体系，以在保护中开发，在开发中保护为原则，</w:t>
      </w:r>
      <w:r>
        <w:rPr>
          <w:rFonts w:ascii="Times New Roman" w:hAnsi="Times New Roman" w:eastAsia="仿宋"/>
          <w:color w:val="000000" w:themeColor="text1"/>
          <w:sz w:val="32"/>
          <w:szCs w:val="32"/>
          <w14:textFill>
            <w14:solidFill>
              <w14:schemeClr w14:val="tx1"/>
            </w14:solidFill>
          </w14:textFill>
        </w:rPr>
        <w:t>筑牢生态安全屏障和筑牢水环境安全屏障</w:t>
      </w:r>
      <w:r>
        <w:rPr>
          <w:rFonts w:hint="eastAsia" w:ascii="仿宋_GB2312" w:eastAsia="仿宋_GB2312" w:hAnsiTheme="minorHAnsi" w:cstheme="minorBidi"/>
          <w:color w:val="000000" w:themeColor="text1"/>
          <w:sz w:val="32"/>
          <w:szCs w:val="32"/>
          <w:lang w:val="zh-CN" w:eastAsia="zh-CN" w:bidi="ar-SA"/>
          <w14:textFill>
            <w14:solidFill>
              <w14:schemeClr w14:val="tx1"/>
            </w14:solidFill>
          </w14:textFill>
        </w:rPr>
        <w:t>。对历史建筑与历史风貌区划定紫线，全面保护区内重点保护建筑、空间、肌理、环境和非物质文化遗产。加快雒容镇行政区域界线、洛埠街道撤镇设街后的行政区域调整。拉大城市框架，加快城市发展的规划、开发、建设。</w:t>
      </w:r>
    </w:p>
    <w:p>
      <w:pPr>
        <w:pStyle w:val="5"/>
        <w:spacing w:before="0" w:after="0" w:line="240" w:lineRule="auto"/>
        <w:ind w:firstLine="640" w:firstLineChars="200"/>
        <w:rPr>
          <w:rFonts w:ascii="黑体" w:hAnsi="黑体" w:eastAsia="黑体" w:cs="Times New Roman"/>
          <w:b w:val="0"/>
          <w:color w:val="000000" w:themeColor="text1"/>
          <w14:textFill>
            <w14:solidFill>
              <w14:schemeClr w14:val="tx1"/>
            </w14:solidFill>
          </w14:textFill>
        </w:rPr>
      </w:pPr>
      <w:r>
        <w:rPr>
          <w:rFonts w:hint="eastAsia" w:ascii="黑体" w:hAnsi="黑体" w:eastAsia="黑体" w:cs="Times New Roman"/>
          <w:b w:val="0"/>
          <w:color w:val="000000" w:themeColor="text1"/>
          <w14:textFill>
            <w14:solidFill>
              <w14:schemeClr w14:val="tx1"/>
            </w14:solidFill>
          </w14:textFill>
        </w:rPr>
        <w:t>三、高效集约利用好土地资源</w:t>
      </w:r>
    </w:p>
    <w:p>
      <w:pPr>
        <w:pStyle w:val="29"/>
        <w:ind w:firstLine="640"/>
        <w:rPr>
          <w:rFonts w:ascii="仿宋_GB2312" w:hAnsi="Calibri" w:eastAsia="仿宋_GB2312" w:cs="Times New Roman"/>
          <w:color w:val="000000" w:themeColor="text1"/>
          <w:sz w:val="32"/>
          <w:szCs w:val="32"/>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加快土地整备、收储和连片老旧工业区的改造升级，积极推动桂中监狱五期等国有土地调整处置工作，确保各片区主、次道路配套路网有序布局，以及一汽解放、国轩高科等重大项目建设发展需求，积极推动雒容工业园东区搬迁工作，做好曙光大道延长线土地收储工作。完善已征未用土地管理方式，</w:t>
      </w:r>
      <w:r>
        <w:rPr>
          <w:rFonts w:hint="eastAsia" w:ascii="仿宋_GB2312" w:hAnsi="仿宋" w:eastAsia="仿宋_GB2312"/>
          <w:color w:val="000000" w:themeColor="text1"/>
          <w:sz w:val="32"/>
          <w:szCs w:val="32"/>
          <w14:textFill>
            <w14:solidFill>
              <w14:schemeClr w14:val="tx1"/>
            </w14:solidFill>
          </w14:textFill>
        </w:rPr>
        <w:t>对低效利用土地采取征收、收购、委托收购、协议收购等多种手段，纳入土地储备。积极探索</w:t>
      </w:r>
      <w:r>
        <w:rPr>
          <w:rFonts w:hint="eastAsia" w:ascii="仿宋_GB2312" w:eastAsia="仿宋_GB2312"/>
          <w:color w:val="000000" w:themeColor="text1"/>
          <w:sz w:val="32"/>
          <w:szCs w:val="32"/>
          <w14:textFill>
            <w14:solidFill>
              <w14:schemeClr w14:val="tx1"/>
            </w14:solidFill>
          </w14:textFill>
        </w:rPr>
        <w:t>预征地管理难题、林地交地及监管问题，加快土地报批周期。引导分散式、作坊式工业生产空间入园集中发展，提升工业用地产出效率和</w:t>
      </w:r>
      <w:r>
        <w:rPr>
          <w:rFonts w:hint="eastAsia" w:ascii="仿宋_GB2312" w:hAnsi="Calibri" w:eastAsia="仿宋_GB2312" w:cs="Times New Roman"/>
          <w:color w:val="000000" w:themeColor="text1"/>
          <w:sz w:val="32"/>
          <w:szCs w:val="32"/>
          <w14:textFill>
            <w14:solidFill>
              <w14:schemeClr w14:val="tx1"/>
            </w14:solidFill>
          </w14:textFill>
        </w:rPr>
        <w:t>工业园区地均产出效益。以优化农业空间为抓手，提高粮食生产功能区和重要农产品生产保护区等的生产效率和产出水平。</w:t>
      </w:r>
    </w:p>
    <w:p>
      <w:pPr>
        <w:pStyle w:val="5"/>
        <w:spacing w:before="0" w:after="0" w:line="240" w:lineRule="auto"/>
        <w:ind w:firstLine="640" w:firstLineChars="200"/>
        <w:rPr>
          <w:rFonts w:ascii="黑体" w:hAnsi="黑体" w:eastAsia="黑体" w:cs="Times New Roman"/>
          <w:b w:val="0"/>
          <w:color w:val="000000" w:themeColor="text1"/>
          <w14:textFill>
            <w14:solidFill>
              <w14:schemeClr w14:val="tx1"/>
            </w14:solidFill>
          </w14:textFill>
        </w:rPr>
      </w:pPr>
      <w:r>
        <w:rPr>
          <w:rFonts w:hint="eastAsia" w:ascii="黑体" w:hAnsi="黑体" w:eastAsia="黑体" w:cs="Times New Roman"/>
          <w:b w:val="0"/>
          <w:color w:val="000000" w:themeColor="text1"/>
          <w14:textFill>
            <w14:solidFill>
              <w14:schemeClr w14:val="tx1"/>
            </w14:solidFill>
          </w14:textFill>
        </w:rPr>
        <w:t>四、提高城区承载力推动人口聚集</w:t>
      </w:r>
    </w:p>
    <w:p>
      <w:pPr>
        <w:pStyle w:val="29"/>
        <w:ind w:firstLine="640"/>
        <w:rPr>
          <w:rFonts w:ascii="仿宋_GB2312" w:eastAsia="仿宋_GB2312"/>
          <w:color w:val="000000" w:themeColor="text1"/>
          <w:sz w:val="32"/>
          <w:szCs w:val="32"/>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建立经济发展与扩大就业联动机制，完善就业创业政策体系，不断提升新区综合承载力，广泛吸引人口落户。加快推动科技服务、现代物流、会展经济、文旅休闲、新型消费等现代服务业快速发展，通过增加就业带动人气集聚，为新区繁荣发展奠定基础。提升创业带动就业能力，加强就业政策与产业、财税、金融等政策的衔接。依托新区国家级“双创”基地等平台，着力构筑“双创”生态链，不断完善“创业苗圃+孵化器+加速器”孵化体系，吸引更多的中小微型企业入驻新区，推动校地合作共建产教融合共享空间，推进立体孵化扶持创业企业梯度发展，带动不同层次的人才在新区集聚。全面放开落户限制，大力推进农业转移人口自由便捷落户，着力提高农业转移人口就业率。积极改善人居环境，进一步提升新区整体城市形象，紧盯市民最关心的实际问题，大力完善就业、就学、教育、卫生等公共服务，努力建设一批知名的学校和综合性医院、品牌专科医院，对周边区域形成良好的辐射吸引力，吸引河池、来宾</w:t>
      </w:r>
      <w:r>
        <w:rPr>
          <w:rFonts w:hint="eastAsia" w:ascii="仿宋_GB2312" w:eastAsia="仿宋_GB2312"/>
          <w:color w:val="000000" w:themeColor="text1"/>
          <w:sz w:val="32"/>
          <w:szCs w:val="32"/>
          <w:lang w:eastAsia="zh-CN"/>
          <w14:textFill>
            <w14:solidFill>
              <w14:schemeClr w14:val="tx1"/>
            </w14:solidFill>
          </w14:textFill>
        </w:rPr>
        <w:t>以及周边</w:t>
      </w:r>
      <w:r>
        <w:rPr>
          <w:rFonts w:hint="eastAsia" w:ascii="仿宋_GB2312" w:eastAsia="仿宋_GB2312"/>
          <w:color w:val="000000" w:themeColor="text1"/>
          <w:sz w:val="32"/>
          <w:szCs w:val="32"/>
          <w14:textFill>
            <w14:solidFill>
              <w14:schemeClr w14:val="tx1"/>
            </w14:solidFill>
          </w14:textFill>
        </w:rPr>
        <w:t>地</w:t>
      </w:r>
      <w:r>
        <w:rPr>
          <w:rFonts w:hint="eastAsia" w:ascii="仿宋_GB2312" w:eastAsia="仿宋_GB2312"/>
          <w:color w:val="000000" w:themeColor="text1"/>
          <w:sz w:val="32"/>
          <w:szCs w:val="32"/>
          <w:lang w:eastAsia="zh-CN"/>
          <w14:textFill>
            <w14:solidFill>
              <w14:schemeClr w14:val="tx1"/>
            </w14:solidFill>
          </w14:textFill>
        </w:rPr>
        <w:t>区</w:t>
      </w:r>
      <w:r>
        <w:rPr>
          <w:rFonts w:hint="eastAsia" w:ascii="仿宋_GB2312" w:eastAsia="仿宋_GB2312"/>
          <w:color w:val="000000" w:themeColor="text1"/>
          <w:sz w:val="32"/>
          <w:szCs w:val="32"/>
          <w14:textFill>
            <w14:solidFill>
              <w14:schemeClr w14:val="tx1"/>
            </w14:solidFill>
          </w14:textFill>
        </w:rPr>
        <w:t>更多的人</w:t>
      </w:r>
      <w:r>
        <w:rPr>
          <w:rFonts w:hint="eastAsia" w:ascii="仿宋_GB2312" w:eastAsia="仿宋_GB2312"/>
          <w:color w:val="000000" w:themeColor="text1"/>
          <w:sz w:val="32"/>
          <w:szCs w:val="32"/>
          <w:lang w:eastAsia="zh-CN"/>
          <w14:textFill>
            <w14:solidFill>
              <w14:schemeClr w14:val="tx1"/>
            </w14:solidFill>
          </w14:textFill>
        </w:rPr>
        <w:t>口</w:t>
      </w:r>
      <w:r>
        <w:rPr>
          <w:rFonts w:hint="eastAsia" w:ascii="仿宋_GB2312" w:eastAsia="仿宋_GB2312"/>
          <w:color w:val="000000" w:themeColor="text1"/>
          <w:sz w:val="32"/>
          <w:szCs w:val="32"/>
          <w14:textFill>
            <w14:solidFill>
              <w14:schemeClr w14:val="tx1"/>
            </w14:solidFill>
          </w14:textFill>
        </w:rPr>
        <w:t>到新区就医就学和安家立业。到2025年，新区常住人口预期达30万人，常住人口城镇化率预期达75%。</w:t>
      </w:r>
    </w:p>
    <w:p>
      <w:pPr>
        <w:pStyle w:val="4"/>
        <w:jc w:val="center"/>
        <w:rPr>
          <w:rFonts w:hint="eastAsia" w:ascii="黑体" w:hAnsi="黑体" w:eastAsia="黑体" w:cs="Times New Roman"/>
          <w:b w:val="0"/>
          <w:color w:val="000000" w:themeColor="text1"/>
          <w14:textFill>
            <w14:solidFill>
              <w14:schemeClr w14:val="tx1"/>
            </w14:solidFill>
          </w14:textFill>
        </w:rPr>
      </w:pPr>
      <w:bookmarkStart w:id="218" w:name="_Toc3263"/>
      <w:bookmarkStart w:id="219" w:name="_Toc12979"/>
      <w:bookmarkStart w:id="220" w:name="_Toc16806"/>
      <w:bookmarkStart w:id="221" w:name="_Toc1226"/>
      <w:bookmarkStart w:id="222" w:name="_Toc28687"/>
      <w:bookmarkStart w:id="223" w:name="_Toc3767"/>
      <w:bookmarkStart w:id="224" w:name="_Toc14610"/>
      <w:bookmarkStart w:id="225" w:name="_Toc5148"/>
      <w:bookmarkStart w:id="226" w:name="_Toc3571"/>
      <w:bookmarkStart w:id="227" w:name="_Toc11083"/>
      <w:bookmarkStart w:id="228" w:name="_Toc11737"/>
      <w:bookmarkStart w:id="229" w:name="_Toc20368"/>
      <w:bookmarkStart w:id="230" w:name="_Toc7887"/>
      <w:bookmarkStart w:id="231" w:name="_Toc17331"/>
      <w:bookmarkStart w:id="232" w:name="_Toc17880"/>
      <w:bookmarkStart w:id="233" w:name="_Toc22276"/>
      <w:bookmarkStart w:id="234" w:name="_Toc16988"/>
      <w:bookmarkStart w:id="235" w:name="_Toc75341675"/>
      <w:bookmarkStart w:id="236" w:name="_Toc2740"/>
      <w:bookmarkStart w:id="237" w:name="_Toc15143"/>
      <w:bookmarkStart w:id="238" w:name="_Toc5631"/>
      <w:bookmarkStart w:id="239" w:name="_Toc10514"/>
      <w:bookmarkStart w:id="240" w:name="_Toc1503"/>
      <w:bookmarkStart w:id="241" w:name="_Toc21031"/>
      <w:bookmarkStart w:id="242" w:name="_Toc25289"/>
      <w:r>
        <w:rPr>
          <w:rFonts w:hint="eastAsia" w:ascii="黑体" w:hAnsi="黑体" w:eastAsia="黑体" w:cs="Times New Roman"/>
          <w:b w:val="0"/>
          <w:color w:val="000000" w:themeColor="text1"/>
          <w14:textFill>
            <w14:solidFill>
              <w14:schemeClr w14:val="tx1"/>
            </w14:solidFill>
          </w14:textFill>
        </w:rPr>
        <w:t>第二节 完善基础设施塑造城市新品质</w:t>
      </w:r>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p>
    <w:p>
      <w:pPr>
        <w:pStyle w:val="5"/>
        <w:spacing w:before="0" w:after="0" w:line="240" w:lineRule="auto"/>
        <w:ind w:firstLine="640" w:firstLineChars="200"/>
        <w:rPr>
          <w:rFonts w:ascii="黑体" w:hAnsi="黑体" w:eastAsia="黑体" w:cs="Times New Roman"/>
          <w:b w:val="0"/>
          <w:color w:val="000000" w:themeColor="text1"/>
          <w14:textFill>
            <w14:solidFill>
              <w14:schemeClr w14:val="tx1"/>
            </w14:solidFill>
          </w14:textFill>
        </w:rPr>
      </w:pPr>
      <w:r>
        <w:rPr>
          <w:rFonts w:hint="eastAsia" w:ascii="黑体" w:hAnsi="黑体" w:eastAsia="黑体" w:cs="Times New Roman"/>
          <w:b w:val="0"/>
          <w:color w:val="000000" w:themeColor="text1"/>
          <w14:textFill>
            <w14:solidFill>
              <w14:schemeClr w14:val="tx1"/>
            </w14:solidFill>
          </w14:textFill>
        </w:rPr>
        <w:t>一、推进智慧城市应用基础建设</w:t>
      </w:r>
    </w:p>
    <w:p>
      <w:pPr>
        <w:ind w:firstLine="640" w:firstLineChars="200"/>
        <w:rPr>
          <w:rFonts w:ascii="仿宋_GB2312" w:hAnsi="Calibri" w:eastAsia="仿宋_GB2312" w:cs="Times New Roman"/>
          <w:color w:val="000000" w:themeColor="text1"/>
          <w:sz w:val="32"/>
          <w:szCs w:val="32"/>
          <w14:textFill>
            <w14:solidFill>
              <w14:schemeClr w14:val="tx1"/>
            </w14:solidFill>
          </w14:textFill>
        </w:rPr>
      </w:pPr>
      <w:r>
        <w:rPr>
          <w:rFonts w:hint="eastAsia" w:ascii="仿宋_GB2312" w:hAnsi="仿宋" w:eastAsia="仿宋_GB2312"/>
          <w:color w:val="000000" w:themeColor="text1"/>
          <w:sz w:val="32"/>
          <w:szCs w:val="32"/>
          <w14:textFill>
            <w14:solidFill>
              <w14:schemeClr w14:val="tx1"/>
            </w14:solidFill>
          </w14:textFill>
        </w:rPr>
        <w:t>加快“大基础、大数据、大支撑、大门户”建设，横向打通行业信息孤岛，</w:t>
      </w:r>
      <w:r>
        <w:rPr>
          <w:rFonts w:hint="eastAsia" w:ascii="仿宋_GB2312" w:hAnsi="Calibri" w:eastAsia="仿宋_GB2312" w:cs="Times New Roman"/>
          <w:color w:val="000000" w:themeColor="text1"/>
          <w:sz w:val="32"/>
          <w:szCs w:val="32"/>
          <w14:textFill>
            <w14:solidFill>
              <w14:schemeClr w14:val="tx1"/>
            </w14:solidFill>
          </w14:textFill>
        </w:rPr>
        <w:t>建设数字柳东，</w:t>
      </w:r>
      <w:r>
        <w:rPr>
          <w:rFonts w:hint="eastAsia" w:ascii="仿宋_GB2312" w:hAnsi="仿宋" w:eastAsia="仿宋_GB2312"/>
          <w:color w:val="000000" w:themeColor="text1"/>
          <w:sz w:val="32"/>
          <w:szCs w:val="32"/>
          <w14:textFill>
            <w14:solidFill>
              <w14:schemeClr w14:val="tx1"/>
            </w14:solidFill>
          </w14:textFill>
        </w:rPr>
        <w:t>打造国家产城融合的智慧城市样板。超前布局信息通信基础设施，加强光纤城域网、云计算、5G和物联网等新基建设施建设，重点</w:t>
      </w:r>
      <w:r>
        <w:rPr>
          <w:rFonts w:hint="eastAsia" w:ascii="仿宋_GB2312" w:hAnsi="Calibri" w:eastAsia="仿宋_GB2312" w:cs="Times New Roman"/>
          <w:color w:val="000000" w:themeColor="text1"/>
          <w:sz w:val="32"/>
          <w:szCs w:val="32"/>
          <w14:textFill>
            <w14:solidFill>
              <w14:schemeClr w14:val="tx1"/>
            </w14:solidFill>
          </w14:textFill>
        </w:rPr>
        <w:t>构建绿色可靠的云基础设施，支撑车联网先导区应用。统筹推进重大信息平台建设，加快柳东城市大数据共享交换平台、柳东新区时空信息云平台等核心项目的建设和使用，推进业务数据化、数据地理化、现实模型化和数据业务化。</w:t>
      </w:r>
    </w:p>
    <w:tbl>
      <w:tblPr>
        <w:tblStyle w:val="19"/>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ind w:firstLine="422" w:firstLineChars="200"/>
              <w:jc w:val="center"/>
              <w:rPr>
                <w:rFonts w:cs="宋体" w:asciiTheme="minorEastAsia" w:hAnsiTheme="minorEastAsia"/>
                <w:b/>
                <w:color w:val="000000" w:themeColor="text1"/>
                <w:szCs w:val="21"/>
                <w14:textFill>
                  <w14:solidFill>
                    <w14:schemeClr w14:val="tx1"/>
                  </w14:solidFill>
                </w14:textFill>
              </w:rPr>
            </w:pPr>
            <w:r>
              <w:rPr>
                <w:rFonts w:hint="eastAsia" w:cs="宋体" w:asciiTheme="minorEastAsia" w:hAnsiTheme="minorEastAsia"/>
                <w:b/>
                <w:color w:val="000000" w:themeColor="text1"/>
                <w:szCs w:val="21"/>
                <w14:textFill>
                  <w14:solidFill>
                    <w14:schemeClr w14:val="tx1"/>
                  </w14:solidFill>
                </w14:textFill>
              </w:rPr>
              <w:t>专栏5-2 信息化智能化基础设施建设重点</w:t>
            </w:r>
          </w:p>
          <w:p>
            <w:pPr>
              <w:ind w:firstLine="422" w:firstLineChars="200"/>
              <w:jc w:val="center"/>
              <w:rPr>
                <w:rFonts w:cs="宋体" w:asciiTheme="minorEastAsia" w:hAnsiTheme="minorEastAsia"/>
                <w:b/>
                <w:color w:val="000000" w:themeColor="text1"/>
                <w:szCs w:val="21"/>
                <w14:textFill>
                  <w14:solidFill>
                    <w14:schemeClr w14:val="tx1"/>
                  </w14:solidFill>
                </w14:textFill>
              </w:rPr>
            </w:pPr>
          </w:p>
          <w:p>
            <w:pPr>
              <w:pStyle w:val="9"/>
              <w:ind w:firstLine="422" w:firstLineChars="200"/>
              <w:rPr>
                <w:rFonts w:asciiTheme="minorEastAsia" w:hAnsiTheme="minorEastAsia" w:cstheme="minorEastAsia"/>
                <w:color w:val="000000" w:themeColor="text1"/>
                <w14:textFill>
                  <w14:solidFill>
                    <w14:schemeClr w14:val="tx1"/>
                  </w14:solidFill>
                </w14:textFill>
              </w:rPr>
            </w:pPr>
            <w:r>
              <w:rPr>
                <w:b/>
                <w:bCs/>
                <w:color w:val="000000" w:themeColor="text1"/>
                <w14:textFill>
                  <w14:solidFill>
                    <w14:schemeClr w14:val="tx1"/>
                  </w14:solidFill>
                </w14:textFill>
              </w:rPr>
              <w:t>国家信息中心大数据</w:t>
            </w:r>
            <w:r>
              <w:rPr>
                <w:rFonts w:hint="eastAsia"/>
                <w:b/>
                <w:bCs/>
                <w:color w:val="000000" w:themeColor="text1"/>
                <w14:textFill>
                  <w14:solidFill>
                    <w14:schemeClr w14:val="tx1"/>
                  </w14:solidFill>
                </w14:textFill>
              </w:rPr>
              <w:t>工业应用柳州</w:t>
            </w:r>
            <w:r>
              <w:rPr>
                <w:b/>
                <w:bCs/>
                <w:color w:val="000000" w:themeColor="text1"/>
                <w14:textFill>
                  <w14:solidFill>
                    <w14:schemeClr w14:val="tx1"/>
                  </w14:solidFill>
                </w14:textFill>
              </w:rPr>
              <w:t>基地建设</w:t>
            </w:r>
            <w:r>
              <w:rPr>
                <w:rFonts w:hint="eastAsia"/>
                <w:b/>
                <w:bCs/>
                <w:color w:val="000000" w:themeColor="text1"/>
                <w14:textFill>
                  <w14:solidFill>
                    <w14:schemeClr w14:val="tx1"/>
                  </w14:solidFill>
                </w14:textFill>
              </w:rPr>
              <w:t>：</w:t>
            </w:r>
            <w:r>
              <w:rPr>
                <w:rFonts w:hint="eastAsia" w:asciiTheme="minorEastAsia" w:hAnsiTheme="minorEastAsia" w:cstheme="minorEastAsia"/>
                <w:color w:val="000000" w:themeColor="text1"/>
                <w14:textFill>
                  <w14:solidFill>
                    <w14:schemeClr w14:val="tx1"/>
                  </w14:solidFill>
                </w14:textFill>
              </w:rPr>
              <w:t>建设“1基地、1公司、2平台、1研究院、1基金”，将柳州建设成为全国一流的大数据应用中心。</w:t>
            </w:r>
          </w:p>
          <w:p>
            <w:pPr>
              <w:pStyle w:val="9"/>
              <w:ind w:firstLine="422" w:firstLineChars="200"/>
              <w:rPr>
                <w:color w:val="000000" w:themeColor="text1"/>
                <w14:textFill>
                  <w14:solidFill>
                    <w14:schemeClr w14:val="tx1"/>
                  </w14:solidFill>
                </w14:textFill>
              </w:rPr>
            </w:pPr>
            <w:r>
              <w:rPr>
                <w:rFonts w:hint="eastAsia"/>
                <w:b/>
                <w:bCs/>
                <w:color w:val="000000" w:themeColor="text1"/>
                <w14:textFill>
                  <w14:solidFill>
                    <w14:schemeClr w14:val="tx1"/>
                  </w14:solidFill>
                </w14:textFill>
              </w:rPr>
              <w:t>智慧城市基础建设：</w:t>
            </w:r>
            <w:r>
              <w:rPr>
                <w:rFonts w:hint="eastAsia"/>
                <w:color w:val="000000" w:themeColor="text1"/>
                <w14:textFill>
                  <w14:solidFill>
                    <w14:schemeClr w14:val="tx1"/>
                  </w14:solidFill>
                </w14:textFill>
              </w:rPr>
              <w:t>柳东新区科技大厦、柳东新区智慧城市运营指挥中心</w:t>
            </w:r>
            <w:r>
              <w:rPr>
                <w:rFonts w:hint="eastAsia" w:ascii="仿宋_GB2312" w:hAnsi="仿宋_GB2312" w:eastAsia="仿宋_GB2312" w:cs="仿宋_GB2312"/>
                <w:color w:val="000000" w:themeColor="text1"/>
                <w14:textFill>
                  <w14:solidFill>
                    <w14:schemeClr w14:val="tx1"/>
                  </w14:solidFill>
                </w14:textFill>
              </w:rPr>
              <w:t>（IOC)</w:t>
            </w:r>
            <w:r>
              <w:rPr>
                <w:rFonts w:hint="eastAsia"/>
                <w:color w:val="000000" w:themeColor="text1"/>
                <w14:textFill>
                  <w14:solidFill>
                    <w14:schemeClr w14:val="tx1"/>
                  </w14:solidFill>
                </w14:textFill>
              </w:rPr>
              <w:t>、柳州联通通信枢纽局房新建工程项目</w:t>
            </w:r>
          </w:p>
          <w:p>
            <w:pPr>
              <w:pStyle w:val="9"/>
              <w:ind w:firstLine="422" w:firstLineChars="200"/>
              <w:rPr>
                <w:color w:val="000000" w:themeColor="text1"/>
                <w14:textFill>
                  <w14:solidFill>
                    <w14:schemeClr w14:val="tx1"/>
                  </w14:solidFill>
                </w14:textFill>
              </w:rPr>
            </w:pPr>
            <w:r>
              <w:rPr>
                <w:b/>
                <w:bCs/>
                <w:color w:val="000000" w:themeColor="text1"/>
                <w14:textFill>
                  <w14:solidFill>
                    <w14:schemeClr w14:val="tx1"/>
                  </w14:solidFill>
                </w14:textFill>
              </w:rPr>
              <w:t>柳东新区城市大数据（一期）项目</w:t>
            </w:r>
            <w:r>
              <w:rPr>
                <w:rFonts w:hint="eastAsia"/>
                <w:color w:val="000000" w:themeColor="text1"/>
                <w14:textFill>
                  <w14:solidFill>
                    <w14:schemeClr w14:val="tx1"/>
                  </w14:solidFill>
                </w14:textFill>
              </w:rPr>
              <w:t>：制定柳东新区大数据平台标准规范体系，构建完善的、可统一管理和应用的信息资源体系，建立融合开放的大数据服务支撑体系，打造面向政府、企业、社会公众全客群的运营服务体系。</w:t>
            </w:r>
          </w:p>
          <w:p>
            <w:pPr>
              <w:pStyle w:val="9"/>
              <w:ind w:firstLine="422" w:firstLineChars="200"/>
              <w:rPr>
                <w:color w:val="000000" w:themeColor="text1"/>
                <w14:textFill>
                  <w14:solidFill>
                    <w14:schemeClr w14:val="tx1"/>
                  </w14:solidFill>
                </w14:textFill>
              </w:rPr>
            </w:pPr>
            <w:r>
              <w:rPr>
                <w:b/>
                <w:bCs/>
                <w:color w:val="000000" w:themeColor="text1"/>
                <w14:textFill>
                  <w14:solidFill>
                    <w14:schemeClr w14:val="tx1"/>
                  </w14:solidFill>
                </w14:textFill>
              </w:rPr>
              <w:t>车联网先导区：</w:t>
            </w:r>
            <w:r>
              <w:rPr>
                <w:rFonts w:hint="eastAsia" w:asciiTheme="minorEastAsia" w:hAnsiTheme="minorEastAsia" w:cstheme="minorEastAsia"/>
                <w:color w:val="000000" w:themeColor="text1"/>
                <w14:textFill>
                  <w14:solidFill>
                    <w14:schemeClr w14:val="tx1"/>
                  </w14:solidFill>
                </w14:textFill>
              </w:rPr>
              <w:t>在城市内部署C-V2X基础云平台，建设5G基站800个，先导环境内5G网络全覆盖；部署C-V2X基础路侧设备不少于1600个，覆盖路段长度650公里，覆盖路口不少于535个，完善柳州市的车联网基础通信设施。</w:t>
            </w:r>
          </w:p>
          <w:p>
            <w:pPr>
              <w:pStyle w:val="9"/>
              <w:ind w:firstLine="422" w:firstLineChars="200"/>
              <w:rPr>
                <w:color w:val="000000" w:themeColor="text1"/>
                <w14:textFill>
                  <w14:solidFill>
                    <w14:schemeClr w14:val="tx1"/>
                  </w14:solidFill>
                </w14:textFill>
              </w:rPr>
            </w:pPr>
            <w:r>
              <w:rPr>
                <w:b/>
                <w:bCs/>
                <w:color w:val="000000" w:themeColor="text1"/>
                <w14:textFill>
                  <w14:solidFill>
                    <w14:schemeClr w14:val="tx1"/>
                  </w14:solidFill>
                </w14:textFill>
              </w:rPr>
              <w:t>智慧交通平台：</w:t>
            </w:r>
            <w:r>
              <w:rPr>
                <w:color w:val="000000" w:themeColor="text1"/>
                <w14:textFill>
                  <w14:solidFill>
                    <w14:schemeClr w14:val="tx1"/>
                  </w14:solidFill>
                </w14:textFill>
              </w:rPr>
              <w:t>在原有柳东新区道路交通信息化建设的基础上，新建覆盖柳东新区智慧交通的前端感知系统、后端搭建智慧交通管理平台以及监控中心建设，根据新区道路、民众出行、产业发展、仓储物流的特点，建设新区智慧交通应用模块。</w:t>
            </w:r>
          </w:p>
          <w:p>
            <w:pPr>
              <w:pStyle w:val="9"/>
              <w:ind w:firstLine="422" w:firstLineChars="200"/>
              <w:rPr>
                <w:color w:val="000000" w:themeColor="text1"/>
                <w14:textFill>
                  <w14:solidFill>
                    <w14:schemeClr w14:val="tx1"/>
                  </w14:solidFill>
                </w14:textFill>
              </w:rPr>
            </w:pPr>
            <w:r>
              <w:rPr>
                <w:b/>
                <w:bCs/>
                <w:color w:val="000000" w:themeColor="text1"/>
                <w14:textFill>
                  <w14:solidFill>
                    <w14:schemeClr w14:val="tx1"/>
                  </w14:solidFill>
                </w14:textFill>
              </w:rPr>
              <w:t>时空云平台：</w:t>
            </w:r>
            <w:r>
              <w:rPr>
                <w:color w:val="000000" w:themeColor="text1"/>
                <w14:textFill>
                  <w14:solidFill>
                    <w14:schemeClr w14:val="tx1"/>
                  </w14:solidFill>
                </w14:textFill>
              </w:rPr>
              <w:t>建设目标为统一管理、维护和共享柳东新区基础地理信息、三维模型数据和专题地理信息等，促进和发展柳东新区各行业部门、企业的专题地理空间应用系统，为“智慧柳东”建设过程中各智慧行业应用提供地理信息支撑。</w:t>
            </w:r>
          </w:p>
        </w:tc>
      </w:tr>
    </w:tbl>
    <w:p>
      <w:pPr>
        <w:pStyle w:val="5"/>
        <w:numPr>
          <w:ilvl w:val="0"/>
          <w:numId w:val="3"/>
        </w:numPr>
        <w:spacing w:before="0" w:after="0" w:line="240" w:lineRule="auto"/>
        <w:ind w:firstLine="640" w:firstLineChars="200"/>
        <w:rPr>
          <w:rFonts w:ascii="黑体" w:hAnsi="黑体" w:eastAsia="黑体" w:cs="Times New Roman"/>
          <w:b w:val="0"/>
          <w:color w:val="000000" w:themeColor="text1"/>
          <w14:textFill>
            <w14:solidFill>
              <w14:schemeClr w14:val="tx1"/>
            </w14:solidFill>
          </w14:textFill>
        </w:rPr>
      </w:pPr>
      <w:r>
        <w:rPr>
          <w:rFonts w:hint="eastAsia" w:ascii="黑体" w:hAnsi="黑体" w:eastAsia="黑体" w:cs="Times New Roman"/>
          <w:b w:val="0"/>
          <w:color w:val="000000" w:themeColor="text1"/>
          <w14:textFill>
            <w14:solidFill>
              <w14:schemeClr w14:val="tx1"/>
            </w14:solidFill>
          </w14:textFill>
        </w:rPr>
        <w:t>构建枢纽型交通基础设施</w:t>
      </w:r>
    </w:p>
    <w:p>
      <w:pPr>
        <w:pStyle w:val="30"/>
        <w:numPr>
          <w:ilvl w:val="255"/>
          <w:numId w:val="0"/>
        </w:numPr>
        <w:ind w:firstLine="640" w:firstLineChars="200"/>
        <w:rPr>
          <w:rFonts w:ascii="仿宋_GB2312" w:hAnsi="Calibri" w:eastAsia="仿宋_GB2312" w:cs="Times New Roman"/>
          <w:color w:val="000000" w:themeColor="text1"/>
          <w:sz w:val="32"/>
          <w:szCs w:val="32"/>
          <w14:textFill>
            <w14:solidFill>
              <w14:schemeClr w14:val="tx1"/>
            </w14:solidFill>
          </w14:textFill>
        </w:rPr>
      </w:pPr>
      <w:r>
        <w:rPr>
          <w:rFonts w:hint="eastAsia" w:ascii="仿宋_GB2312" w:hAnsi="Calibri" w:eastAsia="仿宋_GB2312" w:cs="Times New Roman"/>
          <w:color w:val="000000" w:themeColor="text1"/>
          <w:sz w:val="32"/>
          <w:szCs w:val="32"/>
          <w14:textFill>
            <w14:solidFill>
              <w14:schemeClr w14:val="tx1"/>
            </w14:solidFill>
          </w14:textFill>
        </w:rPr>
        <w:t>全力配合柳州市推动铁路、高速公路、机场、港口等交通基础设施建设，形成立体化综合交通枢纽体系，</w:t>
      </w:r>
      <w:r>
        <w:rPr>
          <w:rFonts w:hint="eastAsia" w:ascii="仿宋_GB2312" w:hAnsi="仿宋" w:eastAsia="仿宋_GB2312"/>
          <w:color w:val="000000" w:themeColor="text1"/>
          <w:sz w:val="32"/>
          <w:szCs w:val="32"/>
          <w14:textFill>
            <w14:solidFill>
              <w14:schemeClr w14:val="tx1"/>
            </w14:solidFill>
          </w14:textFill>
        </w:rPr>
        <w:t>强化柳东新区东进、西联、北上</w:t>
      </w:r>
      <w:r>
        <w:rPr>
          <w:rFonts w:hint="eastAsia" w:ascii="仿宋_GB2312" w:hAnsi="仿宋" w:eastAsia="仿宋_GB2312"/>
          <w:color w:val="000000" w:themeColor="text1"/>
          <w:sz w:val="32"/>
          <w:szCs w:val="32"/>
          <w:lang w:eastAsia="zh-CN"/>
          <w14:textFill>
            <w14:solidFill>
              <w14:schemeClr w14:val="tx1"/>
            </w14:solidFill>
          </w14:textFill>
        </w:rPr>
        <w:t>、</w:t>
      </w:r>
      <w:r>
        <w:rPr>
          <w:rFonts w:hint="eastAsia" w:ascii="仿宋_GB2312" w:hAnsi="仿宋" w:eastAsia="仿宋_GB2312"/>
          <w:color w:val="000000" w:themeColor="text1"/>
          <w:sz w:val="32"/>
          <w:szCs w:val="32"/>
          <w14:textFill>
            <w14:solidFill>
              <w14:schemeClr w14:val="tx1"/>
            </w14:solidFill>
          </w14:textFill>
        </w:rPr>
        <w:t>南下</w:t>
      </w:r>
      <w:r>
        <w:rPr>
          <w:rFonts w:hint="eastAsia" w:ascii="仿宋_GB2312" w:hAnsi="Calibri" w:eastAsia="仿宋_GB2312" w:cs="Times New Roman"/>
          <w:color w:val="000000" w:themeColor="text1"/>
          <w:sz w:val="32"/>
          <w:szCs w:val="32"/>
          <w14:textFill>
            <w14:solidFill>
              <w14:schemeClr w14:val="tx1"/>
            </w14:solidFill>
          </w14:textFill>
        </w:rPr>
        <w:t>通道功能</w:t>
      </w:r>
      <w:r>
        <w:rPr>
          <w:rFonts w:hint="eastAsia" w:ascii="仿宋_GB2312" w:hAnsi="仿宋" w:eastAsia="仿宋_GB2312"/>
          <w:color w:val="000000" w:themeColor="text1"/>
          <w:sz w:val="32"/>
          <w:szCs w:val="32"/>
          <w14:textFill>
            <w14:solidFill>
              <w14:schemeClr w14:val="tx1"/>
            </w14:solidFill>
          </w14:textFill>
        </w:rPr>
        <w:t>，</w:t>
      </w:r>
      <w:r>
        <w:rPr>
          <w:rFonts w:hint="eastAsia" w:ascii="仿宋_GB2312" w:hAnsi="Calibri" w:eastAsia="仿宋_GB2312" w:cs="Times New Roman"/>
          <w:color w:val="000000" w:themeColor="text1"/>
          <w:sz w:val="32"/>
          <w:szCs w:val="32"/>
          <w14:textFill>
            <w14:solidFill>
              <w14:schemeClr w14:val="tx1"/>
            </w14:solidFill>
          </w14:textFill>
        </w:rPr>
        <w:t>突出东部门户功能，</w:t>
      </w:r>
      <w:r>
        <w:rPr>
          <w:rFonts w:hint="eastAsia" w:ascii="仿宋_GB2312" w:hAnsi="仿宋" w:eastAsia="仿宋_GB2312"/>
          <w:color w:val="000000" w:themeColor="text1"/>
          <w:sz w:val="32"/>
          <w:szCs w:val="32"/>
          <w14:textFill>
            <w14:solidFill>
              <w14:schemeClr w14:val="tx1"/>
            </w14:solidFill>
          </w14:textFill>
        </w:rPr>
        <w:t>畅通连接粤</w:t>
      </w:r>
      <w:r>
        <w:rPr>
          <w:rFonts w:hint="eastAsia" w:ascii="仿宋_GB2312" w:hAnsi="Calibri" w:eastAsia="仿宋_GB2312" w:cs="Times New Roman"/>
          <w:color w:val="000000" w:themeColor="text1"/>
          <w:sz w:val="32"/>
          <w:szCs w:val="32"/>
          <w14:textFill>
            <w14:solidFill>
              <w14:schemeClr w14:val="tx1"/>
            </w14:solidFill>
          </w14:textFill>
        </w:rPr>
        <w:t>港澳大湾区的交通服务。加快新区综合客运枢纽、高铁柳州东站、铁路专用线改造等项目前期工作，推动相关项目规划建设在“十四五”期内取得新突破。支持柳州至贺州城际铁路、柳广铁路规划建设。积极推进城市轨道1号线建设，提前布局接驳公交线路、站点，配合加快推动轨道交通二期前期工作。协同推动柳州至桂林、南宁的衔接高速通道建设，配合城市绕城高速、“一环五横五纵”市域国省干线公路建设，增设新区境内高速公路出入口。提升官塘大道道路等级，推动北环高速外扩建设，提升新区对外通道能力。“十四五”新区规划续建、新建、改造主干路46.8公里。着力推进建设雒容至导江二级公路（马步水库段）、鹿寨北站至柳东新区公路等一、二级干线公路，优化中欧片区、滨江片区、南部片区、雒容东部片区等路网系统，“十四五”规划建设新区路网196公里。大力推动官塘公铁水多式联运基地建设，推进官塘码头作业区（二期）建设，提升码头吞吐能力，推进港区铁路专用线建设，畅通进出港道路。配合推动柳州通用机场规划建设，加强与白莲机场的交通连接。</w:t>
      </w:r>
    </w:p>
    <w:tbl>
      <w:tblPr>
        <w:tblStyle w:val="19"/>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widowControl/>
              <w:spacing w:beforeLines="50" w:afterLines="50"/>
              <w:jc w:val="center"/>
              <w:rPr>
                <w:rFonts w:cs="宋体" w:asciiTheme="minorEastAsia" w:hAnsiTheme="minorEastAsia"/>
                <w:b/>
                <w:color w:val="000000" w:themeColor="text1"/>
                <w:szCs w:val="21"/>
                <w14:textFill>
                  <w14:solidFill>
                    <w14:schemeClr w14:val="tx1"/>
                  </w14:solidFill>
                </w14:textFill>
              </w:rPr>
            </w:pPr>
            <w:r>
              <w:rPr>
                <w:rFonts w:hint="eastAsia" w:cs="宋体" w:asciiTheme="minorEastAsia" w:hAnsiTheme="minorEastAsia"/>
                <w:b/>
                <w:color w:val="000000" w:themeColor="text1"/>
                <w:szCs w:val="21"/>
                <w14:textFill>
                  <w14:solidFill>
                    <w14:schemeClr w14:val="tx1"/>
                  </w14:solidFill>
                </w14:textFill>
              </w:rPr>
              <w:t>专栏5-3  交通基础设施建设重点</w:t>
            </w:r>
          </w:p>
          <w:p>
            <w:pPr>
              <w:widowControl/>
              <w:ind w:firstLine="422" w:firstLineChars="200"/>
              <w:jc w:val="left"/>
              <w:rPr>
                <w:rFonts w:cs="宋体" w:asciiTheme="minorEastAsia" w:hAnsiTheme="minorEastAsia"/>
                <w:bCs/>
                <w:color w:val="000000" w:themeColor="text1"/>
                <w:szCs w:val="21"/>
                <w14:textFill>
                  <w14:solidFill>
                    <w14:schemeClr w14:val="tx1"/>
                  </w14:solidFill>
                </w14:textFill>
              </w:rPr>
            </w:pPr>
            <w:r>
              <w:rPr>
                <w:rFonts w:hint="eastAsia" w:cs="宋体" w:asciiTheme="minorEastAsia" w:hAnsiTheme="minorEastAsia"/>
                <w:b/>
                <w:color w:val="000000" w:themeColor="text1"/>
                <w:szCs w:val="21"/>
                <w14:textFill>
                  <w14:solidFill>
                    <w14:schemeClr w14:val="tx1"/>
                  </w14:solidFill>
                </w14:textFill>
              </w:rPr>
              <w:t>轨道交通：</w:t>
            </w:r>
            <w:r>
              <w:rPr>
                <w:rFonts w:hint="eastAsia" w:cs="宋体" w:asciiTheme="minorEastAsia" w:hAnsiTheme="minorEastAsia"/>
                <w:bCs/>
                <w:color w:val="000000" w:themeColor="text1"/>
                <w:szCs w:val="21"/>
                <w14:textFill>
                  <w14:solidFill>
                    <w14:schemeClr w14:val="tx1"/>
                  </w14:solidFill>
                </w14:textFill>
              </w:rPr>
              <w:t>新区高铁站、柳州东综合客运枢纽、城市转轨一号线新区建设项目、官塘作业区铁路专用线、官塘公铁水多式联运项目；柳州智能交通产业园；</w:t>
            </w:r>
          </w:p>
          <w:p>
            <w:pPr>
              <w:widowControl/>
              <w:numPr>
                <w:ilvl w:val="255"/>
                <w:numId w:val="0"/>
              </w:numPr>
              <w:ind w:firstLine="422" w:firstLineChars="200"/>
              <w:jc w:val="left"/>
              <w:rPr>
                <w:rFonts w:cs="宋体" w:asciiTheme="minorEastAsia" w:hAnsiTheme="minorEastAsia"/>
                <w:bCs/>
                <w:color w:val="000000" w:themeColor="text1"/>
                <w:szCs w:val="21"/>
                <w14:textFill>
                  <w14:solidFill>
                    <w14:schemeClr w14:val="tx1"/>
                  </w14:solidFill>
                </w14:textFill>
              </w:rPr>
            </w:pPr>
            <w:r>
              <w:rPr>
                <w:rFonts w:hint="eastAsia" w:cs="宋体" w:asciiTheme="minorEastAsia" w:hAnsiTheme="minorEastAsia"/>
                <w:b/>
                <w:color w:val="000000" w:themeColor="text1"/>
                <w:szCs w:val="21"/>
                <w14:textFill>
                  <w14:solidFill>
                    <w14:schemeClr w14:val="tx1"/>
                  </w14:solidFill>
                </w14:textFill>
              </w:rPr>
              <w:t>高速公路、一、二级干线公路：</w:t>
            </w:r>
            <w:r>
              <w:rPr>
                <w:rFonts w:hint="eastAsia" w:cs="宋体" w:asciiTheme="minorEastAsia" w:hAnsiTheme="minorEastAsia"/>
                <w:bCs/>
                <w:color w:val="000000" w:themeColor="text1"/>
                <w:szCs w:val="21"/>
                <w14:textFill>
                  <w14:solidFill>
                    <w14:schemeClr w14:val="tx1"/>
                  </w14:solidFill>
                </w14:textFill>
              </w:rPr>
              <w:t>高阳收费站（官塘收费站）、雒容至导江二级公路（马步水库段）、雒容至东泉公路续建工程等</w:t>
            </w:r>
            <w:r>
              <w:rPr>
                <w:rFonts w:hint="eastAsia" w:cs="宋体" w:asciiTheme="minorEastAsia" w:hAnsiTheme="minorEastAsia"/>
                <w:b/>
                <w:color w:val="000000" w:themeColor="text1"/>
                <w:szCs w:val="21"/>
                <w14:textFill>
                  <w14:solidFill>
                    <w14:schemeClr w14:val="tx1"/>
                  </w14:solidFill>
                </w14:textFill>
              </w:rPr>
              <w:t>续建和期内竣工项目</w:t>
            </w:r>
            <w:r>
              <w:rPr>
                <w:rFonts w:hint="eastAsia" w:cs="宋体" w:asciiTheme="minorEastAsia" w:hAnsiTheme="minorEastAsia"/>
                <w:bCs/>
                <w:color w:val="000000" w:themeColor="text1"/>
                <w:szCs w:val="21"/>
                <w14:textFill>
                  <w14:solidFill>
                    <w14:schemeClr w14:val="tx1"/>
                  </w14:solidFill>
                </w14:textFill>
              </w:rPr>
              <w:t>；柳东新区北环高速外扩、鹿寨北站至柳东新区公路、鹿寨城北至柳东新区公路工程、马步水库景区环湖公路等前期项目。</w:t>
            </w:r>
          </w:p>
          <w:p>
            <w:pPr>
              <w:widowControl/>
              <w:ind w:firstLine="422" w:firstLineChars="200"/>
              <w:jc w:val="left"/>
              <w:rPr>
                <w:rFonts w:cs="宋体" w:asciiTheme="minorEastAsia" w:hAnsiTheme="minorEastAsia"/>
                <w:b/>
                <w:color w:val="000000" w:themeColor="text1"/>
                <w:szCs w:val="21"/>
                <w14:textFill>
                  <w14:solidFill>
                    <w14:schemeClr w14:val="tx1"/>
                  </w14:solidFill>
                </w14:textFill>
              </w:rPr>
            </w:pPr>
            <w:r>
              <w:rPr>
                <w:rFonts w:hint="eastAsia" w:cs="宋体" w:asciiTheme="minorEastAsia" w:hAnsiTheme="minorEastAsia"/>
                <w:b/>
                <w:color w:val="000000" w:themeColor="text1"/>
                <w:szCs w:val="21"/>
                <w14:textFill>
                  <w14:solidFill>
                    <w14:schemeClr w14:val="tx1"/>
                  </w14:solidFill>
                </w14:textFill>
              </w:rPr>
              <w:t>城市和片区路网</w:t>
            </w:r>
          </w:p>
          <w:p>
            <w:pPr>
              <w:widowControl/>
              <w:ind w:firstLine="420" w:firstLineChars="200"/>
              <w:jc w:val="left"/>
              <w:rPr>
                <w:rFonts w:ascii="仿宋_GB2312" w:hAnsi="Calibri" w:eastAsia="仿宋_GB2312" w:cs="Times New Roman"/>
                <w:color w:val="000000" w:themeColor="text1"/>
                <w:sz w:val="32"/>
                <w:szCs w:val="32"/>
                <w14:textFill>
                  <w14:solidFill>
                    <w14:schemeClr w14:val="tx1"/>
                  </w14:solidFill>
                </w14:textFill>
              </w:rPr>
            </w:pPr>
            <w:r>
              <w:rPr>
                <w:rFonts w:hint="eastAsia" w:cs="宋体" w:asciiTheme="minorEastAsia" w:hAnsiTheme="minorEastAsia"/>
                <w:color w:val="000000" w:themeColor="text1"/>
                <w:szCs w:val="21"/>
                <w14:textFill>
                  <w14:solidFill>
                    <w14:schemeClr w14:val="tx1"/>
                  </w14:solidFill>
                </w14:textFill>
              </w:rPr>
              <w:t>源塘路、月塘路、鑫塘路、高望路、高阳路、会展路改造工程、东升路改造工程、新福路（学林路至九子岭大道段）、春华路（原称江滨横十一路）、港南纵一路（官塘大道至港南横一路段）、湘桂铁路柳东新区范围K508+893平交道口改立交项目、博园大道北段上跨湘桂铁路工程、中欧纵一路上跨北环高速公路桥梁工程、中欧纵十一路上跨北环高速公路桥梁工程、盘江路（泉南高速以北段）、旺嘉路、柳州市柳东新区连运路东延线北一巷、北二巷工程、清江大道（原古镇路）下穿湘桂铁路工程、高岩路下穿泉南高速工程（原称象岩南路南段下穿泉南高速工程）、何家屯路上跨泉南高速公路桥梁工程、古镇路下穿湘桂铁路等新建项目；南寨路、南寨路、新竹路、荷塘路、学达路、大岭路、新柳大道－大岭路南二巷、星湖路、仁悦路、龙兴路、核心区支路四、繁容路、平湖路、学文路西二巷、东埠路东一巷、东埠路东二巷、南庆支三路、南庆支二路、九庆路、南庆支一路、锦江路、江泰路、欣乐路、车园横六路西段、车园横二路西延长线、车园纵十路、宝骏基地至雒容火车站转运成品车专用通道工程、博园大道、满贡路、满榄路、秀水横四路、秀水横六路、孟村路、竹车路、官塘大道（中欧横一路—秀水横一路段）、秀水三路、福城大道、木棉路、秀水二路、清江大道、古镇路、曙光大道延长线、盘江路（泉南高速以南段，高岩东一路至高岩东五路，原纵一路北段）、何家屯路（接导江二级路）、新区与鹿寨县毗邻区域路网工程纵十九路（新柳大道至横九路段）、柳东新区与鹿寨县毗邻区域路网工程纵二十路（新柳大道至横九路段）、新区与鹿寨县毗邻区域路网工程横九路（新柳大道至纵十二路段）、高岩路（原雒容南片洛清大道）、连运路东延长线工程、核心区支路十九、学文路西一巷、核心区支路二十三、智和路（犀牛塘路—文苑路）、环山路东一巷、环山路东二巷、博园大道北段（官塘大道—洛埠收费站）、景苑路、新福路、石冲路、丽园路、润东路（九子岭支一路）、润东路（九子岭一路至新柳大道段）、平地路、安和路北段、安泰路（纬六路—官塘大道）、港南纵二路、龙岭大道上跨北环高速公路桥梁工程、桂龙路北段、秀竹路、官塘大道北段等续建和竣工项目；新柳大道改扩建工程（三门江立交桥－会展西路段）、三门江门户区路网、龙江一路、龙江二路、龙江三路、龙江四路、龙江五路、龙江六路、龙江七路、雅乐路、景新路、莫道江一路、莫道江二路、莫道江三路（文苑路—龙江四路）、莫道江四路、港北横一路、港北纵三路、港北纵四路、港南横一路、车园纵九路、车园纵八路、车园北路西段、车园横六路北二巷西段、车园纵十二路、车园横五路西段、车园纵十一路、良木路、先锋路、秀水一路、秀水二路、福城大道、上东路、博园大道、竹车路北一巷、博园大道、高岩路（新柳大道—曙光大道段）、桂龙路（新柳大道—曙光大道段）、鸿裕路（新柳大道至高岩北二路段）、鸿阳路（新柳大道至盘高路段）、雒容镇洛清江西岸滨江路下穿泉南高速工程、雒容镇洛清江东岸滨江路下穿泉南高速工程等前期项目。</w:t>
            </w:r>
          </w:p>
        </w:tc>
      </w:tr>
    </w:tbl>
    <w:p>
      <w:pPr>
        <w:pStyle w:val="5"/>
        <w:spacing w:before="0" w:after="0" w:line="240" w:lineRule="auto"/>
        <w:ind w:firstLine="640" w:firstLineChars="200"/>
        <w:rPr>
          <w:rFonts w:ascii="黑体" w:hAnsi="黑体" w:eastAsia="黑体" w:cs="Times New Roman"/>
          <w:b w:val="0"/>
          <w:color w:val="000000" w:themeColor="text1"/>
          <w14:textFill>
            <w14:solidFill>
              <w14:schemeClr w14:val="tx1"/>
            </w14:solidFill>
          </w14:textFill>
        </w:rPr>
      </w:pPr>
      <w:r>
        <w:rPr>
          <w:rFonts w:hint="eastAsia" w:ascii="黑体" w:hAnsi="黑体" w:eastAsia="黑体" w:cs="Times New Roman"/>
          <w:b w:val="0"/>
          <w:color w:val="000000" w:themeColor="text1"/>
          <w14:textFill>
            <w14:solidFill>
              <w14:schemeClr w14:val="tx1"/>
            </w14:solidFill>
          </w14:textFill>
        </w:rPr>
        <w:t>三、高标准建设城市综合服务设施</w:t>
      </w:r>
    </w:p>
    <w:p>
      <w:pPr>
        <w:ind w:firstLine="640" w:firstLineChars="200"/>
        <w:rPr>
          <w:rFonts w:ascii="仿宋_GB2312" w:eastAsia="仿宋_GB2312"/>
          <w:color w:val="000000" w:themeColor="text1"/>
          <w:sz w:val="32"/>
          <w:szCs w:val="32"/>
          <w14:textFill>
            <w14:solidFill>
              <w14:schemeClr w14:val="tx1"/>
            </w14:solidFill>
          </w14:textFill>
        </w:rPr>
      </w:pPr>
      <w:r>
        <w:rPr>
          <w:rFonts w:hint="eastAsia" w:ascii="仿宋_GB2312" w:hAnsi="Calibri" w:eastAsia="仿宋_GB2312" w:cs="Times New Roman"/>
          <w:color w:val="000000" w:themeColor="text1"/>
          <w:sz w:val="32"/>
          <w:szCs w:val="32"/>
          <w14:textFill>
            <w14:solidFill>
              <w14:schemeClr w14:val="tx1"/>
            </w14:solidFill>
          </w14:textFill>
        </w:rPr>
        <w:t>以年度十大重点基础设施项目为抓手，高标准推进新区基础设施建设，加快补齐短板。着力推进新区</w:t>
      </w:r>
      <w:r>
        <w:rPr>
          <w:rFonts w:hint="eastAsia" w:ascii="Times New Roman" w:hAnsi="Times New Roman" w:eastAsia="仿宋_GB2312"/>
          <w:color w:val="000000" w:themeColor="text1"/>
          <w:sz w:val="32"/>
          <w:szCs w:val="32"/>
          <w14:textFill>
            <w14:solidFill>
              <w14:schemeClr w14:val="tx1"/>
            </w14:solidFill>
          </w14:textFill>
        </w:rPr>
        <w:t>文化广场、新区市民服务中心等周边环境提升和设施配套完善，提升城市文化品质和服务形象。加快柳东工人文化宫、图书馆新馆、柳州体育健康城等设施建设。</w:t>
      </w:r>
      <w:r>
        <w:rPr>
          <w:rFonts w:hint="eastAsia" w:ascii="仿宋_GB2312" w:hAnsi="Calibri" w:eastAsia="仿宋_GB2312" w:cs="Times New Roman"/>
          <w:color w:val="000000" w:themeColor="text1"/>
          <w:sz w:val="32"/>
          <w:szCs w:val="32"/>
          <w:lang w:val="zh-CN"/>
          <w14:textFill>
            <w14:solidFill>
              <w14:schemeClr w14:val="tx1"/>
            </w14:solidFill>
          </w14:textFill>
        </w:rPr>
        <w:t>以龙湖CBD商业圈等项目为龙头，打造新柳大道办公商务商业带，谋划构建新区商务商业聚集发展新主轴。</w:t>
      </w:r>
      <w:r>
        <w:rPr>
          <w:rFonts w:hint="eastAsia" w:ascii="仿宋_GB2312" w:hAnsi="Calibri" w:eastAsia="仿宋_GB2312" w:cs="Times New Roman"/>
          <w:color w:val="000000" w:themeColor="text1"/>
          <w:sz w:val="32"/>
          <w:szCs w:val="32"/>
          <w14:textFill>
            <w14:solidFill>
              <w14:schemeClr w14:val="tx1"/>
            </w14:solidFill>
          </w14:textFill>
        </w:rPr>
        <w:t>围绕“十五分钟”生活圈优化教育、医疗、文化体育设施布局，完善</w:t>
      </w:r>
      <w:r>
        <w:rPr>
          <w:rFonts w:hint="eastAsia" w:ascii="Times New Roman" w:hAnsi="Times New Roman" w:eastAsia="仿宋_GB2312"/>
          <w:color w:val="000000" w:themeColor="text1"/>
          <w:sz w:val="32"/>
          <w:szCs w:val="32"/>
          <w14:textFill>
            <w14:solidFill>
              <w14:schemeClr w14:val="tx1"/>
            </w14:solidFill>
          </w14:textFill>
        </w:rPr>
        <w:t>居民区友邻汇配套项目的规划建设，优化经营模式，丰富商业业态，提供“全生活一站式”生活配套以及社区公共服务，</w:t>
      </w:r>
      <w:r>
        <w:rPr>
          <w:rFonts w:hint="eastAsia" w:ascii="仿宋_GB2312" w:hAnsi="Calibri" w:eastAsia="仿宋_GB2312" w:cs="Times New Roman"/>
          <w:color w:val="000000" w:themeColor="text1"/>
          <w:sz w:val="32"/>
          <w:szCs w:val="32"/>
          <w14:textFill>
            <w14:solidFill>
              <w14:schemeClr w14:val="tx1"/>
            </w14:solidFill>
          </w14:textFill>
        </w:rPr>
        <w:t>提升城市服务能级和生活品质。</w:t>
      </w:r>
      <w:r>
        <w:rPr>
          <w:rFonts w:hint="eastAsia" w:ascii="Times New Roman" w:hAnsi="Times New Roman" w:eastAsia="仿宋_GB2312"/>
          <w:color w:val="000000" w:themeColor="text1"/>
          <w:sz w:val="32"/>
          <w:szCs w:val="32"/>
          <w14:textFill>
            <w14:solidFill>
              <w14:schemeClr w14:val="tx1"/>
            </w14:solidFill>
          </w14:textFill>
        </w:rPr>
        <w:t>促进新区住宅小区、旅游景点、机团、企业、园区、商业广场、农贸市场及市政道路智能充电桩建设。着力推进新区“公交都市”建设，</w:t>
      </w:r>
      <w:r>
        <w:rPr>
          <w:rFonts w:ascii="仿宋_GB2312" w:eastAsia="仿宋_GB2312"/>
          <w:color w:val="000000" w:themeColor="text1"/>
          <w:sz w:val="32"/>
          <w:szCs w:val="32"/>
          <w14:textFill>
            <w14:solidFill>
              <w14:schemeClr w14:val="tx1"/>
            </w14:solidFill>
          </w14:textFill>
        </w:rPr>
        <w:t>以公共交通主导模式和公共交通引导城市发展</w:t>
      </w:r>
      <w:r>
        <w:rPr>
          <w:rFonts w:hint="eastAsia" w:ascii="仿宋_GB2312" w:eastAsia="仿宋_GB2312"/>
          <w:color w:val="000000" w:themeColor="text1"/>
          <w:sz w:val="32"/>
          <w:szCs w:val="32"/>
          <w14:textFill>
            <w14:solidFill>
              <w14:schemeClr w14:val="tx1"/>
            </w14:solidFill>
          </w14:textFill>
        </w:rPr>
        <w:t>，构建以公交换乘枢纽与公交快线站点为核心的“公交社区”。到2025年，新区公交出行分担率达到38%，建</w:t>
      </w:r>
      <w:r>
        <w:rPr>
          <w:rFonts w:ascii="仿宋_GB2312" w:eastAsia="仿宋_GB2312"/>
          <w:color w:val="000000" w:themeColor="text1"/>
          <w:sz w:val="32"/>
          <w:szCs w:val="32"/>
          <w14:textFill>
            <w14:solidFill>
              <w14:schemeClr w14:val="tx1"/>
            </w14:solidFill>
          </w14:textFill>
        </w:rPr>
        <w:t>成区公交站点</w:t>
      </w:r>
      <w:r>
        <w:rPr>
          <w:rFonts w:hint="eastAsia" w:ascii="仿宋_GB2312" w:eastAsia="仿宋_GB2312"/>
          <w:color w:val="000000" w:themeColor="text1"/>
          <w:sz w:val="32"/>
          <w:szCs w:val="32"/>
          <w14:textFill>
            <w14:solidFill>
              <w14:schemeClr w14:val="tx1"/>
            </w14:solidFill>
          </w14:textFill>
        </w:rPr>
        <w:t>500米</w:t>
      </w:r>
      <w:r>
        <w:rPr>
          <w:rFonts w:ascii="仿宋_GB2312" w:eastAsia="仿宋_GB2312"/>
          <w:color w:val="000000" w:themeColor="text1"/>
          <w:sz w:val="32"/>
          <w:szCs w:val="32"/>
          <w14:textFill>
            <w14:solidFill>
              <w14:schemeClr w14:val="tx1"/>
            </w14:solidFill>
          </w14:textFill>
        </w:rPr>
        <w:t>覆盖率达到</w:t>
      </w:r>
      <w:r>
        <w:rPr>
          <w:rFonts w:hint="eastAsia" w:ascii="仿宋_GB2312" w:eastAsia="仿宋_GB2312"/>
          <w:color w:val="000000" w:themeColor="text1"/>
          <w:sz w:val="32"/>
          <w:szCs w:val="32"/>
          <w14:textFill>
            <w14:solidFill>
              <w14:schemeClr w14:val="tx1"/>
            </w14:solidFill>
          </w14:textFill>
        </w:rPr>
        <w:t>100</w:t>
      </w:r>
      <w:r>
        <w:rPr>
          <w:rFonts w:ascii="仿宋_GB2312" w:eastAsia="仿宋_GB2312"/>
          <w:color w:val="000000" w:themeColor="text1"/>
          <w:sz w:val="32"/>
          <w:szCs w:val="32"/>
          <w14:textFill>
            <w14:solidFill>
              <w14:schemeClr w14:val="tx1"/>
            </w14:solidFill>
          </w14:textFill>
        </w:rPr>
        <w:t>%</w:t>
      </w:r>
      <w:r>
        <w:rPr>
          <w:rFonts w:hint="eastAsia" w:ascii="仿宋_GB2312" w:eastAsia="仿宋_GB2312"/>
          <w:color w:val="000000" w:themeColor="text1"/>
          <w:sz w:val="32"/>
          <w:szCs w:val="32"/>
          <w14:textFill>
            <w14:solidFill>
              <w14:schemeClr w14:val="tx1"/>
            </w14:solidFill>
          </w14:textFill>
        </w:rPr>
        <w:t>。</w:t>
      </w:r>
    </w:p>
    <w:tbl>
      <w:tblPr>
        <w:tblStyle w:val="19"/>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pStyle w:val="9"/>
              <w:spacing w:beforeLines="50" w:afterLines="50"/>
              <w:jc w:val="center"/>
              <w:rPr>
                <w:rFonts w:cs="宋体" w:asciiTheme="minorEastAsia" w:hAnsiTheme="minorEastAsia"/>
                <w:b/>
                <w:color w:val="000000" w:themeColor="text1"/>
                <w:szCs w:val="21"/>
                <w14:textFill>
                  <w14:solidFill>
                    <w14:schemeClr w14:val="tx1"/>
                  </w14:solidFill>
                </w14:textFill>
              </w:rPr>
            </w:pPr>
            <w:r>
              <w:rPr>
                <w:rFonts w:hint="eastAsia" w:cs="宋体" w:asciiTheme="minorEastAsia" w:hAnsiTheme="minorEastAsia"/>
                <w:b/>
                <w:color w:val="000000" w:themeColor="text1"/>
                <w:szCs w:val="21"/>
                <w14:textFill>
                  <w14:solidFill>
                    <w14:schemeClr w14:val="tx1"/>
                  </w14:solidFill>
                </w14:textFill>
              </w:rPr>
              <w:t xml:space="preserve">专栏5-4  </w:t>
            </w:r>
            <w:r>
              <w:rPr>
                <w:rFonts w:hint="eastAsia" w:ascii="黑体" w:hAnsi="黑体" w:eastAsia="黑体" w:cs="Times New Roman"/>
                <w:b/>
                <w:color w:val="000000" w:themeColor="text1"/>
                <w14:textFill>
                  <w14:solidFill>
                    <w14:schemeClr w14:val="tx1"/>
                  </w14:solidFill>
                </w14:textFill>
              </w:rPr>
              <w:t>城市综合服务设施</w:t>
            </w:r>
            <w:r>
              <w:rPr>
                <w:rFonts w:hint="eastAsia" w:cs="宋体" w:asciiTheme="minorEastAsia" w:hAnsiTheme="minorEastAsia"/>
                <w:b/>
                <w:color w:val="000000" w:themeColor="text1"/>
                <w:szCs w:val="21"/>
                <w14:textFill>
                  <w14:solidFill>
                    <w14:schemeClr w14:val="tx1"/>
                  </w14:solidFill>
                </w14:textFill>
              </w:rPr>
              <w:t>建设重点</w:t>
            </w:r>
          </w:p>
          <w:p>
            <w:pPr>
              <w:pStyle w:val="9"/>
              <w:ind w:firstLine="422" w:firstLineChars="200"/>
              <w:rPr>
                <w:color w:val="000000" w:themeColor="text1"/>
                <w14:textFill>
                  <w14:solidFill>
                    <w14:schemeClr w14:val="tx1"/>
                  </w14:solidFill>
                </w14:textFill>
              </w:rPr>
            </w:pPr>
            <w:r>
              <w:rPr>
                <w:rFonts w:hint="eastAsia"/>
                <w:b/>
                <w:bCs/>
                <w:color w:val="000000" w:themeColor="text1"/>
                <w14:textFill>
                  <w14:solidFill>
                    <w14:schemeClr w14:val="tx1"/>
                  </w14:solidFill>
                </w14:textFill>
              </w:rPr>
              <w:t>人居配套建设项目：</w:t>
            </w:r>
            <w:r>
              <w:rPr>
                <w:rFonts w:hint="eastAsia"/>
                <w:color w:val="000000" w:themeColor="text1"/>
                <w14:textFill>
                  <w14:solidFill>
                    <w14:schemeClr w14:val="tx1"/>
                  </w14:solidFill>
                </w14:textFill>
              </w:rPr>
              <w:t>柳东新区宝骏城项目、东风柳汽生活配套（龙湖景苑、龙湖嘉园）</w:t>
            </w:r>
          </w:p>
          <w:p>
            <w:pPr>
              <w:pStyle w:val="9"/>
              <w:ind w:firstLine="422" w:firstLineChars="200"/>
              <w:rPr>
                <w:color w:val="000000" w:themeColor="text1"/>
                <w14:textFill>
                  <w14:solidFill>
                    <w14:schemeClr w14:val="tx1"/>
                  </w14:solidFill>
                </w14:textFill>
              </w:rPr>
            </w:pPr>
            <w:r>
              <w:rPr>
                <w:rFonts w:hint="eastAsia"/>
                <w:b/>
                <w:bCs/>
                <w:color w:val="000000" w:themeColor="text1"/>
                <w14:textFill>
                  <w14:solidFill>
                    <w14:schemeClr w14:val="tx1"/>
                  </w14:solidFill>
                </w14:textFill>
              </w:rPr>
              <w:t>市政服务配套项目：</w:t>
            </w:r>
            <w:r>
              <w:rPr>
                <w:rFonts w:hint="eastAsia"/>
                <w:color w:val="000000" w:themeColor="text1"/>
                <w14:textFill>
                  <w14:solidFill>
                    <w14:schemeClr w14:val="tx1"/>
                  </w14:solidFill>
                </w14:textFill>
              </w:rPr>
              <w:t>龙湖广场地下停车场、雒容停保场、雒容广场北停车场、百花岭停车场；</w:t>
            </w:r>
            <w:r>
              <w:rPr>
                <w:rFonts w:hint="eastAsia" w:asciiTheme="minorEastAsia" w:hAnsiTheme="minorEastAsia" w:cstheme="minorEastAsia"/>
                <w:color w:val="000000" w:themeColor="text1"/>
                <w14:textFill>
                  <w14:solidFill>
                    <w14:schemeClr w14:val="tx1"/>
                  </w14:solidFill>
                </w14:textFill>
              </w:rPr>
              <w:t>2座城市垃圾中转站工程、19座</w:t>
            </w:r>
            <w:r>
              <w:rPr>
                <w:rFonts w:hint="eastAsia"/>
                <w:color w:val="000000" w:themeColor="text1"/>
                <w14:textFill>
                  <w14:solidFill>
                    <w14:schemeClr w14:val="tx1"/>
                  </w14:solidFill>
                </w14:textFill>
              </w:rPr>
              <w:t>城市智能型一类公共厕所工程。</w:t>
            </w:r>
          </w:p>
          <w:p>
            <w:pPr>
              <w:pStyle w:val="9"/>
              <w:ind w:firstLine="422" w:firstLineChars="200"/>
              <w:rPr>
                <w:color w:val="000000" w:themeColor="text1"/>
                <w14:textFill>
                  <w14:solidFill>
                    <w14:schemeClr w14:val="tx1"/>
                  </w14:solidFill>
                </w14:textFill>
              </w:rPr>
            </w:pPr>
            <w:r>
              <w:rPr>
                <w:rFonts w:hint="eastAsia"/>
                <w:b/>
                <w:bCs/>
                <w:color w:val="000000" w:themeColor="text1"/>
                <w14:textFill>
                  <w14:solidFill>
                    <w14:schemeClr w14:val="tx1"/>
                  </w14:solidFill>
                </w14:textFill>
              </w:rPr>
              <w:t>生活配套商业项目：</w:t>
            </w:r>
            <w:r>
              <w:rPr>
                <w:color w:val="000000" w:themeColor="text1"/>
                <w14:textFill>
                  <w14:solidFill>
                    <w14:schemeClr w14:val="tx1"/>
                  </w14:solidFill>
                </w14:textFill>
              </w:rPr>
              <w:t>华润</w:t>
            </w:r>
            <w:r>
              <w:rPr>
                <w:rFonts w:hint="eastAsia"/>
                <w:color w:val="000000" w:themeColor="text1"/>
                <w14:textFill>
                  <w14:solidFill>
                    <w14:schemeClr w14:val="tx1"/>
                  </w14:solidFill>
                </w14:textFill>
              </w:rPr>
              <w:t>万象汇、红星爱琴海主题购物公园、九岭西岸友邻汇项目、龙湖友邻汇、南寨友邻汇、职教园南部共享区邻里中心 （悦汇城）、园博园北部城镇化配套项目二期、新区体验园东北侧地块主题酒店项目。</w:t>
            </w:r>
          </w:p>
          <w:p>
            <w:pPr>
              <w:pStyle w:val="9"/>
              <w:ind w:firstLine="422" w:firstLineChars="200"/>
              <w:rPr>
                <w:color w:val="000000" w:themeColor="text1"/>
                <w14:textFill>
                  <w14:solidFill>
                    <w14:schemeClr w14:val="tx1"/>
                  </w14:solidFill>
                </w14:textFill>
              </w:rPr>
            </w:pPr>
            <w:r>
              <w:rPr>
                <w:rFonts w:hint="eastAsia"/>
                <w:b/>
                <w:bCs/>
                <w:color w:val="000000" w:themeColor="text1"/>
                <w14:textFill>
                  <w14:solidFill>
                    <w14:schemeClr w14:val="tx1"/>
                  </w14:solidFill>
                </w14:textFill>
              </w:rPr>
              <w:t>公共交通配套项目：</w:t>
            </w:r>
            <w:r>
              <w:rPr>
                <w:rFonts w:hint="eastAsia"/>
                <w:color w:val="000000" w:themeColor="text1"/>
                <w14:textFill>
                  <w14:solidFill>
                    <w14:schemeClr w14:val="tx1"/>
                  </w14:solidFill>
                </w14:textFill>
              </w:rPr>
              <w:t>洛埠首末站、正和城公交首末站、中欧片区首末站。</w:t>
            </w:r>
          </w:p>
          <w:p>
            <w:pPr>
              <w:pStyle w:val="9"/>
              <w:ind w:firstLine="422" w:firstLineChars="200"/>
              <w:rPr>
                <w:color w:val="000000" w:themeColor="text1"/>
                <w14:textFill>
                  <w14:solidFill>
                    <w14:schemeClr w14:val="tx1"/>
                  </w14:solidFill>
                </w14:textFill>
              </w:rPr>
            </w:pPr>
            <w:r>
              <w:rPr>
                <w:rFonts w:hint="eastAsia"/>
                <w:b/>
                <w:bCs/>
                <w:color w:val="000000" w:themeColor="text1"/>
                <w14:textFill>
                  <w14:solidFill>
                    <w14:schemeClr w14:val="tx1"/>
                  </w14:solidFill>
                </w14:textFill>
              </w:rPr>
              <w:t>商务配套项目：</w:t>
            </w:r>
            <w:r>
              <w:rPr>
                <w:rFonts w:hint="eastAsia"/>
                <w:color w:val="000000" w:themeColor="text1"/>
                <w14:textFill>
                  <w14:solidFill>
                    <w14:schemeClr w14:val="tx1"/>
                  </w14:solidFill>
                </w14:textFill>
              </w:rPr>
              <w:t>龙湖CBD商业圈、企业总部大楼、柳州国际会展中心、科技园等。</w:t>
            </w:r>
          </w:p>
        </w:tc>
      </w:tr>
    </w:tbl>
    <w:p>
      <w:pPr>
        <w:pStyle w:val="5"/>
        <w:spacing w:before="0" w:after="0" w:line="240" w:lineRule="auto"/>
        <w:ind w:firstLine="640" w:firstLineChars="200"/>
        <w:rPr>
          <w:rFonts w:ascii="黑体" w:hAnsi="黑体" w:eastAsia="黑体" w:cs="Times New Roman"/>
          <w:b w:val="0"/>
          <w:color w:val="000000" w:themeColor="text1"/>
          <w14:textFill>
            <w14:solidFill>
              <w14:schemeClr w14:val="tx1"/>
            </w14:solidFill>
          </w14:textFill>
        </w:rPr>
      </w:pPr>
      <w:r>
        <w:rPr>
          <w:rFonts w:hint="eastAsia" w:ascii="黑体" w:hAnsi="黑体" w:eastAsia="黑体" w:cs="Times New Roman"/>
          <w:b w:val="0"/>
          <w:color w:val="000000" w:themeColor="text1"/>
          <w14:textFill>
            <w14:solidFill>
              <w14:schemeClr w14:val="tx1"/>
            </w14:solidFill>
          </w14:textFill>
        </w:rPr>
        <w:t>四、推进高效安全公用事业供应</w:t>
      </w:r>
    </w:p>
    <w:p>
      <w:pPr>
        <w:ind w:firstLine="640" w:firstLineChars="200"/>
        <w:rPr>
          <w:rFonts w:ascii="仿宋_GB2312" w:hAnsi="Calibri" w:eastAsia="仿宋_GB2312" w:cs="Times New Roman"/>
          <w:color w:val="000000" w:themeColor="text1"/>
          <w:sz w:val="32"/>
          <w:szCs w:val="32"/>
          <w14:textFill>
            <w14:solidFill>
              <w14:schemeClr w14:val="tx1"/>
            </w14:solidFill>
          </w14:textFill>
        </w:rPr>
      </w:pPr>
      <w:r>
        <w:rPr>
          <w:rFonts w:hint="eastAsia" w:ascii="仿宋_GB2312" w:hAnsi="Calibri" w:eastAsia="仿宋_GB2312" w:cs="Times New Roman"/>
          <w:color w:val="000000" w:themeColor="text1"/>
          <w:sz w:val="32"/>
          <w:szCs w:val="32"/>
          <w14:textFill>
            <w14:solidFill>
              <w14:schemeClr w14:val="tx1"/>
            </w14:solidFill>
          </w14:textFill>
        </w:rPr>
        <w:t>提高电力安全保障能力，因地制宜建设分布式能源站与垃圾焚烧发电厂。加快建设雒容燃气站、官塘燃气站、燃气高中压管网155公里和相应调压柜（箱）以及城市燃气信息管理系统及配套的后方设施工程，扩大城市居民用气和公共设施用气，大力发展工业用天然气，到“十四五”期末，新区管道气化率达到 90%。统筹协调生活、生产和环境用水，着力推进柳东新区水厂扩建项目，扩建后供水规模达到 42 万吨/日，到2025年城市供水综合保证率达到≥99%。完善水源地环境整改工，推进河湖连通和引调水工程、农村饮水和农业灌溉节水提升工程建设，优化水资源配置格局，形成互补性输配网络。加强防汛设施建设，启动和推进新区洛清江段防洪体系建设，持续推动海绵城市建设，提高区域内雨水调蓄和净化等功能。</w:t>
      </w:r>
    </w:p>
    <w:tbl>
      <w:tblPr>
        <w:tblStyle w:val="19"/>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spacing w:beforeLines="50" w:afterLines="50"/>
              <w:jc w:val="center"/>
              <w:rPr>
                <w:rFonts w:cs="宋体" w:asciiTheme="minorEastAsia" w:hAnsiTheme="minorEastAsia"/>
                <w:b/>
                <w:color w:val="000000" w:themeColor="text1"/>
                <w:szCs w:val="21"/>
                <w14:textFill>
                  <w14:solidFill>
                    <w14:schemeClr w14:val="tx1"/>
                  </w14:solidFill>
                </w14:textFill>
              </w:rPr>
            </w:pPr>
            <w:r>
              <w:rPr>
                <w:rFonts w:hint="eastAsia" w:cs="宋体" w:asciiTheme="minorEastAsia" w:hAnsiTheme="minorEastAsia"/>
                <w:b/>
                <w:color w:val="000000" w:themeColor="text1"/>
                <w:szCs w:val="21"/>
                <w14:textFill>
                  <w14:solidFill>
                    <w14:schemeClr w14:val="tx1"/>
                  </w14:solidFill>
                </w14:textFill>
              </w:rPr>
              <w:t>专栏5-5  城市公用事业建设重点</w:t>
            </w:r>
          </w:p>
          <w:p>
            <w:pPr>
              <w:pStyle w:val="9"/>
              <w:ind w:firstLine="422" w:firstLineChars="200"/>
              <w:rPr>
                <w:rFonts w:asciiTheme="minorEastAsia" w:hAnsiTheme="minorEastAsia" w:cstheme="minorEastAsia"/>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能源供应：</w:t>
            </w:r>
            <w:r>
              <w:rPr>
                <w:rFonts w:hint="eastAsia"/>
                <w:color w:val="000000" w:themeColor="text1"/>
                <w14:textFill>
                  <w14:solidFill>
                    <w14:schemeClr w14:val="tx1"/>
                  </w14:solidFill>
                </w14:textFill>
              </w:rPr>
              <w:t>新区天然气利用工程，包括雒容燃气站（含城市天然气</w:t>
            </w:r>
            <w:r>
              <w:rPr>
                <w:rFonts w:hint="eastAsia" w:asciiTheme="minorEastAsia" w:hAnsiTheme="minorEastAsia" w:cstheme="minorEastAsia"/>
                <w:color w:val="000000" w:themeColor="text1"/>
                <w14:textFill>
                  <w14:solidFill>
                    <w14:schemeClr w14:val="tx1"/>
                  </w14:solidFill>
                </w14:textFill>
              </w:rPr>
              <w:t>接收门站1座，LNG气化站1座，天然气加气站2做）、官塘燃气站（高中压调压站1座）、燃气高中压管网155公里和相应调压柜（箱）以及城市燃气信息管理系统及配套的后方设施等。柳东新区电力应急抢修维护中心、雒容镇道路弱电整治下地项目；绿色智能电网建设项目、华润电力柳州柳东新区10万千瓦风电场项目等前期。</w:t>
            </w:r>
          </w:p>
          <w:p>
            <w:pPr>
              <w:pStyle w:val="9"/>
              <w:ind w:firstLine="422" w:firstLineChars="200"/>
              <w:rPr>
                <w:color w:val="000000" w:themeColor="text1"/>
                <w14:textFill>
                  <w14:solidFill>
                    <w14:schemeClr w14:val="tx1"/>
                  </w14:solidFill>
                </w14:textFill>
              </w:rPr>
            </w:pPr>
            <w:r>
              <w:rPr>
                <w:rFonts w:hint="eastAsia"/>
                <w:b/>
                <w:bCs/>
                <w:color w:val="000000" w:themeColor="text1"/>
                <w14:textFill>
                  <w14:solidFill>
                    <w14:schemeClr w14:val="tx1"/>
                  </w14:solidFill>
                </w14:textFill>
              </w:rPr>
              <w:t>给排水工程：</w:t>
            </w:r>
            <w:r>
              <w:rPr>
                <w:rFonts w:hint="eastAsia"/>
                <w:color w:val="000000" w:themeColor="text1"/>
                <w14:textFill>
                  <w14:solidFill>
                    <w14:schemeClr w14:val="tx1"/>
                  </w14:solidFill>
                </w14:textFill>
              </w:rPr>
              <w:t>新区水厂扩建工程项目。</w:t>
            </w:r>
          </w:p>
        </w:tc>
      </w:tr>
    </w:tbl>
    <w:p>
      <w:pPr>
        <w:pStyle w:val="4"/>
        <w:jc w:val="center"/>
        <w:rPr>
          <w:rFonts w:hint="eastAsia" w:ascii="黑体" w:hAnsi="黑体" w:eastAsia="黑体" w:cs="Times New Roman"/>
          <w:b w:val="0"/>
          <w:color w:val="000000" w:themeColor="text1"/>
          <w14:textFill>
            <w14:solidFill>
              <w14:schemeClr w14:val="tx1"/>
            </w14:solidFill>
          </w14:textFill>
        </w:rPr>
      </w:pPr>
      <w:bookmarkStart w:id="243" w:name="_Toc6648"/>
      <w:bookmarkStart w:id="244" w:name="_Toc20111"/>
      <w:bookmarkStart w:id="245" w:name="_Toc21532"/>
      <w:bookmarkStart w:id="246" w:name="_Toc964"/>
      <w:bookmarkStart w:id="247" w:name="_Toc2532"/>
      <w:bookmarkStart w:id="248" w:name="_Toc31290"/>
      <w:bookmarkStart w:id="249" w:name="_Toc8663"/>
      <w:bookmarkStart w:id="250" w:name="_Toc6891"/>
      <w:bookmarkStart w:id="251" w:name="_Toc30621"/>
      <w:bookmarkStart w:id="252" w:name="_Toc28775"/>
      <w:bookmarkStart w:id="253" w:name="_Toc15030"/>
      <w:bookmarkStart w:id="254" w:name="_Toc4154"/>
      <w:bookmarkStart w:id="255" w:name="_Toc20283"/>
      <w:bookmarkStart w:id="256" w:name="_Toc264"/>
      <w:bookmarkStart w:id="257" w:name="_Toc13258"/>
      <w:bookmarkStart w:id="258" w:name="_Toc13563"/>
      <w:bookmarkStart w:id="259" w:name="_Toc5543"/>
      <w:bookmarkStart w:id="260" w:name="_Toc8767"/>
      <w:bookmarkStart w:id="261" w:name="_Toc26393137"/>
      <w:bookmarkStart w:id="262" w:name="_Toc10189"/>
      <w:bookmarkStart w:id="263" w:name="_Toc24324"/>
      <w:bookmarkStart w:id="264" w:name="_Toc26159"/>
      <w:bookmarkStart w:id="265" w:name="_Toc75341676"/>
      <w:bookmarkStart w:id="266" w:name="_Toc17615"/>
      <w:bookmarkStart w:id="267" w:name="_Toc26594"/>
      <w:bookmarkStart w:id="268" w:name="_Toc33173333"/>
      <w:bookmarkStart w:id="269" w:name="_Toc11753"/>
      <w:r>
        <w:rPr>
          <w:rFonts w:hint="eastAsia" w:ascii="黑体" w:hAnsi="黑体" w:eastAsia="黑体" w:cs="Times New Roman"/>
          <w:b w:val="0"/>
          <w:color w:val="000000" w:themeColor="text1"/>
          <w14:textFill>
            <w14:solidFill>
              <w14:schemeClr w14:val="tx1"/>
            </w14:solidFill>
          </w14:textFill>
        </w:rPr>
        <w:t>第三节 统筹构建城乡融合发展新格局</w:t>
      </w:r>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p>
    <w:p>
      <w:pPr>
        <w:pStyle w:val="5"/>
        <w:spacing w:before="0" w:after="0" w:line="240" w:lineRule="auto"/>
        <w:ind w:firstLine="640" w:firstLineChars="200"/>
        <w:rPr>
          <w:rFonts w:ascii="黑体" w:hAnsi="黑体" w:eastAsia="黑体" w:cs="Times New Roman"/>
          <w:b w:val="0"/>
          <w:color w:val="000000" w:themeColor="text1"/>
          <w14:textFill>
            <w14:solidFill>
              <w14:schemeClr w14:val="tx1"/>
            </w14:solidFill>
          </w14:textFill>
        </w:rPr>
      </w:pPr>
      <w:r>
        <w:rPr>
          <w:rFonts w:hint="eastAsia" w:ascii="黑体" w:hAnsi="黑体" w:eastAsia="黑体" w:cs="Times New Roman"/>
          <w:b w:val="0"/>
          <w:color w:val="000000" w:themeColor="text1"/>
          <w14:textFill>
            <w14:solidFill>
              <w14:schemeClr w14:val="tx1"/>
            </w14:solidFill>
          </w14:textFill>
        </w:rPr>
        <w:t>一、推进城镇化高质量发展</w:t>
      </w:r>
    </w:p>
    <w:p>
      <w:pPr>
        <w:adjustRightInd w:val="0"/>
        <w:ind w:firstLine="640" w:firstLineChars="200"/>
        <w:rPr>
          <w:rFonts w:ascii="仿宋_GB2312" w:hAnsi="仿宋" w:eastAsia="仿宋_GB2312" w:cs="Times New Roman"/>
          <w:color w:val="000000" w:themeColor="text1"/>
          <w:sz w:val="32"/>
          <w:szCs w:val="32"/>
          <w14:textFill>
            <w14:solidFill>
              <w14:schemeClr w14:val="tx1"/>
            </w14:solidFill>
          </w14:textFill>
        </w:rPr>
      </w:pPr>
      <w:r>
        <w:rPr>
          <w:rFonts w:hint="eastAsia" w:ascii="仿宋_GB2312" w:hAnsi="仿宋" w:eastAsia="仿宋_GB2312" w:cs="Times New Roman"/>
          <w:color w:val="000000" w:themeColor="text1"/>
          <w:sz w:val="32"/>
          <w:szCs w:val="32"/>
          <w14:textFill>
            <w14:solidFill>
              <w14:schemeClr w14:val="tx1"/>
            </w14:solidFill>
          </w14:textFill>
        </w:rPr>
        <w:t>推进以人为核心的新型城镇化，稳步推进城市更新，推进城市生态修复和功能完善。提升新区街镇空间发展格局，扩大中心镇区覆盖范围。加快推进农业转移人口市民化，力争实现居住证制度覆盖新区城镇全部未落户常住人口。推进洛埠镇撤镇设街工作，确保街道经济发展和社会建设工作有序平稳。推动雒容镇行政区域调整，争取增设城市新社区，提高辖区公共服务能力。着力推进市容市貌提升，改善居民居住环境，增强城市社区社会管理和服务能力。积极推进特色小镇建设，重点建设雒容特色小镇、洛埠特色小镇，打造产业“特而强”、功能“聚而合”、形态“小而美”、机制“新而活”的特色小镇。推进经济发达镇行政管理体制改革，进一步激发经济发达镇发展内生动力。</w:t>
      </w:r>
    </w:p>
    <w:tbl>
      <w:tblPr>
        <w:tblStyle w:val="19"/>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spacing w:beforeLines="50" w:afterLines="50"/>
              <w:jc w:val="center"/>
              <w:rPr>
                <w:rFonts w:cs="宋体" w:asciiTheme="minorEastAsia" w:hAnsiTheme="minorEastAsia"/>
                <w:b/>
                <w:color w:val="000000" w:themeColor="text1"/>
                <w:szCs w:val="21"/>
                <w14:textFill>
                  <w14:solidFill>
                    <w14:schemeClr w14:val="tx1"/>
                  </w14:solidFill>
                </w14:textFill>
              </w:rPr>
            </w:pPr>
            <w:r>
              <w:rPr>
                <w:rFonts w:hint="eastAsia" w:cs="宋体" w:asciiTheme="minorEastAsia" w:hAnsiTheme="minorEastAsia"/>
                <w:b/>
                <w:color w:val="000000" w:themeColor="text1"/>
                <w:szCs w:val="21"/>
                <w14:textFill>
                  <w14:solidFill>
                    <w14:schemeClr w14:val="tx1"/>
                  </w14:solidFill>
                </w14:textFill>
              </w:rPr>
              <w:t>专栏5-6  城镇化建设重点</w:t>
            </w:r>
          </w:p>
          <w:p>
            <w:pPr>
              <w:pStyle w:val="9"/>
              <w:ind w:firstLine="422" w:firstLineChars="200"/>
              <w:rPr>
                <w:b/>
                <w:bCs/>
                <w:color w:val="000000" w:themeColor="text1"/>
                <w14:textFill>
                  <w14:solidFill>
                    <w14:schemeClr w14:val="tx1"/>
                  </w14:solidFill>
                </w14:textFill>
              </w:rPr>
            </w:pPr>
            <w:r>
              <w:rPr>
                <w:b/>
                <w:bCs/>
                <w:color w:val="000000" w:themeColor="text1"/>
                <w14:textFill>
                  <w14:solidFill>
                    <w14:schemeClr w14:val="tx1"/>
                  </w14:solidFill>
                </w14:textFill>
              </w:rPr>
              <w:t>雒容镇象岩路党建示范商业街道路改造工程</w:t>
            </w:r>
            <w:r>
              <w:rPr>
                <w:rFonts w:hint="eastAsia"/>
                <w:b/>
                <w:bCs/>
                <w:color w:val="000000" w:themeColor="text1"/>
                <w14:textFill>
                  <w14:solidFill>
                    <w14:schemeClr w14:val="tx1"/>
                  </w14:solidFill>
                </w14:textFill>
              </w:rPr>
              <w:t>：</w:t>
            </w:r>
            <w:r>
              <w:rPr>
                <w:rFonts w:hint="eastAsia"/>
                <w:color w:val="000000" w:themeColor="text1"/>
                <w14:textFill>
                  <w14:solidFill>
                    <w14:schemeClr w14:val="tx1"/>
                  </w14:solidFill>
                </w14:textFill>
              </w:rPr>
              <w:t>对象岩路和政通路二巷两条道路进行改造，达到城市支路技术标准通。</w:t>
            </w:r>
          </w:p>
          <w:p>
            <w:pPr>
              <w:pStyle w:val="9"/>
              <w:ind w:firstLine="422" w:firstLineChars="200"/>
              <w:rPr>
                <w:rFonts w:asciiTheme="minorEastAsia" w:hAnsiTheme="minorEastAsia" w:cstheme="minorEastAsia"/>
                <w:color w:val="000000" w:themeColor="text1"/>
                <w14:textFill>
                  <w14:solidFill>
                    <w14:schemeClr w14:val="tx1"/>
                  </w14:solidFill>
                </w14:textFill>
              </w:rPr>
            </w:pPr>
            <w:r>
              <w:rPr>
                <w:b/>
                <w:bCs/>
                <w:color w:val="000000" w:themeColor="text1"/>
                <w14:textFill>
                  <w14:solidFill>
                    <w14:schemeClr w14:val="tx1"/>
                  </w14:solidFill>
                </w14:textFill>
              </w:rPr>
              <w:t>雒容镇基础设施升级改造项目</w:t>
            </w:r>
            <w:r>
              <w:rPr>
                <w:rFonts w:hint="eastAsia"/>
                <w:b/>
                <w:bCs/>
                <w:color w:val="000000" w:themeColor="text1"/>
                <w14:textFill>
                  <w14:solidFill>
                    <w14:schemeClr w14:val="tx1"/>
                  </w14:solidFill>
                </w14:textFill>
              </w:rPr>
              <w:t>：</w:t>
            </w:r>
            <w:r>
              <w:rPr>
                <w:rFonts w:hint="eastAsia" w:asciiTheme="minorEastAsia" w:hAnsiTheme="minorEastAsia" w:cstheme="minorEastAsia"/>
                <w:color w:val="000000" w:themeColor="text1"/>
                <w14:textFill>
                  <w14:solidFill>
                    <w14:schemeClr w14:val="tx1"/>
                  </w14:solidFill>
                </w14:textFill>
              </w:rPr>
              <w:t>包括道路标准提升、改造人行道1.5万平方米，线路总长度、新建屯通屯道路。建设5个屯级公共服务中心工程，配套建设文化娱乐室、篮球场、戏台、宣传长廊。</w:t>
            </w:r>
          </w:p>
          <w:p>
            <w:pPr>
              <w:pStyle w:val="9"/>
              <w:ind w:firstLine="422" w:firstLineChars="200"/>
              <w:rPr>
                <w:color w:val="000000" w:themeColor="text1"/>
                <w14:textFill>
                  <w14:solidFill>
                    <w14:schemeClr w14:val="tx1"/>
                  </w14:solidFill>
                </w14:textFill>
              </w:rPr>
            </w:pPr>
            <w:r>
              <w:rPr>
                <w:b/>
                <w:bCs/>
                <w:color w:val="000000" w:themeColor="text1"/>
                <w14:textFill>
                  <w14:solidFill>
                    <w14:schemeClr w14:val="tx1"/>
                  </w14:solidFill>
                </w14:textFill>
              </w:rPr>
              <w:t>雒容特色小镇项目</w:t>
            </w:r>
            <w:r>
              <w:rPr>
                <w:rFonts w:hint="eastAsia"/>
                <w:b/>
                <w:bCs/>
                <w:color w:val="000000" w:themeColor="text1"/>
                <w14:textFill>
                  <w14:solidFill>
                    <w14:schemeClr w14:val="tx1"/>
                  </w14:solidFill>
                </w14:textFill>
              </w:rPr>
              <w:t>：</w:t>
            </w:r>
            <w:r>
              <w:rPr>
                <w:rFonts w:hint="eastAsia"/>
                <w:color w:val="000000" w:themeColor="text1"/>
                <w14:textFill>
                  <w14:solidFill>
                    <w14:schemeClr w14:val="tx1"/>
                  </w14:solidFill>
                </w14:textFill>
              </w:rPr>
              <w:t>建设雒容古镇历史文化街区改造项目（一期），雒容镇中山街历史文化街区改造项目（二期）城墙遗址公园项目。</w:t>
            </w:r>
          </w:p>
          <w:p>
            <w:pPr>
              <w:pStyle w:val="9"/>
              <w:ind w:firstLine="422" w:firstLineChars="200"/>
              <w:rPr>
                <w:color w:val="000000" w:themeColor="text1"/>
                <w14:textFill>
                  <w14:solidFill>
                    <w14:schemeClr w14:val="tx1"/>
                  </w14:solidFill>
                </w14:textFill>
              </w:rPr>
            </w:pPr>
            <w:r>
              <w:rPr>
                <w:b/>
                <w:bCs/>
                <w:color w:val="000000" w:themeColor="text1"/>
                <w14:textFill>
                  <w14:solidFill>
                    <w14:schemeClr w14:val="tx1"/>
                  </w14:solidFill>
                </w14:textFill>
              </w:rPr>
              <w:t>洛埠特色小镇项目</w:t>
            </w:r>
            <w:r>
              <w:rPr>
                <w:rFonts w:hint="eastAsia"/>
                <w:b/>
                <w:bCs/>
                <w:color w:val="000000" w:themeColor="text1"/>
                <w14:textFill>
                  <w14:solidFill>
                    <w14:schemeClr w14:val="tx1"/>
                  </w14:solidFill>
                </w14:textFill>
              </w:rPr>
              <w:t>：</w:t>
            </w:r>
            <w:r>
              <w:rPr>
                <w:rFonts w:hint="eastAsia"/>
                <w:color w:val="000000" w:themeColor="text1"/>
                <w14:textFill>
                  <w14:solidFill>
                    <w14:schemeClr w14:val="tx1"/>
                  </w14:solidFill>
                </w14:textFill>
              </w:rPr>
              <w:t>规划建设功能齐全的特色的宜居产业小城镇。</w:t>
            </w:r>
          </w:p>
        </w:tc>
      </w:tr>
    </w:tbl>
    <w:p>
      <w:pPr>
        <w:pStyle w:val="5"/>
        <w:spacing w:before="0" w:after="0" w:line="240" w:lineRule="auto"/>
        <w:ind w:firstLine="640" w:firstLineChars="200"/>
        <w:rPr>
          <w:rFonts w:ascii="黑体" w:hAnsi="黑体" w:eastAsia="黑体" w:cs="Times New Roman"/>
          <w:b w:val="0"/>
          <w:color w:val="000000" w:themeColor="text1"/>
          <w14:textFill>
            <w14:solidFill>
              <w14:schemeClr w14:val="tx1"/>
            </w14:solidFill>
          </w14:textFill>
        </w:rPr>
      </w:pPr>
      <w:r>
        <w:rPr>
          <w:rFonts w:hint="eastAsia" w:ascii="黑体" w:hAnsi="黑体" w:eastAsia="黑体" w:cs="Times New Roman"/>
          <w:b w:val="0"/>
          <w:color w:val="000000" w:themeColor="text1"/>
          <w14:textFill>
            <w14:solidFill>
              <w14:schemeClr w14:val="tx1"/>
            </w14:solidFill>
          </w14:textFill>
        </w:rPr>
        <w:t>二、大力推进乡村振兴战略</w:t>
      </w:r>
    </w:p>
    <w:p>
      <w:pPr>
        <w:pStyle w:val="2"/>
        <w:ind w:firstLine="640"/>
        <w:rPr>
          <w:rFonts w:ascii="仿宋_GB2312"/>
          <w:color w:val="000000" w:themeColor="text1"/>
          <w:sz w:val="32"/>
          <w:szCs w:val="32"/>
          <w14:textFill>
            <w14:solidFill>
              <w14:schemeClr w14:val="tx1"/>
            </w14:solidFill>
          </w14:textFill>
        </w:rPr>
      </w:pPr>
      <w:r>
        <w:rPr>
          <w:rFonts w:hint="eastAsia" w:ascii="仿宋_GB2312" w:hAnsi="仿宋_GB2312" w:cs="仿宋_GB2312"/>
          <w:color w:val="000000" w:themeColor="text1"/>
          <w:sz w:val="32"/>
          <w:szCs w:val="32"/>
          <w14:textFill>
            <w14:solidFill>
              <w14:schemeClr w14:val="tx1"/>
            </w14:solidFill>
          </w14:textFill>
        </w:rPr>
        <w:t>强化以工补农、以城带乡，推动形成工农互促、城乡互补、协调发展、共同繁荣的新型工农城乡关系。统筹乡村振兴规划，将实现巩固拓展脱贫攻坚成果同乡村振兴有效衔接，积极落实广西乡村振兴产业发展基础设施公共服务能力提升三年行动方案（2021—2023 年），优化乡村生产、生活、生态空间，对乡村振兴重点帮扶县、重点项目进行倾斜支持。</w:t>
      </w:r>
      <w:r>
        <w:rPr>
          <w:rFonts w:hint="eastAsia" w:ascii="仿宋_GB2312"/>
          <w:color w:val="000000" w:themeColor="text1"/>
          <w:sz w:val="32"/>
          <w:szCs w:val="32"/>
          <w14:textFill>
            <w14:solidFill>
              <w14:schemeClr w14:val="tx1"/>
            </w14:solidFill>
          </w14:textFill>
        </w:rPr>
        <w:t>深化农业供给侧结构性改革，以推进农村产业融合发展为方向，构建新区现代农业体系，</w:t>
      </w:r>
      <w:r>
        <w:rPr>
          <w:rFonts w:hint="eastAsia" w:ascii="仿宋_GB2312" w:hAnsi="仿宋" w:cs="Times New Roman"/>
          <w:color w:val="000000" w:themeColor="text1"/>
          <w:sz w:val="32"/>
          <w:szCs w:val="32"/>
          <w14:textFill>
            <w14:solidFill>
              <w14:schemeClr w14:val="tx1"/>
            </w14:solidFill>
          </w14:textFill>
        </w:rPr>
        <w:t>促进现代都市型</w:t>
      </w:r>
      <w:r>
        <w:rPr>
          <w:rFonts w:hint="eastAsia" w:ascii="仿宋_GB2312" w:hAnsi="仿宋" w:cs="Times New Roman"/>
          <w:color w:val="000000" w:themeColor="text1"/>
          <w:sz w:val="32"/>
          <w:szCs w:val="32"/>
          <w:shd w:val="clear" w:color="auto" w:fill="FFFFFF"/>
          <w14:textFill>
            <w14:solidFill>
              <w14:schemeClr w14:val="tx1"/>
            </w14:solidFill>
          </w14:textFill>
        </w:rPr>
        <w:t>农业发展，大力推广高附加值农产品种植，探索发展家庭农场集群模式，吸引社会资本和专业机构投资运营，</w:t>
      </w:r>
      <w:r>
        <w:rPr>
          <w:rFonts w:hint="eastAsia" w:ascii="仿宋_GB2312"/>
          <w:color w:val="000000" w:themeColor="text1"/>
          <w:sz w:val="32"/>
          <w:szCs w:val="32"/>
          <w14:textFill>
            <w14:solidFill>
              <w14:schemeClr w14:val="tx1"/>
            </w14:solidFill>
          </w14:textFill>
        </w:rPr>
        <w:t>全面提升发展质量与效益。建设现代农业示范区，</w:t>
      </w:r>
      <w:r>
        <w:rPr>
          <w:rFonts w:hint="eastAsia" w:ascii="仿宋_GB2312" w:hAnsi="仿宋" w:cs="Times New Roman"/>
          <w:color w:val="000000" w:themeColor="text1"/>
          <w:sz w:val="32"/>
          <w:szCs w:val="32"/>
          <w14:textFill>
            <w14:solidFill>
              <w14:schemeClr w14:val="tx1"/>
            </w14:solidFill>
          </w14:textFill>
        </w:rPr>
        <w:t>完善三门江油茶产业示范区基础设施，建设油茶高产高效示范园，推进油茶精深加工增值。充分利用乡村人文资源、山水生态资源，打造乡村旅游精品工程。</w:t>
      </w:r>
      <w:r>
        <w:rPr>
          <w:rFonts w:hint="eastAsia" w:ascii="仿宋_GB2312"/>
          <w:color w:val="000000" w:themeColor="text1"/>
          <w:sz w:val="32"/>
          <w:szCs w:val="32"/>
          <w14:textFill>
            <w14:solidFill>
              <w14:schemeClr w14:val="tx1"/>
            </w14:solidFill>
          </w14:textFill>
        </w:rPr>
        <w:t>实施农业龙头企业成长计划，培育农业产业化龙头企业，农民专业合作社、家庭农场实现规范化发展。推动农村人才建设，支持各类人才返乡、下乡创业兴业。</w:t>
      </w:r>
      <w:r>
        <w:rPr>
          <w:rFonts w:hint="eastAsia" w:ascii="仿宋_GB2312" w:hAnsi="仿宋" w:cs="Times New Roman"/>
          <w:color w:val="000000" w:themeColor="text1"/>
          <w:sz w:val="32"/>
          <w:szCs w:val="32"/>
          <w14:textFill>
            <w14:solidFill>
              <w14:schemeClr w14:val="tx1"/>
            </w14:solidFill>
          </w14:textFill>
        </w:rPr>
        <w:t>积极推进“美丽柳州”乡村建设，</w:t>
      </w:r>
      <w:r>
        <w:rPr>
          <w:rFonts w:hint="eastAsia" w:ascii="仿宋_GB2312"/>
          <w:color w:val="000000" w:themeColor="text1"/>
          <w:sz w:val="32"/>
          <w:szCs w:val="32"/>
          <w14:textFill>
            <w14:solidFill>
              <w14:schemeClr w14:val="tx1"/>
            </w14:solidFill>
          </w14:textFill>
        </w:rPr>
        <w:t>持续改善农村人居环境，建设村容整洁、环境优美、民风和谐、生态宜居的秀美乡村。加快推动公共服务资源向农村倾斜，积极完善乡村教育和医疗体系建设，补齐农村民生短板，缩小城乡差距。以乡村公共文化服务建设为载体，推动乡村文化振兴，建设文明乡村。加快建立健全党委领导、政府负责、社会协同、公众参与、法治保障的现代乡村社会治理体制。加强乡镇政府能力建设，制定乡镇政府公共服务事项清单，打造乡镇政府基本公共服务平台。统筹山水林田湖草系统治理，推进乡村生态振兴，以马步水库、上金田屯和下金田屯为核心建设乡村振兴示范引领区，辐射雒容镇连丰村、竹桐村、龙岭村。着力打造上金田屯村庄改造工程，以乡村风貌提升行动为抓手，统筹兼顾产业发展、生态保护，连片打造、梯次推进、动态提升，留住独特的乡土味道和乡村风貌。</w:t>
      </w:r>
    </w:p>
    <w:tbl>
      <w:tblPr>
        <w:tblStyle w:val="19"/>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pStyle w:val="9"/>
              <w:spacing w:beforeLines="50" w:afterLines="50"/>
              <w:jc w:val="center"/>
              <w:rPr>
                <w:rFonts w:cs="宋体" w:asciiTheme="minorEastAsia" w:hAnsiTheme="minorEastAsia"/>
                <w:b/>
                <w:color w:val="000000" w:themeColor="text1"/>
                <w:szCs w:val="21"/>
                <w14:textFill>
                  <w14:solidFill>
                    <w14:schemeClr w14:val="tx1"/>
                  </w14:solidFill>
                </w14:textFill>
              </w:rPr>
            </w:pPr>
            <w:r>
              <w:rPr>
                <w:rFonts w:hint="eastAsia" w:cs="宋体" w:asciiTheme="minorEastAsia" w:hAnsiTheme="minorEastAsia"/>
                <w:b/>
                <w:color w:val="000000" w:themeColor="text1"/>
                <w:szCs w:val="21"/>
                <w14:textFill>
                  <w14:solidFill>
                    <w14:schemeClr w14:val="tx1"/>
                  </w14:solidFill>
                </w14:textFill>
              </w:rPr>
              <w:t>专栏5-7  乡村振兴建设重点</w:t>
            </w:r>
          </w:p>
          <w:p>
            <w:pPr>
              <w:pStyle w:val="9"/>
              <w:ind w:firstLine="422" w:firstLineChars="200"/>
              <w:rPr>
                <w:color w:val="000000" w:themeColor="text1"/>
                <w14:textFill>
                  <w14:solidFill>
                    <w14:schemeClr w14:val="tx1"/>
                  </w14:solidFill>
                </w14:textFill>
              </w:rPr>
            </w:pPr>
            <w:r>
              <w:rPr>
                <w:rFonts w:hint="eastAsia"/>
                <w:b/>
                <w:bCs/>
                <w:color w:val="000000" w:themeColor="text1"/>
                <w14:textFill>
                  <w14:solidFill>
                    <w14:schemeClr w14:val="tx1"/>
                  </w14:solidFill>
                </w14:textFill>
              </w:rPr>
              <w:t>上金田屯乡村风貌提升示范村（“美丽柳州”乡村建设综合示范村）项目建设工程：</w:t>
            </w:r>
            <w:r>
              <w:rPr>
                <w:rFonts w:hint="eastAsia"/>
                <w:color w:val="000000" w:themeColor="text1"/>
                <w14:textFill>
                  <w14:solidFill>
                    <w14:schemeClr w14:val="tx1"/>
                  </w14:solidFill>
                </w14:textFill>
              </w:rPr>
              <w:t>新建游客服务中心、入村公厕、入村牌坊2个、垃圾处理、生态停车场、村民综合服务中心（农家书屋、电商平台、村史馆）以及院落绿化、村庄内部道路铺装工程、配套设施、污水处理排放、弱电下地、景观提升等工程。</w:t>
            </w:r>
          </w:p>
          <w:p>
            <w:pPr>
              <w:pStyle w:val="9"/>
              <w:ind w:firstLine="422" w:firstLineChars="200"/>
              <w:rPr>
                <w:color w:val="000000" w:themeColor="text1"/>
                <w14:textFill>
                  <w14:solidFill>
                    <w14:schemeClr w14:val="tx1"/>
                  </w14:solidFill>
                </w14:textFill>
              </w:rPr>
            </w:pPr>
            <w:r>
              <w:rPr>
                <w:rFonts w:hint="eastAsia"/>
                <w:b/>
                <w:bCs/>
                <w:color w:val="000000" w:themeColor="text1"/>
                <w14:textFill>
                  <w14:solidFill>
                    <w14:schemeClr w14:val="tx1"/>
                  </w14:solidFill>
                </w14:textFill>
              </w:rPr>
              <w:t>雒容乡村风貌提升设施完善及村庄综合整治项目：</w:t>
            </w:r>
            <w:r>
              <w:rPr>
                <w:rFonts w:hint="eastAsia"/>
                <w:color w:val="000000" w:themeColor="text1"/>
                <w14:textFill>
                  <w14:solidFill>
                    <w14:schemeClr w14:val="tx1"/>
                  </w14:solidFill>
                </w14:textFill>
              </w:rPr>
              <w:t>包括雒容镇连丰村马步屯、新木良屯、老木良屯、回忆屯、甫口屯、塘边屯、等乡村风貌提升设施完善型项目。竹桐村樟山屯、六云屯、龙岭村龙团屯等村庄综合整治项目工程。下金田屯污水处理项目工程。竹车村老木头屯公共服务中心项目。</w:t>
            </w:r>
          </w:p>
          <w:p>
            <w:pPr>
              <w:pStyle w:val="9"/>
              <w:ind w:firstLine="422" w:firstLineChars="200"/>
              <w:rPr>
                <w:color w:val="000000" w:themeColor="text1"/>
                <w14:textFill>
                  <w14:solidFill>
                    <w14:schemeClr w14:val="tx1"/>
                  </w14:solidFill>
                </w14:textFill>
              </w:rPr>
            </w:pPr>
            <w:r>
              <w:rPr>
                <w:rFonts w:hint="eastAsia"/>
                <w:b/>
                <w:bCs/>
                <w:color w:val="000000" w:themeColor="text1"/>
                <w14:textFill>
                  <w14:solidFill>
                    <w14:schemeClr w14:val="tx1"/>
                  </w14:solidFill>
                </w14:textFill>
              </w:rPr>
              <w:t>镇村发展项目：</w:t>
            </w:r>
            <w:r>
              <w:rPr>
                <w:rFonts w:hint="eastAsia"/>
                <w:color w:val="000000" w:themeColor="text1"/>
                <w14:textFill>
                  <w14:solidFill>
                    <w14:schemeClr w14:val="tx1"/>
                  </w14:solidFill>
                </w14:textFill>
              </w:rPr>
              <w:t>雒柳路升级改造工程项目、东塘屯至鹿寨县思洛村麻哈屯道路工程、竹桐村底村屯至导江乡新建屯通屯道路、东塘50万变电站至桐林屯水泥路工程、竹桐村樟山屯至六云屯通屯水泥路工程、建设5个屯级公共服务中心工程、富容路改造工程、盘江路改造工程、广庆路（一巷至六巷）道路白改黑工程、桂龙路一巷道路白改黑工程、洛江小区道路白改黑工程、容庆路一巷及政通路一、三、四巷道路白改黑工程、洛埠镇零星工程2021年建设项目、雒容镇饮水安全提升改造、工程、雒容镇渠道整治工程、雒容镇污水治理工程、柳州市柳东新区雒容镇大穴岭公益性墓地建设工程。</w:t>
            </w:r>
          </w:p>
          <w:p>
            <w:pPr>
              <w:pStyle w:val="9"/>
              <w:ind w:firstLine="422" w:firstLineChars="200"/>
              <w:rPr>
                <w:color w:val="000000" w:themeColor="text1"/>
                <w14:textFill>
                  <w14:solidFill>
                    <w14:schemeClr w14:val="tx1"/>
                  </w14:solidFill>
                </w14:textFill>
              </w:rPr>
            </w:pPr>
            <w:r>
              <w:rPr>
                <w:rFonts w:hint="eastAsia"/>
                <w:b/>
                <w:bCs/>
                <w:color w:val="000000" w:themeColor="text1"/>
                <w14:textFill>
                  <w14:solidFill>
                    <w14:schemeClr w14:val="tx1"/>
                  </w14:solidFill>
                </w14:textFill>
              </w:rPr>
              <w:t>农村产业发展项目：</w:t>
            </w:r>
            <w:r>
              <w:rPr>
                <w:rFonts w:hint="eastAsia"/>
                <w:color w:val="000000" w:themeColor="text1"/>
                <w14:textFill>
                  <w14:solidFill>
                    <w14:schemeClr w14:val="tx1"/>
                  </w14:solidFill>
                </w14:textFill>
              </w:rPr>
              <w:t>雒容镇东塘村桂中监狱八队台湾麻竹竹笋种植项目、优质水果品牌创建项目、柳州市兴全肉食品有限责任公司拓展深加工项目、桂中监狱八队小龙虾养殖基地。</w:t>
            </w:r>
          </w:p>
        </w:tc>
      </w:tr>
    </w:tbl>
    <w:p>
      <w:pPr>
        <w:pStyle w:val="5"/>
        <w:spacing w:before="0" w:after="0" w:line="240" w:lineRule="auto"/>
        <w:ind w:firstLine="640" w:firstLineChars="200"/>
        <w:rPr>
          <w:rFonts w:ascii="黑体" w:hAnsi="黑体" w:eastAsia="黑体" w:cs="Times New Roman"/>
          <w:b w:val="0"/>
          <w:color w:val="000000" w:themeColor="text1"/>
          <w14:textFill>
            <w14:solidFill>
              <w14:schemeClr w14:val="tx1"/>
            </w14:solidFill>
          </w14:textFill>
        </w:rPr>
      </w:pPr>
      <w:r>
        <w:rPr>
          <w:rFonts w:hint="eastAsia" w:ascii="黑体" w:hAnsi="黑体" w:eastAsia="黑体" w:cs="Times New Roman"/>
          <w:b w:val="0"/>
          <w:color w:val="000000" w:themeColor="text1"/>
          <w14:textFill>
            <w14:solidFill>
              <w14:schemeClr w14:val="tx1"/>
            </w14:solidFill>
          </w14:textFill>
        </w:rPr>
        <w:t>三、构建城乡一体化发展格局</w:t>
      </w:r>
    </w:p>
    <w:p>
      <w:pPr>
        <w:adjustRightInd w:val="0"/>
        <w:ind w:firstLine="640" w:firstLineChars="200"/>
        <w:rPr>
          <w:rFonts w:ascii="仿宋_GB2312" w:eastAsia="仿宋_GB2312"/>
          <w:color w:val="000000" w:themeColor="text1"/>
          <w:sz w:val="32"/>
          <w:szCs w:val="32"/>
          <w14:textFill>
            <w14:solidFill>
              <w14:schemeClr w14:val="tx1"/>
            </w14:solidFill>
          </w14:textFill>
        </w:rPr>
      </w:pPr>
      <w:r>
        <w:rPr>
          <w:rFonts w:hint="eastAsia" w:ascii="仿宋_GB2312" w:hAnsi="仿宋" w:eastAsia="仿宋_GB2312" w:cs="Times New Roman"/>
          <w:color w:val="000000" w:themeColor="text1"/>
          <w:sz w:val="32"/>
          <w:szCs w:val="32"/>
          <w14:textFill>
            <w14:solidFill>
              <w14:schemeClr w14:val="tx1"/>
            </w14:solidFill>
          </w14:textFill>
        </w:rPr>
        <w:t>以新区核心区为中心构建城乡协调发展格局，完善中心城区综合服务功能，增强城镇对乡村的带动和辐射能力。以</w:t>
      </w:r>
      <w:r>
        <w:rPr>
          <w:rFonts w:hint="eastAsia" w:ascii="仿宋_GB2312" w:eastAsia="仿宋_GB2312"/>
          <w:color w:val="000000" w:themeColor="text1"/>
          <w:sz w:val="32"/>
          <w:szCs w:val="32"/>
          <w14:textFill>
            <w14:solidFill>
              <w14:schemeClr w14:val="tx1"/>
            </w14:solidFill>
          </w14:textFill>
        </w:rPr>
        <w:t>遵循“尊重自然，保持风貌”的原则下，在一定规划范围内保持新区原始生态环境。积极推进要素资源优化配置，促进各类要素在城乡之间自由流动。稳慎推进农村宅基地制度改革，促进农村宅基地集约节约利用。探索推进集体经营性建设用地入市制度。健全财政投入保障机制，保障农村建设资金需求。建立城乡教育、卫生医疗、文化体育等公共资源均衡配置机制，推动优质资源城乡共享。健全城乡公共文化服务体系，激活乡村文化发展潜力。推进新区农村公共基础设施管护体制改革试点方案全面落实，明确管护主体、管护责任，规范管护标准、落实管护经费、提升管护质量，推动城乡公共基础设施、基本公共服务普惠共享，促进城乡融合、服务一体。深化户籍制度改革，积极推动农业转移人口市民化，加大“人地钱挂钩”配套政策的激励力度。建立健全进城农民工随迁子女入学政策，积极保障符合条件的随迁子女在流入地接受高质量教育的权利。</w:t>
      </w:r>
    </w:p>
    <w:p>
      <w:pPr>
        <w:rPr>
          <w:rFonts w:ascii="仿宋_GB2312" w:eastAsia="仿宋_GB2312"/>
          <w:color w:val="000000" w:themeColor="text1"/>
          <w:sz w:val="32"/>
          <w:szCs w:val="32"/>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br w:type="page"/>
      </w:r>
    </w:p>
    <w:p>
      <w:pPr>
        <w:pStyle w:val="2"/>
        <w:ind w:firstLine="420"/>
        <w:rPr>
          <w:color w:val="000000" w:themeColor="text1"/>
          <w14:textFill>
            <w14:solidFill>
              <w14:schemeClr w14:val="tx1"/>
            </w14:solidFill>
          </w14:textFill>
        </w:rPr>
      </w:pPr>
    </w:p>
    <w:p>
      <w:pPr>
        <w:pStyle w:val="3"/>
        <w:keepLines w:val="0"/>
        <w:widowControl/>
        <w:spacing w:before="0" w:afterLines="100" w:line="240" w:lineRule="auto"/>
        <w:jc w:val="center"/>
        <w:rPr>
          <w:rFonts w:ascii="黑体" w:hAnsi="黑体" w:eastAsia="黑体" w:cs="Times New Roman"/>
          <w:b w:val="0"/>
          <w:color w:val="000000" w:themeColor="text1"/>
          <w:sz w:val="32"/>
          <w:szCs w:val="32"/>
          <w14:textFill>
            <w14:solidFill>
              <w14:schemeClr w14:val="tx1"/>
            </w14:solidFill>
          </w14:textFill>
        </w:rPr>
      </w:pPr>
      <w:bookmarkStart w:id="270" w:name="_Toc12209"/>
      <w:bookmarkStart w:id="271" w:name="_Toc10943"/>
      <w:bookmarkStart w:id="272" w:name="_Toc915"/>
      <w:bookmarkStart w:id="273" w:name="_Toc75341677"/>
      <w:bookmarkStart w:id="274" w:name="_Toc25775"/>
      <w:bookmarkStart w:id="275" w:name="_Toc19224"/>
      <w:bookmarkStart w:id="276" w:name="_Toc17477"/>
      <w:bookmarkStart w:id="277" w:name="_Toc15881"/>
      <w:bookmarkStart w:id="278" w:name="_Toc17806"/>
      <w:bookmarkStart w:id="279" w:name="_Toc29488"/>
      <w:bookmarkStart w:id="280" w:name="_Toc21248"/>
      <w:bookmarkStart w:id="281" w:name="_Toc19780"/>
      <w:bookmarkStart w:id="282" w:name="_Toc8555"/>
      <w:r>
        <w:rPr>
          <w:rFonts w:hint="eastAsia" w:ascii="黑体" w:hAnsi="黑体" w:eastAsia="黑体" w:cs="Times New Roman"/>
          <w:b w:val="0"/>
          <w:color w:val="000000" w:themeColor="text1"/>
          <w:sz w:val="32"/>
          <w:szCs w:val="32"/>
          <w14:textFill>
            <w14:solidFill>
              <w14:schemeClr w14:val="tx1"/>
            </w14:solidFill>
          </w14:textFill>
        </w:rPr>
        <w:t>第六章 深化改革开放，开拓区域协同发展新局面</w:t>
      </w:r>
      <w:bookmarkEnd w:id="270"/>
      <w:bookmarkEnd w:id="271"/>
      <w:bookmarkEnd w:id="272"/>
      <w:bookmarkEnd w:id="273"/>
      <w:bookmarkEnd w:id="274"/>
      <w:bookmarkEnd w:id="275"/>
      <w:bookmarkEnd w:id="276"/>
      <w:bookmarkEnd w:id="277"/>
      <w:bookmarkEnd w:id="278"/>
      <w:bookmarkEnd w:id="279"/>
      <w:bookmarkEnd w:id="280"/>
      <w:bookmarkEnd w:id="281"/>
      <w:bookmarkEnd w:id="282"/>
    </w:p>
    <w:p>
      <w:pPr>
        <w:adjustRightInd w:val="0"/>
        <w:ind w:firstLine="640" w:firstLineChars="200"/>
        <w:rPr>
          <w:color w:val="000000" w:themeColor="text1"/>
          <w14:textFill>
            <w14:solidFill>
              <w14:schemeClr w14:val="tx1"/>
            </w14:solidFill>
          </w14:textFill>
        </w:rPr>
      </w:pPr>
      <w:r>
        <w:rPr>
          <w:rFonts w:hint="eastAsia" w:ascii="仿宋_GB2312" w:hAnsi="仿宋" w:eastAsia="仿宋_GB2312" w:cs="Times New Roman"/>
          <w:color w:val="000000" w:themeColor="text1"/>
          <w:sz w:val="32"/>
          <w:szCs w:val="32"/>
          <w14:textFill>
            <w14:solidFill>
              <w14:schemeClr w14:val="tx1"/>
            </w14:solidFill>
          </w14:textFill>
        </w:rPr>
        <w:t>深入推进“放管服”、营商环境等关键领域改革，争创制度改革新优势。扎实服务柳州打造广西副中心城市，强化区域联动能力，积极开展产业分工协作，推动区域经济开放协同发展，</w:t>
      </w:r>
      <w:r>
        <w:rPr>
          <w:rFonts w:ascii="仿宋_GB2312" w:hAnsi="仿宋" w:eastAsia="仿宋_GB2312"/>
          <w:color w:val="000000" w:themeColor="text1"/>
          <w:sz w:val="32"/>
          <w:szCs w:val="32"/>
          <w14:textFill>
            <w14:solidFill>
              <w14:schemeClr w14:val="tx1"/>
            </w14:solidFill>
          </w14:textFill>
        </w:rPr>
        <w:t>构建国内国际双循环相互促进的发展格局</w:t>
      </w:r>
      <w:r>
        <w:rPr>
          <w:rFonts w:hint="eastAsia" w:ascii="仿宋_GB2312" w:hAnsi="仿宋" w:eastAsia="仿宋_GB2312"/>
          <w:color w:val="000000" w:themeColor="text1"/>
          <w:sz w:val="32"/>
          <w:szCs w:val="32"/>
          <w14:textFill>
            <w14:solidFill>
              <w14:schemeClr w14:val="tx1"/>
            </w14:solidFill>
          </w14:textFill>
        </w:rPr>
        <w:t>。</w:t>
      </w:r>
    </w:p>
    <w:p>
      <w:pPr>
        <w:pStyle w:val="4"/>
        <w:jc w:val="center"/>
        <w:rPr>
          <w:rFonts w:hint="eastAsia" w:ascii="黑体" w:hAnsi="黑体" w:eastAsia="黑体" w:cs="Times New Roman"/>
          <w:b w:val="0"/>
          <w:color w:val="000000" w:themeColor="text1"/>
          <w14:textFill>
            <w14:solidFill>
              <w14:schemeClr w14:val="tx1"/>
            </w14:solidFill>
          </w14:textFill>
        </w:rPr>
      </w:pPr>
      <w:bookmarkStart w:id="283" w:name="_Toc27541"/>
      <w:bookmarkStart w:id="284" w:name="_Toc28186"/>
      <w:bookmarkStart w:id="285" w:name="_Toc21803"/>
      <w:bookmarkStart w:id="286" w:name="_Toc21475"/>
      <w:bookmarkStart w:id="287" w:name="_Toc812"/>
      <w:bookmarkStart w:id="288" w:name="_Toc24541"/>
      <w:bookmarkStart w:id="289" w:name="_Toc23709"/>
      <w:bookmarkStart w:id="290" w:name="_Toc11694"/>
      <w:bookmarkStart w:id="291" w:name="_Toc75341678"/>
      <w:bookmarkStart w:id="292" w:name="_Toc21418"/>
      <w:bookmarkStart w:id="293" w:name="_Toc13609"/>
      <w:bookmarkStart w:id="294" w:name="_Toc16459"/>
      <w:bookmarkStart w:id="295" w:name="_Toc3557"/>
      <w:r>
        <w:rPr>
          <w:rFonts w:hint="eastAsia" w:ascii="黑体" w:hAnsi="黑体" w:eastAsia="黑体" w:cs="Times New Roman"/>
          <w:b w:val="0"/>
          <w:color w:val="000000" w:themeColor="text1"/>
          <w14:textFill>
            <w14:solidFill>
              <w14:schemeClr w14:val="tx1"/>
            </w14:solidFill>
          </w14:textFill>
        </w:rPr>
        <w:t>第一节 争创新区改革发展新优势</w:t>
      </w:r>
      <w:bookmarkEnd w:id="283"/>
      <w:bookmarkEnd w:id="284"/>
      <w:bookmarkEnd w:id="285"/>
      <w:bookmarkEnd w:id="286"/>
      <w:bookmarkEnd w:id="287"/>
      <w:bookmarkEnd w:id="288"/>
      <w:bookmarkEnd w:id="289"/>
      <w:bookmarkEnd w:id="290"/>
      <w:bookmarkEnd w:id="291"/>
      <w:bookmarkEnd w:id="292"/>
      <w:bookmarkEnd w:id="293"/>
      <w:bookmarkEnd w:id="294"/>
      <w:bookmarkEnd w:id="295"/>
    </w:p>
    <w:p>
      <w:pPr>
        <w:pStyle w:val="5"/>
        <w:spacing w:before="0" w:after="0" w:line="240" w:lineRule="auto"/>
        <w:ind w:firstLine="640" w:firstLineChars="200"/>
        <w:rPr>
          <w:rFonts w:ascii="黑体" w:hAnsi="黑体" w:eastAsia="黑体" w:cs="Times New Roman"/>
          <w:b w:val="0"/>
          <w:color w:val="000000" w:themeColor="text1"/>
          <w14:textFill>
            <w14:solidFill>
              <w14:schemeClr w14:val="tx1"/>
            </w14:solidFill>
          </w14:textFill>
        </w:rPr>
      </w:pPr>
      <w:r>
        <w:rPr>
          <w:rFonts w:hint="eastAsia" w:ascii="黑体" w:hAnsi="黑体" w:eastAsia="黑体" w:cs="Times New Roman"/>
          <w:b w:val="0"/>
          <w:color w:val="000000" w:themeColor="text1"/>
          <w14:textFill>
            <w14:solidFill>
              <w14:schemeClr w14:val="tx1"/>
            </w14:solidFill>
          </w14:textFill>
        </w:rPr>
        <w:t>一、进一步推动营商环境优化提升</w:t>
      </w:r>
    </w:p>
    <w:p>
      <w:pPr>
        <w:adjustRightInd w:val="0"/>
        <w:ind w:firstLine="640" w:firstLineChars="200"/>
        <w:rPr>
          <w:rFonts w:ascii="仿宋_GB2312" w:hAnsi="仿宋" w:eastAsia="仿宋_GB2312" w:cs="Times New Roman"/>
          <w:color w:val="000000" w:themeColor="text1"/>
          <w:sz w:val="32"/>
          <w:szCs w:val="32"/>
          <w14:textFill>
            <w14:solidFill>
              <w14:schemeClr w14:val="tx1"/>
            </w14:solidFill>
          </w14:textFill>
        </w:rPr>
      </w:pPr>
      <w:r>
        <w:rPr>
          <w:rFonts w:hint="eastAsia" w:ascii="仿宋_GB2312" w:hAnsi="仿宋" w:eastAsia="仿宋_GB2312" w:cs="Times New Roman"/>
          <w:color w:val="000000" w:themeColor="text1"/>
          <w:sz w:val="32"/>
          <w:szCs w:val="32"/>
          <w14:textFill>
            <w14:solidFill>
              <w14:schemeClr w14:val="tx1"/>
            </w14:solidFill>
          </w14:textFill>
        </w:rPr>
        <w:t>贯彻落实国家、自治区推进开放发展的政策措施，深入落实《优化营商环境条例》各项规定，对标对表国家营商环境评价体系，对照国际投资贸易通行规则，统筹抓好放宽市场准入、加强公正监管、优化政务服务、创新体制机制，积极营造国际化营商环境，提升新区投资便利化水平。全面落实柳州市《市场准入负面清单》实施方案，切实做好市场准入负面清单制度的实施工作。深入推进税务领域“放管服”改革，更好服务市场主体发展。完善分级分类企业服务机制，实行企业诉求闭环管理机制。对标国内先进城市，</w:t>
      </w:r>
      <w:r>
        <w:rPr>
          <w:rFonts w:hint="eastAsia" w:ascii="仿宋_GB2312" w:eastAsia="仿宋_GB2312"/>
          <w:color w:val="000000" w:themeColor="text1"/>
          <w:sz w:val="32"/>
          <w:szCs w:val="32"/>
          <w14:textFill>
            <w14:solidFill>
              <w14:schemeClr w14:val="tx1"/>
            </w14:solidFill>
          </w14:textFill>
        </w:rPr>
        <w:t>持续深化商事制度改革，深化“互联网+政务服务”改革，深化证照分离、区块链发票等技术应用，深化商标注册、专利申请等便利化改革，提高企业开办便利化，推行市场主体简易注销改革，提升市场主体退出便利度。进一步整合审批资源，优化再造审批流程，</w:t>
      </w:r>
      <w:r>
        <w:rPr>
          <w:rFonts w:hint="eastAsia" w:ascii="仿宋_GB2312" w:hAnsi="仿宋" w:eastAsia="仿宋_GB2312" w:cs="Dotum"/>
          <w:color w:val="000000" w:themeColor="text1"/>
          <w:sz w:val="32"/>
          <w:szCs w:val="32"/>
          <w14:textFill>
            <w14:solidFill>
              <w14:schemeClr w14:val="tx1"/>
            </w14:solidFill>
          </w14:textFill>
        </w:rPr>
        <w:t>探索企业承诺制，最大限度缩小企业投资核准范围。</w:t>
      </w:r>
      <w:r>
        <w:rPr>
          <w:rFonts w:hint="eastAsia" w:ascii="仿宋_GB2312" w:eastAsia="仿宋_GB2312"/>
          <w:color w:val="000000" w:themeColor="text1"/>
          <w:sz w:val="32"/>
          <w:szCs w:val="32"/>
          <w14:textFill>
            <w14:solidFill>
              <w14:schemeClr w14:val="tx1"/>
            </w14:solidFill>
          </w14:textFill>
        </w:rPr>
        <w:t>深化工程建设项目审批制度改革，完善新区“拿地即开工”审批模式实施方案，</w:t>
      </w:r>
      <w:r>
        <w:rPr>
          <w:rFonts w:hint="eastAsia" w:ascii="仿宋_GB2312" w:hAnsi="仿宋" w:eastAsia="仿宋_GB2312" w:cs="Dotum"/>
          <w:color w:val="000000" w:themeColor="text1"/>
          <w:sz w:val="32"/>
          <w:szCs w:val="32"/>
          <w14:textFill>
            <w14:solidFill>
              <w14:schemeClr w14:val="tx1"/>
            </w14:solidFill>
          </w14:textFill>
        </w:rPr>
        <w:t>探索开工项目实行先建后验的管理模式。规范政府购买服务流程机制，定期评估、排查、清理各类显性和隐性壁垒，在政府采购和招投标等方面平等对待各类所有制企业。</w:t>
      </w:r>
      <w:r>
        <w:rPr>
          <w:rFonts w:hint="eastAsia" w:ascii="仿宋_GB2312" w:hAnsi="仿宋" w:eastAsia="仿宋_GB2312" w:cs="Times New Roman"/>
          <w:color w:val="000000" w:themeColor="text1"/>
          <w:sz w:val="32"/>
          <w:szCs w:val="32"/>
          <w14:textFill>
            <w14:solidFill>
              <w14:schemeClr w14:val="tx1"/>
            </w14:solidFill>
          </w14:textFill>
        </w:rPr>
        <w:t>加大知识产权保护力度，率先建立健全证据披露、证据妨碍排除和优势证据规则。</w:t>
      </w:r>
      <w:r>
        <w:rPr>
          <w:rFonts w:hint="eastAsia" w:ascii="仿宋_GB2312" w:hAnsi="仿宋" w:eastAsia="仿宋_GB2312" w:cs="Dotum"/>
          <w:color w:val="000000" w:themeColor="text1"/>
          <w:sz w:val="32"/>
          <w:szCs w:val="32"/>
          <w14:textFill>
            <w14:solidFill>
              <w14:schemeClr w14:val="tx1"/>
            </w14:solidFill>
          </w14:textFill>
        </w:rPr>
        <w:t>加强和改进反不正当竞争执法，加大对商业贿赂、侵犯商业秘密等行为的打击力度。</w:t>
      </w:r>
      <w:r>
        <w:rPr>
          <w:rFonts w:hint="eastAsia" w:ascii="仿宋_GB2312" w:hAnsi="仿宋" w:eastAsia="仿宋_GB2312" w:cs="Times New Roman"/>
          <w:color w:val="000000" w:themeColor="text1"/>
          <w:sz w:val="32"/>
          <w:szCs w:val="32"/>
          <w14:textFill>
            <w14:solidFill>
              <w14:schemeClr w14:val="tx1"/>
            </w14:solidFill>
          </w14:textFill>
        </w:rPr>
        <w:t>实行更具弹性的审慎包容监管，探索对企业轻微过失容错机制，健全联合执法、柔性执法机制。</w:t>
      </w:r>
    </w:p>
    <w:p>
      <w:pPr>
        <w:pStyle w:val="5"/>
        <w:spacing w:before="0" w:after="0" w:line="240" w:lineRule="auto"/>
        <w:ind w:firstLine="640" w:firstLineChars="200"/>
        <w:rPr>
          <w:rFonts w:ascii="黑体" w:hAnsi="黑体" w:eastAsia="黑体"/>
          <w:color w:val="000000" w:themeColor="text1"/>
          <w14:textFill>
            <w14:solidFill>
              <w14:schemeClr w14:val="tx1"/>
            </w14:solidFill>
          </w14:textFill>
        </w:rPr>
      </w:pPr>
      <w:r>
        <w:rPr>
          <w:rFonts w:hint="eastAsia" w:ascii="黑体" w:hAnsi="黑体" w:eastAsia="黑体"/>
          <w:b w:val="0"/>
          <w:color w:val="000000" w:themeColor="text1"/>
          <w14:textFill>
            <w14:solidFill>
              <w14:schemeClr w14:val="tx1"/>
            </w14:solidFill>
          </w14:textFill>
        </w:rPr>
        <w:t>二、推动要素市场化配置机制改革</w:t>
      </w:r>
    </w:p>
    <w:p>
      <w:pPr>
        <w:pStyle w:val="9"/>
        <w:ind w:firstLine="640" w:firstLineChars="200"/>
        <w:rPr>
          <w:rFonts w:ascii="仿宋_GB2312" w:hAnsi="仿宋" w:eastAsia="仿宋_GB2312" w:cs="Dotum"/>
          <w:color w:val="000000" w:themeColor="text1"/>
          <w:sz w:val="32"/>
          <w:szCs w:val="32"/>
          <w14:textFill>
            <w14:solidFill>
              <w14:schemeClr w14:val="tx1"/>
            </w14:solidFill>
          </w14:textFill>
        </w:rPr>
      </w:pPr>
      <w:r>
        <w:rPr>
          <w:rFonts w:hint="eastAsia" w:ascii="仿宋_GB2312" w:hAnsi="仿宋" w:eastAsia="仿宋_GB2312" w:cs="Dotum"/>
          <w:color w:val="000000" w:themeColor="text1"/>
          <w:sz w:val="32"/>
          <w:szCs w:val="32"/>
          <w14:textFill>
            <w14:solidFill>
              <w14:schemeClr w14:val="tx1"/>
            </w14:solidFill>
          </w14:textFill>
        </w:rPr>
        <w:t>创新利用产业用地，加强市场化配置，编制实施区域产业用地规划及分区规划。增强土地管理灵活性，推进新区建设用地空间功能复合优化，实施更细化的密度分区管控，探索允许商业和住宅用地的混合建设。探索商业用地与低效工业用地置换，推动新区企业、项目存量历史用地盘活利用。创新园区土地保障体制机制，探索推进工业项目“标准地”试点改革，实行工业用地弹性供应等新土地供应方式。探索推动人才跨单位、跨所有制有序流动，积极承接国家和经济发达地区到柳州挂职干部，探索实施激励干部担当作为的绩效考核、薪酬体制改革机制。支持和鼓励事业单位专业技术人员到企业挂职、兼职和离岗创业，鼓励用人单位建立首席技师、特级技师等岗位，建立技能人才聘期制和积分晋级制度。建设汽车城人才智力成果交易平台，利用平台促进人才共享，降低中小微企业人才使用成本，进一步释放区域人才智力资源与活力。完善政府性融资担保体系，增强支持小微企业融资担保能力。建立金融信用信息基础数据库，强化企业征信服务机构培育，不断完善小微企业征信服务体系。利用市场导向机制，优化激励政策措施，大力引导社会资本向新区高技术产业以及新业态、商业新模式投资倾斜。</w:t>
      </w:r>
    </w:p>
    <w:p>
      <w:pPr>
        <w:pStyle w:val="5"/>
        <w:spacing w:before="0" w:after="0" w:line="240" w:lineRule="auto"/>
        <w:ind w:firstLine="640" w:firstLineChars="200"/>
        <w:rPr>
          <w:rFonts w:ascii="黑体" w:hAnsi="黑体" w:eastAsia="黑体"/>
          <w:color w:val="000000" w:themeColor="text1"/>
          <w14:textFill>
            <w14:solidFill>
              <w14:schemeClr w14:val="tx1"/>
            </w14:solidFill>
          </w14:textFill>
        </w:rPr>
      </w:pPr>
      <w:r>
        <w:rPr>
          <w:rFonts w:hint="eastAsia" w:ascii="黑体" w:hAnsi="黑体" w:eastAsia="黑体"/>
          <w:b w:val="0"/>
          <w:color w:val="000000" w:themeColor="text1"/>
          <w14:textFill>
            <w14:solidFill>
              <w14:schemeClr w14:val="tx1"/>
            </w14:solidFill>
          </w14:textFill>
        </w:rPr>
        <w:t>三、深化新区社会建设领域改革</w:t>
      </w:r>
    </w:p>
    <w:p>
      <w:pPr>
        <w:pStyle w:val="9"/>
        <w:ind w:firstLine="640" w:firstLineChars="200"/>
        <w:jc w:val="left"/>
        <w:rPr>
          <w:rFonts w:ascii="仿宋_GB2312" w:hAnsi="仿宋" w:eastAsia="仿宋_GB2312" w:cs="Dotum"/>
          <w:color w:val="000000" w:themeColor="text1"/>
          <w:sz w:val="32"/>
          <w:szCs w:val="32"/>
          <w14:textFill>
            <w14:solidFill>
              <w14:schemeClr w14:val="tx1"/>
            </w14:solidFill>
          </w14:textFill>
        </w:rPr>
      </w:pPr>
      <w:r>
        <w:rPr>
          <w:rFonts w:ascii="仿宋_GB2312" w:hAnsi="仿宋" w:eastAsia="仿宋_GB2312" w:cs="Dotum"/>
          <w:color w:val="000000" w:themeColor="text1"/>
          <w:sz w:val="32"/>
          <w:szCs w:val="32"/>
          <w14:textFill>
            <w14:solidFill>
              <w14:schemeClr w14:val="tx1"/>
            </w14:solidFill>
          </w14:textFill>
        </w:rPr>
        <w:t>提升新区社会治理体系和治理能力现代化水平</w:t>
      </w:r>
      <w:r>
        <w:rPr>
          <w:rFonts w:hint="eastAsia" w:ascii="仿宋_GB2312" w:hAnsi="仿宋" w:eastAsia="仿宋_GB2312" w:cs="Dotum"/>
          <w:color w:val="000000" w:themeColor="text1"/>
          <w:sz w:val="32"/>
          <w:szCs w:val="32"/>
          <w14:textFill>
            <w14:solidFill>
              <w14:schemeClr w14:val="tx1"/>
            </w14:solidFill>
          </w14:textFill>
        </w:rPr>
        <w:t>，</w:t>
      </w:r>
      <w:r>
        <w:rPr>
          <w:rFonts w:ascii="仿宋_GB2312" w:hAnsi="仿宋" w:eastAsia="仿宋_GB2312" w:cs="Dotum"/>
          <w:color w:val="000000" w:themeColor="text1"/>
          <w:sz w:val="32"/>
          <w:szCs w:val="32"/>
          <w14:textFill>
            <w14:solidFill>
              <w14:schemeClr w14:val="tx1"/>
            </w14:solidFill>
          </w14:textFill>
        </w:rPr>
        <w:t>贯彻落实经济发达镇行政管理体制改革的决策部署，全面推进新区经济发达镇行政管理体制改革的组织领导、统筹协调、整体推进和督促实施</w:t>
      </w:r>
      <w:r>
        <w:rPr>
          <w:rFonts w:hint="eastAsia" w:ascii="仿宋_GB2312" w:hAnsi="仿宋" w:eastAsia="仿宋_GB2312" w:cs="Dotum"/>
          <w:color w:val="000000" w:themeColor="text1"/>
          <w:sz w:val="32"/>
          <w:szCs w:val="32"/>
          <w14:textFill>
            <w14:solidFill>
              <w14:schemeClr w14:val="tx1"/>
            </w14:solidFill>
          </w14:textFill>
        </w:rPr>
        <w:t>，</w:t>
      </w:r>
      <w:r>
        <w:rPr>
          <w:rFonts w:ascii="仿宋_GB2312" w:hAnsi="仿宋" w:eastAsia="仿宋_GB2312" w:cs="Dotum"/>
          <w:color w:val="000000" w:themeColor="text1"/>
          <w:sz w:val="32"/>
          <w:szCs w:val="32"/>
          <w14:textFill>
            <w14:solidFill>
              <w14:schemeClr w14:val="tx1"/>
            </w14:solidFill>
          </w14:textFill>
        </w:rPr>
        <w:t>加快基层治理体制改革。构建以社区综合党委为核心、社区工作站、社区居委会、社区股份公司、驻社区单位、社会组织等共同参与的社区治理体系，推动专业化、社会化、一站式社区综合服务平台建设。探索推进社会组织登记管理、监督管理等体制改革，优化社会组织发展环境，拓展社会组织发展空间，激发社会组织发展活力。</w:t>
      </w:r>
      <w:r>
        <w:rPr>
          <w:rFonts w:hint="eastAsia" w:ascii="仿宋_GB2312" w:hAnsi="仿宋" w:eastAsia="仿宋_GB2312" w:cs="Dotum"/>
          <w:color w:val="000000" w:themeColor="text1"/>
          <w:sz w:val="32"/>
          <w:szCs w:val="32"/>
          <w14:textFill>
            <w14:solidFill>
              <w14:schemeClr w14:val="tx1"/>
            </w14:solidFill>
          </w14:textFill>
        </w:rPr>
        <w:t>促进</w:t>
      </w:r>
      <w:r>
        <w:rPr>
          <w:rFonts w:ascii="仿宋_GB2312" w:hAnsi="仿宋" w:eastAsia="仿宋_GB2312" w:cs="Dotum"/>
          <w:color w:val="000000" w:themeColor="text1"/>
          <w:sz w:val="32"/>
          <w:szCs w:val="32"/>
          <w14:textFill>
            <w14:solidFill>
              <w14:schemeClr w14:val="tx1"/>
            </w14:solidFill>
          </w14:textFill>
        </w:rPr>
        <w:t>政府购买服务形式支持社会力量参与公共</w:t>
      </w:r>
      <w:r>
        <w:rPr>
          <w:rFonts w:hint="eastAsia" w:ascii="仿宋_GB2312" w:hAnsi="仿宋" w:eastAsia="仿宋_GB2312" w:cs="Dotum"/>
          <w:color w:val="000000" w:themeColor="text1"/>
          <w:sz w:val="32"/>
          <w:szCs w:val="32"/>
          <w14:textFill>
            <w14:solidFill>
              <w14:schemeClr w14:val="tx1"/>
            </w14:solidFill>
          </w14:textFill>
        </w:rPr>
        <w:t>服务供给</w:t>
      </w:r>
      <w:r>
        <w:rPr>
          <w:rFonts w:ascii="仿宋_GB2312" w:hAnsi="仿宋" w:eastAsia="仿宋_GB2312" w:cs="Dotum"/>
          <w:color w:val="000000" w:themeColor="text1"/>
          <w:sz w:val="32"/>
          <w:szCs w:val="32"/>
          <w14:textFill>
            <w14:solidFill>
              <w14:schemeClr w14:val="tx1"/>
            </w14:solidFill>
          </w14:textFill>
        </w:rPr>
        <w:t>，创新公共</w:t>
      </w:r>
      <w:r>
        <w:rPr>
          <w:rFonts w:hint="eastAsia" w:ascii="仿宋_GB2312" w:hAnsi="仿宋" w:eastAsia="仿宋_GB2312" w:cs="Dotum"/>
          <w:color w:val="000000" w:themeColor="text1"/>
          <w:sz w:val="32"/>
          <w:szCs w:val="32"/>
          <w14:textFill>
            <w14:solidFill>
              <w14:schemeClr w14:val="tx1"/>
            </w14:solidFill>
          </w14:textFill>
        </w:rPr>
        <w:t>服务基础设施</w:t>
      </w:r>
      <w:r>
        <w:rPr>
          <w:rFonts w:ascii="仿宋_GB2312" w:hAnsi="仿宋" w:eastAsia="仿宋_GB2312" w:cs="Dotum"/>
          <w:color w:val="000000" w:themeColor="text1"/>
          <w:sz w:val="32"/>
          <w:szCs w:val="32"/>
          <w14:textFill>
            <w14:solidFill>
              <w14:schemeClr w14:val="tx1"/>
            </w14:solidFill>
          </w14:textFill>
        </w:rPr>
        <w:t>投资建设和管理运营新模式，</w:t>
      </w:r>
      <w:r>
        <w:rPr>
          <w:rFonts w:hint="eastAsia" w:ascii="仿宋_GB2312" w:hAnsi="仿宋" w:eastAsia="仿宋_GB2312" w:cs="Dotum"/>
          <w:color w:val="000000" w:themeColor="text1"/>
          <w:sz w:val="32"/>
          <w:szCs w:val="32"/>
          <w14:textFill>
            <w14:solidFill>
              <w14:schemeClr w14:val="tx1"/>
            </w14:solidFill>
          </w14:textFill>
        </w:rPr>
        <w:t>探索公共服务设施</w:t>
      </w:r>
      <w:r>
        <w:rPr>
          <w:rFonts w:ascii="仿宋_GB2312" w:hAnsi="仿宋" w:eastAsia="仿宋_GB2312" w:cs="Dotum"/>
          <w:color w:val="000000" w:themeColor="text1"/>
          <w:sz w:val="32"/>
          <w:szCs w:val="32"/>
          <w14:textFill>
            <w14:solidFill>
              <w14:schemeClr w14:val="tx1"/>
            </w14:solidFill>
          </w14:textFill>
        </w:rPr>
        <w:t>专业化社会化运营。推动一批农业转移人口市民化改革示范点建设，通过资源整合和政策创新，先行先试，推进乡镇转街道、村民转市民改革，</w:t>
      </w:r>
      <w:r>
        <w:rPr>
          <w:rFonts w:hint="eastAsia" w:ascii="仿宋_GB2312" w:hAnsi="仿宋" w:eastAsia="仿宋_GB2312" w:cs="Dotum"/>
          <w:color w:val="000000" w:themeColor="text1"/>
          <w:sz w:val="32"/>
          <w:szCs w:val="32"/>
          <w14:textFill>
            <w14:solidFill>
              <w14:schemeClr w14:val="tx1"/>
            </w14:solidFill>
          </w14:textFill>
        </w:rPr>
        <w:t>探索</w:t>
      </w:r>
      <w:r>
        <w:rPr>
          <w:rFonts w:ascii="仿宋_GB2312" w:hAnsi="仿宋" w:eastAsia="仿宋_GB2312" w:cs="Dotum"/>
          <w:color w:val="000000" w:themeColor="text1"/>
          <w:sz w:val="32"/>
          <w:szCs w:val="32"/>
          <w14:textFill>
            <w14:solidFill>
              <w14:schemeClr w14:val="tx1"/>
            </w14:solidFill>
          </w14:textFill>
        </w:rPr>
        <w:t>有效</w:t>
      </w:r>
      <w:r>
        <w:rPr>
          <w:rFonts w:hint="eastAsia" w:ascii="仿宋_GB2312" w:hAnsi="仿宋" w:eastAsia="仿宋_GB2312" w:cs="Dotum"/>
          <w:color w:val="000000" w:themeColor="text1"/>
          <w:sz w:val="32"/>
          <w:szCs w:val="32"/>
          <w14:textFill>
            <w14:solidFill>
              <w14:schemeClr w14:val="tx1"/>
            </w14:solidFill>
          </w14:textFill>
        </w:rPr>
        <w:t>的</w:t>
      </w:r>
      <w:r>
        <w:rPr>
          <w:rFonts w:ascii="仿宋_GB2312" w:hAnsi="仿宋" w:eastAsia="仿宋_GB2312" w:cs="Dotum"/>
          <w:color w:val="000000" w:themeColor="text1"/>
          <w:sz w:val="32"/>
          <w:szCs w:val="32"/>
          <w14:textFill>
            <w14:solidFill>
              <w14:schemeClr w14:val="tx1"/>
            </w14:solidFill>
          </w14:textFill>
        </w:rPr>
        <w:t>农业转移人口市民化成本分担机制</w:t>
      </w:r>
      <w:r>
        <w:rPr>
          <w:rFonts w:hint="eastAsia" w:ascii="仿宋_GB2312" w:hAnsi="仿宋" w:eastAsia="仿宋_GB2312" w:cs="Dotum"/>
          <w:color w:val="000000" w:themeColor="text1"/>
          <w:sz w:val="32"/>
          <w:szCs w:val="32"/>
          <w14:textFill>
            <w14:solidFill>
              <w14:schemeClr w14:val="tx1"/>
            </w14:solidFill>
          </w14:textFill>
        </w:rPr>
        <w:t>。</w:t>
      </w:r>
    </w:p>
    <w:p>
      <w:pPr>
        <w:pStyle w:val="4"/>
        <w:jc w:val="center"/>
        <w:rPr>
          <w:rFonts w:hint="eastAsia" w:ascii="黑体" w:hAnsi="黑体" w:eastAsia="黑体" w:cs="Times New Roman"/>
          <w:b w:val="0"/>
          <w:color w:val="000000" w:themeColor="text1"/>
          <w14:textFill>
            <w14:solidFill>
              <w14:schemeClr w14:val="tx1"/>
            </w14:solidFill>
          </w14:textFill>
        </w:rPr>
      </w:pPr>
      <w:bookmarkStart w:id="296" w:name="_Toc75341679"/>
      <w:bookmarkStart w:id="297" w:name="_Toc29459"/>
      <w:bookmarkStart w:id="298" w:name="_Toc24473"/>
      <w:bookmarkStart w:id="299" w:name="_Toc29933"/>
      <w:bookmarkStart w:id="300" w:name="_Toc12760"/>
      <w:bookmarkStart w:id="301" w:name="_Toc5416"/>
      <w:bookmarkStart w:id="302" w:name="_Toc391"/>
      <w:bookmarkStart w:id="303" w:name="_Toc18837"/>
      <w:bookmarkStart w:id="304" w:name="_Toc18833"/>
      <w:bookmarkStart w:id="305" w:name="_Toc25127"/>
      <w:bookmarkStart w:id="306" w:name="_Toc10581"/>
      <w:bookmarkStart w:id="307" w:name="_Toc23514"/>
      <w:bookmarkStart w:id="308" w:name="_Toc30328"/>
      <w:r>
        <w:rPr>
          <w:rFonts w:hint="eastAsia" w:ascii="黑体" w:hAnsi="黑体" w:eastAsia="黑体" w:cs="Times New Roman"/>
          <w:b w:val="0"/>
          <w:color w:val="000000" w:themeColor="text1"/>
          <w14:textFill>
            <w14:solidFill>
              <w14:schemeClr w14:val="tx1"/>
            </w14:solidFill>
          </w14:textFill>
        </w:rPr>
        <w:t>第二节 打造开放合作的新平台</w:t>
      </w:r>
      <w:bookmarkEnd w:id="296"/>
      <w:bookmarkEnd w:id="297"/>
      <w:bookmarkEnd w:id="298"/>
      <w:bookmarkEnd w:id="299"/>
      <w:bookmarkEnd w:id="300"/>
      <w:bookmarkEnd w:id="301"/>
      <w:bookmarkEnd w:id="302"/>
      <w:bookmarkEnd w:id="303"/>
      <w:bookmarkEnd w:id="304"/>
      <w:bookmarkEnd w:id="305"/>
      <w:bookmarkEnd w:id="306"/>
      <w:bookmarkEnd w:id="307"/>
      <w:bookmarkEnd w:id="308"/>
    </w:p>
    <w:p>
      <w:pPr>
        <w:pStyle w:val="5"/>
        <w:spacing w:before="0" w:after="0" w:line="240" w:lineRule="auto"/>
        <w:ind w:firstLine="640" w:firstLineChars="200"/>
        <w:rPr>
          <w:rFonts w:ascii="黑体" w:hAnsi="黑体" w:eastAsia="黑体"/>
          <w:b w:val="0"/>
          <w:color w:val="000000" w:themeColor="text1"/>
          <w14:textFill>
            <w14:solidFill>
              <w14:schemeClr w14:val="tx1"/>
            </w14:solidFill>
          </w14:textFill>
        </w:rPr>
      </w:pPr>
      <w:r>
        <w:rPr>
          <w:rFonts w:hint="eastAsia" w:ascii="黑体" w:hAnsi="黑体" w:eastAsia="黑体" w:cs="Times New Roman"/>
          <w:b w:val="0"/>
          <w:color w:val="000000" w:themeColor="text1"/>
          <w14:textFill>
            <w14:solidFill>
              <w14:schemeClr w14:val="tx1"/>
            </w14:solidFill>
          </w14:textFill>
        </w:rPr>
        <w:t>一、加强与邻区邻县及院校的合作</w:t>
      </w:r>
    </w:p>
    <w:p>
      <w:pPr>
        <w:adjustRightInd w:val="0"/>
        <w:ind w:firstLine="640" w:firstLineChars="200"/>
        <w:rPr>
          <w:color w:val="000000" w:themeColor="text1"/>
          <w14:textFill>
            <w14:solidFill>
              <w14:schemeClr w14:val="tx1"/>
            </w14:solidFill>
          </w14:textFill>
        </w:rPr>
      </w:pPr>
      <w:r>
        <w:rPr>
          <w:rFonts w:hint="eastAsia" w:ascii="仿宋_GB2312" w:hAnsi="仿宋" w:eastAsia="仿宋_GB2312"/>
          <w:color w:val="000000" w:themeColor="text1"/>
          <w:sz w:val="32"/>
          <w:szCs w:val="32"/>
          <w14:textFill>
            <w14:solidFill>
              <w14:schemeClr w14:val="tx1"/>
            </w14:solidFill>
          </w14:textFill>
        </w:rPr>
        <w:t>以加快推动柳州打造广西副中心城市为引领，充分发挥新区的产业优势，聚焦汽车整车、汽车电子、关键零部件等重点领域，积极与来宾、河池、桂林等周边城市产业分工协作，进行联合研发、协同生产，增强区域辐射带动能力，推进桂中柳来河都市圈经济发展。主动对接阳和新区、鱼峰区、柳南区、柳北区、鹿寨县等邻区邻县的产业、科技创新资源，实现重大科技基础设施的共享，深化协同发展。立足“滨江智谷”“大学生创新创业园”“新区创业中心”等平台，持续推动新区科技创新和成果转化，成为全市创新体系重要组成部分。积极建立与电子科技大学广西智能制造产业技术研究院、广西科技大学洛客设计学院、轻金属材料及成型技术研究院等高校和研究机构的合作，加强科技创新资源对接与产业创新合作，探索政校企合作建设实验室的模式，为新区重点产业领域科研攻关提供支持，增强产业创新能力。</w:t>
      </w:r>
    </w:p>
    <w:p>
      <w:pPr>
        <w:pStyle w:val="5"/>
        <w:spacing w:before="0" w:after="0" w:line="240" w:lineRule="auto"/>
        <w:ind w:firstLine="640" w:firstLineChars="200"/>
        <w:rPr>
          <w:rFonts w:ascii="黑体" w:hAnsi="黑体" w:eastAsia="黑体" w:cs="Times New Roman"/>
          <w:b w:val="0"/>
          <w:color w:val="000000" w:themeColor="text1"/>
          <w14:textFill>
            <w14:solidFill>
              <w14:schemeClr w14:val="tx1"/>
            </w14:solidFill>
          </w14:textFill>
        </w:rPr>
      </w:pPr>
      <w:r>
        <w:rPr>
          <w:rFonts w:hint="eastAsia" w:ascii="黑体" w:hAnsi="黑体" w:eastAsia="黑体" w:cs="Times New Roman"/>
          <w:b w:val="0"/>
          <w:color w:val="000000" w:themeColor="text1"/>
          <w14:textFill>
            <w14:solidFill>
              <w14:schemeClr w14:val="tx1"/>
            </w14:solidFill>
          </w14:textFill>
        </w:rPr>
        <w:t>二、积极参与西部陆海新通道建设</w:t>
      </w:r>
    </w:p>
    <w:p>
      <w:pPr>
        <w:adjustRightInd w:val="0"/>
        <w:ind w:firstLine="640" w:firstLineChars="200"/>
        <w:rPr>
          <w:rFonts w:ascii="仿宋_GB2312" w:hAnsi="仿宋" w:eastAsia="仿宋_GB2312" w:cs="Times New Roman"/>
          <w:color w:val="000000" w:themeColor="text1"/>
          <w:sz w:val="32"/>
          <w:szCs w:val="32"/>
          <w14:textFill>
            <w14:solidFill>
              <w14:schemeClr w14:val="tx1"/>
            </w14:solidFill>
          </w14:textFill>
        </w:rPr>
      </w:pPr>
      <w:r>
        <w:rPr>
          <w:rFonts w:hint="eastAsia" w:ascii="仿宋_GB2312" w:hAnsi="仿宋" w:eastAsia="仿宋_GB2312" w:cs="Times New Roman"/>
          <w:color w:val="000000" w:themeColor="text1"/>
          <w:sz w:val="32"/>
          <w:szCs w:val="32"/>
          <w14:textFill>
            <w14:solidFill>
              <w14:schemeClr w14:val="tx1"/>
            </w14:solidFill>
          </w14:textFill>
        </w:rPr>
        <w:t>支持柳州打造成为西部陆海新通道重要节点城市及物流枢纽，协同推进湘桂铁路、桂林－柳州高速公路改扩建工程，加快完善官塘多式联运基地、雒容商品车物流基地的规划建设，完善新区物流园区、货运场站、仓储配送中心等物流骨干网络节点，提升新区物流产业集聚力和区域辐射影响力。加快推进新区铁路、水运口岸建设，提升通关便利化和口岸智能化水平。大力发展柳东汽车贸易园等专业市场，引进国内外知名快递快运企业建设区域性分拨转运基地，</w:t>
      </w:r>
      <w:r>
        <w:rPr>
          <w:rFonts w:ascii="Times New Roman" w:hAnsi="Times New Roman" w:eastAsia="仿宋_GB2312" w:cs="Times New Roman"/>
          <w:color w:val="000000" w:themeColor="text1"/>
          <w:sz w:val="32"/>
          <w:szCs w:val="32"/>
          <w14:textFill>
            <w14:solidFill>
              <w14:schemeClr w14:val="tx1"/>
            </w14:solidFill>
          </w14:textFill>
        </w:rPr>
        <w:t>增强商贸流通辐射影响力</w:t>
      </w:r>
      <w:r>
        <w:rPr>
          <w:rFonts w:hint="eastAsia" w:ascii="Times New Roman" w:hAnsi="Times New Roman" w:eastAsia="仿宋_GB2312" w:cs="Times New Roman"/>
          <w:color w:val="000000" w:themeColor="text1"/>
          <w:sz w:val="32"/>
          <w:szCs w:val="32"/>
          <w14:textFill>
            <w14:solidFill>
              <w14:schemeClr w14:val="tx1"/>
            </w14:solidFill>
          </w14:textFill>
        </w:rPr>
        <w:t>，建设</w:t>
      </w:r>
      <w:r>
        <w:rPr>
          <w:rFonts w:hint="eastAsia" w:ascii="仿宋_GB2312" w:hAnsi="仿宋" w:eastAsia="仿宋_GB2312" w:cs="Times New Roman"/>
          <w:color w:val="000000" w:themeColor="text1"/>
          <w:sz w:val="32"/>
          <w:szCs w:val="32"/>
          <w14:textFill>
            <w14:solidFill>
              <w14:schemeClr w14:val="tx1"/>
            </w14:solidFill>
          </w14:textFill>
        </w:rPr>
        <w:t>西南地区物流集散地</w:t>
      </w:r>
      <w:r>
        <w:rPr>
          <w:rFonts w:hint="eastAsia" w:ascii="Times New Roman" w:hAnsi="Times New Roman" w:eastAsia="仿宋_GB2312" w:cs="Times New Roman"/>
          <w:color w:val="000000" w:themeColor="text1"/>
          <w:sz w:val="32"/>
          <w:szCs w:val="32"/>
          <w14:textFill>
            <w14:solidFill>
              <w14:schemeClr w14:val="tx1"/>
            </w14:solidFill>
          </w14:textFill>
        </w:rPr>
        <w:t>。依托产业基础，加强新区与国内川渝地区、粤港澳大湾区以及与东盟的产业合作，将</w:t>
      </w:r>
      <w:r>
        <w:rPr>
          <w:rFonts w:hint="eastAsia" w:ascii="仿宋_GB2312" w:hAnsi="仿宋" w:eastAsia="仿宋_GB2312" w:cs="Times New Roman"/>
          <w:color w:val="000000" w:themeColor="text1"/>
          <w:sz w:val="32"/>
          <w:szCs w:val="32"/>
          <w14:textFill>
            <w14:solidFill>
              <w14:schemeClr w14:val="tx1"/>
            </w14:solidFill>
          </w14:textFill>
        </w:rPr>
        <w:t>柳东新区打造成为西部陆海新通道枢纽城市的重要承载地。推动柳东新区建设面向东盟的产业金融中心，争取在新区设立金融资产交易平台，开展各类金融资产交易创新业务。积极争取建立区域性大宗商品及战略资源交易平台，推动白糖、木材、水果等特色大宗商品及铟矿石、特色工业品等战略资源或产品交易。</w:t>
      </w:r>
    </w:p>
    <w:p>
      <w:pPr>
        <w:pStyle w:val="5"/>
        <w:spacing w:before="0" w:after="0" w:line="240" w:lineRule="auto"/>
        <w:ind w:firstLine="640" w:firstLineChars="200"/>
        <w:rPr>
          <w:rFonts w:ascii="黑体" w:hAnsi="黑体" w:eastAsia="黑体" w:cs="Times New Roman"/>
          <w:b w:val="0"/>
          <w:color w:val="000000" w:themeColor="text1"/>
          <w14:textFill>
            <w14:solidFill>
              <w14:schemeClr w14:val="tx1"/>
            </w14:solidFill>
          </w14:textFill>
        </w:rPr>
      </w:pPr>
      <w:r>
        <w:rPr>
          <w:rFonts w:hint="eastAsia" w:ascii="黑体" w:hAnsi="黑体" w:eastAsia="黑体" w:cs="Times New Roman"/>
          <w:b w:val="0"/>
          <w:color w:val="000000" w:themeColor="text1"/>
          <w14:textFill>
            <w14:solidFill>
              <w14:schemeClr w14:val="tx1"/>
            </w14:solidFill>
          </w14:textFill>
        </w:rPr>
        <w:t>三、建立对外开放合作新渠道</w:t>
      </w:r>
    </w:p>
    <w:p>
      <w:pPr>
        <w:adjustRightInd w:val="0"/>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积极参与</w:t>
      </w:r>
      <w:r>
        <w:rPr>
          <w:rFonts w:hint="eastAsia" w:ascii="仿宋_GB2312" w:hAnsi="仿宋_GB2312" w:eastAsia="仿宋_GB2312" w:cs="仿宋_GB2312"/>
          <w:color w:val="000000" w:themeColor="text1"/>
          <w:sz w:val="32"/>
          <w:szCs w:val="32"/>
          <w:lang w:eastAsia="zh-CN"/>
          <w14:textFill>
            <w14:solidFill>
              <w14:schemeClr w14:val="tx1"/>
            </w14:solidFill>
          </w14:textFill>
        </w:rPr>
        <w:t>“一带一路”</w:t>
      </w:r>
      <w:r>
        <w:rPr>
          <w:rFonts w:hint="eastAsia" w:ascii="仿宋_GB2312" w:hAnsi="仿宋_GB2312" w:eastAsia="仿宋_GB2312" w:cs="仿宋_GB2312"/>
          <w:color w:val="000000" w:themeColor="text1"/>
          <w:sz w:val="32"/>
          <w:szCs w:val="32"/>
          <w14:textFill>
            <w14:solidFill>
              <w14:schemeClr w14:val="tx1"/>
            </w14:solidFill>
          </w14:textFill>
        </w:rPr>
        <w:t>倡议，参与中新互联互通南向通道建设，依托国际会展中心，拓展中国—东盟（柳州）汽车工业博览会平台功能，扩大对东盟出口贸易规模，提升机电、轻工等产品市场占有率。立足粤桂黔高铁经济带合作试验区、中欧区域政策合作案例城市、中德（柳州）工业园建设主战场，积极推进中意（柳州）未来科技城、中德 （柳州）装备产业园等园区建设布局，打造中欧区域政策合作示范区。有效支撑</w:t>
      </w:r>
      <w:r>
        <w:rPr>
          <w:rFonts w:hint="eastAsia" w:ascii="仿宋_GB2312" w:hAnsi="仿宋_GB2312" w:eastAsia="仿宋_GB2312" w:cs="仿宋_GB2312"/>
          <w:color w:val="000000" w:themeColor="text1"/>
          <w:sz w:val="32"/>
          <w:szCs w:val="32"/>
          <w:lang w:val="zh-CN"/>
          <w14:textFill>
            <w14:solidFill>
              <w14:schemeClr w14:val="tx1"/>
            </w14:solidFill>
          </w14:textFill>
        </w:rPr>
        <w:t>柳州布局建设面向东盟的现代制造业科技创新中心，加快打造面向东盟更好服务“一带一路”的开放合作高地和国内国际双循环重要节点枢纽，为中西部广大地区加快科技创新发挥示范带动作用</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仿宋_GB2312" w:hAnsi="仿宋" w:eastAsia="仿宋_GB2312" w:cs="Dotum"/>
          <w:color w:val="000000" w:themeColor="text1"/>
          <w:kern w:val="0"/>
          <w:sz w:val="32"/>
          <w:szCs w:val="32"/>
          <w14:textFill>
            <w14:solidFill>
              <w14:schemeClr w14:val="tx1"/>
            </w14:solidFill>
          </w14:textFill>
        </w:rPr>
        <w:t>着力推动与西班牙加泰罗尼亚地区大学和研究署、格拉纳达创新技术联盟、格拉纳达生命健康产业园、意大利可再生能源与能效协会的战略合作协议落地，探索在柳州共建科技企业孵化器、中意可再生能源研究中心等项目。</w:t>
      </w:r>
      <w:r>
        <w:rPr>
          <w:rFonts w:hint="eastAsia" w:ascii="仿宋_GB2312" w:hAnsi="仿宋_GB2312" w:eastAsia="仿宋_GB2312" w:cs="仿宋_GB2312"/>
          <w:color w:val="000000" w:themeColor="text1"/>
          <w:sz w:val="32"/>
          <w:szCs w:val="32"/>
          <w14:textFill>
            <w14:solidFill>
              <w14:schemeClr w14:val="tx1"/>
            </w14:solidFill>
          </w14:textFill>
        </w:rPr>
        <w:t>搭建公水铁联运物流通道，优化柳州保税物流中心（B型）通关、加工、仓储、分装和跨境电商等综合服务，提升柳东新区外向型经济发展基础。争取自治区、柳州市的大力支持，探索申报建设柳州综合保税区。鼓励新区企业面向国际市场，大力实施产能合作和跨境贸易，实现供应渠道多元化、质量体系标准化、人才培育国际化，不断拓展海外业务，提高产品国际竞争力，加快“柳东制造”国际化步伐。</w:t>
      </w:r>
    </w:p>
    <w:p>
      <w:pPr>
        <w:pStyle w:val="5"/>
        <w:spacing w:before="0" w:after="0" w:line="240" w:lineRule="auto"/>
        <w:ind w:firstLine="640" w:firstLineChars="200"/>
        <w:rPr>
          <w:rFonts w:ascii="黑体" w:hAnsi="黑体" w:eastAsia="黑体" w:cs="Times New Roman"/>
          <w:b w:val="0"/>
          <w:color w:val="000000" w:themeColor="text1"/>
          <w14:textFill>
            <w14:solidFill>
              <w14:schemeClr w14:val="tx1"/>
            </w14:solidFill>
          </w14:textFill>
        </w:rPr>
      </w:pPr>
      <w:r>
        <w:rPr>
          <w:rFonts w:hint="eastAsia" w:ascii="黑体" w:hAnsi="黑体" w:eastAsia="黑体" w:cs="Times New Roman"/>
          <w:b w:val="0"/>
          <w:color w:val="000000" w:themeColor="text1"/>
          <w14:textFill>
            <w14:solidFill>
              <w14:schemeClr w14:val="tx1"/>
            </w14:solidFill>
          </w14:textFill>
        </w:rPr>
        <w:t>四、全方位融入中欧区域政策合作</w:t>
      </w:r>
    </w:p>
    <w:p>
      <w:pPr>
        <w:ind w:firstLine="640" w:firstLineChars="200"/>
        <w:rPr>
          <w:rFonts w:ascii="仿宋_GB2312" w:hAnsi="仿宋" w:eastAsia="仿宋_GB2312" w:cs="Dotum"/>
          <w:color w:val="000000" w:themeColor="text1"/>
          <w:kern w:val="0"/>
          <w:sz w:val="32"/>
          <w:szCs w:val="32"/>
          <w14:textFill>
            <w14:solidFill>
              <w14:schemeClr w14:val="tx1"/>
            </w14:solidFill>
          </w14:textFill>
        </w:rPr>
      </w:pPr>
      <w:r>
        <w:rPr>
          <w:rFonts w:hint="eastAsia" w:ascii="仿宋_GB2312" w:hAnsi="仿宋" w:eastAsia="仿宋_GB2312" w:cs="Dotum"/>
          <w:color w:val="000000" w:themeColor="text1"/>
          <w:kern w:val="0"/>
          <w:sz w:val="32"/>
          <w:szCs w:val="32"/>
          <w14:textFill>
            <w14:solidFill>
              <w14:schemeClr w14:val="tx1"/>
            </w14:solidFill>
          </w14:textFill>
        </w:rPr>
        <w:t>利用欧盟国际城镇合作项目框架和机制，借鉴城市发展新理念，合作编制新区城市行动计划。进一步加强互动，推动欧盟政府机构、企业和科创机构回访，深化资源对接、促进优势互补。利用欧盟科创平台推动设立柳州离岸创新创业中心，形成新区和欧盟创新资源融合、互补、共赢的合作模式。</w:t>
      </w:r>
      <w:r>
        <w:rPr>
          <w:rFonts w:hint="eastAsia" w:ascii="仿宋_GB2312" w:hAnsi="仿宋" w:eastAsia="仿宋_GB2312" w:cs="Dotum"/>
          <w:color w:val="000000" w:themeColor="text1"/>
          <w:kern w:val="0"/>
          <w:sz w:val="32"/>
          <w:szCs w:val="32"/>
          <w:lang w:eastAsia="zh-CN"/>
          <w14:textFill>
            <w14:solidFill>
              <w14:schemeClr w14:val="tx1"/>
            </w14:solidFill>
          </w14:textFill>
        </w:rPr>
        <w:t>支持</w:t>
      </w:r>
      <w:r>
        <w:rPr>
          <w:rFonts w:hint="eastAsia" w:ascii="仿宋_GB2312" w:hAnsi="仿宋" w:eastAsia="仿宋_GB2312" w:cs="Dotum"/>
          <w:color w:val="000000" w:themeColor="text1"/>
          <w:kern w:val="0"/>
          <w:sz w:val="32"/>
          <w:szCs w:val="32"/>
          <w14:textFill>
            <w14:solidFill>
              <w14:schemeClr w14:val="tx1"/>
            </w14:solidFill>
          </w14:textFill>
        </w:rPr>
        <w:t>柳州市承办中欧（广西）产业合作论坛、中欧产业合作投资洽谈会等，擦亮城市国际影响力新名片。积极引进欧洲高水准教育资源，推动新区高校、职校教学发展水平提升。争取自治区、柳州市合力支持柳东新区建设中欧区域政策合作示范高地，赋以开放合作相关先行先试政策支持。</w:t>
      </w:r>
    </w:p>
    <w:p>
      <w:pPr>
        <w:pStyle w:val="9"/>
        <w:rPr>
          <w:color w:val="000000" w:themeColor="text1"/>
          <w14:textFill>
            <w14:solidFill>
              <w14:schemeClr w14:val="tx1"/>
            </w14:solidFill>
          </w14:textFill>
        </w:rPr>
      </w:pPr>
    </w:p>
    <w:p>
      <w:pPr>
        <w:pStyle w:val="4"/>
        <w:jc w:val="center"/>
        <w:rPr>
          <w:rFonts w:hint="eastAsia" w:ascii="黑体" w:hAnsi="黑体" w:eastAsia="黑体" w:cs="Times New Roman"/>
          <w:b w:val="0"/>
          <w:color w:val="000000" w:themeColor="text1"/>
          <w14:textFill>
            <w14:solidFill>
              <w14:schemeClr w14:val="tx1"/>
            </w14:solidFill>
          </w14:textFill>
        </w:rPr>
      </w:pPr>
      <w:bookmarkStart w:id="309" w:name="_Toc20665"/>
      <w:bookmarkStart w:id="310" w:name="_Toc28138"/>
      <w:bookmarkStart w:id="311" w:name="_Toc16760"/>
      <w:bookmarkStart w:id="312" w:name="_Toc23812"/>
      <w:bookmarkStart w:id="313" w:name="_Toc20453"/>
      <w:bookmarkStart w:id="314" w:name="_Toc13654"/>
      <w:bookmarkStart w:id="315" w:name="_Toc18391"/>
      <w:bookmarkStart w:id="316" w:name="_Toc4550"/>
      <w:bookmarkStart w:id="317" w:name="_Toc26059"/>
      <w:bookmarkStart w:id="318" w:name="_Toc18428"/>
      <w:bookmarkStart w:id="319" w:name="_Toc18301"/>
      <w:bookmarkStart w:id="320" w:name="_Toc30099"/>
      <w:bookmarkStart w:id="321" w:name="_Toc75341680"/>
      <w:r>
        <w:rPr>
          <w:rFonts w:hint="eastAsia" w:ascii="黑体" w:hAnsi="黑体" w:eastAsia="黑体" w:cs="Times New Roman"/>
          <w:b w:val="0"/>
          <w:color w:val="000000" w:themeColor="text1"/>
          <w14:textFill>
            <w14:solidFill>
              <w14:schemeClr w14:val="tx1"/>
            </w14:solidFill>
          </w14:textFill>
        </w:rPr>
        <w:t>第三节 全面对接粤港澳大湾区</w:t>
      </w:r>
      <w:bookmarkEnd w:id="309"/>
      <w:bookmarkEnd w:id="310"/>
      <w:bookmarkEnd w:id="311"/>
      <w:bookmarkEnd w:id="312"/>
      <w:bookmarkEnd w:id="313"/>
      <w:bookmarkEnd w:id="314"/>
      <w:bookmarkEnd w:id="315"/>
      <w:bookmarkEnd w:id="316"/>
      <w:bookmarkEnd w:id="317"/>
      <w:bookmarkEnd w:id="318"/>
      <w:bookmarkEnd w:id="319"/>
      <w:bookmarkEnd w:id="320"/>
      <w:bookmarkEnd w:id="321"/>
    </w:p>
    <w:p>
      <w:pPr>
        <w:pStyle w:val="5"/>
        <w:adjustRightInd w:val="0"/>
        <w:spacing w:before="0" w:after="0" w:line="240" w:lineRule="auto"/>
        <w:ind w:firstLine="640" w:firstLineChars="200"/>
        <w:rPr>
          <w:rFonts w:ascii="黑体" w:hAnsi="黑体" w:eastAsia="黑体" w:cs="Times New Roman"/>
          <w:b w:val="0"/>
          <w:color w:val="000000" w:themeColor="text1"/>
          <w14:textFill>
            <w14:solidFill>
              <w14:schemeClr w14:val="tx1"/>
            </w14:solidFill>
          </w14:textFill>
        </w:rPr>
      </w:pPr>
      <w:r>
        <w:rPr>
          <w:rFonts w:hint="eastAsia" w:ascii="黑体" w:hAnsi="黑体" w:eastAsia="黑体" w:cs="Times New Roman"/>
          <w:b w:val="0"/>
          <w:color w:val="000000" w:themeColor="text1"/>
          <w14:textFill>
            <w14:solidFill>
              <w14:schemeClr w14:val="tx1"/>
            </w14:solidFill>
          </w14:textFill>
        </w:rPr>
        <w:t>一、全方位对接粤港澳大湾区</w:t>
      </w:r>
    </w:p>
    <w:p>
      <w:pPr>
        <w:adjustRightInd w:val="0"/>
        <w:ind w:firstLine="640" w:firstLineChars="200"/>
        <w:rPr>
          <w:rFonts w:ascii="仿宋_GB2312" w:hAnsi="仿宋" w:eastAsia="仿宋_GB2312" w:cs="Times New Roman"/>
          <w:color w:val="000000" w:themeColor="text1"/>
          <w:sz w:val="32"/>
          <w:szCs w:val="32"/>
          <w14:textFill>
            <w14:solidFill>
              <w14:schemeClr w14:val="tx1"/>
            </w14:solidFill>
          </w14:textFill>
        </w:rPr>
      </w:pPr>
      <w:r>
        <w:rPr>
          <w:rFonts w:hint="eastAsia" w:ascii="仿宋_GB2312" w:hAnsi="仿宋" w:eastAsia="仿宋_GB2312" w:cs="Times New Roman"/>
          <w:color w:val="000000" w:themeColor="text1"/>
          <w:sz w:val="32"/>
          <w:szCs w:val="32"/>
          <w14:textFill>
            <w14:solidFill>
              <w14:schemeClr w14:val="tx1"/>
            </w14:solidFill>
          </w14:textFill>
        </w:rPr>
        <w:t>推动柳东新区成为粤港澳大湾区产业向西南地区转移的最佳门户和承接地、科技成果转化承接区以及港澳与内地深度合作的重要承载地。把握</w:t>
      </w:r>
      <w:r>
        <w:rPr>
          <w:rFonts w:hint="eastAsia" w:ascii="仿宋_GB2312" w:hAnsi="仿宋" w:eastAsia="仿宋_GB2312" w:cs="Times New Roman"/>
          <w:color w:val="000000" w:themeColor="text1"/>
          <w:sz w:val="32"/>
          <w:szCs w:val="32"/>
          <w:lang w:eastAsia="zh-CN"/>
          <w14:textFill>
            <w14:solidFill>
              <w14:schemeClr w14:val="tx1"/>
            </w14:solidFill>
          </w14:textFill>
        </w:rPr>
        <w:t>广西壮族自治区</w:t>
      </w:r>
      <w:r>
        <w:rPr>
          <w:rFonts w:hint="eastAsia" w:ascii="仿宋_GB2312" w:hAnsi="仿宋" w:eastAsia="仿宋_GB2312" w:cs="Times New Roman"/>
          <w:color w:val="000000" w:themeColor="text1"/>
          <w:sz w:val="32"/>
          <w:szCs w:val="32"/>
          <w14:textFill>
            <w14:solidFill>
              <w14:schemeClr w14:val="tx1"/>
            </w14:solidFill>
          </w14:textFill>
        </w:rPr>
        <w:t>构建“南向、北联、东融、西合”全方位开放发展新格局、抢抓西部陆海新通道建设机遇，以推动新区高质量发展为主线，在对接粤港澳大湾区国家战略中先行一步。加大基础设施互联互通，完善对接粤港澳大湾区的交通体系，推动与粤港澳大湾区产业进行补链式对接、联动式发展，精准对接新一代信息技术产业、先进装备制造业、新材料产业、新能源等产业，与大数据、大物流产业融合发展。加强与广州、深圳、佛山、东莞等城市进行产业平台对接，通过举办联合招商推介会，支持各类行业协会、商会参与经济带投资合作，构建产业合作新格局。</w:t>
      </w:r>
    </w:p>
    <w:p>
      <w:pPr>
        <w:pStyle w:val="5"/>
        <w:adjustRightInd w:val="0"/>
        <w:spacing w:before="0" w:after="0" w:line="240" w:lineRule="auto"/>
        <w:ind w:firstLine="640" w:firstLineChars="200"/>
        <w:rPr>
          <w:rFonts w:ascii="黑体" w:hAnsi="黑体" w:eastAsia="黑体" w:cs="Times New Roman"/>
          <w:b w:val="0"/>
          <w:color w:val="000000" w:themeColor="text1"/>
          <w14:textFill>
            <w14:solidFill>
              <w14:schemeClr w14:val="tx1"/>
            </w14:solidFill>
          </w14:textFill>
        </w:rPr>
      </w:pPr>
      <w:r>
        <w:rPr>
          <w:rFonts w:hint="eastAsia" w:ascii="黑体" w:hAnsi="黑体" w:eastAsia="黑体" w:cs="Times New Roman"/>
          <w:b w:val="0"/>
          <w:color w:val="000000" w:themeColor="text1"/>
          <w14:textFill>
            <w14:solidFill>
              <w14:schemeClr w14:val="tx1"/>
            </w14:solidFill>
          </w14:textFill>
        </w:rPr>
        <w:t>二、创新与粤港澳大湾区合作模式</w:t>
      </w:r>
    </w:p>
    <w:p>
      <w:pPr>
        <w:adjustRightInd w:val="0"/>
        <w:ind w:firstLine="640" w:firstLineChars="200"/>
        <w:rPr>
          <w:rFonts w:ascii="仿宋_GB2312" w:hAnsi="仿宋" w:eastAsia="仿宋_GB2312" w:cs="Times New Roman"/>
          <w:color w:val="000000" w:themeColor="text1"/>
          <w:sz w:val="32"/>
          <w:szCs w:val="32"/>
          <w14:textFill>
            <w14:solidFill>
              <w14:schemeClr w14:val="tx1"/>
            </w14:solidFill>
          </w14:textFill>
        </w:rPr>
      </w:pPr>
      <w:r>
        <w:rPr>
          <w:rFonts w:hint="eastAsia" w:ascii="仿宋_GB2312" w:hAnsi="仿宋" w:eastAsia="仿宋_GB2312" w:cs="Times New Roman"/>
          <w:color w:val="000000" w:themeColor="text1"/>
          <w:sz w:val="32"/>
          <w:szCs w:val="32"/>
          <w14:textFill>
            <w14:solidFill>
              <w14:schemeClr w14:val="tx1"/>
            </w14:solidFill>
          </w14:textFill>
        </w:rPr>
        <w:t>全面推广“科技飞地”网络信息安全科技企业孵化器（广州站）经验，拓展推进“飞地经济”园区建设，积极引进粤港澳大湾区企业在柳东新区创建“飞地园区”“科创飞地”，通过联合出资、项目合作、资源互补、技术支持等方式，建立和完善“飞地园区”“科创飞地”产业合作模式。主动推动人才交流，加强干部培训，推动新区干部队伍到大湾区挂职锻炼机制，大力鼓励人才赴港澳交流学习。实施人才引进专项计划，建立新区与大湾区人才交流互动的“绿色通道”，推广与大湾区人才市场相衔接的人才管理机制，为新区高质量发展提供有力支撑。</w:t>
      </w:r>
    </w:p>
    <w:p>
      <w:pPr>
        <w:pStyle w:val="5"/>
        <w:spacing w:before="0" w:after="0" w:line="240" w:lineRule="auto"/>
        <w:ind w:firstLine="640" w:firstLineChars="200"/>
        <w:rPr>
          <w:rFonts w:ascii="黑体" w:hAnsi="黑体" w:eastAsia="黑体" w:cs="Times New Roman"/>
          <w:b w:val="0"/>
          <w:color w:val="000000" w:themeColor="text1"/>
          <w14:textFill>
            <w14:solidFill>
              <w14:schemeClr w14:val="tx1"/>
            </w14:solidFill>
          </w14:textFill>
        </w:rPr>
      </w:pPr>
      <w:r>
        <w:rPr>
          <w:rFonts w:hint="eastAsia" w:ascii="黑体" w:hAnsi="黑体" w:eastAsia="黑体" w:cs="Times New Roman"/>
          <w:b w:val="0"/>
          <w:color w:val="000000" w:themeColor="text1"/>
          <w14:textFill>
            <w14:solidFill>
              <w14:schemeClr w14:val="tx1"/>
            </w14:solidFill>
          </w14:textFill>
        </w:rPr>
        <w:t>三、积极融入粤桂黔滇高铁经济示范带</w:t>
      </w:r>
    </w:p>
    <w:p>
      <w:pPr>
        <w:adjustRightInd w:val="0"/>
        <w:ind w:firstLine="640" w:firstLineChars="200"/>
        <w:rPr>
          <w:rFonts w:ascii="仿宋_GB2312" w:hAnsi="仿宋" w:eastAsia="仿宋_GB2312" w:cs="Times New Roman"/>
          <w:color w:val="000000" w:themeColor="text1"/>
          <w:sz w:val="32"/>
          <w:szCs w:val="32"/>
          <w14:textFill>
            <w14:solidFill>
              <w14:schemeClr w14:val="tx1"/>
            </w14:solidFill>
          </w14:textFill>
        </w:rPr>
      </w:pPr>
      <w:r>
        <w:rPr>
          <w:rFonts w:hint="eastAsia" w:ascii="仿宋_GB2312" w:hAnsi="仿宋" w:eastAsia="仿宋_GB2312" w:cs="Times New Roman"/>
          <w:color w:val="000000" w:themeColor="text1"/>
          <w:sz w:val="32"/>
          <w:szCs w:val="32"/>
          <w14:textFill>
            <w14:solidFill>
              <w14:schemeClr w14:val="tx1"/>
            </w14:solidFill>
          </w14:textFill>
        </w:rPr>
        <w:t>主动对接粤桂黔滇高铁经济示范带合作城市，共同推动促进经济带协同发展的相关重大政策，配合自治区、柳州市，争取设立国家级跨区域合作试验区。扎实推进粤桂黔滇高铁经济示范带试验区（柳州）广西园建设，重点抓好柳州汽车城组团和高铁商贸区组团主体区的建设，把握试验区（柳州）广西园管理机构获批挂牌契机，组建专职管理团队，进一步完善园区建设管理工作，推进体制机制创新。依托粤桂黔滇高铁经济带合作联席会、经济带高新区协同创新联盟等平台，建立与广东园、贵州园、云南园联动机制，强化产业项目对接和要素集聚，增进跨区域</w:t>
      </w:r>
      <w:r>
        <w:rPr>
          <w:rFonts w:hint="eastAsia" w:ascii="仿宋_GB2312" w:eastAsia="仿宋_GB2312"/>
          <w:snapToGrid w:val="0"/>
          <w:color w:val="000000" w:themeColor="text1"/>
          <w:spacing w:val="8"/>
          <w:kern w:val="0"/>
          <w:sz w:val="32"/>
          <w:szCs w:val="32"/>
          <w14:textFill>
            <w14:solidFill>
              <w14:schemeClr w14:val="tx1"/>
            </w14:solidFill>
          </w14:textFill>
        </w:rPr>
        <w:t>产业互补、贸易往来、科研创新、人才交流、金融服务、文化旅游等方面合作，实现互惠共赢</w:t>
      </w:r>
      <w:r>
        <w:rPr>
          <w:rFonts w:hint="eastAsia" w:ascii="仿宋_GB2312" w:hAnsi="仿宋" w:eastAsia="仿宋_GB2312" w:cs="Times New Roman"/>
          <w:color w:val="000000" w:themeColor="text1"/>
          <w:sz w:val="32"/>
          <w:szCs w:val="32"/>
          <w14:textFill>
            <w14:solidFill>
              <w14:schemeClr w14:val="tx1"/>
            </w14:solidFill>
          </w14:textFill>
        </w:rPr>
        <w:t>。</w:t>
      </w:r>
    </w:p>
    <w:p>
      <w:pPr>
        <w:pStyle w:val="27"/>
        <w:rPr>
          <w:rFonts w:ascii="仿宋_GB2312" w:eastAsia="仿宋_GB2312"/>
          <w:color w:val="000000" w:themeColor="text1"/>
          <w:sz w:val="32"/>
          <w:szCs w:val="32"/>
          <w14:textFill>
            <w14:solidFill>
              <w14:schemeClr w14:val="tx1"/>
            </w14:solidFill>
          </w14:textFill>
        </w:rPr>
      </w:pPr>
    </w:p>
    <w:p>
      <w:pPr>
        <w:ind w:firstLine="640" w:firstLineChars="200"/>
        <w:rPr>
          <w:rFonts w:ascii="黑体" w:hAnsi="黑体" w:eastAsia="黑体" w:cs="Times New Roman"/>
          <w:color w:val="000000" w:themeColor="text1"/>
          <w:kern w:val="44"/>
          <w:sz w:val="32"/>
          <w:szCs w:val="32"/>
          <w14:textFill>
            <w14:solidFill>
              <w14:schemeClr w14:val="tx1"/>
            </w14:solidFill>
          </w14:textFill>
        </w:rPr>
      </w:pPr>
      <w:bookmarkStart w:id="322" w:name="_Toc24301"/>
      <w:bookmarkStart w:id="323" w:name="_Toc24529"/>
      <w:bookmarkStart w:id="324" w:name="_Toc36124773"/>
      <w:bookmarkStart w:id="325" w:name="_Toc42856330"/>
      <w:r>
        <w:rPr>
          <w:rFonts w:hint="eastAsia" w:ascii="黑体" w:hAnsi="黑体" w:eastAsia="黑体" w:cs="Times New Roman"/>
          <w:color w:val="000000" w:themeColor="text1"/>
          <w:kern w:val="44"/>
          <w:sz w:val="32"/>
          <w:szCs w:val="32"/>
          <w14:textFill>
            <w14:solidFill>
              <w14:schemeClr w14:val="tx1"/>
            </w14:solidFill>
          </w14:textFill>
        </w:rPr>
        <w:br w:type="page"/>
      </w:r>
    </w:p>
    <w:p>
      <w:pPr>
        <w:pStyle w:val="3"/>
        <w:keepLines w:val="0"/>
        <w:widowControl/>
        <w:spacing w:before="0" w:afterLines="100" w:line="240" w:lineRule="auto"/>
        <w:jc w:val="center"/>
        <w:rPr>
          <w:rFonts w:ascii="黑体" w:hAnsi="黑体" w:eastAsia="黑体" w:cs="Times New Roman"/>
          <w:b w:val="0"/>
          <w:color w:val="000000" w:themeColor="text1"/>
          <w:sz w:val="32"/>
          <w:szCs w:val="32"/>
          <w14:textFill>
            <w14:solidFill>
              <w14:schemeClr w14:val="tx1"/>
            </w14:solidFill>
          </w14:textFill>
        </w:rPr>
      </w:pPr>
      <w:bookmarkStart w:id="326" w:name="_Toc25094"/>
      <w:bookmarkStart w:id="327" w:name="_Toc22038"/>
      <w:bookmarkStart w:id="328" w:name="_Toc28376"/>
      <w:bookmarkStart w:id="329" w:name="_Toc29048"/>
      <w:bookmarkStart w:id="330" w:name="_Toc24361"/>
      <w:bookmarkStart w:id="331" w:name="_Toc12426"/>
      <w:bookmarkStart w:id="332" w:name="_Toc8137"/>
      <w:bookmarkStart w:id="333" w:name="_Toc24378"/>
      <w:bookmarkStart w:id="334" w:name="_Toc23374"/>
      <w:bookmarkStart w:id="335" w:name="_Toc75341681"/>
      <w:bookmarkStart w:id="336" w:name="_Toc25859"/>
      <w:bookmarkStart w:id="337" w:name="_Toc18980"/>
      <w:bookmarkStart w:id="338" w:name="_Toc20828"/>
      <w:bookmarkStart w:id="339" w:name="_Toc17061"/>
      <w:bookmarkStart w:id="340" w:name="_Toc21466"/>
      <w:bookmarkStart w:id="341" w:name="_Toc32259"/>
      <w:bookmarkStart w:id="342" w:name="_Toc15110"/>
      <w:bookmarkStart w:id="343" w:name="_Toc32126"/>
      <w:bookmarkStart w:id="344" w:name="_Toc24678"/>
      <w:bookmarkStart w:id="345" w:name="_Toc449"/>
      <w:bookmarkStart w:id="346" w:name="_Toc13577"/>
      <w:bookmarkStart w:id="347" w:name="_Toc2634"/>
      <w:bookmarkStart w:id="348" w:name="_Toc18352"/>
      <w:bookmarkStart w:id="349" w:name="_Toc19280"/>
      <w:r>
        <w:rPr>
          <w:rFonts w:hint="eastAsia" w:ascii="黑体" w:hAnsi="黑体" w:eastAsia="黑体" w:cs="Times New Roman"/>
          <w:b w:val="0"/>
          <w:color w:val="000000" w:themeColor="text1"/>
          <w:sz w:val="32"/>
          <w:szCs w:val="32"/>
          <w14:textFill>
            <w14:solidFill>
              <w14:schemeClr w14:val="tx1"/>
            </w14:solidFill>
          </w14:textFill>
        </w:rPr>
        <w:t>第七章 共治共建共享，打造民生幸福和谐家园</w:t>
      </w:r>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p>
    <w:p>
      <w:pPr>
        <w:adjustRightInd w:val="0"/>
        <w:ind w:firstLine="640" w:firstLineChars="200"/>
        <w:rPr>
          <w:rFonts w:ascii="仿宋_GB2312" w:hAnsi="仿宋" w:eastAsia="仿宋_GB2312" w:cs="Times New Roman"/>
          <w:color w:val="000000" w:themeColor="text1"/>
          <w:sz w:val="32"/>
          <w:szCs w:val="32"/>
          <w14:textFill>
            <w14:solidFill>
              <w14:schemeClr w14:val="tx1"/>
            </w14:solidFill>
          </w14:textFill>
        </w:rPr>
      </w:pPr>
      <w:r>
        <w:rPr>
          <w:rFonts w:hint="eastAsia" w:ascii="仿宋_GB2312" w:hAnsi="仿宋" w:eastAsia="仿宋_GB2312" w:cs="Times New Roman"/>
          <w:color w:val="000000" w:themeColor="text1"/>
          <w:sz w:val="32"/>
          <w:szCs w:val="32"/>
          <w14:textFill>
            <w14:solidFill>
              <w14:schemeClr w14:val="tx1"/>
            </w14:solidFill>
          </w14:textFill>
        </w:rPr>
        <w:t>坚持依法治理、系统治理、智慧治理，强化城市公共安全保障能力。致力于增进人民群众福祉，</w:t>
      </w:r>
      <w:r>
        <w:rPr>
          <w:rFonts w:ascii="仿宋_GB2312" w:hAnsi="仿宋" w:eastAsia="仿宋_GB2312" w:cs="Times New Roman"/>
          <w:color w:val="000000" w:themeColor="text1"/>
          <w:sz w:val="32"/>
          <w:szCs w:val="32"/>
          <w14:textFill>
            <w14:solidFill>
              <w14:schemeClr w14:val="tx1"/>
            </w14:solidFill>
          </w14:textFill>
        </w:rPr>
        <w:t>健全基本公共服务体系，</w:t>
      </w:r>
      <w:r>
        <w:rPr>
          <w:rFonts w:hint="eastAsia" w:ascii="仿宋_GB2312" w:hAnsi="仿宋" w:eastAsia="仿宋_GB2312" w:cs="Times New Roman"/>
          <w:color w:val="000000" w:themeColor="text1"/>
          <w:sz w:val="32"/>
          <w:szCs w:val="32"/>
          <w14:textFill>
            <w14:solidFill>
              <w14:schemeClr w14:val="tx1"/>
            </w14:solidFill>
          </w14:textFill>
        </w:rPr>
        <w:t>筑牢织密民生保障底线，不断增强新区人民群众获得感、幸福感、安全感，促进人的全面发展和社会全面进步。</w:t>
      </w:r>
    </w:p>
    <w:p>
      <w:pPr>
        <w:pStyle w:val="4"/>
        <w:jc w:val="center"/>
        <w:rPr>
          <w:rFonts w:hint="eastAsia" w:ascii="黑体" w:hAnsi="黑体" w:eastAsia="黑体" w:cs="Times New Roman"/>
          <w:b w:val="0"/>
          <w:color w:val="000000" w:themeColor="text1"/>
          <w14:textFill>
            <w14:solidFill>
              <w14:schemeClr w14:val="tx1"/>
            </w14:solidFill>
          </w14:textFill>
        </w:rPr>
      </w:pPr>
      <w:bookmarkStart w:id="350" w:name="_Toc22487"/>
      <w:bookmarkStart w:id="351" w:name="_Toc13507"/>
      <w:bookmarkStart w:id="352" w:name="_Toc2530"/>
      <w:bookmarkStart w:id="353" w:name="_Toc27918"/>
      <w:bookmarkStart w:id="354" w:name="_Toc26793"/>
      <w:bookmarkStart w:id="355" w:name="_Toc18886"/>
      <w:bookmarkStart w:id="356" w:name="_Toc15204"/>
      <w:bookmarkStart w:id="357" w:name="_Toc18962"/>
      <w:bookmarkStart w:id="358" w:name="_Toc7187"/>
      <w:bookmarkStart w:id="359" w:name="_Toc75341682"/>
      <w:bookmarkStart w:id="360" w:name="_Toc4238"/>
      <w:bookmarkStart w:id="361" w:name="_Toc23424"/>
      <w:r>
        <w:rPr>
          <w:rFonts w:hint="eastAsia" w:ascii="黑体" w:hAnsi="黑体" w:eastAsia="黑体" w:cs="Times New Roman"/>
          <w:b w:val="0"/>
          <w:color w:val="000000" w:themeColor="text1"/>
          <w14:textFill>
            <w14:solidFill>
              <w14:schemeClr w14:val="tx1"/>
            </w14:solidFill>
          </w14:textFill>
        </w:rPr>
        <w:t>第一节 社会治理共建共治共享</w:t>
      </w:r>
      <w:bookmarkEnd w:id="350"/>
      <w:bookmarkEnd w:id="351"/>
      <w:bookmarkEnd w:id="352"/>
      <w:bookmarkEnd w:id="353"/>
      <w:bookmarkEnd w:id="354"/>
      <w:bookmarkEnd w:id="355"/>
      <w:bookmarkEnd w:id="356"/>
      <w:bookmarkEnd w:id="357"/>
      <w:bookmarkEnd w:id="358"/>
      <w:bookmarkEnd w:id="359"/>
      <w:bookmarkEnd w:id="360"/>
      <w:bookmarkEnd w:id="361"/>
    </w:p>
    <w:p>
      <w:pPr>
        <w:pStyle w:val="5"/>
        <w:spacing w:before="0" w:after="0" w:line="240" w:lineRule="auto"/>
        <w:ind w:firstLine="640" w:firstLineChars="200"/>
        <w:rPr>
          <w:rFonts w:ascii="黑体" w:hAnsi="黑体" w:eastAsia="黑体" w:cs="Times New Roman"/>
          <w:b w:val="0"/>
          <w:color w:val="000000" w:themeColor="text1"/>
          <w14:textFill>
            <w14:solidFill>
              <w14:schemeClr w14:val="tx1"/>
            </w14:solidFill>
          </w14:textFill>
        </w:rPr>
      </w:pPr>
      <w:r>
        <w:rPr>
          <w:rFonts w:hint="eastAsia" w:ascii="黑体" w:hAnsi="黑体" w:eastAsia="黑体" w:cs="Times New Roman"/>
          <w:b w:val="0"/>
          <w:color w:val="000000" w:themeColor="text1"/>
          <w14:textFill>
            <w14:solidFill>
              <w14:schemeClr w14:val="tx1"/>
            </w14:solidFill>
          </w14:textFill>
        </w:rPr>
        <w:t>一、抓好党建引领加快基层治理能效升级</w:t>
      </w:r>
    </w:p>
    <w:p>
      <w:pPr>
        <w:adjustRightInd w:val="0"/>
        <w:ind w:firstLine="640" w:firstLineChars="200"/>
        <w:rPr>
          <w:rFonts w:ascii="仿宋_GB2312" w:hAnsi="仿宋" w:eastAsia="仿宋_GB2312" w:cs="Times New Roman"/>
          <w:color w:val="000000" w:themeColor="text1"/>
          <w:sz w:val="32"/>
          <w:szCs w:val="32"/>
          <w14:textFill>
            <w14:solidFill>
              <w14:schemeClr w14:val="tx1"/>
            </w14:solidFill>
          </w14:textFill>
        </w:rPr>
      </w:pPr>
      <w:r>
        <w:rPr>
          <w:rFonts w:hint="eastAsia" w:ascii="仿宋_GB2312" w:hAnsi="仿宋" w:eastAsia="仿宋_GB2312" w:cs="Times New Roman"/>
          <w:color w:val="000000" w:themeColor="text1"/>
          <w:sz w:val="32"/>
          <w:szCs w:val="32"/>
          <w14:textFill>
            <w14:solidFill>
              <w14:schemeClr w14:val="tx1"/>
            </w14:solidFill>
          </w14:textFill>
        </w:rPr>
        <w:t>扩大党组织在基层各类组织中的有效覆盖，推动基层党建质量和水平整体提升。完善基层党组织书记的选、育、管、用机制，选优配强社区带头人，构建高素质专业化的社区人才梯队。选优配强乡镇领导班子、村“两委”成员特别是村党支部书记。坚持和完善驻村工作制度，开展新区、镇、村三级党组织书记乡村振兴轮训。适应城市化发展需要，加快镇改街、村改居的工作进度，实现由农村管理为主到城市管理为主的有序过渡。以党建引领，完善城乡社区治理结构，促进社区治理社会化、多元化，探索基层治理的扁平化结构，完善社区管理服务机制。以人民为中心，提升治理效能，建立社区与单位行业党组织互联机制与组织联建、活动联办、资源共享，有效解决社区治理难题。推进党务、政务、服务三个融合，支持社会组织、社区居委会、物业管理公司和社会企业参与社区服务，形成党组织领导下的多层次社区服务体系。面向高校、国企、农村、社会组织等各领域优秀青年，推动落实广西治理现代化青年政治人才培养计划，不断为党培养和输送青年政治骨干。</w:t>
      </w:r>
    </w:p>
    <w:p>
      <w:pPr>
        <w:pStyle w:val="5"/>
        <w:spacing w:before="0" w:after="0" w:line="240" w:lineRule="auto"/>
        <w:ind w:firstLine="640" w:firstLineChars="200"/>
        <w:rPr>
          <w:rFonts w:ascii="黑体" w:hAnsi="黑体" w:eastAsia="黑体"/>
          <w:b w:val="0"/>
          <w:color w:val="000000" w:themeColor="text1"/>
          <w14:textFill>
            <w14:solidFill>
              <w14:schemeClr w14:val="tx1"/>
            </w14:solidFill>
          </w14:textFill>
        </w:rPr>
      </w:pPr>
      <w:r>
        <w:rPr>
          <w:rFonts w:hint="eastAsia" w:ascii="黑体" w:hAnsi="黑体" w:eastAsia="黑体"/>
          <w:b w:val="0"/>
          <w:color w:val="000000" w:themeColor="text1"/>
          <w14:textFill>
            <w14:solidFill>
              <w14:schemeClr w14:val="tx1"/>
            </w14:solidFill>
          </w14:textFill>
        </w:rPr>
        <w:t>二、推进法治柳东建设</w:t>
      </w:r>
    </w:p>
    <w:p>
      <w:pPr>
        <w:adjustRightInd w:val="0"/>
        <w:ind w:firstLine="640" w:firstLineChars="200"/>
        <w:rPr>
          <w:rFonts w:ascii="仿宋_GB2312" w:hAnsi="仿宋" w:eastAsia="仿宋_GB2312" w:cs="Times New Roman"/>
          <w:color w:val="000000" w:themeColor="text1"/>
          <w:sz w:val="32"/>
          <w:szCs w:val="32"/>
          <w14:textFill>
            <w14:solidFill>
              <w14:schemeClr w14:val="tx1"/>
            </w14:solidFill>
          </w14:textFill>
        </w:rPr>
      </w:pPr>
      <w:r>
        <w:rPr>
          <w:rFonts w:hint="eastAsia" w:ascii="仿宋_GB2312" w:hAnsi="仿宋" w:eastAsia="仿宋_GB2312" w:cs="Times New Roman"/>
          <w:color w:val="000000" w:themeColor="text1"/>
          <w:sz w:val="32"/>
          <w:szCs w:val="32"/>
          <w14:textFill>
            <w14:solidFill>
              <w14:schemeClr w14:val="tx1"/>
            </w14:solidFill>
          </w14:textFill>
        </w:rPr>
        <w:t>全面推进“法治柳东”建设，坚持依法治区、依法执政、依法行政，推进法治政府、法治社会一体建设，全力推进治理体系和治理能力现代化。实施完成“八五”普法规划，深入开展“法律六进”。深化“平安柳东”创建，做好安保维稳工作，确保社会大局和谐稳定，提高市民安全感。加快一批公安司法重点项目建设，完善公安司法基础设施，</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"http://www.baidu.com/link?url=Q-M8NwX8KiXm51-mH7KxH63lrzIVjazb56Jeo_1hozXmo25q9zMZpjh3QUJJPUMI" \t "https://www.baidu.com/_blank" </w:instrText>
      </w:r>
      <w:r>
        <w:rPr>
          <w:color w:val="000000" w:themeColor="text1"/>
          <w14:textFill>
            <w14:solidFill>
              <w14:schemeClr w14:val="tx1"/>
            </w14:solidFill>
          </w14:textFill>
        </w:rPr>
        <w:fldChar w:fldCharType="separate"/>
      </w:r>
      <w:r>
        <w:rPr>
          <w:rFonts w:hint="eastAsia" w:ascii="仿宋_GB2312" w:hAnsi="仿宋" w:eastAsia="仿宋_GB2312" w:cs="Times New Roman"/>
          <w:color w:val="000000" w:themeColor="text1"/>
          <w:sz w:val="32"/>
          <w:szCs w:val="32"/>
          <w14:textFill>
            <w14:solidFill>
              <w14:schemeClr w14:val="tx1"/>
            </w14:solidFill>
          </w14:textFill>
        </w:rPr>
        <w:t>夯实综治和平安建设工作根基</w:t>
      </w:r>
      <w:r>
        <w:rPr>
          <w:rFonts w:hint="eastAsia" w:ascii="仿宋_GB2312" w:hAnsi="仿宋" w:eastAsia="仿宋_GB2312" w:cs="Times New Roman"/>
          <w:color w:val="000000" w:themeColor="text1"/>
          <w:sz w:val="32"/>
          <w:szCs w:val="32"/>
          <w14:textFill>
            <w14:solidFill>
              <w14:schemeClr w14:val="tx1"/>
            </w14:solidFill>
          </w14:textFill>
        </w:rPr>
        <w:fldChar w:fldCharType="end"/>
      </w:r>
      <w:r>
        <w:rPr>
          <w:rFonts w:hint="eastAsia" w:ascii="仿宋_GB2312" w:hAnsi="仿宋" w:eastAsia="仿宋_GB2312" w:cs="Times New Roman"/>
          <w:color w:val="000000" w:themeColor="text1"/>
          <w:sz w:val="32"/>
          <w:szCs w:val="32"/>
          <w14:textFill>
            <w14:solidFill>
              <w14:schemeClr w14:val="tx1"/>
            </w14:solidFill>
          </w14:textFill>
        </w:rPr>
        <w:t>。坚持重点区域的综合整治行动，努力维护好社会公平正义。维护合法经营、保障经济发展。提供便捷高效的公共法律服务，切实保护公民、法人和其他组织的合法权益。及时化解社会矛盾，积极推进拆迁失地农民的安置工作，加强群体性事件处置能力。强化政府信息公开工作，加强政策宣传和舆情引导。推进和完善重大决策重大项目风险评估体系建设，防范因决策实施而对社会稳定、公共安全等方面造成不利影响的风险。推动法治文化宣传，弘扬社会主义法治精神。</w:t>
      </w:r>
    </w:p>
    <w:tbl>
      <w:tblPr>
        <w:tblStyle w:val="19"/>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522" w:type="dxa"/>
          </w:tcPr>
          <w:p>
            <w:pPr>
              <w:spacing w:beforeLines="50" w:afterLines="50"/>
              <w:jc w:val="center"/>
              <w:rPr>
                <w:rFonts w:cs="宋体" w:asciiTheme="minorEastAsia" w:hAnsiTheme="minorEastAsia"/>
                <w:b/>
                <w:color w:val="000000" w:themeColor="text1"/>
                <w:szCs w:val="21"/>
                <w14:textFill>
                  <w14:solidFill>
                    <w14:schemeClr w14:val="tx1"/>
                  </w14:solidFill>
                </w14:textFill>
              </w:rPr>
            </w:pPr>
            <w:r>
              <w:rPr>
                <w:rFonts w:hint="eastAsia" w:cs="宋体" w:asciiTheme="minorEastAsia" w:hAnsiTheme="minorEastAsia"/>
                <w:b/>
                <w:color w:val="000000" w:themeColor="text1"/>
                <w:szCs w:val="21"/>
                <w14:textFill>
                  <w14:solidFill>
                    <w14:schemeClr w14:val="tx1"/>
                  </w14:solidFill>
                </w14:textFill>
              </w:rPr>
              <w:t>专栏7-1  “法治柳东”“平安柳东”建设重点</w:t>
            </w:r>
          </w:p>
          <w:p>
            <w:pPr>
              <w:widowControl/>
              <w:ind w:firstLine="420" w:firstLineChars="200"/>
              <w:textAlignment w:val="center"/>
              <w:rPr>
                <w:color w:val="000000" w:themeColor="text1"/>
                <w14:textFill>
                  <w14:solidFill>
                    <w14:schemeClr w14:val="tx1"/>
                  </w14:solidFill>
                </w14:textFill>
              </w:rPr>
            </w:pPr>
            <w:r>
              <w:rPr>
                <w:color w:val="000000" w:themeColor="text1"/>
                <w14:textFill>
                  <w14:solidFill>
                    <w14:schemeClr w14:val="tx1"/>
                  </w14:solidFill>
                </w14:textFill>
              </w:rPr>
              <w:t>柳州市公安局柳东分局业务技术用房配套信息化建设项目</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柳州市司法警察训练基地迁建项目、广西壮族自治区第二女子监狱、桂中监狱基础设施完善项目、广西监狱警察警务技能训练基地</w:t>
            </w:r>
            <w:r>
              <w:rPr>
                <w:rFonts w:hint="eastAsia"/>
                <w:color w:val="000000" w:themeColor="text1"/>
                <w14:textFill>
                  <w14:solidFill>
                    <w14:schemeClr w14:val="tx1"/>
                  </w14:solidFill>
                </w14:textFill>
              </w:rPr>
              <w:t>。</w:t>
            </w:r>
          </w:p>
        </w:tc>
      </w:tr>
    </w:tbl>
    <w:p>
      <w:pPr>
        <w:pStyle w:val="5"/>
        <w:spacing w:before="0" w:after="0" w:line="240" w:lineRule="auto"/>
        <w:ind w:firstLine="640" w:firstLineChars="200"/>
        <w:rPr>
          <w:rFonts w:ascii="黑体" w:hAnsi="黑体" w:eastAsia="黑体" w:cs="Times New Roman"/>
          <w:b w:val="0"/>
          <w:color w:val="000000" w:themeColor="text1"/>
          <w14:textFill>
            <w14:solidFill>
              <w14:schemeClr w14:val="tx1"/>
            </w14:solidFill>
          </w14:textFill>
        </w:rPr>
      </w:pPr>
      <w:r>
        <w:rPr>
          <w:rFonts w:hint="eastAsia" w:ascii="黑体" w:hAnsi="黑体" w:eastAsia="黑体" w:cs="Times New Roman"/>
          <w:b w:val="0"/>
          <w:color w:val="000000" w:themeColor="text1"/>
          <w14:textFill>
            <w14:solidFill>
              <w14:schemeClr w14:val="tx1"/>
            </w14:solidFill>
          </w14:textFill>
        </w:rPr>
        <w:t>三、</w:t>
      </w:r>
      <w:r>
        <w:rPr>
          <w:rFonts w:ascii="黑体" w:hAnsi="黑体" w:eastAsia="黑体" w:cs="Times New Roman"/>
          <w:b w:val="0"/>
          <w:color w:val="000000" w:themeColor="text1"/>
          <w14:textFill>
            <w14:solidFill>
              <w14:schemeClr w14:val="tx1"/>
            </w14:solidFill>
          </w14:textFill>
        </w:rPr>
        <w:t>促进</w:t>
      </w:r>
      <w:r>
        <w:rPr>
          <w:rFonts w:hint="eastAsia" w:ascii="黑体" w:hAnsi="黑体" w:eastAsia="黑体" w:cs="Times New Roman"/>
          <w:b w:val="0"/>
          <w:color w:val="000000" w:themeColor="text1"/>
          <w14:textFill>
            <w14:solidFill>
              <w14:schemeClr w14:val="tx1"/>
            </w14:solidFill>
          </w14:textFill>
        </w:rPr>
        <w:t>基层治理智慧化</w:t>
      </w:r>
      <w:r>
        <w:rPr>
          <w:rFonts w:ascii="黑体" w:hAnsi="黑体" w:eastAsia="黑体" w:cs="Times New Roman"/>
          <w:b w:val="0"/>
          <w:color w:val="000000" w:themeColor="text1"/>
          <w14:textFill>
            <w14:solidFill>
              <w14:schemeClr w14:val="tx1"/>
            </w14:solidFill>
          </w14:textFill>
        </w:rPr>
        <w:t>精细化</w:t>
      </w:r>
    </w:p>
    <w:p>
      <w:pPr>
        <w:adjustRightInd w:val="0"/>
        <w:ind w:firstLine="640" w:firstLineChars="200"/>
        <w:rPr>
          <w:rFonts w:ascii="仿宋_GB2312" w:hAnsi="仿宋" w:eastAsia="仿宋_GB2312"/>
          <w:color w:val="000000" w:themeColor="text1"/>
          <w:sz w:val="32"/>
          <w:szCs w:val="32"/>
          <w14:textFill>
            <w14:solidFill>
              <w14:schemeClr w14:val="tx1"/>
            </w14:solidFill>
          </w14:textFill>
        </w:rPr>
      </w:pPr>
      <w:r>
        <w:rPr>
          <w:rFonts w:hint="eastAsia" w:ascii="仿宋_GB2312" w:hAnsi="仿宋" w:eastAsia="仿宋_GB2312"/>
          <w:color w:val="000000" w:themeColor="text1"/>
          <w:sz w:val="32"/>
          <w:szCs w:val="32"/>
          <w14:textFill>
            <w14:solidFill>
              <w14:schemeClr w14:val="tx1"/>
            </w14:solidFill>
          </w14:textFill>
        </w:rPr>
        <w:t>坚持一体化谋划，高标准打造智慧网格、智能天网、大数据三大基础平台，推动社会治理现代化“智治”。依托“数字柳东”智慧城市建设，加强智慧城市应用推广。大力推动智慧教育、智慧医疗、智慧交通、智慧公安、智慧能源、智慧市政、智慧环保等领域应用，搭建新区社会治理“智治”框架。高智能构建现代化指挥调度网络，建立区—街（镇）—社区（乡）联动网络，以“一中心两化”为抓手，提升区级一体化联合指挥效能，完善街道（镇）综治中心联勤指挥、联动协调机制，充分发挥社区综治平台作用。推动新区加快安装视频门禁、配套二类视频监控、雪亮工程一类视频监控。</w:t>
      </w:r>
    </w:p>
    <w:tbl>
      <w:tblPr>
        <w:tblStyle w:val="19"/>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522" w:type="dxa"/>
          </w:tcPr>
          <w:p>
            <w:pPr>
              <w:pStyle w:val="9"/>
              <w:spacing w:beforeLines="50" w:afterLines="50"/>
              <w:jc w:val="center"/>
              <w:rPr>
                <w:rFonts w:cs="宋体" w:asciiTheme="minorEastAsia" w:hAnsiTheme="minorEastAsia"/>
                <w:b/>
                <w:color w:val="000000" w:themeColor="text1"/>
                <w:szCs w:val="21"/>
                <w14:textFill>
                  <w14:solidFill>
                    <w14:schemeClr w14:val="tx1"/>
                  </w14:solidFill>
                </w14:textFill>
              </w:rPr>
            </w:pPr>
            <w:r>
              <w:rPr>
                <w:rFonts w:hint="eastAsia" w:cs="宋体" w:asciiTheme="minorEastAsia" w:hAnsiTheme="minorEastAsia"/>
                <w:b/>
                <w:color w:val="000000" w:themeColor="text1"/>
                <w:szCs w:val="21"/>
                <w14:textFill>
                  <w14:solidFill>
                    <w14:schemeClr w14:val="tx1"/>
                  </w14:solidFill>
                </w14:textFill>
              </w:rPr>
              <w:t>专栏7-2  基层治理建设重点</w:t>
            </w:r>
          </w:p>
          <w:p>
            <w:pPr>
              <w:pStyle w:val="9"/>
              <w:ind w:firstLine="422" w:firstLineChars="200"/>
              <w:rPr>
                <w:color w:val="000000" w:themeColor="text1"/>
                <w14:textFill>
                  <w14:solidFill>
                    <w14:schemeClr w14:val="tx1"/>
                  </w14:solidFill>
                </w14:textFill>
              </w:rPr>
            </w:pPr>
            <w:r>
              <w:rPr>
                <w:rFonts w:hint="eastAsia"/>
                <w:b/>
                <w:bCs/>
                <w:color w:val="000000" w:themeColor="text1"/>
                <w14:textFill>
                  <w14:solidFill>
                    <w14:schemeClr w14:val="tx1"/>
                  </w14:solidFill>
                </w14:textFill>
              </w:rPr>
              <w:t>“数字柳东”智慧城市建设：</w:t>
            </w:r>
            <w:r>
              <w:rPr>
                <w:rFonts w:hint="eastAsia"/>
                <w:color w:val="000000" w:themeColor="text1"/>
                <w14:textFill>
                  <w14:solidFill>
                    <w14:schemeClr w14:val="tx1"/>
                  </w14:solidFill>
                </w14:textFill>
              </w:rPr>
              <w:t>7大类36个子项目，大基础、大数据、大支撑、大门户、城市治理、民生服务、产业经济等相关内容。</w:t>
            </w:r>
          </w:p>
          <w:p>
            <w:pPr>
              <w:pStyle w:val="9"/>
              <w:ind w:firstLine="422" w:firstLineChars="200"/>
              <w:rPr>
                <w:color w:val="000000" w:themeColor="text1"/>
                <w14:textFill>
                  <w14:solidFill>
                    <w14:schemeClr w14:val="tx1"/>
                  </w14:solidFill>
                </w14:textFill>
              </w:rPr>
            </w:pPr>
            <w:r>
              <w:rPr>
                <w:rFonts w:hint="eastAsia"/>
                <w:b/>
                <w:bCs/>
                <w:color w:val="000000" w:themeColor="text1"/>
                <w14:textFill>
                  <w14:solidFill>
                    <w14:schemeClr w14:val="tx1"/>
                  </w14:solidFill>
                </w14:textFill>
              </w:rPr>
              <w:t>推进智慧交通平台、智慧警务、智慧社区、智慧环保建设。</w:t>
            </w:r>
          </w:p>
        </w:tc>
      </w:tr>
    </w:tbl>
    <w:p>
      <w:pPr>
        <w:pStyle w:val="5"/>
        <w:spacing w:before="0" w:after="0" w:line="240" w:lineRule="auto"/>
        <w:ind w:firstLine="640" w:firstLineChars="200"/>
        <w:rPr>
          <w:rFonts w:ascii="黑体" w:hAnsi="黑体" w:eastAsia="黑体" w:cs="Times New Roman"/>
          <w:b w:val="0"/>
          <w:color w:val="000000" w:themeColor="text1"/>
          <w14:textFill>
            <w14:solidFill>
              <w14:schemeClr w14:val="tx1"/>
            </w14:solidFill>
          </w14:textFill>
        </w:rPr>
      </w:pPr>
      <w:r>
        <w:rPr>
          <w:rFonts w:hint="eastAsia" w:ascii="黑体" w:hAnsi="黑体" w:eastAsia="黑体" w:cs="Times New Roman"/>
          <w:b w:val="0"/>
          <w:color w:val="000000" w:themeColor="text1"/>
          <w14:textFill>
            <w14:solidFill>
              <w14:schemeClr w14:val="tx1"/>
            </w14:solidFill>
          </w14:textFill>
        </w:rPr>
        <w:t>四、加快社会信用体系建设</w:t>
      </w:r>
    </w:p>
    <w:p>
      <w:pPr>
        <w:pStyle w:val="27"/>
        <w:ind w:firstLine="640" w:firstLineChars="200"/>
        <w:rPr>
          <w:rFonts w:ascii="仿宋_GB2312" w:hAnsi="仿宋" w:eastAsia="仿宋_GB2312" w:cs="Times New Roman"/>
          <w:color w:val="000000" w:themeColor="text1"/>
          <w:kern w:val="2"/>
          <w:sz w:val="32"/>
          <w:szCs w:val="32"/>
          <w14:textFill>
            <w14:solidFill>
              <w14:schemeClr w14:val="tx1"/>
            </w14:solidFill>
          </w14:textFill>
        </w:rPr>
      </w:pPr>
      <w:r>
        <w:rPr>
          <w:rFonts w:hint="eastAsia" w:ascii="仿宋_GB2312" w:hAnsi="仿宋" w:eastAsia="仿宋_GB2312" w:cs="Times New Roman"/>
          <w:color w:val="000000" w:themeColor="text1"/>
          <w:kern w:val="2"/>
          <w:sz w:val="32"/>
          <w:szCs w:val="32"/>
          <w14:textFill>
            <w14:solidFill>
              <w14:schemeClr w14:val="tx1"/>
            </w14:solidFill>
          </w14:textFill>
        </w:rPr>
        <w:t>加快推进建立与新区现代治理体系相适应的社会信用体系。发挥政府的示范引导作用，加强政务诚信建设，动员全社会广泛参与，共同推进，形成社会信用体系建设合力。积极对接自治区、柳州市信用数据平台，完善新区公共信用信息平台功能，加大信用信息收集整理，推进信用数据开放共享，提供更为全面实时的信用信息。</w:t>
      </w:r>
    </w:p>
    <w:p>
      <w:pPr>
        <w:pStyle w:val="4"/>
        <w:jc w:val="center"/>
        <w:rPr>
          <w:rFonts w:hint="eastAsia" w:ascii="黑体" w:hAnsi="黑体" w:eastAsia="黑体" w:cs="Times New Roman"/>
          <w:b w:val="0"/>
          <w:color w:val="000000" w:themeColor="text1"/>
          <w14:textFill>
            <w14:solidFill>
              <w14:schemeClr w14:val="tx1"/>
            </w14:solidFill>
          </w14:textFill>
        </w:rPr>
      </w:pPr>
      <w:bookmarkStart w:id="362" w:name="_Toc15028"/>
      <w:bookmarkStart w:id="363" w:name="_Toc9126"/>
      <w:bookmarkStart w:id="364" w:name="_Toc13475"/>
      <w:bookmarkStart w:id="365" w:name="_Toc30683"/>
      <w:bookmarkStart w:id="366" w:name="_Toc25108"/>
      <w:bookmarkStart w:id="367" w:name="_Toc3209"/>
      <w:bookmarkStart w:id="368" w:name="_Toc75341683"/>
      <w:bookmarkStart w:id="369" w:name="_Toc21193"/>
      <w:bookmarkStart w:id="370" w:name="_Toc5901"/>
      <w:bookmarkStart w:id="371" w:name="_Toc22477"/>
      <w:bookmarkStart w:id="372" w:name="_Toc21667"/>
      <w:bookmarkStart w:id="373" w:name="_Toc30818"/>
      <w:r>
        <w:rPr>
          <w:rFonts w:hint="eastAsia" w:ascii="黑体" w:hAnsi="黑体" w:eastAsia="黑体" w:cs="Times New Roman"/>
          <w:b w:val="0"/>
          <w:color w:val="000000" w:themeColor="text1"/>
          <w14:textFill>
            <w14:solidFill>
              <w14:schemeClr w14:val="tx1"/>
            </w14:solidFill>
          </w14:textFill>
        </w:rPr>
        <w:t>第二节 加强社会公共安全建设</w:t>
      </w:r>
      <w:bookmarkEnd w:id="362"/>
      <w:bookmarkEnd w:id="363"/>
      <w:bookmarkEnd w:id="364"/>
      <w:bookmarkEnd w:id="365"/>
      <w:bookmarkEnd w:id="366"/>
      <w:bookmarkEnd w:id="367"/>
      <w:bookmarkEnd w:id="368"/>
      <w:bookmarkEnd w:id="369"/>
      <w:bookmarkEnd w:id="370"/>
      <w:bookmarkEnd w:id="371"/>
      <w:bookmarkEnd w:id="372"/>
      <w:bookmarkEnd w:id="373"/>
    </w:p>
    <w:p>
      <w:pPr>
        <w:pStyle w:val="5"/>
        <w:spacing w:before="0" w:after="0" w:line="240" w:lineRule="auto"/>
        <w:ind w:firstLine="640" w:firstLineChars="200"/>
        <w:rPr>
          <w:rFonts w:ascii="黑体" w:hAnsi="黑体" w:eastAsia="黑体" w:cs="Times New Roman"/>
          <w:b w:val="0"/>
          <w:color w:val="000000" w:themeColor="text1"/>
          <w14:textFill>
            <w14:solidFill>
              <w14:schemeClr w14:val="tx1"/>
            </w14:solidFill>
          </w14:textFill>
        </w:rPr>
      </w:pPr>
      <w:r>
        <w:rPr>
          <w:rFonts w:hint="eastAsia" w:ascii="黑体" w:hAnsi="黑体" w:eastAsia="黑体" w:cs="Times New Roman"/>
          <w:b w:val="0"/>
          <w:color w:val="000000" w:themeColor="text1"/>
          <w14:textFill>
            <w14:solidFill>
              <w14:schemeClr w14:val="tx1"/>
            </w14:solidFill>
          </w14:textFill>
        </w:rPr>
        <w:t>一、启动“韧性城区”建设</w:t>
      </w:r>
    </w:p>
    <w:p>
      <w:pPr>
        <w:ind w:firstLine="640" w:firstLineChars="200"/>
        <w:jc w:val="left"/>
        <w:rPr>
          <w:rFonts w:ascii="仿宋_GB2312" w:hAnsi="仿宋" w:eastAsia="仿宋_GB2312" w:cs="Times New Roman"/>
          <w:color w:val="000000" w:themeColor="text1"/>
          <w:sz w:val="32"/>
          <w:szCs w:val="32"/>
          <w14:textFill>
            <w14:solidFill>
              <w14:schemeClr w14:val="tx1"/>
            </w14:solidFill>
          </w14:textFill>
        </w:rPr>
      </w:pPr>
      <w:r>
        <w:rPr>
          <w:rFonts w:hint="eastAsia" w:ascii="仿宋_GB2312" w:hAnsi="仿宋" w:eastAsia="仿宋_GB2312" w:cs="Times New Roman"/>
          <w:color w:val="000000" w:themeColor="text1"/>
          <w:sz w:val="32"/>
          <w:szCs w:val="32"/>
          <w14:textFill>
            <w14:solidFill>
              <w14:schemeClr w14:val="tx1"/>
            </w14:solidFill>
          </w14:textFill>
        </w:rPr>
        <w:t>坚持“人民至上 生命至上”，以持续保障城市运行安全，提高城市安全承载能力、不确定风险抵抗能力、灾后功能恢复能力为目标，实施新区“韧性城区”建设。从城市规划、应急保障体系、应急基础建设和社会应急治理能力等方面构建新区“韧性城区”。坚持以防为主、防抗救相结合，实现从注重灾后救助向注重灾前预防转变，从应对单一灾种向综合减灾转变，全面提升抵御洪涝干旱、森林火灾、地质灾害、地震等自然灾害的综合防范能力。强化灾害事故风险管控，推进公共安全风险评估，全面排查新区城乡安全隐患。加强公共安全基础设施建设，推进应急避难场所建设，提升抵抗自然灾害能力。构建新区综合应急平台体系建设，建设部门专业应急平台，强化早发现、早处置能力。推进新区综合性应急救援队伍和基层应急队伍建设，增强全灾种救援能力。构建具有应对外部冲击的物资供应能力和物资储备支撑体系，确保市民维持生存需求的基本服务体系具有可靠性和及时性。加强灾后恢复建设，构建多部门联动防灾抗灾救灾机制，制定灾后生活生产秩序恢复行动计划。推广政府主导、多元参与的社会共治模式和治理共同体，提升全社会协同救助、协同恢复的能力。</w:t>
      </w:r>
    </w:p>
    <w:tbl>
      <w:tblPr>
        <w:tblStyle w:val="19"/>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spacing w:beforeLines="50" w:afterLines="50"/>
              <w:jc w:val="center"/>
              <w:rPr>
                <w:rFonts w:cs="宋体" w:asciiTheme="minorEastAsia" w:hAnsiTheme="minorEastAsia"/>
                <w:b/>
                <w:color w:val="000000" w:themeColor="text1"/>
                <w:szCs w:val="21"/>
                <w14:textFill>
                  <w14:solidFill>
                    <w14:schemeClr w14:val="tx1"/>
                  </w14:solidFill>
                </w14:textFill>
              </w:rPr>
            </w:pPr>
            <w:r>
              <w:rPr>
                <w:rFonts w:hint="eastAsia" w:cs="宋体" w:asciiTheme="minorEastAsia" w:hAnsiTheme="minorEastAsia"/>
                <w:b/>
                <w:color w:val="000000" w:themeColor="text1"/>
                <w:szCs w:val="21"/>
                <w14:textFill>
                  <w14:solidFill>
                    <w14:schemeClr w14:val="tx1"/>
                  </w14:solidFill>
                </w14:textFill>
              </w:rPr>
              <w:t>专栏7-3  “韧性城区”应急基础设施建设重点</w:t>
            </w:r>
          </w:p>
          <w:p>
            <w:pPr>
              <w:pStyle w:val="9"/>
              <w:ind w:firstLine="422" w:firstLineChars="200"/>
              <w:rPr>
                <w:color w:val="000000" w:themeColor="text1"/>
                <w14:textFill>
                  <w14:solidFill>
                    <w14:schemeClr w14:val="tx1"/>
                  </w14:solidFill>
                </w14:textFill>
              </w:rPr>
            </w:pPr>
            <w:r>
              <w:rPr>
                <w:rFonts w:hint="eastAsia"/>
                <w:b/>
                <w:bCs/>
                <w:color w:val="000000" w:themeColor="text1"/>
                <w14:textFill>
                  <w14:solidFill>
                    <w14:schemeClr w14:val="tx1"/>
                  </w14:solidFill>
                </w14:textFill>
              </w:rPr>
              <w:t>水利工程：</w:t>
            </w:r>
            <w:r>
              <w:rPr>
                <w:rFonts w:hint="eastAsia"/>
                <w:color w:val="000000" w:themeColor="text1"/>
                <w14:textFill>
                  <w14:solidFill>
                    <w14:schemeClr w14:val="tx1"/>
                  </w14:solidFill>
                </w14:textFill>
              </w:rPr>
              <w:t>雒容中沟泵站项目、核心区水系莫道江南支（下游段）河道综合整治工程、雒容镇东塘村那鸡河塘坝及渠道整治工程、雒容镇水利项目工程、马步河（下游段）河道综合整治工程、官塘冲河道整治工程（二期）、东和路东一巷河道综合整治工程、雒容中沟河道综合整治工程、水系石仁冲补水渠（下游段）连通综合整治工程、水系核心补水渠（上游段）连通综合整治工程、东小河河道综合整治工程。</w:t>
            </w:r>
          </w:p>
        </w:tc>
      </w:tr>
    </w:tbl>
    <w:p>
      <w:pPr>
        <w:pStyle w:val="5"/>
        <w:spacing w:before="0" w:after="0" w:line="240" w:lineRule="auto"/>
        <w:ind w:firstLine="640" w:firstLineChars="200"/>
        <w:rPr>
          <w:rFonts w:ascii="黑体" w:hAnsi="黑体" w:eastAsia="黑体"/>
          <w:b w:val="0"/>
          <w:color w:val="000000" w:themeColor="text1"/>
          <w14:textFill>
            <w14:solidFill>
              <w14:schemeClr w14:val="tx1"/>
            </w14:solidFill>
          </w14:textFill>
        </w:rPr>
      </w:pPr>
      <w:r>
        <w:rPr>
          <w:rFonts w:hint="eastAsia" w:ascii="黑体" w:hAnsi="黑体" w:eastAsia="黑体"/>
          <w:b w:val="0"/>
          <w:color w:val="000000" w:themeColor="text1"/>
          <w14:textFill>
            <w14:solidFill>
              <w14:schemeClr w14:val="tx1"/>
            </w14:solidFill>
          </w14:textFill>
        </w:rPr>
        <w:t>二、夯实安全生产基石</w:t>
      </w:r>
    </w:p>
    <w:p>
      <w:pPr>
        <w:ind w:firstLine="640" w:firstLineChars="200"/>
        <w:rPr>
          <w:rFonts w:ascii="仿宋_GB2312" w:hAnsi="仿宋" w:eastAsia="仿宋_GB2312" w:cs="Times New Roman"/>
          <w:color w:val="000000" w:themeColor="text1"/>
          <w:sz w:val="32"/>
          <w:szCs w:val="32"/>
          <w14:textFill>
            <w14:solidFill>
              <w14:schemeClr w14:val="tx1"/>
            </w14:solidFill>
          </w14:textFill>
        </w:rPr>
      </w:pPr>
      <w:r>
        <w:rPr>
          <w:rFonts w:hint="eastAsia" w:ascii="仿宋_GB2312" w:hAnsi="仿宋" w:eastAsia="仿宋_GB2312" w:cs="Times New Roman"/>
          <w:color w:val="000000" w:themeColor="text1"/>
          <w:sz w:val="32"/>
          <w:szCs w:val="32"/>
          <w14:textFill>
            <w14:solidFill>
              <w14:schemeClr w14:val="tx1"/>
            </w14:solidFill>
          </w14:textFill>
        </w:rPr>
        <w:t>坚持安全发展、坚守安全红线，严格落实重大安全风险“一票否决”制度。进一步落实新区安委会成员单位“三个必须”要求，加强联合执法，加强信息共享，完善和落实安全生产责任制。推进企业安全生产标准化建设和安全生产风险分级管控与隐患排查治理机制暨隐患排查治理体系建设，建立企业全员安全生产责任制度，压实企业安全生产主体责任。加强安全生产监测预警和智慧安监信息化建设与使用，深入推进危险化学品、矿山、建筑施工、交通、民爆、特种设备等重点领域安全整治，实行重大隐患治理逐级挂牌督办和整改效果评价。在矿山、危险化学品、运输等重点领域推进安全生产责任保险全覆盖，推进危险岗位机器人替代。针对高危场所和城中村、集贸市场等重点区域，开展系统、全面、精准的消防安全整治行动，加快完善城乡消防基础设施标准化配备。强化消防安全宣传教育，提升新区公民消防安全意识。</w:t>
      </w:r>
    </w:p>
    <w:p>
      <w:pPr>
        <w:pStyle w:val="5"/>
        <w:spacing w:before="0" w:after="0" w:line="240" w:lineRule="auto"/>
        <w:ind w:firstLine="640" w:firstLineChars="200"/>
        <w:rPr>
          <w:rFonts w:ascii="黑体" w:hAnsi="黑体" w:eastAsia="黑体"/>
          <w:b w:val="0"/>
          <w:color w:val="000000" w:themeColor="text1"/>
          <w14:textFill>
            <w14:solidFill>
              <w14:schemeClr w14:val="tx1"/>
            </w14:solidFill>
          </w14:textFill>
        </w:rPr>
      </w:pPr>
      <w:r>
        <w:rPr>
          <w:rFonts w:hint="eastAsia" w:ascii="黑体" w:hAnsi="黑体" w:eastAsia="黑体"/>
          <w:b w:val="0"/>
          <w:color w:val="000000" w:themeColor="text1"/>
          <w14:textFill>
            <w14:solidFill>
              <w14:schemeClr w14:val="tx1"/>
            </w14:solidFill>
          </w14:textFill>
        </w:rPr>
        <w:t>三、加强食品药品安全保障</w:t>
      </w:r>
    </w:p>
    <w:p>
      <w:pPr>
        <w:pStyle w:val="27"/>
        <w:ind w:firstLine="640" w:firstLineChars="200"/>
        <w:rPr>
          <w:color w:val="000000" w:themeColor="text1"/>
          <w14:textFill>
            <w14:solidFill>
              <w14:schemeClr w14:val="tx1"/>
            </w14:solidFill>
          </w14:textFill>
        </w:rPr>
      </w:pPr>
      <w:r>
        <w:rPr>
          <w:rFonts w:hint="eastAsia" w:ascii="仿宋_GB2312" w:hAnsi="仿宋" w:eastAsia="仿宋_GB2312" w:cs="Times New Roman"/>
          <w:color w:val="000000" w:themeColor="text1"/>
          <w:sz w:val="32"/>
          <w:szCs w:val="32"/>
          <w14:textFill>
            <w14:solidFill>
              <w14:schemeClr w14:val="tx1"/>
            </w14:solidFill>
          </w14:textFill>
        </w:rPr>
        <w:t>坚持党政同责压实食品药品安全属地管理责任，落实党政领导干部食品安全责任制职责分工安排。实施“双安双创”示范引领行动，做好农产品质量安全监管工作，完成柳州市下达的检测任务，适度扩大农产品质量安全监管范围和加大监管力度。加强食品安全应急队伍建设，防范发生群体性食源性疾病事件。全面实施餐饮质量安全提升行动，实行风险分级管理和量化分级管理，探索智慧监管模式。实施校园食品安全守护行动，严格落实学校食品安全校长（园长）负责制，全面推广“明厨亮灶”、色标管理，大力推行“智慧食堂”监管系统。充分利用信誉机制，加大监管惩戒执法力度。加强食品的科普宣传和安全宣传，增强群众的监督维权意识和自我保护能力。建成“制度+科技+责任”的食品药品安全智慧监管体系，食用农产品和食品监督抽检量达到5批次/千人，主要农产品质量安全监测总体合格率稳定在98%以上。</w:t>
      </w:r>
    </w:p>
    <w:p>
      <w:pPr>
        <w:pStyle w:val="4"/>
        <w:jc w:val="center"/>
        <w:rPr>
          <w:rFonts w:hint="eastAsia" w:ascii="黑体" w:hAnsi="黑体" w:eastAsia="黑体" w:cs="Times New Roman"/>
          <w:b w:val="0"/>
          <w:color w:val="000000" w:themeColor="text1"/>
          <w14:textFill>
            <w14:solidFill>
              <w14:schemeClr w14:val="tx1"/>
            </w14:solidFill>
          </w14:textFill>
        </w:rPr>
      </w:pPr>
      <w:bookmarkStart w:id="374" w:name="_Toc32725"/>
      <w:bookmarkStart w:id="375" w:name="_Toc16478"/>
      <w:bookmarkStart w:id="376" w:name="_Toc332201397"/>
      <w:bookmarkStart w:id="377" w:name="_Toc2332"/>
      <w:bookmarkStart w:id="378" w:name="_Toc28581"/>
      <w:bookmarkStart w:id="379" w:name="_Toc18708"/>
      <w:bookmarkStart w:id="380" w:name="_Toc17121"/>
      <w:bookmarkStart w:id="381" w:name="_Toc330025448"/>
      <w:bookmarkStart w:id="382" w:name="_Toc28515"/>
      <w:bookmarkStart w:id="383" w:name="_Toc22232"/>
      <w:bookmarkStart w:id="384" w:name="_Toc13801"/>
      <w:bookmarkStart w:id="385" w:name="_Toc26946"/>
      <w:bookmarkStart w:id="386" w:name="_Toc12150"/>
      <w:bookmarkStart w:id="387" w:name="_Toc20420"/>
      <w:bookmarkStart w:id="388" w:name="_Toc16725"/>
      <w:bookmarkStart w:id="389" w:name="_Toc31808"/>
      <w:bookmarkStart w:id="390" w:name="_Toc16227"/>
      <w:bookmarkStart w:id="391" w:name="_Toc7833"/>
      <w:bookmarkStart w:id="392" w:name="_Toc30998"/>
      <w:bookmarkStart w:id="393" w:name="_Toc13917"/>
      <w:bookmarkStart w:id="394" w:name="_Toc328"/>
      <w:bookmarkStart w:id="395" w:name="_Toc23221"/>
      <w:bookmarkStart w:id="396" w:name="_Toc31954"/>
      <w:bookmarkStart w:id="397" w:name="_Toc75341684"/>
      <w:bookmarkStart w:id="398" w:name="_Toc21307"/>
      <w:bookmarkStart w:id="399" w:name="_Toc4419"/>
      <w:bookmarkStart w:id="400" w:name="_Toc2565"/>
      <w:bookmarkStart w:id="401" w:name="_Toc33173320"/>
      <w:bookmarkStart w:id="402" w:name="_Toc42856336"/>
      <w:bookmarkStart w:id="403" w:name="_Toc37251893"/>
      <w:bookmarkStart w:id="404" w:name="_Toc41897342"/>
      <w:bookmarkStart w:id="405" w:name="_Toc27217200"/>
      <w:bookmarkStart w:id="406" w:name="_Toc36124779"/>
      <w:r>
        <w:rPr>
          <w:rFonts w:hint="eastAsia" w:ascii="黑体" w:hAnsi="黑体" w:eastAsia="黑体" w:cs="Times New Roman"/>
          <w:b w:val="0"/>
          <w:color w:val="000000" w:themeColor="text1"/>
          <w14:textFill>
            <w14:solidFill>
              <w14:schemeClr w14:val="tx1"/>
            </w14:solidFill>
          </w14:textFill>
        </w:rPr>
        <w:t>第三节 加大均衡优质公共服务</w:t>
      </w:r>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p>
    <w:bookmarkEnd w:id="401"/>
    <w:p>
      <w:pPr>
        <w:pStyle w:val="5"/>
        <w:spacing w:before="0" w:after="0" w:line="240" w:lineRule="auto"/>
        <w:ind w:firstLine="640" w:firstLineChars="200"/>
        <w:rPr>
          <w:rFonts w:ascii="黑体" w:hAnsi="黑体" w:eastAsia="黑体" w:cs="Times New Roman"/>
          <w:b w:val="0"/>
          <w:color w:val="000000" w:themeColor="text1"/>
          <w14:textFill>
            <w14:solidFill>
              <w14:schemeClr w14:val="tx1"/>
            </w14:solidFill>
          </w14:textFill>
        </w:rPr>
      </w:pPr>
      <w:bookmarkStart w:id="407" w:name="_Toc39963117"/>
      <w:bookmarkStart w:id="408" w:name="_Toc39937318"/>
      <w:bookmarkStart w:id="409" w:name="_Toc40022587"/>
      <w:r>
        <w:rPr>
          <w:rFonts w:hint="eastAsia" w:ascii="黑体" w:hAnsi="黑体" w:eastAsia="黑体" w:cs="Times New Roman"/>
          <w:b w:val="0"/>
          <w:color w:val="000000" w:themeColor="text1"/>
          <w14:textFill>
            <w14:solidFill>
              <w14:schemeClr w14:val="tx1"/>
            </w14:solidFill>
          </w14:textFill>
        </w:rPr>
        <w:t>一、高标准办好新区基础教育</w:t>
      </w:r>
    </w:p>
    <w:p>
      <w:pPr>
        <w:adjustRightInd w:val="0"/>
        <w:ind w:firstLine="640" w:firstLineChars="200"/>
        <w:rPr>
          <w:rFonts w:ascii="仿宋_GB2312" w:hAnsi="仿宋" w:eastAsia="仿宋_GB2312" w:cs="Times New Roman"/>
          <w:color w:val="000000" w:themeColor="text1"/>
          <w:sz w:val="32"/>
          <w:szCs w:val="32"/>
          <w14:textFill>
            <w14:solidFill>
              <w14:schemeClr w14:val="tx1"/>
            </w14:solidFill>
          </w14:textFill>
        </w:rPr>
      </w:pPr>
      <w:r>
        <w:rPr>
          <w:rFonts w:hint="eastAsia" w:ascii="仿宋_GB2312" w:hAnsi="仿宋" w:eastAsia="仿宋_GB2312" w:cs="Times New Roman"/>
          <w:color w:val="000000" w:themeColor="text1"/>
          <w:sz w:val="32"/>
          <w:szCs w:val="32"/>
          <w14:textFill>
            <w14:solidFill>
              <w14:schemeClr w14:val="tx1"/>
            </w14:solidFill>
          </w14:textFill>
        </w:rPr>
        <w:t>以公办和普惠性幼儿园为主体，建立“广覆盖、保基本、多形式、有质量”的学前教育服务体系。加强对新区居民集中区域的学前教育资源配置，加快公办幼儿园建设，增加学前教育公办学位。提升幼儿园办园质量，提升教研能力和保教能力。鼓励社会力量举办普惠性、高品质幼儿园。提升义务教育水平</w:t>
      </w:r>
      <w:bookmarkEnd w:id="407"/>
      <w:bookmarkEnd w:id="408"/>
      <w:bookmarkEnd w:id="409"/>
      <w:r>
        <w:rPr>
          <w:rFonts w:hint="eastAsia" w:ascii="仿宋_GB2312" w:hAnsi="仿宋" w:eastAsia="仿宋_GB2312" w:cs="Times New Roman"/>
          <w:color w:val="000000" w:themeColor="text1"/>
          <w:sz w:val="32"/>
          <w:szCs w:val="32"/>
          <w14:textFill>
            <w14:solidFill>
              <w14:schemeClr w14:val="tx1"/>
            </w14:solidFill>
          </w14:textFill>
        </w:rPr>
        <w:t>，立足实际，精准施策，优化雒容镇偏远村屯等教育资源薄弱区域的义务教育学校布局，持续扩大优质教育资源覆盖面。实施集团化办学，推动新区义务教育事业迈向优质均衡高质量发展。完善新区教师管理和发展机制，加强教师引进和培养工作，建设完善的教育人才队伍。完善城乡对口帮扶机制，实施乡村教师支持计划。建设以师生为本的美丽校园、平安校园，实施学校设备设施标准化建设。提升镇级学校、村办学校办学品质。重视弱势群体教育权利，推进特殊教育融合发展。</w:t>
      </w:r>
    </w:p>
    <w:tbl>
      <w:tblPr>
        <w:tblStyle w:val="19"/>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pStyle w:val="9"/>
              <w:spacing w:beforeLines="50" w:afterLines="50"/>
              <w:jc w:val="center"/>
              <w:rPr>
                <w:rFonts w:cs="宋体" w:asciiTheme="minorEastAsia" w:hAnsiTheme="minorEastAsia"/>
                <w:b/>
                <w:color w:val="000000" w:themeColor="text1"/>
                <w:szCs w:val="21"/>
                <w14:textFill>
                  <w14:solidFill>
                    <w14:schemeClr w14:val="tx1"/>
                  </w14:solidFill>
                </w14:textFill>
              </w:rPr>
            </w:pPr>
            <w:r>
              <w:rPr>
                <w:rFonts w:hint="eastAsia" w:cs="宋体" w:asciiTheme="minorEastAsia" w:hAnsiTheme="minorEastAsia"/>
                <w:b/>
                <w:color w:val="000000" w:themeColor="text1"/>
                <w:szCs w:val="21"/>
                <w14:textFill>
                  <w14:solidFill>
                    <w14:schemeClr w14:val="tx1"/>
                  </w14:solidFill>
                </w14:textFill>
              </w:rPr>
              <w:t>专栏7-4  学前教育和义务教育阶段建设重点</w:t>
            </w:r>
          </w:p>
          <w:p>
            <w:pPr>
              <w:pStyle w:val="9"/>
              <w:ind w:firstLine="422" w:firstLineChars="200"/>
              <w:rPr>
                <w:color w:val="000000" w:themeColor="text1"/>
                <w14:textFill>
                  <w14:solidFill>
                    <w14:schemeClr w14:val="tx1"/>
                  </w14:solidFill>
                </w14:textFill>
              </w:rPr>
            </w:pPr>
            <w:r>
              <w:rPr>
                <w:rFonts w:hint="eastAsia"/>
                <w:b/>
                <w:bCs/>
                <w:color w:val="000000" w:themeColor="text1"/>
                <w14:textFill>
                  <w14:solidFill>
                    <w14:schemeClr w14:val="tx1"/>
                  </w14:solidFill>
                </w14:textFill>
              </w:rPr>
              <w:t>学前教育建设项目</w:t>
            </w:r>
            <w:r>
              <w:rPr>
                <w:rFonts w:hint="eastAsia"/>
                <w:color w:val="000000" w:themeColor="text1"/>
                <w14:textFill>
                  <w14:solidFill>
                    <w14:schemeClr w14:val="tx1"/>
                  </w14:solidFill>
                </w14:textFill>
              </w:rPr>
              <w:t>：雒容镇第二、第三幼儿园、柳东新区规划第二幼儿园、华润扇形片区幼儿园。</w:t>
            </w:r>
          </w:p>
          <w:p>
            <w:pPr>
              <w:pStyle w:val="9"/>
              <w:ind w:firstLine="422" w:firstLineChars="200"/>
              <w:rPr>
                <w:color w:val="000000" w:themeColor="text1"/>
                <w14:textFill>
                  <w14:solidFill>
                    <w14:schemeClr w14:val="tx1"/>
                  </w14:solidFill>
                </w14:textFill>
              </w:rPr>
            </w:pPr>
            <w:r>
              <w:rPr>
                <w:rFonts w:hint="eastAsia"/>
                <w:b/>
                <w:bCs/>
                <w:color w:val="000000" w:themeColor="text1"/>
                <w14:textFill>
                  <w14:solidFill>
                    <w14:schemeClr w14:val="tx1"/>
                  </w14:solidFill>
                </w14:textFill>
              </w:rPr>
              <w:t>中小学建设项目：</w:t>
            </w:r>
            <w:r>
              <w:rPr>
                <w:rFonts w:hint="eastAsia"/>
                <w:color w:val="000000" w:themeColor="text1"/>
                <w14:textFill>
                  <w14:solidFill>
                    <w14:schemeClr w14:val="tx1"/>
                  </w14:solidFill>
                </w14:textFill>
              </w:rPr>
              <w:t>明德小学、明德中学、</w:t>
            </w:r>
            <w:r>
              <w:rPr>
                <w:rFonts w:hint="eastAsia" w:ascii="宋体" w:hAnsi="宋体" w:eastAsia="宋体" w:cs="宋体"/>
                <w:color w:val="000000" w:themeColor="text1"/>
                <w:sz w:val="22"/>
                <w14:textFill>
                  <w14:solidFill>
                    <w14:schemeClr w14:val="tx1"/>
                  </w14:solidFill>
                </w14:textFill>
              </w:rPr>
              <w:t>南庆小学扩建、雒容镇第三小学、雒容镇第四小学、新区规划第四小学、新区规划第四中学</w:t>
            </w:r>
            <w:r>
              <w:rPr>
                <w:rFonts w:hint="eastAsia"/>
                <w:color w:val="000000" w:themeColor="text1"/>
                <w14:textFill>
                  <w14:solidFill>
                    <w14:schemeClr w14:val="tx1"/>
                  </w14:solidFill>
                </w14:textFill>
              </w:rPr>
              <w:t>新建工程。雒容镇第三中学续建工程。柳职院东侧小学、中学、滨江智谷初中学校等前期项目。</w:t>
            </w:r>
          </w:p>
        </w:tc>
      </w:tr>
    </w:tbl>
    <w:p>
      <w:pPr>
        <w:pStyle w:val="5"/>
        <w:spacing w:before="0" w:after="0" w:line="240" w:lineRule="auto"/>
        <w:ind w:firstLine="640" w:firstLineChars="200"/>
        <w:rPr>
          <w:rFonts w:ascii="黑体" w:hAnsi="黑体" w:eastAsia="黑体" w:cs="Times New Roman"/>
          <w:b w:val="0"/>
          <w:color w:val="000000" w:themeColor="text1"/>
          <w14:textFill>
            <w14:solidFill>
              <w14:schemeClr w14:val="tx1"/>
            </w14:solidFill>
          </w14:textFill>
        </w:rPr>
      </w:pPr>
      <w:r>
        <w:rPr>
          <w:rFonts w:hint="eastAsia" w:ascii="黑体" w:hAnsi="黑体" w:eastAsia="黑体" w:cs="Times New Roman"/>
          <w:b w:val="0"/>
          <w:color w:val="000000" w:themeColor="text1"/>
          <w14:textFill>
            <w14:solidFill>
              <w14:schemeClr w14:val="tx1"/>
            </w14:solidFill>
          </w14:textFill>
        </w:rPr>
        <w:t>二、推动高教职教创新提质发展</w:t>
      </w:r>
    </w:p>
    <w:p>
      <w:pPr>
        <w:adjustRightInd w:val="0"/>
        <w:ind w:firstLine="640" w:firstLineChars="200"/>
        <w:rPr>
          <w:rFonts w:ascii="仿宋_GB2312" w:hAnsi="仿宋" w:eastAsia="仿宋_GB2312" w:cs="Times New Roman"/>
          <w:color w:val="000000" w:themeColor="text1"/>
          <w:sz w:val="32"/>
          <w:szCs w:val="32"/>
          <w14:textFill>
            <w14:solidFill>
              <w14:schemeClr w14:val="tx1"/>
            </w14:solidFill>
          </w14:textFill>
        </w:rPr>
      </w:pPr>
      <w:r>
        <w:rPr>
          <w:rFonts w:hint="eastAsia" w:ascii="仿宋_GB2312" w:hAnsi="仿宋" w:eastAsia="仿宋_GB2312" w:cs="Times New Roman"/>
          <w:color w:val="000000" w:themeColor="text1"/>
          <w:sz w:val="32"/>
          <w:szCs w:val="32"/>
          <w14:textFill>
            <w14:solidFill>
              <w14:schemeClr w14:val="tx1"/>
            </w14:solidFill>
          </w14:textFill>
        </w:rPr>
        <w:t>积极支持并推进广西科技大学柳东校区（二期）、柳州工学院北校区、柳州职业技术学院（二期）、交通学校改扩建等建设工程，抓好职教园区拓展区的规划建设。加快土地整备，为引进新的高校提供空间支撑。协同高等院校建设高水平专业，构建区域领先的应用型学科体系，着力解决汽车、高端装备制造、新能源、新材料、电子信息等产业“卡脖子”关键技术需求，系统形成“优势学科+高新技术+现代产业”融合发展的教科研格局，促进教育链、人才链、产业链和创新链有机衔接。联合建立具有新区特色的职业教育和职业培训体系，推动政府引导，企业和职教学校共建“工匠学院”，完善“中职+高职+企业”产教联合体，聚焦产业发展和市场需求，以</w:t>
      </w:r>
      <w:r>
        <w:rPr>
          <w:rFonts w:hint="eastAsia" w:eastAsia="仿宋_GB2312"/>
          <w:color w:val="000000" w:themeColor="text1"/>
          <w:sz w:val="32"/>
          <w:szCs w:val="32"/>
          <w14:textFill>
            <w14:solidFill>
              <w14:schemeClr w14:val="tx1"/>
            </w14:solidFill>
          </w14:textFill>
        </w:rPr>
        <w:t>科教创业园</w:t>
      </w:r>
      <w:r>
        <w:rPr>
          <w:rFonts w:hint="eastAsia" w:ascii="仿宋_GB2312" w:hAnsi="仿宋" w:eastAsia="仿宋_GB2312" w:cs="Times New Roman"/>
          <w:color w:val="000000" w:themeColor="text1"/>
          <w:sz w:val="32"/>
          <w:szCs w:val="32"/>
          <w14:textFill>
            <w14:solidFill>
              <w14:schemeClr w14:val="tx1"/>
            </w14:solidFill>
          </w14:textFill>
        </w:rPr>
        <w:t>为主要承载地，打造校园、产业园、研发园的“三园融合”。依托汽车零部件精密制造教学工厂等大型公共实训基地，整合资源深化广西（柳州）汽车产业公共实训基地平台建设。支持建设“数字产业”教育实训创新基地、粤港澳大湾区的产教融合创新基地、柳州汽车产业智创产教融合基地、中国—东盟轨道交通产业综合实训基地、启迪数字学院产教融合示范基地等项目。</w:t>
      </w:r>
    </w:p>
    <w:tbl>
      <w:tblPr>
        <w:tblStyle w:val="19"/>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pStyle w:val="9"/>
              <w:spacing w:beforeLines="50" w:afterLines="50"/>
              <w:jc w:val="center"/>
              <w:rPr>
                <w:rFonts w:cs="宋体" w:asciiTheme="minorEastAsia" w:hAnsiTheme="minorEastAsia"/>
                <w:b/>
                <w:color w:val="000000" w:themeColor="text1"/>
                <w:szCs w:val="21"/>
                <w14:textFill>
                  <w14:solidFill>
                    <w14:schemeClr w14:val="tx1"/>
                  </w14:solidFill>
                </w14:textFill>
              </w:rPr>
            </w:pPr>
            <w:r>
              <w:rPr>
                <w:rFonts w:hint="eastAsia" w:cs="宋体" w:asciiTheme="minorEastAsia" w:hAnsiTheme="minorEastAsia"/>
                <w:b/>
                <w:color w:val="000000" w:themeColor="text1"/>
                <w:szCs w:val="21"/>
                <w14:textFill>
                  <w14:solidFill>
                    <w14:schemeClr w14:val="tx1"/>
                  </w14:solidFill>
                </w14:textFill>
              </w:rPr>
              <w:t>专栏7-5  高等教育和职业教育建设重点</w:t>
            </w:r>
          </w:p>
          <w:p>
            <w:pPr>
              <w:pStyle w:val="9"/>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广西科技大学柳东校区（二期）、柳州工学院北校区、广西机电技师学院迁建项目（一期）、柳州职业技术学院新校区续建项目（二期）、柳州市乡村振兴培训学校建设项目、交通学校改扩建项目、广西轨道交通产业培训学院、中国－东盟轨道交通产业综合实训基地。</w:t>
            </w:r>
          </w:p>
        </w:tc>
      </w:tr>
    </w:tbl>
    <w:p>
      <w:pPr>
        <w:pStyle w:val="5"/>
        <w:spacing w:before="0" w:after="0" w:line="240" w:lineRule="auto"/>
        <w:ind w:firstLine="640" w:firstLineChars="200"/>
        <w:rPr>
          <w:rFonts w:ascii="黑体" w:hAnsi="黑体" w:eastAsia="黑体" w:cs="Times New Roman"/>
          <w:b w:val="0"/>
          <w:color w:val="000000" w:themeColor="text1"/>
          <w14:textFill>
            <w14:solidFill>
              <w14:schemeClr w14:val="tx1"/>
            </w14:solidFill>
          </w14:textFill>
        </w:rPr>
      </w:pPr>
      <w:bookmarkStart w:id="410" w:name="_Toc332201398"/>
      <w:bookmarkStart w:id="411" w:name="_Toc330025449"/>
      <w:r>
        <w:rPr>
          <w:rFonts w:hint="eastAsia" w:ascii="黑体" w:hAnsi="黑体" w:eastAsia="黑体" w:cs="Times New Roman"/>
          <w:b w:val="0"/>
          <w:color w:val="000000" w:themeColor="text1"/>
          <w14:textFill>
            <w14:solidFill>
              <w14:schemeClr w14:val="tx1"/>
            </w14:solidFill>
          </w14:textFill>
        </w:rPr>
        <w:t>三、提高医疗卫生服务水平</w:t>
      </w:r>
      <w:bookmarkEnd w:id="410"/>
      <w:bookmarkEnd w:id="411"/>
    </w:p>
    <w:p>
      <w:pPr>
        <w:adjustRightInd w:val="0"/>
        <w:ind w:firstLine="640" w:firstLineChars="200"/>
        <w:rPr>
          <w:rFonts w:ascii="仿宋_GB2312" w:hAnsi="仿宋" w:eastAsia="仿宋_GB2312" w:cs="Times New Roman"/>
          <w:color w:val="000000" w:themeColor="text1"/>
          <w:sz w:val="32"/>
          <w:szCs w:val="32"/>
          <w14:textFill>
            <w14:solidFill>
              <w14:schemeClr w14:val="tx1"/>
            </w14:solidFill>
          </w14:textFill>
        </w:rPr>
      </w:pPr>
      <w:r>
        <w:rPr>
          <w:rFonts w:hint="eastAsia" w:ascii="仿宋_GB2312" w:hAnsi="仿宋" w:eastAsia="仿宋_GB2312" w:cs="Times New Roman"/>
          <w:color w:val="000000" w:themeColor="text1"/>
          <w:sz w:val="32"/>
          <w:szCs w:val="32"/>
          <w14:textFill>
            <w14:solidFill>
              <w14:schemeClr w14:val="tx1"/>
            </w14:solidFill>
          </w14:textFill>
        </w:rPr>
        <w:t>坚持预防为主的方针，建设健康校园、健康企业、健康社区、健康家庭，保障市民健康，实施婴幼儿、青少年、妇女、老年人和职业人群及残疾人等重点人群的健康干预计划。加大新区医疗机构和社区卫生服务中心的布局建设，重点推进雒容镇中心卫生院迁建、儿童医院（三期）建设等项目，新建一批社区卫生服务中心。大力争取在新区新建一家综合性三甲医院，为居民提供优质医疗和公共卫生服务。健全新区—镇—社区分级诊疗体系，提升改造社区卫生服务中心和乡镇卫生院，大力争取优质医疗设备引进，增强基层医疗卫生服务能力。紧扣疫情防控常态化，完善防控工作机制，全面加强卫生应急能力建设，提升公共卫生事件及重大传染病疫情防控处置能力，</w:t>
      </w:r>
      <w:r>
        <w:rPr>
          <w:rFonts w:hint="eastAsia" w:ascii="仿宋_GB2312" w:hAnsi="仿宋" w:eastAsia="仿宋_GB2312"/>
          <w:color w:val="000000" w:themeColor="text1"/>
          <w:sz w:val="32"/>
          <w:szCs w:val="32"/>
          <w14:textFill>
            <w14:solidFill>
              <w14:schemeClr w14:val="tx1"/>
            </w14:solidFill>
          </w14:textFill>
        </w:rPr>
        <w:t>建立公共卫生机构和基层医疗机构协同监测机制，发挥基层哨点作用。积极</w:t>
      </w:r>
      <w:r>
        <w:rPr>
          <w:rFonts w:hint="eastAsia" w:ascii="仿宋_GB2312" w:hAnsi="仿宋" w:eastAsia="仿宋_GB2312" w:cs="Times New Roman"/>
          <w:color w:val="000000" w:themeColor="text1"/>
          <w:sz w:val="32"/>
          <w:szCs w:val="32"/>
          <w14:textFill>
            <w14:solidFill>
              <w14:schemeClr w14:val="tx1"/>
            </w14:solidFill>
          </w14:textFill>
        </w:rPr>
        <w:t>争取柳州引进的国内优质医疗资源或大型医疗企业集团到新区设立健康医疗机构，鼓励和引导社会资本参与专科医院建设，促进健康医疗产业化发展。加强基层医疗卫生队伍建设，探索制定符合新区发展实际的薪酬机制。</w:t>
      </w:r>
    </w:p>
    <w:tbl>
      <w:tblPr>
        <w:tblStyle w:val="19"/>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pStyle w:val="9"/>
              <w:spacing w:beforeLines="50" w:afterLines="50"/>
              <w:jc w:val="center"/>
              <w:rPr>
                <w:rFonts w:cs="宋体" w:asciiTheme="minorEastAsia" w:hAnsiTheme="minorEastAsia"/>
                <w:b/>
                <w:color w:val="000000" w:themeColor="text1"/>
                <w:szCs w:val="21"/>
                <w14:textFill>
                  <w14:solidFill>
                    <w14:schemeClr w14:val="tx1"/>
                  </w14:solidFill>
                </w14:textFill>
              </w:rPr>
            </w:pPr>
            <w:r>
              <w:rPr>
                <w:rFonts w:hint="eastAsia" w:cs="宋体" w:asciiTheme="minorEastAsia" w:hAnsiTheme="minorEastAsia"/>
                <w:b/>
                <w:color w:val="000000" w:themeColor="text1"/>
                <w:szCs w:val="21"/>
                <w14:textFill>
                  <w14:solidFill>
                    <w14:schemeClr w14:val="tx1"/>
                  </w14:solidFill>
                </w14:textFill>
              </w:rPr>
              <w:t>专栏7-6  医疗卫生建设重点</w:t>
            </w:r>
          </w:p>
          <w:p>
            <w:pPr>
              <w:widowControl/>
              <w:spacing w:beforeLines="50" w:afterLines="50"/>
              <w:ind w:firstLine="422" w:firstLineChars="200"/>
              <w:textAlignment w:val="center"/>
              <w:rPr>
                <w:color w:val="000000" w:themeColor="text1"/>
                <w14:textFill>
                  <w14:solidFill>
                    <w14:schemeClr w14:val="tx1"/>
                  </w14:solidFill>
                </w14:textFill>
              </w:rPr>
            </w:pPr>
            <w:r>
              <w:rPr>
                <w:rFonts w:hint="eastAsia"/>
                <w:b/>
                <w:bCs/>
                <w:color w:val="000000" w:themeColor="text1"/>
                <w14:textFill>
                  <w14:solidFill>
                    <w14:schemeClr w14:val="tx1"/>
                  </w14:solidFill>
                </w14:textFill>
              </w:rPr>
              <w:t>公立医院建设项目：</w:t>
            </w:r>
            <w:r>
              <w:rPr>
                <w:rFonts w:hint="eastAsia"/>
                <w:color w:val="000000" w:themeColor="text1"/>
                <w14:textFill>
                  <w14:solidFill>
                    <w14:schemeClr w14:val="tx1"/>
                  </w14:solidFill>
                </w14:textFill>
              </w:rPr>
              <w:t>儿童医院三期、柳东新区三甲医院</w:t>
            </w:r>
          </w:p>
          <w:p>
            <w:pPr>
              <w:widowControl/>
              <w:spacing w:afterLines="50"/>
              <w:ind w:firstLine="422" w:firstLineChars="200"/>
              <w:textAlignment w:val="center"/>
              <w:rPr>
                <w:color w:val="000000" w:themeColor="text1"/>
                <w14:textFill>
                  <w14:solidFill>
                    <w14:schemeClr w14:val="tx1"/>
                  </w14:solidFill>
                </w14:textFill>
              </w:rPr>
            </w:pPr>
            <w:r>
              <w:rPr>
                <w:rFonts w:hint="eastAsia"/>
                <w:b/>
                <w:bCs/>
                <w:color w:val="000000" w:themeColor="text1"/>
                <w14:textFill>
                  <w14:solidFill>
                    <w14:schemeClr w14:val="tx1"/>
                  </w14:solidFill>
                </w14:textFill>
              </w:rPr>
              <w:t>基层医疗卫生机构建设项目：</w:t>
            </w:r>
            <w:r>
              <w:rPr>
                <w:rFonts w:hint="eastAsia"/>
                <w:color w:val="000000" w:themeColor="text1"/>
                <w14:textFill>
                  <w14:solidFill>
                    <w14:schemeClr w14:val="tx1"/>
                  </w14:solidFill>
                </w14:textFill>
              </w:rPr>
              <w:t>雒容镇中心卫生院迁建项目投入使用。开展柳州市鱼峰区洛埠镇卫生院整体搬迁工程建设。完成雒容镇中心卫生院发热门诊、洛埠镇卫生院及花岭社区中心、职教园社区中心哨点诊室建设。</w:t>
            </w:r>
          </w:p>
        </w:tc>
      </w:tr>
    </w:tbl>
    <w:p>
      <w:pPr>
        <w:pStyle w:val="5"/>
        <w:spacing w:before="0" w:after="0" w:line="240" w:lineRule="auto"/>
        <w:ind w:firstLine="640" w:firstLineChars="200"/>
        <w:rPr>
          <w:rFonts w:ascii="黑体" w:hAnsi="黑体" w:eastAsia="黑体" w:cs="Times New Roman"/>
          <w:b w:val="0"/>
          <w:color w:val="000000" w:themeColor="text1"/>
          <w14:textFill>
            <w14:solidFill>
              <w14:schemeClr w14:val="tx1"/>
            </w14:solidFill>
          </w14:textFill>
        </w:rPr>
      </w:pPr>
      <w:bookmarkStart w:id="412" w:name="_Toc332201399"/>
      <w:bookmarkStart w:id="413" w:name="_Toc330025450"/>
      <w:r>
        <w:rPr>
          <w:rFonts w:hint="eastAsia" w:ascii="黑体" w:hAnsi="黑体" w:eastAsia="黑体" w:cs="Times New Roman"/>
          <w:b w:val="0"/>
          <w:color w:val="000000" w:themeColor="text1"/>
          <w14:textFill>
            <w14:solidFill>
              <w14:schemeClr w14:val="tx1"/>
            </w14:solidFill>
          </w14:textFill>
        </w:rPr>
        <w:t>四、繁荣城乡公共文体事业</w:t>
      </w:r>
      <w:bookmarkEnd w:id="412"/>
      <w:bookmarkEnd w:id="413"/>
    </w:p>
    <w:p>
      <w:pPr>
        <w:adjustRightInd w:val="0"/>
        <w:ind w:firstLine="640" w:firstLineChars="200"/>
        <w:rPr>
          <w:rFonts w:ascii="仿宋_GB2312" w:hAnsi="仿宋" w:eastAsia="仿宋_GB2312" w:cs="Times New Roman"/>
          <w:color w:val="000000" w:themeColor="text1"/>
          <w:sz w:val="32"/>
          <w:szCs w:val="32"/>
          <w14:textFill>
            <w14:solidFill>
              <w14:schemeClr w14:val="tx1"/>
            </w14:solidFill>
          </w14:textFill>
        </w:rPr>
      </w:pPr>
      <w:r>
        <w:rPr>
          <w:rFonts w:hint="eastAsia" w:ascii="仿宋_GB2312" w:hAnsi="仿宋" w:eastAsia="仿宋_GB2312" w:cs="Times New Roman"/>
          <w:color w:val="000000" w:themeColor="text1"/>
          <w:sz w:val="32"/>
          <w:szCs w:val="32"/>
          <w14:textFill>
            <w14:solidFill>
              <w14:schemeClr w14:val="tx1"/>
            </w14:solidFill>
          </w14:textFill>
        </w:rPr>
        <w:t>以社会主义核心价值观引领公共文化体育事业建设，促进市民文化素质和新区文化涵养同步提升。大力促进文体惠民，推动布局均衡、功能集成的公共文体设施建设，完善新区—街（镇）—社区三级公共文体服务设施网络。积极推动柳州市图书馆（新馆）、柳东工人文化宫、雒容广场等项目建设。依托柳东文化广场开展各类多元化、高层次的群众性文化活动，推动新区文化事业实现跨越式发展。加强基层公共文化设施的数字化和网络建设，提高数字化和网络服务能力，提升公共文化服务质量与效果。推进公共体育运动设施发展，建设社区多功能运动场等设施，满足群众多元需求。积极推进新区足球场建设，加强校园足球场地开放共享，普及推广足球运动。充分利用</w:t>
      </w:r>
      <w:r>
        <w:rPr>
          <w:rFonts w:hint="eastAsia" w:ascii="仿宋_GB2312" w:hAnsi="仿宋_GB2312" w:eastAsia="仿宋_GB2312" w:cs="仿宋_GB2312"/>
          <w:color w:val="000000" w:themeColor="text1"/>
          <w:sz w:val="32"/>
          <w:szCs w:val="32"/>
          <w14:textFill>
            <w14:solidFill>
              <w14:schemeClr w14:val="tx1"/>
            </w14:solidFill>
          </w14:textFill>
        </w:rPr>
        <w:t>柳东新体育中心</w:t>
      </w:r>
      <w:r>
        <w:rPr>
          <w:rFonts w:hint="eastAsia" w:ascii="仿宋_GB2312" w:hAnsi="仿宋" w:eastAsia="仿宋_GB2312" w:cs="Times New Roman"/>
          <w:color w:val="000000" w:themeColor="text1"/>
          <w:sz w:val="32"/>
          <w:szCs w:val="32"/>
          <w14:textFill>
            <w14:solidFill>
              <w14:schemeClr w14:val="tx1"/>
            </w14:solidFill>
          </w14:textFill>
        </w:rPr>
        <w:t>，开展全面健身运动，完善国民体质监测。新建改建健身步道，打造全市最完整的绿道系统。积极筹办新区半程马拉松、欢乐中国跑等赛事。引进和打造1家以上国内知名体育企业和具有国际影响力的自主体育品牌。争取举办国际、国家、自治区大型体育品牌赛事，鼓励支持社会力量投资体育产业，积极引进和打造体育品牌。开发利用柳州国际会展中心等场馆资源，进一步丰富文体服务供给。</w:t>
      </w:r>
    </w:p>
    <w:tbl>
      <w:tblPr>
        <w:tblStyle w:val="19"/>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widowControl/>
              <w:spacing w:beforeLines="50" w:afterLines="50"/>
              <w:jc w:val="center"/>
              <w:textAlignment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专栏7-7  文化体育设施建设重点</w:t>
            </w:r>
          </w:p>
          <w:p>
            <w:pPr>
              <w:widowControl/>
              <w:ind w:firstLine="420" w:firstLineChars="200"/>
              <w:textAlignment w:val="center"/>
              <w:rPr>
                <w:color w:val="000000" w:themeColor="text1"/>
                <w14:textFill>
                  <w14:solidFill>
                    <w14:schemeClr w14:val="tx1"/>
                  </w14:solidFill>
                </w14:textFill>
              </w:rPr>
            </w:pPr>
            <w:r>
              <w:rPr>
                <w:color w:val="000000" w:themeColor="text1"/>
                <w14:textFill>
                  <w14:solidFill>
                    <w14:schemeClr w14:val="tx1"/>
                  </w14:solidFill>
                </w14:textFill>
              </w:rPr>
              <w:t>柳州市城市图书馆项目</w:t>
            </w:r>
            <w:r>
              <w:rPr>
                <w:rFonts w:hint="eastAsia"/>
                <w:color w:val="000000" w:themeColor="text1"/>
                <w14:textFill>
                  <w14:solidFill>
                    <w14:schemeClr w14:val="tx1"/>
                  </w14:solidFill>
                </w14:textFill>
              </w:rPr>
              <w:t>、柳州市档案中心、柳东工人文化宫、全新区66个足球场、30个社区多功能运动场。雒容广场项目。</w:t>
            </w:r>
          </w:p>
        </w:tc>
      </w:tr>
    </w:tbl>
    <w:p>
      <w:pPr>
        <w:pStyle w:val="5"/>
        <w:spacing w:before="0" w:after="0" w:line="240" w:lineRule="auto"/>
        <w:ind w:firstLine="640" w:firstLineChars="200"/>
        <w:rPr>
          <w:rFonts w:ascii="黑体" w:hAnsi="黑体" w:eastAsia="黑体" w:cs="Times New Roman"/>
          <w:b w:val="0"/>
          <w:color w:val="000000" w:themeColor="text1"/>
          <w14:textFill>
            <w14:solidFill>
              <w14:schemeClr w14:val="tx1"/>
            </w14:solidFill>
          </w14:textFill>
        </w:rPr>
      </w:pPr>
      <w:bookmarkStart w:id="414" w:name="_Toc40022608"/>
      <w:bookmarkStart w:id="415" w:name="_Toc39963138"/>
      <w:bookmarkStart w:id="416" w:name="_Toc39937339"/>
      <w:r>
        <w:rPr>
          <w:rFonts w:hint="eastAsia" w:ascii="黑体" w:hAnsi="黑体" w:eastAsia="黑体" w:cs="Times New Roman"/>
          <w:b w:val="0"/>
          <w:color w:val="000000" w:themeColor="text1"/>
          <w14:textFill>
            <w14:solidFill>
              <w14:schemeClr w14:val="tx1"/>
            </w14:solidFill>
          </w14:textFill>
        </w:rPr>
        <w:t>五、打造文明关爱柳东新区</w:t>
      </w:r>
      <w:bookmarkEnd w:id="414"/>
      <w:bookmarkEnd w:id="415"/>
      <w:bookmarkEnd w:id="416"/>
    </w:p>
    <w:p>
      <w:pPr>
        <w:adjustRightInd w:val="0"/>
        <w:spacing w:line="360" w:lineRule="auto"/>
        <w:ind w:firstLine="640" w:firstLineChars="200"/>
        <w:rPr>
          <w:rFonts w:ascii="仿宋_GB2312" w:hAnsi="仿宋" w:eastAsia="仿宋_GB2312" w:cs="Times New Roman"/>
          <w:color w:val="000000" w:themeColor="text1"/>
          <w:sz w:val="32"/>
          <w:szCs w:val="32"/>
          <w14:textFill>
            <w14:solidFill>
              <w14:schemeClr w14:val="tx1"/>
            </w14:solidFill>
          </w14:textFill>
        </w:rPr>
      </w:pPr>
      <w:r>
        <w:rPr>
          <w:rFonts w:hint="eastAsia" w:ascii="仿宋_GB2312" w:hAnsi="仿宋" w:eastAsia="仿宋_GB2312" w:cs="Times New Roman"/>
          <w:color w:val="000000" w:themeColor="text1"/>
          <w:sz w:val="32"/>
          <w:szCs w:val="32"/>
          <w14:textFill>
            <w14:solidFill>
              <w14:schemeClr w14:val="tx1"/>
            </w14:solidFill>
          </w14:textFill>
        </w:rPr>
        <w:t>扎实开展市民文明教育，弘扬爱国主义精神，把社会主义核心价值观融入新区发展的各个方面。创建妇女儿童友好型新区，在行政服务机构和主要商业场所推广建设母婴室，实施三岁以下婴幼儿照护服务发展行动计划，推广开展政策友好、空间友好、服务友好、参与友好行动，创建妇儿友好街道、友好社区。实施三孩生育政策及配套支持措施，发展普惠托育服务体系。支持建设各类托育机构，支持发展早教服务，形成托幼服务一体化模式。开展未成年人救助保护机构试点建设，维护妇女儿童合法权益，扎实推进反家暴工作。支持在旅游区、公园、文化体育场馆等建设各类儿童社会实践基地。</w:t>
      </w:r>
      <w:bookmarkStart w:id="417" w:name="_Toc40022609"/>
      <w:bookmarkStart w:id="418" w:name="_Toc39963139"/>
      <w:bookmarkStart w:id="419" w:name="_Toc39937340"/>
      <w:r>
        <w:rPr>
          <w:rFonts w:hint="eastAsia" w:ascii="仿宋_GB2312" w:hAnsi="仿宋" w:eastAsia="仿宋_GB2312"/>
          <w:color w:val="000000" w:themeColor="text1"/>
          <w:sz w:val="32"/>
          <w:szCs w:val="32"/>
          <w14:textFill>
            <w14:solidFill>
              <w14:schemeClr w14:val="tx1"/>
            </w14:solidFill>
          </w14:textFill>
        </w:rPr>
        <w:t>关爱残障人士，探索建立残障人士友好城区。</w:t>
      </w:r>
      <w:r>
        <w:rPr>
          <w:rFonts w:hint="eastAsia" w:ascii="仿宋_GB2312" w:hAnsi="仿宋" w:eastAsia="仿宋_GB2312" w:cs="Times New Roman"/>
          <w:color w:val="000000" w:themeColor="text1"/>
          <w:sz w:val="32"/>
          <w:szCs w:val="32"/>
          <w14:textFill>
            <w14:solidFill>
              <w14:schemeClr w14:val="tx1"/>
            </w14:solidFill>
          </w14:textFill>
        </w:rPr>
        <w:t>大力推进慈善事业发展</w:t>
      </w:r>
      <w:bookmarkEnd w:id="417"/>
      <w:bookmarkEnd w:id="418"/>
      <w:bookmarkEnd w:id="419"/>
      <w:r>
        <w:rPr>
          <w:rFonts w:hint="eastAsia" w:ascii="仿宋_GB2312" w:hAnsi="仿宋" w:eastAsia="仿宋_GB2312" w:cs="Times New Roman"/>
          <w:color w:val="000000" w:themeColor="text1"/>
          <w:sz w:val="32"/>
          <w:szCs w:val="32"/>
          <w14:textFill>
            <w14:solidFill>
              <w14:schemeClr w14:val="tx1"/>
            </w14:solidFill>
          </w14:textFill>
        </w:rPr>
        <w:t>，支持新区慈善组织完善管理机制，严格按照章程开展各类敬老、扶幼、助学、助医、助残、济困、救灾等慈善救助工作。建设</w:t>
      </w:r>
      <w:r>
        <w:rPr>
          <w:rFonts w:hint="eastAsia" w:ascii="仿宋_GB2312" w:hAnsi="仿宋" w:eastAsia="仿宋_GB2312"/>
          <w:color w:val="000000" w:themeColor="text1"/>
          <w:sz w:val="32"/>
          <w:szCs w:val="32"/>
          <w14:textFill>
            <w14:solidFill>
              <w14:schemeClr w14:val="tx1"/>
            </w14:solidFill>
          </w14:textFill>
        </w:rPr>
        <w:t>新区特色志愿服务队，</w:t>
      </w:r>
      <w:r>
        <w:rPr>
          <w:rFonts w:hint="eastAsia" w:ascii="仿宋_GB2312" w:hAnsi="仿宋" w:eastAsia="仿宋_GB2312" w:cs="Times New Roman"/>
          <w:color w:val="000000" w:themeColor="text1"/>
          <w:sz w:val="32"/>
          <w:szCs w:val="32"/>
          <w14:textFill>
            <w14:solidFill>
              <w14:schemeClr w14:val="tx1"/>
            </w14:solidFill>
          </w14:textFill>
        </w:rPr>
        <w:t>积极调动社会力量，开展各类志愿服务工作，推动更多“西部计划”志愿者到城乡基层一线服务，为基层治理赋能。</w:t>
      </w:r>
    </w:p>
    <w:p>
      <w:pPr>
        <w:pStyle w:val="4"/>
        <w:jc w:val="center"/>
        <w:rPr>
          <w:rFonts w:hint="eastAsia" w:ascii="黑体" w:hAnsi="黑体" w:eastAsia="黑体" w:cs="Times New Roman"/>
          <w:b w:val="0"/>
          <w:color w:val="000000" w:themeColor="text1"/>
          <w14:textFill>
            <w14:solidFill>
              <w14:schemeClr w14:val="tx1"/>
            </w14:solidFill>
          </w14:textFill>
        </w:rPr>
      </w:pPr>
      <w:bookmarkStart w:id="420" w:name="_Toc18994"/>
      <w:bookmarkStart w:id="421" w:name="_Toc8773"/>
      <w:bookmarkStart w:id="422" w:name="_Toc18183"/>
      <w:bookmarkStart w:id="423" w:name="_Toc18552"/>
      <w:bookmarkStart w:id="424" w:name="_Toc444451225"/>
      <w:bookmarkStart w:id="425" w:name="_Toc9921"/>
      <w:bookmarkStart w:id="426" w:name="_Toc4850"/>
      <w:bookmarkStart w:id="427" w:name="_Toc3564"/>
      <w:bookmarkStart w:id="428" w:name="_Toc16323"/>
      <w:bookmarkStart w:id="429" w:name="_Toc3629"/>
      <w:bookmarkStart w:id="430" w:name="_Toc29366"/>
      <w:bookmarkStart w:id="431" w:name="_Toc137"/>
      <w:bookmarkStart w:id="432" w:name="_Toc28982"/>
      <w:bookmarkStart w:id="433" w:name="_Toc27846"/>
      <w:bookmarkStart w:id="434" w:name="_Toc30360"/>
      <w:bookmarkStart w:id="435" w:name="_Toc4526"/>
      <w:bookmarkStart w:id="436" w:name="_Toc11855"/>
      <w:bookmarkStart w:id="437" w:name="_Toc25100"/>
      <w:bookmarkStart w:id="438" w:name="_Toc17507"/>
      <w:bookmarkStart w:id="439" w:name="_Toc5954"/>
      <w:bookmarkStart w:id="440" w:name="_Toc75341685"/>
      <w:bookmarkStart w:id="441" w:name="_Toc19123"/>
      <w:bookmarkStart w:id="442" w:name="_Toc10103"/>
      <w:bookmarkStart w:id="443" w:name="_Toc22928"/>
      <w:bookmarkStart w:id="444" w:name="_Toc2506"/>
      <w:r>
        <w:rPr>
          <w:rFonts w:hint="eastAsia" w:ascii="黑体" w:hAnsi="黑体" w:eastAsia="黑体" w:cs="Times New Roman"/>
          <w:b w:val="0"/>
          <w:color w:val="000000" w:themeColor="text1"/>
          <w14:textFill>
            <w14:solidFill>
              <w14:schemeClr w14:val="tx1"/>
            </w14:solidFill>
          </w14:textFill>
        </w:rPr>
        <w:t>第</w:t>
      </w:r>
      <w:bookmarkStart w:id="445" w:name="_Toc440543101"/>
      <w:bookmarkStart w:id="446" w:name="_Toc440542675"/>
      <w:r>
        <w:rPr>
          <w:rFonts w:hint="eastAsia" w:ascii="黑体" w:hAnsi="黑体" w:eastAsia="黑体" w:cs="Times New Roman"/>
          <w:b w:val="0"/>
          <w:color w:val="000000" w:themeColor="text1"/>
          <w14:textFill>
            <w14:solidFill>
              <w14:schemeClr w14:val="tx1"/>
            </w14:solidFill>
          </w14:textFill>
        </w:rPr>
        <w:t>四节 构建有温度的社会保障</w:t>
      </w:r>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p>
    <w:bookmarkEnd w:id="445"/>
    <w:bookmarkEnd w:id="446"/>
    <w:p>
      <w:pPr>
        <w:pStyle w:val="5"/>
        <w:spacing w:before="0" w:after="0" w:line="360" w:lineRule="auto"/>
        <w:ind w:firstLine="640" w:firstLineChars="200"/>
        <w:rPr>
          <w:rFonts w:ascii="黑体" w:hAnsi="黑体" w:eastAsia="黑体" w:cs="Times New Roman"/>
          <w:b w:val="0"/>
          <w:color w:val="000000" w:themeColor="text1"/>
          <w14:textFill>
            <w14:solidFill>
              <w14:schemeClr w14:val="tx1"/>
            </w14:solidFill>
          </w14:textFill>
        </w:rPr>
      </w:pPr>
      <w:bookmarkStart w:id="447" w:name="_Toc330025451"/>
      <w:bookmarkStart w:id="448" w:name="_Toc332201400"/>
      <w:r>
        <w:rPr>
          <w:rFonts w:hint="eastAsia" w:ascii="黑体" w:hAnsi="黑体" w:eastAsia="黑体" w:cs="Times New Roman"/>
          <w:b w:val="0"/>
          <w:color w:val="000000" w:themeColor="text1"/>
          <w14:textFill>
            <w14:solidFill>
              <w14:schemeClr w14:val="tx1"/>
            </w14:solidFill>
          </w14:textFill>
        </w:rPr>
        <w:t>一、着力完善社会保障体系</w:t>
      </w:r>
    </w:p>
    <w:p>
      <w:pPr>
        <w:adjustRightInd w:val="0"/>
        <w:spacing w:line="360" w:lineRule="auto"/>
        <w:ind w:firstLine="640" w:firstLineChars="200"/>
        <w:rPr>
          <w:rFonts w:ascii="仿宋_GB2312" w:hAnsi="仿宋" w:eastAsia="仿宋_GB2312" w:cs="Times New Roman"/>
          <w:color w:val="000000" w:themeColor="text1"/>
          <w:sz w:val="32"/>
          <w:szCs w:val="32"/>
          <w14:textFill>
            <w14:solidFill>
              <w14:schemeClr w14:val="tx1"/>
            </w14:solidFill>
          </w14:textFill>
        </w:rPr>
      </w:pPr>
      <w:r>
        <w:rPr>
          <w:rFonts w:hint="eastAsia" w:ascii="仿宋_GB2312" w:hAnsi="仿宋" w:eastAsia="仿宋_GB2312" w:cs="Times New Roman"/>
          <w:color w:val="000000" w:themeColor="text1"/>
          <w:sz w:val="32"/>
          <w:szCs w:val="32"/>
          <w14:textFill>
            <w14:solidFill>
              <w14:schemeClr w14:val="tx1"/>
            </w14:solidFill>
          </w14:textFill>
        </w:rPr>
        <w:t>健全覆盖全民、统筹城乡、公平统一、可持续的多层次社会保障体系。强化就业优先战略，实现更加充分和更高质量就业，实现就业规模持续扩大，就业结构更加优化。初步建立起被征地农民的再就业体系，保障就业更加充分。不断完善劳动关系协调机制和劳动人事争议处理制度，推进新区劳动保障监察“两网化”全面覆盖。“十四五”期间，新区城镇调查失业率控制在5.5%以下。加大职业技能培训力度，积极提供普惠性、均等化的终身职业技能培训，加快提升劳动者技能素质。构建多层次社会保障网，深入推进全民参保计划，不断提高新区社会保险覆盖率和保障水平，确保城乡居民医疗保险参保率和基本养老保险参保率分别达到98%和97%。健全统一的基本医疗保险制度，健全重大疾病医疗保险和救助制度，落实异地就医结算，夯实医疗保障兜底帮扶机制。促进社会保障信息化建设，不断完善互联互通、业务协同的信息网络服务体系。</w:t>
      </w:r>
    </w:p>
    <w:p>
      <w:pPr>
        <w:pStyle w:val="5"/>
        <w:spacing w:before="0" w:after="0" w:line="240" w:lineRule="auto"/>
        <w:ind w:firstLine="640" w:firstLineChars="200"/>
        <w:rPr>
          <w:rFonts w:ascii="黑体" w:hAnsi="黑体" w:eastAsia="黑体" w:cs="Times New Roman"/>
          <w:b w:val="0"/>
          <w:color w:val="000000" w:themeColor="text1"/>
          <w14:textFill>
            <w14:solidFill>
              <w14:schemeClr w14:val="tx1"/>
            </w14:solidFill>
          </w14:textFill>
        </w:rPr>
      </w:pPr>
      <w:r>
        <w:rPr>
          <w:rFonts w:hint="eastAsia" w:ascii="黑体" w:hAnsi="黑体" w:eastAsia="黑体" w:cs="Times New Roman"/>
          <w:b w:val="0"/>
          <w:color w:val="000000" w:themeColor="text1"/>
          <w14:textFill>
            <w14:solidFill>
              <w14:schemeClr w14:val="tx1"/>
            </w14:solidFill>
          </w14:textFill>
        </w:rPr>
        <w:t>二、重视青年发展保障</w:t>
      </w:r>
    </w:p>
    <w:p>
      <w:pPr>
        <w:adjustRightInd w:val="0"/>
        <w:spacing w:line="360" w:lineRule="auto"/>
        <w:ind w:firstLine="640" w:firstLineChars="200"/>
        <w:rPr>
          <w:rFonts w:ascii="仿宋_GB2312" w:hAnsi="仿宋" w:eastAsia="仿宋_GB2312" w:cs="Times New Roman"/>
          <w:color w:val="000000" w:themeColor="text1"/>
          <w:sz w:val="32"/>
          <w:szCs w:val="32"/>
          <w14:textFill>
            <w14:solidFill>
              <w14:schemeClr w14:val="tx1"/>
            </w14:solidFill>
          </w14:textFill>
        </w:rPr>
      </w:pPr>
      <w:r>
        <w:rPr>
          <w:rFonts w:hint="eastAsia" w:ascii="仿宋_GB2312" w:hAnsi="仿宋" w:eastAsia="仿宋_GB2312" w:cs="Times New Roman"/>
          <w:color w:val="000000" w:themeColor="text1"/>
          <w:sz w:val="32"/>
          <w:szCs w:val="32"/>
          <w14:textFill>
            <w14:solidFill>
              <w14:schemeClr w14:val="tx1"/>
            </w14:solidFill>
          </w14:textFill>
        </w:rPr>
        <w:t>统筹推进新区青年发展事业与经济社会同步协调发展。坚持党管青年原则，聚焦14-35周岁青年群体，牢牢把握为实现中华民族伟大复兴中国梦而奋斗的时代主题，将青年优先发展理念落到实处。充分照顾青年的特点和利益，围绕青年思想道德、教育、健康、婚恋、就业创业、文化、社会融入与社会参与、维护青年合法权益、预防青年违法犯罪、社会保障等领域，优化青年成长环境，服务青年紧迫需求，维护青年发展权益，促进青年全面发展。建立完善青年发展数据监测体系，建立青年参与规划实施、评估政策效果的有效机制，形成党工委领导、管委会主责、共青团协调、各方齐抓共管青年事务的机制安排。落实“广西青空间”服务青少年成长发展项目，“十四五”期间，建成1个以上“广西青空间”青少年综合服务平台。</w:t>
      </w:r>
    </w:p>
    <w:p>
      <w:pPr>
        <w:pStyle w:val="5"/>
        <w:spacing w:before="0" w:after="0" w:line="240" w:lineRule="auto"/>
        <w:ind w:firstLine="640" w:firstLineChars="200"/>
        <w:rPr>
          <w:rFonts w:ascii="黑体" w:hAnsi="黑体" w:eastAsia="黑体" w:cs="Times New Roman"/>
          <w:b w:val="0"/>
          <w:color w:val="000000" w:themeColor="text1"/>
          <w14:textFill>
            <w14:solidFill>
              <w14:schemeClr w14:val="tx1"/>
            </w14:solidFill>
          </w14:textFill>
        </w:rPr>
      </w:pPr>
      <w:r>
        <w:rPr>
          <w:rFonts w:hint="eastAsia" w:ascii="黑体" w:hAnsi="黑体" w:eastAsia="黑体" w:cs="Times New Roman"/>
          <w:b w:val="0"/>
          <w:color w:val="000000" w:themeColor="text1"/>
          <w14:textFill>
            <w14:solidFill>
              <w14:schemeClr w14:val="tx1"/>
            </w14:solidFill>
          </w14:textFill>
        </w:rPr>
        <w:t>三、加强老龄服务保障</w:t>
      </w:r>
    </w:p>
    <w:p>
      <w:pPr>
        <w:adjustRightInd w:val="0"/>
        <w:ind w:firstLine="640" w:firstLineChars="200"/>
        <w:rPr>
          <w:rFonts w:ascii="仿宋_GB2312" w:hAnsi="仿宋" w:eastAsia="仿宋_GB2312" w:cs="Times New Roman"/>
          <w:color w:val="000000" w:themeColor="text1"/>
          <w:sz w:val="32"/>
          <w:szCs w:val="32"/>
          <w14:textFill>
            <w14:solidFill>
              <w14:schemeClr w14:val="tx1"/>
            </w14:solidFill>
          </w14:textFill>
        </w:rPr>
      </w:pPr>
      <w:r>
        <w:rPr>
          <w:rFonts w:hint="eastAsia" w:ascii="仿宋_GB2312" w:hAnsi="仿宋" w:eastAsia="仿宋_GB2312" w:cs="Times New Roman"/>
          <w:color w:val="000000" w:themeColor="text1"/>
          <w:sz w:val="32"/>
          <w:szCs w:val="32"/>
          <w14:textFill>
            <w14:solidFill>
              <w14:schemeClr w14:val="tx1"/>
            </w14:solidFill>
          </w14:textFill>
        </w:rPr>
        <w:t>积极应对人口老龄化，推动新区养老事业和养老产业协同发展，发展普惠型养老服务和互助性养老。完善以居家为基础、社区为依托、机构为补充、医养康养相结合的养老服务体系。强化对老年人的优待服务，逐步提高优待水平。大力推进柳东新区颐养中心建设，充分利用社区卫生服务中心床位、养老机构床位、家庭病床以及部分二级医院病床等资源提供老年护理服务，扩大社区居家养老服务项目。建设社区一站式健康养老综合服务信息平台，推动养老机构和养老企业应用移动互联网、物联网等技术手段创新居家养老服务模式。积极鼓励发展养老产业，支持发展老年消费服务和护理产品研发、生产。</w:t>
      </w:r>
    </w:p>
    <w:tbl>
      <w:tblPr>
        <w:tblStyle w:val="19"/>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widowControl/>
              <w:spacing w:beforeLines="50" w:afterLines="50"/>
              <w:jc w:val="center"/>
              <w:textAlignment w:val="center"/>
              <w:rPr>
                <w:rFonts w:cs="宋体" w:asciiTheme="minorEastAsia" w:hAnsiTheme="minorEastAsia"/>
                <w:b/>
                <w:color w:val="000000" w:themeColor="text1"/>
                <w:szCs w:val="21"/>
                <w14:textFill>
                  <w14:solidFill>
                    <w14:schemeClr w14:val="tx1"/>
                  </w14:solidFill>
                </w14:textFill>
              </w:rPr>
            </w:pPr>
            <w:r>
              <w:rPr>
                <w:rFonts w:hint="eastAsia" w:cs="宋体" w:asciiTheme="minorEastAsia" w:hAnsiTheme="minorEastAsia"/>
                <w:b/>
                <w:color w:val="000000" w:themeColor="text1"/>
                <w:szCs w:val="21"/>
                <w14:textFill>
                  <w14:solidFill>
                    <w14:schemeClr w14:val="tx1"/>
                  </w14:solidFill>
                </w14:textFill>
              </w:rPr>
              <w:t>专栏7-8  养老服务建设重点</w:t>
            </w:r>
          </w:p>
          <w:p>
            <w:pPr>
              <w:widowControl/>
              <w:ind w:firstLine="422" w:firstLineChars="200"/>
              <w:textAlignment w:val="center"/>
              <w:rPr>
                <w:rFonts w:asciiTheme="minorEastAsia" w:hAnsiTheme="minorEastAsia" w:cstheme="minorEastAsia"/>
                <w:color w:val="000000" w:themeColor="text1"/>
                <w14:textFill>
                  <w14:solidFill>
                    <w14:schemeClr w14:val="tx1"/>
                  </w14:solidFill>
                </w14:textFill>
              </w:rPr>
            </w:pPr>
            <w:r>
              <w:rPr>
                <w:b/>
                <w:bCs/>
                <w:color w:val="000000" w:themeColor="text1"/>
                <w14:textFill>
                  <w14:solidFill>
                    <w14:schemeClr w14:val="tx1"/>
                  </w14:solidFill>
                </w14:textFill>
              </w:rPr>
              <w:t>柳东新区颐养中心</w:t>
            </w:r>
            <w:r>
              <w:rPr>
                <w:rFonts w:hint="eastAsia"/>
                <w:color w:val="000000" w:themeColor="text1"/>
                <w14:textFill>
                  <w14:solidFill>
                    <w14:schemeClr w14:val="tx1"/>
                  </w14:solidFill>
                </w14:textFill>
              </w:rPr>
              <w:t>：</w:t>
            </w:r>
            <w:r>
              <w:rPr>
                <w:rFonts w:hint="eastAsia" w:asciiTheme="minorEastAsia" w:hAnsiTheme="minorEastAsia" w:cstheme="minorEastAsia"/>
                <w:color w:val="000000" w:themeColor="text1"/>
                <w14:textFill>
                  <w14:solidFill>
                    <w14:schemeClr w14:val="tx1"/>
                  </w14:solidFill>
                </w14:textFill>
              </w:rPr>
              <w:t>项目规划床位372张，主要建设内容包括新建颐养中心、地下室、架空层、大门、围墙，以及给排水、道路、供配电、绿化、消防等附属配套设施。</w:t>
            </w:r>
          </w:p>
          <w:p>
            <w:pPr>
              <w:widowControl/>
              <w:ind w:firstLine="420" w:firstLineChars="200"/>
              <w:textAlignment w:val="center"/>
              <w:rPr>
                <w:color w:val="000000" w:themeColor="text1"/>
                <w14:textFill>
                  <w14:solidFill>
                    <w14:schemeClr w14:val="tx1"/>
                  </w14:solidFill>
                </w14:textFill>
              </w:rPr>
            </w:pPr>
          </w:p>
        </w:tc>
      </w:tr>
      <w:bookmarkEnd w:id="447"/>
      <w:bookmarkEnd w:id="448"/>
    </w:tbl>
    <w:p>
      <w:pPr>
        <w:pStyle w:val="5"/>
        <w:spacing w:before="0" w:after="0" w:line="240" w:lineRule="auto"/>
        <w:ind w:firstLine="640" w:firstLineChars="200"/>
        <w:rPr>
          <w:rFonts w:ascii="黑体" w:hAnsi="黑体" w:eastAsia="黑体" w:cs="Times New Roman"/>
          <w:b w:val="0"/>
          <w:color w:val="000000" w:themeColor="text1"/>
          <w14:textFill>
            <w14:solidFill>
              <w14:schemeClr w14:val="tx1"/>
            </w14:solidFill>
          </w14:textFill>
        </w:rPr>
      </w:pPr>
      <w:r>
        <w:rPr>
          <w:rFonts w:hint="eastAsia" w:ascii="黑体" w:hAnsi="黑体" w:eastAsia="黑体" w:cs="Times New Roman"/>
          <w:b w:val="0"/>
          <w:color w:val="000000" w:themeColor="text1"/>
          <w14:textFill>
            <w14:solidFill>
              <w14:schemeClr w14:val="tx1"/>
            </w14:solidFill>
          </w14:textFill>
        </w:rPr>
        <w:t>四、推进保障性住房工作</w:t>
      </w:r>
    </w:p>
    <w:p>
      <w:pPr>
        <w:adjustRightInd w:val="0"/>
        <w:ind w:firstLine="640" w:firstLineChars="200"/>
        <w:rPr>
          <w:rFonts w:ascii="仿宋_GB2312" w:hAnsi="仿宋" w:eastAsia="仿宋_GB2312" w:cs="Times New Roman"/>
          <w:color w:val="000000" w:themeColor="text1"/>
          <w:sz w:val="32"/>
          <w:szCs w:val="32"/>
          <w14:textFill>
            <w14:solidFill>
              <w14:schemeClr w14:val="tx1"/>
            </w14:solidFill>
          </w14:textFill>
        </w:rPr>
      </w:pPr>
      <w:r>
        <w:rPr>
          <w:rFonts w:hint="eastAsia" w:ascii="仿宋_GB2312" w:hAnsi="仿宋" w:eastAsia="仿宋_GB2312" w:cs="Times New Roman"/>
          <w:color w:val="000000" w:themeColor="text1"/>
          <w:sz w:val="32"/>
          <w:szCs w:val="32"/>
          <w14:textFill>
            <w14:solidFill>
              <w14:schemeClr w14:val="tx1"/>
            </w14:solidFill>
          </w14:textFill>
        </w:rPr>
        <w:t>充分发挥土地和市场联动机制，持续加大住宅、租赁住房、保障性住房供应力度。以实现住有宜居为目标，着力推进南庆安置区项目、南部片区居住安置四期、五期项目、双仁屯棚户区改造项目、雒容镇东麻小区老旧小区改造项目、新区人才中心（二期）等安居工程建设。高品质、高标准推进安置房建设，建设15分钟社区生活圈、友好型社区。以“职住平衡”为</w:t>
      </w:r>
      <w:r>
        <w:rPr>
          <w:rFonts w:hint="eastAsia" w:ascii="仿宋_GB2312" w:hAnsi="仿宋" w:eastAsia="仿宋_GB2312"/>
          <w:color w:val="000000" w:themeColor="text1"/>
          <w:sz w:val="32"/>
          <w:szCs w:val="32"/>
          <w14:textFill>
            <w14:solidFill>
              <w14:schemeClr w14:val="tx1"/>
            </w14:solidFill>
          </w14:textFill>
        </w:rPr>
        <w:t>原则，重点沿轨道交通、公交线路做好保障性住房增量建设，打造人性化人居环境。深化物业管理品质提升行动，引导住宅小区物业管理与配套服务向品牌化、特色化发展。</w:t>
      </w:r>
    </w:p>
    <w:tbl>
      <w:tblPr>
        <w:tblStyle w:val="19"/>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widowControl/>
              <w:spacing w:beforeLines="50" w:afterLines="50"/>
              <w:jc w:val="center"/>
              <w:textAlignment w:val="center"/>
              <w:rPr>
                <w:rFonts w:cs="宋体" w:asciiTheme="minorEastAsia" w:hAnsiTheme="minorEastAsia"/>
                <w:b/>
                <w:color w:val="000000" w:themeColor="text1"/>
                <w:szCs w:val="21"/>
                <w14:textFill>
                  <w14:solidFill>
                    <w14:schemeClr w14:val="tx1"/>
                  </w14:solidFill>
                </w14:textFill>
              </w:rPr>
            </w:pPr>
            <w:r>
              <w:rPr>
                <w:rFonts w:hint="eastAsia" w:cs="宋体" w:asciiTheme="minorEastAsia" w:hAnsiTheme="minorEastAsia"/>
                <w:b/>
                <w:color w:val="000000" w:themeColor="text1"/>
                <w:szCs w:val="21"/>
                <w14:textFill>
                  <w14:solidFill>
                    <w14:schemeClr w14:val="tx1"/>
                  </w14:solidFill>
                </w14:textFill>
              </w:rPr>
              <w:t>专栏7-9  保障性安居工程建设重点</w:t>
            </w:r>
          </w:p>
          <w:p>
            <w:pPr>
              <w:widowControl/>
              <w:spacing w:afterLines="50"/>
              <w:ind w:firstLine="422" w:firstLineChars="200"/>
              <w:textAlignment w:val="center"/>
              <w:rPr>
                <w:color w:val="000000" w:themeColor="text1"/>
                <w14:textFill>
                  <w14:solidFill>
                    <w14:schemeClr w14:val="tx1"/>
                  </w14:solidFill>
                </w14:textFill>
              </w:rPr>
            </w:pPr>
            <w:r>
              <w:rPr>
                <w:rFonts w:hint="eastAsia"/>
                <w:b/>
                <w:bCs/>
                <w:color w:val="000000" w:themeColor="text1"/>
                <w14:textFill>
                  <w14:solidFill>
                    <w14:schemeClr w14:val="tx1"/>
                  </w14:solidFill>
                </w14:textFill>
              </w:rPr>
              <w:t>棚户区改造和公共保障房建设：</w:t>
            </w:r>
            <w:r>
              <w:rPr>
                <w:color w:val="000000" w:themeColor="text1"/>
                <w14:textFill>
                  <w14:solidFill>
                    <w14:schemeClr w14:val="tx1"/>
                  </w14:solidFill>
                </w14:textFill>
              </w:rPr>
              <w:t>雒容镇东麻小区老旧小区改造一期工程</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二期工程柳东新区雒容南片棚户区改造项目</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南庆安置区项目（三期</w:t>
            </w:r>
            <w:r>
              <w:rPr>
                <w:rFonts w:hint="eastAsia"/>
                <w:color w:val="000000" w:themeColor="text1"/>
                <w14:textFill>
                  <w14:solidFill>
                    <w14:schemeClr w14:val="tx1"/>
                  </w14:solidFill>
                </w14:textFill>
              </w:rPr>
              <w:t>、四期</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新区南部片区居住安置五期</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高岩居住安置项目（雒容安置）</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雒容南片棚户区改造安置项目</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平地片区棚户区改造项目</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新区南部片区居住安置四期</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新区双仁屯棚户区改造</w:t>
            </w:r>
            <w:r>
              <w:rPr>
                <w:rFonts w:hint="eastAsia"/>
                <w:color w:val="000000" w:themeColor="text1"/>
                <w14:textFill>
                  <w14:solidFill>
                    <w14:schemeClr w14:val="tx1"/>
                  </w14:solidFill>
                </w14:textFill>
              </w:rPr>
              <w:t>及</w:t>
            </w:r>
            <w:r>
              <w:rPr>
                <w:color w:val="000000" w:themeColor="text1"/>
                <w14:textFill>
                  <w14:solidFill>
                    <w14:schemeClr w14:val="tx1"/>
                  </w14:solidFill>
                </w14:textFill>
              </w:rPr>
              <w:t>配套项目</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龙婆小区安置项目</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龙婆一、二、三屯（龙婆新村）项目</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龙婆片棚户区改造项目</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果园村果园安置小区</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九子岭北侧安置项目</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柳东新区人才中心（二期）项目</w:t>
            </w:r>
            <w:r>
              <w:rPr>
                <w:rFonts w:hint="eastAsia"/>
                <w:color w:val="000000" w:themeColor="text1"/>
                <w14:textFill>
                  <w14:solidFill>
                    <w14:schemeClr w14:val="tx1"/>
                  </w14:solidFill>
                </w14:textFill>
              </w:rPr>
              <w:t>。</w:t>
            </w:r>
          </w:p>
          <w:p>
            <w:pPr>
              <w:widowControl/>
              <w:spacing w:afterLines="50"/>
              <w:ind w:firstLine="422" w:firstLineChars="200"/>
              <w:textAlignment w:val="center"/>
              <w:rPr>
                <w:color w:val="000000" w:themeColor="text1"/>
                <w14:textFill>
                  <w14:solidFill>
                    <w14:schemeClr w14:val="tx1"/>
                  </w14:solidFill>
                </w14:textFill>
              </w:rPr>
            </w:pPr>
            <w:r>
              <w:rPr>
                <w:b/>
                <w:bCs/>
                <w:color w:val="000000" w:themeColor="text1"/>
                <w14:textFill>
                  <w14:solidFill>
                    <w14:schemeClr w14:val="tx1"/>
                  </w14:solidFill>
                </w14:textFill>
              </w:rPr>
              <w:t>柳东新区老旧小区改造项目</w:t>
            </w:r>
            <w:r>
              <w:rPr>
                <w:rFonts w:hint="eastAsia"/>
                <w:b/>
                <w:bCs/>
                <w:color w:val="000000" w:themeColor="text1"/>
                <w14:textFill>
                  <w14:solidFill>
                    <w14:schemeClr w14:val="tx1"/>
                  </w14:solidFill>
                </w14:textFill>
              </w:rPr>
              <w:t>：</w:t>
            </w:r>
            <w:r>
              <w:rPr>
                <w:rFonts w:hint="eastAsia"/>
                <w:color w:val="000000" w:themeColor="text1"/>
                <w14:textFill>
                  <w14:solidFill>
                    <w14:schemeClr w14:val="tx1"/>
                  </w14:solidFill>
                </w14:textFill>
              </w:rPr>
              <w:t>重点柳江造纸厂老旧小区改造、针对老旧住宅区配套设施进行改造提升。</w:t>
            </w:r>
          </w:p>
        </w:tc>
      </w:tr>
    </w:tbl>
    <w:p>
      <w:pPr>
        <w:pStyle w:val="5"/>
        <w:spacing w:before="0" w:after="0" w:line="240" w:lineRule="auto"/>
        <w:ind w:firstLine="640" w:firstLineChars="200"/>
        <w:rPr>
          <w:rFonts w:ascii="黑体" w:hAnsi="黑体" w:eastAsia="黑体" w:cs="Times New Roman"/>
          <w:b w:val="0"/>
          <w:color w:val="000000" w:themeColor="text1"/>
          <w14:textFill>
            <w14:solidFill>
              <w14:schemeClr w14:val="tx1"/>
            </w14:solidFill>
          </w14:textFill>
        </w:rPr>
      </w:pPr>
      <w:r>
        <w:rPr>
          <w:rFonts w:hint="eastAsia" w:ascii="黑体" w:hAnsi="黑体" w:eastAsia="黑体" w:cs="Times New Roman"/>
          <w:b w:val="0"/>
          <w:color w:val="000000" w:themeColor="text1"/>
          <w14:textFill>
            <w14:solidFill>
              <w14:schemeClr w14:val="tx1"/>
            </w14:solidFill>
          </w14:textFill>
        </w:rPr>
        <w:t>五、强化新区社会救助保障</w:t>
      </w:r>
    </w:p>
    <w:p>
      <w:pPr>
        <w:adjustRightInd w:val="0"/>
        <w:ind w:firstLine="640" w:firstLineChars="200"/>
        <w:rPr>
          <w:rFonts w:ascii="仿宋_GB2312" w:hAnsi="仿宋" w:eastAsia="仿宋_GB2312" w:cs="Times New Roman"/>
          <w:color w:val="000000" w:themeColor="text1"/>
          <w:sz w:val="32"/>
          <w:szCs w:val="32"/>
          <w14:textFill>
            <w14:solidFill>
              <w14:schemeClr w14:val="tx1"/>
            </w14:solidFill>
          </w14:textFill>
        </w:rPr>
      </w:pPr>
      <w:r>
        <w:rPr>
          <w:rFonts w:hint="eastAsia" w:ascii="仿宋_GB2312" w:hAnsi="仿宋" w:eastAsia="仿宋_GB2312" w:cs="Times New Roman"/>
          <w:color w:val="000000" w:themeColor="text1"/>
          <w:sz w:val="32"/>
          <w:szCs w:val="32"/>
          <w14:textFill>
            <w14:solidFill>
              <w14:schemeClr w14:val="tx1"/>
            </w14:solidFill>
          </w14:textFill>
        </w:rPr>
        <w:t>健全城镇和农村留守儿童和妇女、老年人以及困境儿童关爱服务体系。建立救助体系信息库，准确掌握老年人、残疾人、困难户等群体的信息，将各类困难人员纳入新区救助服务范围。注重弱势群体关爱，实施困难残疾人生活补贴和重度残疾人护理补贴制度，推进贫困重度残疾人集中或社会化照护服务。完善孤儿养育和服务模式，兜底保障重度残疾儿童。推动社会服务设施、服务资源与残障人士共享。</w:t>
      </w:r>
    </w:p>
    <w:p>
      <w:pPr>
        <w:pStyle w:val="5"/>
        <w:spacing w:before="120" w:after="0"/>
        <w:ind w:firstLine="643" w:firstLineChars="200"/>
        <w:rPr>
          <w:color w:val="000000" w:themeColor="text1"/>
          <w14:textFill>
            <w14:solidFill>
              <w14:schemeClr w14:val="tx1"/>
            </w14:solidFill>
          </w14:textFill>
        </w:rPr>
        <w:sectPr>
          <w:footerReference r:id="rId4" w:type="default"/>
          <w:pgSz w:w="11906" w:h="16838"/>
          <w:pgMar w:top="1440" w:right="1800" w:bottom="1440" w:left="1800" w:header="851" w:footer="992" w:gutter="0"/>
          <w:pgNumType w:start="1"/>
          <w:cols w:space="425" w:num="1"/>
          <w:docGrid w:type="lines" w:linePitch="312" w:charSpace="0"/>
        </w:sectPr>
      </w:pPr>
    </w:p>
    <w:bookmarkEnd w:id="402"/>
    <w:bookmarkEnd w:id="403"/>
    <w:bookmarkEnd w:id="404"/>
    <w:bookmarkEnd w:id="405"/>
    <w:bookmarkEnd w:id="406"/>
    <w:p>
      <w:pPr>
        <w:pStyle w:val="3"/>
        <w:keepLines w:val="0"/>
        <w:widowControl/>
        <w:spacing w:before="0" w:afterLines="100" w:line="240" w:lineRule="auto"/>
        <w:jc w:val="center"/>
        <w:rPr>
          <w:rFonts w:ascii="黑体" w:hAnsi="黑体" w:eastAsia="黑体" w:cs="Times New Roman"/>
          <w:b w:val="0"/>
          <w:color w:val="000000" w:themeColor="text1"/>
          <w:sz w:val="32"/>
          <w:szCs w:val="32"/>
          <w14:textFill>
            <w14:solidFill>
              <w14:schemeClr w14:val="tx1"/>
            </w14:solidFill>
          </w14:textFill>
        </w:rPr>
      </w:pPr>
      <w:bookmarkStart w:id="449" w:name="_Toc75341686"/>
      <w:bookmarkStart w:id="450" w:name="_Toc8339"/>
      <w:bookmarkStart w:id="451" w:name="_Toc18396"/>
      <w:bookmarkStart w:id="452" w:name="_Toc885"/>
      <w:bookmarkStart w:id="453" w:name="_Toc15889"/>
      <w:bookmarkStart w:id="454" w:name="_Toc1098"/>
      <w:bookmarkStart w:id="455" w:name="_Toc26536"/>
      <w:bookmarkStart w:id="456" w:name="_Toc27236"/>
      <w:bookmarkStart w:id="457" w:name="_Toc16655"/>
      <w:bookmarkStart w:id="458" w:name="_Toc31932"/>
      <w:bookmarkStart w:id="459" w:name="_Toc13554"/>
      <w:bookmarkStart w:id="460" w:name="_Toc1920"/>
      <w:bookmarkStart w:id="461" w:name="_Toc2197"/>
      <w:bookmarkStart w:id="462" w:name="_Toc21626"/>
      <w:bookmarkStart w:id="463" w:name="_Toc21970"/>
      <w:bookmarkStart w:id="464" w:name="_Toc13590"/>
      <w:bookmarkStart w:id="465" w:name="_Toc11574"/>
      <w:bookmarkStart w:id="466" w:name="_Toc4664"/>
      <w:bookmarkStart w:id="467" w:name="_Toc20258"/>
      <w:bookmarkStart w:id="468" w:name="_Toc30946"/>
      <w:bookmarkStart w:id="469" w:name="_Toc21441"/>
      <w:bookmarkStart w:id="470" w:name="_Toc23443"/>
      <w:bookmarkStart w:id="471" w:name="_Toc22040"/>
      <w:bookmarkStart w:id="472" w:name="_Toc12219"/>
      <w:r>
        <w:rPr>
          <w:rFonts w:hint="eastAsia" w:ascii="黑体" w:hAnsi="黑体" w:eastAsia="黑体" w:cs="Times New Roman"/>
          <w:b w:val="0"/>
          <w:color w:val="000000" w:themeColor="text1"/>
          <w:sz w:val="32"/>
          <w:szCs w:val="32"/>
          <w14:textFill>
            <w14:solidFill>
              <w14:schemeClr w14:val="tx1"/>
            </w14:solidFill>
          </w14:textFill>
        </w:rPr>
        <w:t>第八章 涵养好山好水，构建生态美好典范区</w:t>
      </w:r>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p>
    <w:p>
      <w:pPr>
        <w:adjustRightInd w:val="0"/>
        <w:ind w:firstLine="640" w:firstLineChars="200"/>
        <w:rPr>
          <w:rFonts w:ascii="仿宋_GB2312" w:hAnsi="仿宋" w:eastAsia="仿宋_GB2312" w:cs="Times New Roman"/>
          <w:color w:val="000000" w:themeColor="text1"/>
          <w:sz w:val="32"/>
          <w:szCs w:val="32"/>
          <w14:textFill>
            <w14:solidFill>
              <w14:schemeClr w14:val="tx1"/>
            </w14:solidFill>
          </w14:textFill>
        </w:rPr>
      </w:pPr>
      <w:r>
        <w:rPr>
          <w:rFonts w:hint="eastAsia" w:ascii="仿宋_GB2312" w:hAnsi="仿宋" w:eastAsia="仿宋_GB2312" w:cs="Times New Roman"/>
          <w:color w:val="000000" w:themeColor="text1"/>
          <w:sz w:val="32"/>
          <w:szCs w:val="32"/>
          <w14:textFill>
            <w14:solidFill>
              <w14:schemeClr w14:val="tx1"/>
            </w14:solidFill>
          </w14:textFill>
        </w:rPr>
        <w:t>贯彻落实</w:t>
      </w:r>
      <w:r>
        <w:rPr>
          <w:rFonts w:hint="eastAsia" w:ascii="仿宋_GB2312" w:hAnsi="仿宋" w:eastAsia="仿宋_GB2312" w:cs="Times New Roman"/>
          <w:color w:val="000000" w:themeColor="text1"/>
          <w:sz w:val="32"/>
          <w:szCs w:val="32"/>
          <w:lang w:eastAsia="zh-CN"/>
          <w14:textFill>
            <w14:solidFill>
              <w14:schemeClr w14:val="tx1"/>
            </w14:solidFill>
          </w14:textFill>
        </w:rPr>
        <w:t>习近平生态文明思想</w:t>
      </w:r>
      <w:r>
        <w:rPr>
          <w:rFonts w:hint="eastAsia" w:ascii="仿宋_GB2312" w:hAnsi="仿宋" w:eastAsia="仿宋_GB2312" w:cs="Times New Roman"/>
          <w:color w:val="000000" w:themeColor="text1"/>
          <w:sz w:val="32"/>
          <w:szCs w:val="32"/>
          <w14:textFill>
            <w14:solidFill>
              <w14:schemeClr w14:val="tx1"/>
            </w14:solidFill>
          </w14:textFill>
        </w:rPr>
        <w:t>，践行绿色发展理念，加强生态环境保护与修复，强化污染防治，促进生产生活绿色低碳发展，打造全国高新区生态文明建设典范。</w:t>
      </w:r>
    </w:p>
    <w:p>
      <w:pPr>
        <w:pStyle w:val="4"/>
        <w:jc w:val="center"/>
        <w:rPr>
          <w:rFonts w:hint="eastAsia" w:ascii="黑体" w:hAnsi="黑体" w:eastAsia="黑体" w:cs="Times New Roman"/>
          <w:b w:val="0"/>
          <w:color w:val="000000" w:themeColor="text1"/>
          <w14:textFill>
            <w14:solidFill>
              <w14:schemeClr w14:val="tx1"/>
            </w14:solidFill>
          </w14:textFill>
        </w:rPr>
      </w:pPr>
      <w:bookmarkStart w:id="473" w:name="_Toc1516"/>
      <w:bookmarkStart w:id="474" w:name="_Toc22692"/>
      <w:bookmarkStart w:id="475" w:name="_Toc5984"/>
      <w:bookmarkStart w:id="476" w:name="_Toc16735"/>
      <w:bookmarkStart w:id="477" w:name="_Toc12193"/>
      <w:bookmarkStart w:id="478" w:name="_Toc31818"/>
      <w:bookmarkStart w:id="479" w:name="_Toc9937"/>
      <w:bookmarkStart w:id="480" w:name="_Toc7896"/>
      <w:bookmarkStart w:id="481" w:name="_Toc31565"/>
      <w:bookmarkStart w:id="482" w:name="_Toc334"/>
      <w:bookmarkStart w:id="483" w:name="_Toc2928"/>
      <w:bookmarkStart w:id="484" w:name="_Toc7394"/>
      <w:bookmarkStart w:id="485" w:name="_Toc31151"/>
      <w:bookmarkStart w:id="486" w:name="_Toc4338"/>
      <w:bookmarkStart w:id="487" w:name="_Toc9656"/>
      <w:bookmarkStart w:id="488" w:name="_Toc565"/>
      <w:bookmarkStart w:id="489" w:name="_Toc11447"/>
      <w:bookmarkStart w:id="490" w:name="_Toc16763"/>
      <w:bookmarkStart w:id="491" w:name="_Toc9582"/>
      <w:bookmarkStart w:id="492" w:name="_Toc17168"/>
      <w:bookmarkStart w:id="493" w:name="_Toc75341687"/>
      <w:bookmarkStart w:id="494" w:name="_Toc9394"/>
      <w:bookmarkStart w:id="495" w:name="_Toc15474"/>
      <w:bookmarkStart w:id="496" w:name="_Toc5005"/>
      <w:r>
        <w:rPr>
          <w:rFonts w:hint="eastAsia" w:ascii="黑体" w:hAnsi="黑体" w:eastAsia="黑体" w:cs="Times New Roman"/>
          <w:b w:val="0"/>
          <w:color w:val="000000" w:themeColor="text1"/>
          <w14:textFill>
            <w14:solidFill>
              <w14:schemeClr w14:val="tx1"/>
            </w14:solidFill>
          </w14:textFill>
        </w:rPr>
        <w:t>第一节 打造生态美丽柳东新区</w:t>
      </w:r>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p>
    <w:p>
      <w:pPr>
        <w:pStyle w:val="5"/>
        <w:spacing w:before="0" w:after="0" w:line="240" w:lineRule="auto"/>
        <w:ind w:firstLine="640" w:firstLineChars="200"/>
        <w:rPr>
          <w:rFonts w:ascii="黑体" w:hAnsi="黑体" w:eastAsia="黑体"/>
          <w:b w:val="0"/>
          <w:color w:val="000000" w:themeColor="text1"/>
          <w14:textFill>
            <w14:solidFill>
              <w14:schemeClr w14:val="tx1"/>
            </w14:solidFill>
          </w14:textFill>
        </w:rPr>
      </w:pPr>
      <w:r>
        <w:rPr>
          <w:rFonts w:hint="eastAsia" w:ascii="黑体" w:hAnsi="黑体" w:eastAsia="黑体"/>
          <w:b w:val="0"/>
          <w:color w:val="000000" w:themeColor="text1"/>
          <w14:textFill>
            <w14:solidFill>
              <w14:schemeClr w14:val="tx1"/>
            </w14:solidFill>
          </w14:textFill>
        </w:rPr>
        <w:t>一、以生态文明引领新区品质发展</w:t>
      </w:r>
    </w:p>
    <w:p>
      <w:pPr>
        <w:adjustRightInd w:val="0"/>
        <w:ind w:firstLine="640" w:firstLineChars="200"/>
        <w:rPr>
          <w:rFonts w:ascii="仿宋_GB2312" w:hAnsi="仿宋" w:eastAsia="仿宋_GB2312" w:cs="Times New Roman"/>
          <w:color w:val="000000" w:themeColor="text1"/>
          <w:sz w:val="32"/>
          <w:szCs w:val="32"/>
          <w14:textFill>
            <w14:solidFill>
              <w14:schemeClr w14:val="tx1"/>
            </w14:solidFill>
          </w14:textFill>
        </w:rPr>
      </w:pPr>
      <w:r>
        <w:rPr>
          <w:rFonts w:hint="eastAsia" w:ascii="仿宋_GB2312" w:hAnsi="仿宋" w:eastAsia="仿宋_GB2312" w:cs="Times New Roman"/>
          <w:color w:val="000000" w:themeColor="text1"/>
          <w:sz w:val="32"/>
          <w:szCs w:val="32"/>
          <w14:textFill>
            <w14:solidFill>
              <w14:schemeClr w14:val="tx1"/>
            </w14:solidFill>
          </w14:textFill>
        </w:rPr>
        <w:t>深入贯彻落实习近平生态文明思想，深刻把握绿水青山就是金山银山的重要发展理念，坚定不移走生态优先、绿色发展新道路。建立和完善新区生态文明建设的机制，“一张蓝图”“一盘棋”统筹生态文明顶层设计，谋划低碳高效的生产空间、舒适宜居的生活空间和碧水蓝天的生态空间。强化生态建设意识和责任，推动全社会在生活生产建设的各个领域切实保护和合理利用各种资源，提高资源利用效率，以尽可能少的资源消耗来获得最大的经济效益和社会效益。倡导社会各方坚持爱护环境、保护环境、节约资源、利用资源，凝聚各方面合力，将新区建设成为宜居、宜业、宜游的汽车城市花园。</w:t>
      </w:r>
    </w:p>
    <w:p>
      <w:pPr>
        <w:pStyle w:val="5"/>
        <w:spacing w:before="0" w:after="0" w:line="240" w:lineRule="auto"/>
        <w:ind w:firstLine="640" w:firstLineChars="200"/>
        <w:rPr>
          <w:rFonts w:ascii="黑体" w:hAnsi="黑体" w:eastAsia="黑体"/>
          <w:b w:val="0"/>
          <w:color w:val="000000" w:themeColor="text1"/>
          <w14:textFill>
            <w14:solidFill>
              <w14:schemeClr w14:val="tx1"/>
            </w14:solidFill>
          </w14:textFill>
        </w:rPr>
      </w:pPr>
      <w:r>
        <w:rPr>
          <w:rFonts w:hint="eastAsia" w:ascii="黑体" w:hAnsi="黑体" w:eastAsia="黑体"/>
          <w:b w:val="0"/>
          <w:color w:val="000000" w:themeColor="text1"/>
          <w14:textFill>
            <w14:solidFill>
              <w14:schemeClr w14:val="tx1"/>
            </w14:solidFill>
          </w14:textFill>
        </w:rPr>
        <w:t>二</w:t>
      </w:r>
      <w:r>
        <w:rPr>
          <w:rFonts w:ascii="黑体" w:hAnsi="黑体" w:eastAsia="黑体"/>
          <w:b w:val="0"/>
          <w:color w:val="000000" w:themeColor="text1"/>
          <w14:textFill>
            <w14:solidFill>
              <w14:schemeClr w14:val="tx1"/>
            </w14:solidFill>
          </w14:textFill>
        </w:rPr>
        <w:t>、</w:t>
      </w:r>
      <w:r>
        <w:rPr>
          <w:rFonts w:hint="eastAsia" w:ascii="黑体" w:hAnsi="黑体" w:eastAsia="黑体"/>
          <w:b w:val="0"/>
          <w:color w:val="000000" w:themeColor="text1"/>
          <w14:textFill>
            <w14:solidFill>
              <w14:schemeClr w14:val="tx1"/>
            </w14:solidFill>
          </w14:textFill>
        </w:rPr>
        <w:t>探索自然</w:t>
      </w:r>
      <w:r>
        <w:rPr>
          <w:rFonts w:ascii="黑体" w:hAnsi="黑体" w:eastAsia="黑体"/>
          <w:b w:val="0"/>
          <w:color w:val="000000" w:themeColor="text1"/>
          <w14:textFill>
            <w14:solidFill>
              <w14:schemeClr w14:val="tx1"/>
            </w14:solidFill>
          </w14:textFill>
        </w:rPr>
        <w:t>资源保护</w:t>
      </w:r>
      <w:r>
        <w:rPr>
          <w:rFonts w:hint="eastAsia" w:ascii="黑体" w:hAnsi="黑体" w:eastAsia="黑体"/>
          <w:b w:val="0"/>
          <w:color w:val="000000" w:themeColor="text1"/>
          <w14:textFill>
            <w14:solidFill>
              <w14:schemeClr w14:val="tx1"/>
            </w14:solidFill>
          </w14:textFill>
        </w:rPr>
        <w:t>利用新模式</w:t>
      </w:r>
    </w:p>
    <w:p>
      <w:pPr>
        <w:adjustRightInd w:val="0"/>
        <w:ind w:firstLine="640" w:firstLineChars="200"/>
        <w:rPr>
          <w:rFonts w:ascii="仿宋_GB2312" w:hAnsi="仿宋" w:eastAsia="仿宋_GB2312"/>
          <w:color w:val="000000" w:themeColor="text1"/>
          <w:sz w:val="32"/>
          <w:szCs w:val="32"/>
          <w14:textFill>
            <w14:solidFill>
              <w14:schemeClr w14:val="tx1"/>
            </w14:solidFill>
          </w14:textFill>
        </w:rPr>
      </w:pPr>
      <w:r>
        <w:rPr>
          <w:rFonts w:hint="eastAsia" w:ascii="仿宋_GB2312" w:hAnsi="仿宋" w:eastAsia="仿宋_GB2312"/>
          <w:color w:val="000000" w:themeColor="text1"/>
          <w:sz w:val="32"/>
          <w:szCs w:val="32"/>
          <w14:textFill>
            <w14:solidFill>
              <w14:schemeClr w14:val="tx1"/>
            </w14:solidFill>
          </w14:textFill>
        </w:rPr>
        <w:t>统筹推进生态保护和修复，实施重要生态系统保护工程，构建生态廊道和生物多样性保护网络，推进受损山体、黑臭水体、河流湿地生态修复，提升生态系统质量和稳定性。积极推进废弃工业厂区、矿场、石场、拆除居民点等区域的生态修复和保护性开发利用。优化耕地和永久基本农田空间布局，实现集中连片管理，打造现代农业先行示范区，创新高度工业化城区耕地和永久基本农田保护利用模式。深化自然资源管理制度改革，建立完善自然资源有偿使用制度。编制自然资源资产负债表，建立自然资源资产数据库和自然资源台账制度，健全自然资源资产监管体系。</w:t>
      </w:r>
    </w:p>
    <w:tbl>
      <w:tblPr>
        <w:tblStyle w:val="19"/>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6" w:hRule="atLeast"/>
        </w:trPr>
        <w:tc>
          <w:tcPr>
            <w:tcW w:w="8522" w:type="dxa"/>
          </w:tcPr>
          <w:p>
            <w:pPr>
              <w:spacing w:beforeLines="50" w:afterLines="50"/>
              <w:jc w:val="center"/>
              <w:rPr>
                <w:rFonts w:cs="宋体" w:asciiTheme="minorEastAsia" w:hAnsiTheme="minorEastAsia"/>
                <w:b/>
                <w:color w:val="000000" w:themeColor="text1"/>
                <w:szCs w:val="21"/>
                <w14:textFill>
                  <w14:solidFill>
                    <w14:schemeClr w14:val="tx1"/>
                  </w14:solidFill>
                </w14:textFill>
              </w:rPr>
            </w:pPr>
            <w:r>
              <w:rPr>
                <w:rFonts w:hint="eastAsia" w:cs="宋体" w:asciiTheme="minorEastAsia" w:hAnsiTheme="minorEastAsia"/>
                <w:b/>
                <w:color w:val="000000" w:themeColor="text1"/>
                <w:szCs w:val="21"/>
                <w14:textFill>
                  <w14:solidFill>
                    <w14:schemeClr w14:val="tx1"/>
                  </w14:solidFill>
                </w14:textFill>
              </w:rPr>
              <w:t>专栏8-1  生态修复环境治理重点</w:t>
            </w:r>
          </w:p>
          <w:p>
            <w:pPr>
              <w:widowControl/>
              <w:ind w:firstLine="420" w:firstLineChars="200"/>
              <w:textAlignment w:val="center"/>
              <w:rPr>
                <w:color w:val="000000" w:themeColor="text1"/>
                <w14:textFill>
                  <w14:solidFill>
                    <w14:schemeClr w14:val="tx1"/>
                  </w14:solidFill>
                </w14:textFill>
              </w:rPr>
            </w:pPr>
            <w:r>
              <w:rPr>
                <w:color w:val="000000" w:themeColor="text1"/>
                <w14:textFill>
                  <w14:solidFill>
                    <w14:schemeClr w14:val="tx1"/>
                  </w14:solidFill>
                </w14:textFill>
              </w:rPr>
              <w:t>两面针纸业环境治理及配套项目</w:t>
            </w:r>
            <w:r>
              <w:rPr>
                <w:rFonts w:hint="eastAsia"/>
                <w:color w:val="000000" w:themeColor="text1"/>
                <w14:textFill>
                  <w14:solidFill>
                    <w14:schemeClr w14:val="tx1"/>
                  </w14:solidFill>
                </w14:textFill>
              </w:rPr>
              <w:t>、柳东新区生态园林工程（老虎岭、狮子岭公园景观工程、平地山公园）、柳东新区公共绿地一期景观工程；连丰村等2个村旱改水工程、连丰村等3个土地综合整治、雒容镇耕地提质改造（旱改水）项目、滨江居住生活区山体复绿工程。</w:t>
            </w:r>
          </w:p>
        </w:tc>
      </w:tr>
    </w:tbl>
    <w:p>
      <w:pPr>
        <w:pStyle w:val="5"/>
        <w:spacing w:before="0" w:after="0" w:line="240" w:lineRule="auto"/>
        <w:ind w:firstLine="640" w:firstLineChars="200"/>
        <w:rPr>
          <w:rFonts w:ascii="黑体" w:hAnsi="黑体" w:eastAsia="黑体"/>
          <w:b w:val="0"/>
          <w:color w:val="000000" w:themeColor="text1"/>
          <w14:textFill>
            <w14:solidFill>
              <w14:schemeClr w14:val="tx1"/>
            </w14:solidFill>
          </w14:textFill>
        </w:rPr>
      </w:pPr>
      <w:r>
        <w:rPr>
          <w:rFonts w:hint="eastAsia" w:ascii="黑体" w:hAnsi="黑体" w:eastAsia="黑体"/>
          <w:b w:val="0"/>
          <w:color w:val="000000" w:themeColor="text1"/>
          <w14:textFill>
            <w14:solidFill>
              <w14:schemeClr w14:val="tx1"/>
            </w14:solidFill>
          </w14:textFill>
        </w:rPr>
        <w:t>三、打造全域特色生态休闲空间</w:t>
      </w:r>
    </w:p>
    <w:p>
      <w:pPr>
        <w:autoSpaceDE w:val="0"/>
        <w:autoSpaceDN w:val="0"/>
        <w:adjustRightInd w:val="0"/>
        <w:ind w:firstLine="640" w:firstLineChars="200"/>
        <w:rPr>
          <w:rFonts w:ascii="仿宋_GB2312" w:hAnsi="仿宋" w:eastAsia="仿宋_GB2312"/>
          <w:color w:val="000000" w:themeColor="text1"/>
          <w:sz w:val="32"/>
          <w:szCs w:val="32"/>
          <w14:textFill>
            <w14:solidFill>
              <w14:schemeClr w14:val="tx1"/>
            </w14:solidFill>
          </w14:textFill>
        </w:rPr>
      </w:pPr>
      <w:r>
        <w:rPr>
          <w:rFonts w:hint="eastAsia" w:ascii="仿宋_GB2312" w:hAnsi="仿宋" w:eastAsia="仿宋_GB2312"/>
          <w:color w:val="000000" w:themeColor="text1"/>
          <w:sz w:val="32"/>
          <w:szCs w:val="32"/>
          <w14:textFill>
            <w14:solidFill>
              <w14:schemeClr w14:val="tx1"/>
            </w14:solidFill>
          </w14:textFill>
        </w:rPr>
        <w:t>高标准规划建设柳东新区山水天际线，构建三门江森林公园—柳江景观带—园博园—洛清江景观带—百花岭生态公园—马步水库—兰村水库—莫干河南支城市山水主轴。实施水系景观品质提升工程，建设以龙湖水系、华侨城水系为核心的中心区景观带，塑造集休闲娱乐、艺文体验、品质居住、城市展示等功能于一体的滨水城市新名片。强化新区绿地生态景观格局的连续性和完整性，建设新柳大道、博园大道、宝骏大道、清江大道、曙光大道等主要道路两侧的绿地景观走廊，提升会展中心、卡乐星球、上汽通用五菱宝骏基地、东风柳汽、秀水片区、官塘片区等区域路网绿化工程，强化干道交叉口、高速出入口等特色景观节点塑造，打造全域绿色生态休闲带。推进“公园城市”建设，重点建设老虎岭、狮子岭公园、平地山公园、科技园山体公园、科技园小游园、南寨山公园等生态休闲项目，构建柳东新区布局合理、层次丰富、特色鲜明的“自然郊野公园－大型中心综合公园－社区公园－小型公园－公共绿地”的公园城市绿地体系。推动“绿色生态工业园区”“花园式学校”“花园式住宅小区”建设，推进城市空间和公园、绿地形态的有机融合。配合河道综合整治和水库水环境整治工程，探索打造马步水库休闲碧道。到2025年，新区新建和</w:t>
      </w:r>
      <w:r>
        <w:rPr>
          <w:rFonts w:ascii="仿宋_GB2312" w:hAnsi="仿宋" w:eastAsia="仿宋_GB2312"/>
          <w:color w:val="000000" w:themeColor="text1"/>
          <w:sz w:val="32"/>
          <w:szCs w:val="32"/>
          <w14:textFill>
            <w14:solidFill>
              <w14:schemeClr w14:val="tx1"/>
            </w14:solidFill>
          </w14:textFill>
        </w:rPr>
        <w:t>提升改造</w:t>
      </w:r>
      <w:r>
        <w:rPr>
          <w:rFonts w:hint="eastAsia" w:ascii="仿宋_GB2312" w:hAnsi="仿宋" w:eastAsia="仿宋_GB2312"/>
          <w:color w:val="000000" w:themeColor="text1"/>
          <w:sz w:val="32"/>
          <w:szCs w:val="32"/>
          <w14:textFill>
            <w14:solidFill>
              <w14:schemeClr w14:val="tx1"/>
            </w14:solidFill>
          </w14:textFill>
        </w:rPr>
        <w:t>一批城市公园、社区公园，主要干道全面建设公共绿地，城市人均公园绿地面积达14平方米。</w:t>
      </w:r>
    </w:p>
    <w:tbl>
      <w:tblPr>
        <w:tblStyle w:val="19"/>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pStyle w:val="9"/>
              <w:spacing w:beforeLines="50" w:afterLines="50"/>
              <w:jc w:val="center"/>
              <w:rPr>
                <w:rFonts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专栏8-2  城市景观、生态休闲设施建设重点</w:t>
            </w:r>
          </w:p>
          <w:p>
            <w:pPr>
              <w:pStyle w:val="9"/>
              <w:widowControl/>
              <w:spacing w:afterLines="50"/>
              <w:ind w:firstLine="422" w:firstLineChars="200"/>
              <w:textAlignment w:val="center"/>
              <w:rPr>
                <w:color w:val="000000" w:themeColor="text1"/>
                <w14:textFill>
                  <w14:solidFill>
                    <w14:schemeClr w14:val="tx1"/>
                  </w14:solidFill>
                </w14:textFill>
              </w:rPr>
            </w:pPr>
            <w:r>
              <w:rPr>
                <w:rFonts w:hint="eastAsia"/>
                <w:b/>
                <w:bCs/>
                <w:color w:val="000000" w:themeColor="text1"/>
                <w14:textFill>
                  <w14:solidFill>
                    <w14:schemeClr w14:val="tx1"/>
                  </w14:solidFill>
                </w14:textFill>
              </w:rPr>
              <w:t>市政公园：</w:t>
            </w:r>
            <w:r>
              <w:rPr>
                <w:rFonts w:hint="eastAsia"/>
                <w:color w:val="000000" w:themeColor="text1"/>
                <w14:textFill>
                  <w14:solidFill>
                    <w14:schemeClr w14:val="tx1"/>
                  </w14:solidFill>
                </w14:textFill>
              </w:rPr>
              <w:t>八角岭公园、官塘片滨江生态湿地公园、老虎岭公园、狮子岭公园、平地山公园、科技园山体公园、科技园小游园、南寨山公园。</w:t>
            </w:r>
          </w:p>
          <w:p>
            <w:pPr>
              <w:pStyle w:val="9"/>
              <w:widowControl/>
              <w:spacing w:afterLines="50"/>
              <w:ind w:firstLine="422" w:firstLineChars="200"/>
              <w:textAlignment w:val="center"/>
              <w:rPr>
                <w:color w:val="000000" w:themeColor="text1"/>
                <w14:textFill>
                  <w14:solidFill>
                    <w14:schemeClr w14:val="tx1"/>
                  </w14:solidFill>
                </w14:textFill>
              </w:rPr>
            </w:pPr>
            <w:r>
              <w:rPr>
                <w:rFonts w:hint="eastAsia"/>
                <w:b/>
                <w:bCs/>
                <w:color w:val="000000" w:themeColor="text1"/>
                <w14:textFill>
                  <w14:solidFill>
                    <w14:schemeClr w14:val="tx1"/>
                  </w14:solidFill>
                </w14:textFill>
              </w:rPr>
              <w:t>生态休闲旅游区：</w:t>
            </w:r>
            <w:r>
              <w:rPr>
                <w:rFonts w:hint="eastAsia"/>
                <w:color w:val="000000" w:themeColor="text1"/>
                <w14:textFill>
                  <w14:solidFill>
                    <w14:schemeClr w14:val="tx1"/>
                  </w14:solidFill>
                </w14:textFill>
              </w:rPr>
              <w:t>百花岭生态公园、三门江林场马步分场场部功能提升改造暨森林康养旅游示范项目、马步水库乡村旅游示范区、雒容镇马步水库休闲栈道项目（一期）工程、（九子岭）旅游集散中心项目。</w:t>
            </w:r>
          </w:p>
          <w:p>
            <w:pPr>
              <w:pStyle w:val="9"/>
              <w:widowControl/>
              <w:ind w:firstLine="422" w:firstLineChars="200"/>
              <w:textAlignment w:val="center"/>
              <w:rPr>
                <w:color w:val="000000" w:themeColor="text1"/>
                <w14:textFill>
                  <w14:solidFill>
                    <w14:schemeClr w14:val="tx1"/>
                  </w14:solidFill>
                </w14:textFill>
              </w:rPr>
            </w:pPr>
            <w:r>
              <w:rPr>
                <w:rFonts w:hint="eastAsia"/>
                <w:b/>
                <w:bCs/>
                <w:color w:val="000000" w:themeColor="text1"/>
                <w14:textFill>
                  <w14:solidFill>
                    <w14:schemeClr w14:val="tx1"/>
                  </w14:solidFill>
                </w14:textFill>
              </w:rPr>
              <w:t>公共区域景观工程：</w:t>
            </w:r>
            <w:r>
              <w:rPr>
                <w:rFonts w:hint="eastAsia"/>
                <w:color w:val="000000" w:themeColor="text1"/>
                <w14:textFill>
                  <w14:solidFill>
                    <w14:schemeClr w14:val="tx1"/>
                  </w14:solidFill>
                </w14:textFill>
              </w:rPr>
              <w:t>加快推进新区核心区道外公共绿地景观工程、官塘片曙光大道（雒容段）道外公共绿地景观工程、秀水片区道外公共绿地景观工程、欣乐路及会展路道外公共绿地景观工程、连运路东延长线道外公共绿地景观工程、新区第二实验小学周边公共绿地景观工程、木棉路（中欧横一路）道外公共绿地景观工程、莫道江南支（0+000-0+250）及莫道江南支下游（0+000-0+300）河道景观工程、柳州市已征未用土地绿化工程设计施工一体化工程、官塘冲河道综合整治工程景观工程二期；文苑路（创业大道B线）南侧道外公共绿地、核心区纵六路道外公共绿地项目。</w:t>
            </w:r>
          </w:p>
          <w:p>
            <w:pPr>
              <w:pStyle w:val="9"/>
              <w:spacing w:after="0"/>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开展清江大道（原古镇路）道外公共绿地景观工程、古镇路（原立新洲大道）道外公共绿地景观工程、欣乐路（原称江滨纵三路、横六路）道外公共绿地景观工程、九子岭大道（原职教园经三路）道外公共绿地、九子岭支三路（乐园路南四巷子）道外公共绿地、润东路（九子岭支三十五路）道外公共绿地、石冲路（九子岭一路）道外公共绿地、南庆支二路道外公共绿地、高望路道外公共绿地、博园大道（原称中欧纵一路）道外公共绿地景观工程、秀水二路（原称中欧纵七路）道外公共绿地景观工程、竹车路（原称中欧横九路（纵四路—纵十一路））道外公共绿地景观工程、福城大道（中欧纵十一路）道外公共绿地、秀水横四路道外公共绿地景观工程、秀水横六路道外公共绿地景观工程、连运路东延长线道外公共绿地景观工程、新竹路（原称核心区纵二路东段）道外公共绿地景观工程、曙光大道雒容段道外公共绿地景观工程、官塘大道（原秀水纵一路）道外公共绿地、中欧横一路道外公共绿地、八角岭北三路道外公共绿地景观工程、火炬大道南段道外公共绿地、江东大道（原称滨江大道）（进港大道—江滨区横十路）道外公共绿地景观工程、江滨纬六路南侧道外公共绿地、核心区横十三路道外公共绿地、莫道江北支河道景观工程等前期项目。</w:t>
            </w:r>
          </w:p>
        </w:tc>
      </w:tr>
    </w:tbl>
    <w:p>
      <w:pPr>
        <w:pStyle w:val="4"/>
        <w:jc w:val="center"/>
        <w:rPr>
          <w:rFonts w:hint="eastAsia" w:ascii="黑体" w:hAnsi="黑体" w:eastAsia="黑体" w:cs="Times New Roman"/>
          <w:b w:val="0"/>
          <w:color w:val="000000" w:themeColor="text1"/>
          <w14:textFill>
            <w14:solidFill>
              <w14:schemeClr w14:val="tx1"/>
            </w14:solidFill>
          </w14:textFill>
        </w:rPr>
      </w:pPr>
      <w:bookmarkStart w:id="497" w:name="_Toc9628"/>
      <w:bookmarkStart w:id="498" w:name="_Toc7601"/>
      <w:bookmarkStart w:id="499" w:name="_Toc5685"/>
      <w:bookmarkStart w:id="500" w:name="_Toc7239"/>
      <w:bookmarkStart w:id="501" w:name="_Toc14429"/>
      <w:bookmarkStart w:id="502" w:name="_Toc23714"/>
      <w:bookmarkStart w:id="503" w:name="_Toc5552"/>
      <w:bookmarkStart w:id="504" w:name="_Toc3255"/>
      <w:bookmarkStart w:id="505" w:name="_Toc31382"/>
      <w:bookmarkStart w:id="506" w:name="_Toc399"/>
      <w:bookmarkStart w:id="507" w:name="_Toc20273"/>
      <w:bookmarkStart w:id="508" w:name="_Toc9035"/>
      <w:bookmarkStart w:id="509" w:name="_Toc10818"/>
      <w:bookmarkStart w:id="510" w:name="_Toc3920"/>
      <w:bookmarkStart w:id="511" w:name="_Toc16579"/>
      <w:bookmarkStart w:id="512" w:name="_Toc30119"/>
      <w:bookmarkStart w:id="513" w:name="_Toc75341688"/>
      <w:bookmarkStart w:id="514" w:name="_Toc31959"/>
      <w:bookmarkStart w:id="515" w:name="_Toc7173"/>
      <w:bookmarkStart w:id="516" w:name="_Toc24399"/>
      <w:bookmarkStart w:id="517" w:name="_Toc24309"/>
      <w:bookmarkStart w:id="518" w:name="_Toc25818"/>
      <w:bookmarkStart w:id="519" w:name="_Toc19743"/>
      <w:bookmarkStart w:id="520" w:name="_Toc16772"/>
      <w:r>
        <w:rPr>
          <w:rFonts w:hint="eastAsia" w:ascii="黑体" w:hAnsi="黑体" w:eastAsia="黑体" w:cs="Times New Roman"/>
          <w:b w:val="0"/>
          <w:color w:val="000000" w:themeColor="text1"/>
          <w14:textFill>
            <w14:solidFill>
              <w14:schemeClr w14:val="tx1"/>
            </w14:solidFill>
          </w14:textFill>
        </w:rPr>
        <w:t>第二节</w:t>
      </w:r>
      <w:bookmarkStart w:id="521" w:name="_Toc329166137"/>
      <w:bookmarkStart w:id="522" w:name="_Toc319943276"/>
      <w:bookmarkStart w:id="523" w:name="_Toc295658234"/>
      <w:bookmarkStart w:id="524" w:name="_Toc321385409"/>
      <w:bookmarkStart w:id="525" w:name="_Toc324862879"/>
      <w:bookmarkStart w:id="526" w:name="_Toc321356032"/>
      <w:bookmarkStart w:id="527" w:name="_Toc332201409"/>
      <w:bookmarkStart w:id="528" w:name="_Toc321864900"/>
      <w:r>
        <w:rPr>
          <w:rFonts w:hint="eastAsia" w:ascii="黑体" w:hAnsi="黑体" w:eastAsia="黑体" w:cs="Times New Roman"/>
          <w:b w:val="0"/>
          <w:color w:val="000000" w:themeColor="text1"/>
          <w14:textFill>
            <w14:solidFill>
              <w14:schemeClr w14:val="tx1"/>
            </w14:solidFill>
          </w14:textFill>
        </w:rPr>
        <w:t xml:space="preserve"> 加强生态环境治理保护</w:t>
      </w:r>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p>
    <w:p>
      <w:pPr>
        <w:pStyle w:val="5"/>
        <w:spacing w:before="120" w:after="0" w:line="240" w:lineRule="auto"/>
        <w:ind w:firstLine="640" w:firstLineChars="200"/>
        <w:rPr>
          <w:rFonts w:ascii="黑体" w:hAnsi="黑体" w:eastAsia="黑体" w:cs="Times New Roman"/>
          <w:b w:val="0"/>
          <w:color w:val="000000" w:themeColor="text1"/>
          <w14:textFill>
            <w14:solidFill>
              <w14:schemeClr w14:val="tx1"/>
            </w14:solidFill>
          </w14:textFill>
        </w:rPr>
      </w:pPr>
      <w:r>
        <w:rPr>
          <w:rFonts w:hint="eastAsia" w:ascii="黑体" w:hAnsi="黑体" w:eastAsia="黑体" w:cs="Times New Roman"/>
          <w:b w:val="0"/>
          <w:color w:val="000000" w:themeColor="text1"/>
          <w14:textFill>
            <w14:solidFill>
              <w14:schemeClr w14:val="tx1"/>
            </w14:solidFill>
          </w14:textFill>
        </w:rPr>
        <w:t>一、强化生态环境治理力度</w:t>
      </w:r>
    </w:p>
    <w:p>
      <w:pPr>
        <w:ind w:firstLine="640" w:firstLineChars="200"/>
        <w:rPr>
          <w:rFonts w:ascii="仿宋_GB2312" w:hAnsi="仿宋" w:eastAsia="仿宋_GB2312"/>
          <w:color w:val="000000" w:themeColor="text1"/>
          <w:sz w:val="32"/>
          <w:szCs w:val="32"/>
          <w14:textFill>
            <w14:solidFill>
              <w14:schemeClr w14:val="tx1"/>
            </w14:solidFill>
          </w14:textFill>
        </w:rPr>
      </w:pPr>
      <w:r>
        <w:rPr>
          <w:rFonts w:hint="eastAsia" w:ascii="仿宋_GB2312" w:hAnsi="仿宋" w:eastAsia="仿宋_GB2312"/>
          <w:color w:val="000000" w:themeColor="text1"/>
          <w:sz w:val="32"/>
          <w:szCs w:val="32"/>
          <w14:textFill>
            <w14:solidFill>
              <w14:schemeClr w14:val="tx1"/>
            </w14:solidFill>
          </w14:textFill>
        </w:rPr>
        <w:t>大力进行环境综合治理，完善核心区水系、滨江生态公园建设，实施道外公共绿地建设工程，进一步提高环境质量。强化水土综合防治的责任制度，深入推行“河长制”。着力推进马步河下游段、杨弓湾下游段、东和路东一巷河道等水体整治工程。加大力度推进城乡生活污水治理，调整完善城乡生活污水排放管道和处理设施。加强对人口集中村屯的污水治理，因地制宜纳入新区污水管网或就地集中建设污水处理站处理。强化对人口较少且分散的村屯居民排污方式管控，鼓励农户进行农村污水资源化利用。合理设置新区污水系统服务分区，汽车城北片与花岭片区、洛清江西片与洛清江东片分别设置独立的污水处理系统，加快推进中欧片区污水处理厂及收集管网污水设施、雒容中沟泵站、盘古片区污水设施、官塘片区污水处理等工程项目建设。到2025年，新区污水处理率达95%以上，污水管网完善率达90%以上。</w:t>
      </w:r>
    </w:p>
    <w:tbl>
      <w:tblPr>
        <w:tblStyle w:val="19"/>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spacing w:beforeLines="50" w:afterLines="50"/>
              <w:jc w:val="center"/>
              <w:rPr>
                <w:rFonts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专栏8-3  污水处理排放设施建设重点</w:t>
            </w:r>
          </w:p>
          <w:p>
            <w:pPr>
              <w:widowControl/>
              <w:spacing w:afterLines="50"/>
              <w:ind w:firstLine="420" w:firstLineChars="200"/>
              <w:textAlignment w:val="center"/>
              <w:rPr>
                <w:rFonts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盘古片区污水项目、中欧片污水泵站及收集管网、柳东新区农村生活污水治理规划项目、官塘片区污水处理工程、雒容南污水处理厂、中欧片污水泵站及收集管网等新开工项目；</w:t>
            </w:r>
          </w:p>
          <w:p>
            <w:pPr>
              <w:pStyle w:val="9"/>
              <w:ind w:firstLine="420" w:firstLineChars="200"/>
              <w:rPr>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花岭北污水提升泵站、花岭污水提升泵站、洛埠污水提升泵站、雒容污水提升泵站、中山街污水提升泵站、毗邻片污水提升泵站、官塘污水处理厂扩建等项目前期。</w:t>
            </w:r>
          </w:p>
        </w:tc>
      </w:tr>
    </w:tbl>
    <w:p>
      <w:pPr>
        <w:pStyle w:val="5"/>
        <w:spacing w:before="0" w:after="0" w:line="240" w:lineRule="auto"/>
        <w:ind w:firstLine="640" w:firstLineChars="200"/>
        <w:rPr>
          <w:rFonts w:ascii="黑体" w:hAnsi="黑体" w:eastAsia="黑体"/>
          <w:b w:val="0"/>
          <w:color w:val="000000" w:themeColor="text1"/>
          <w14:textFill>
            <w14:solidFill>
              <w14:schemeClr w14:val="tx1"/>
            </w14:solidFill>
          </w14:textFill>
        </w:rPr>
      </w:pPr>
      <w:bookmarkStart w:id="529" w:name="_Toc332201410"/>
      <w:bookmarkStart w:id="530" w:name="_Toc321864905"/>
      <w:bookmarkStart w:id="531" w:name="_Toc321385414"/>
      <w:bookmarkStart w:id="532" w:name="_Toc324862884"/>
      <w:bookmarkStart w:id="533" w:name="_Toc295658239"/>
      <w:bookmarkStart w:id="534" w:name="_Toc319943280"/>
      <w:bookmarkStart w:id="535" w:name="_Toc321356037"/>
      <w:bookmarkStart w:id="536" w:name="_Toc329166138"/>
      <w:r>
        <w:rPr>
          <w:rFonts w:hint="eastAsia" w:ascii="黑体" w:hAnsi="黑体" w:eastAsia="黑体"/>
          <w:b w:val="0"/>
          <w:color w:val="000000" w:themeColor="text1"/>
          <w14:textFill>
            <w14:solidFill>
              <w14:schemeClr w14:val="tx1"/>
            </w14:solidFill>
          </w14:textFill>
        </w:rPr>
        <w:t>二、</w:t>
      </w:r>
      <w:r>
        <w:rPr>
          <w:rFonts w:ascii="黑体" w:hAnsi="黑体" w:eastAsia="黑体"/>
          <w:b w:val="0"/>
          <w:color w:val="000000" w:themeColor="text1"/>
          <w14:textFill>
            <w14:solidFill>
              <w14:schemeClr w14:val="tx1"/>
            </w14:solidFill>
          </w14:textFill>
        </w:rPr>
        <w:t>推进</w:t>
      </w:r>
      <w:r>
        <w:rPr>
          <w:rFonts w:hint="eastAsia" w:ascii="黑体" w:hAnsi="黑体" w:eastAsia="黑体"/>
          <w:b w:val="0"/>
          <w:color w:val="000000" w:themeColor="text1"/>
          <w14:textFill>
            <w14:solidFill>
              <w14:schemeClr w14:val="tx1"/>
            </w14:solidFill>
          </w14:textFill>
        </w:rPr>
        <w:t>大</w:t>
      </w:r>
      <w:r>
        <w:rPr>
          <w:rFonts w:ascii="黑体" w:hAnsi="黑体" w:eastAsia="黑体"/>
          <w:b w:val="0"/>
          <w:color w:val="000000" w:themeColor="text1"/>
          <w14:textFill>
            <w14:solidFill>
              <w14:schemeClr w14:val="tx1"/>
            </w14:solidFill>
          </w14:textFill>
        </w:rPr>
        <w:t>气</w:t>
      </w:r>
      <w:r>
        <w:rPr>
          <w:rFonts w:hint="eastAsia" w:ascii="黑体" w:hAnsi="黑体" w:eastAsia="黑体"/>
          <w:b w:val="0"/>
          <w:color w:val="000000" w:themeColor="text1"/>
          <w14:textFill>
            <w14:solidFill>
              <w14:schemeClr w14:val="tx1"/>
            </w14:solidFill>
          </w14:textFill>
        </w:rPr>
        <w:t>噪声</w:t>
      </w:r>
      <w:r>
        <w:rPr>
          <w:rFonts w:ascii="黑体" w:hAnsi="黑体" w:eastAsia="黑体"/>
          <w:b w:val="0"/>
          <w:color w:val="000000" w:themeColor="text1"/>
          <w14:textFill>
            <w14:solidFill>
              <w14:schemeClr w14:val="tx1"/>
            </w14:solidFill>
          </w14:textFill>
        </w:rPr>
        <w:t>污染防治</w:t>
      </w:r>
    </w:p>
    <w:p>
      <w:pPr>
        <w:adjustRightInd w:val="0"/>
        <w:ind w:firstLine="640" w:firstLineChars="200"/>
        <w:rPr>
          <w:rFonts w:ascii="仿宋_GB2312" w:hAnsi="仿宋" w:eastAsia="仿宋_GB2312"/>
          <w:color w:val="000000" w:themeColor="text1"/>
          <w:sz w:val="32"/>
          <w:szCs w:val="32"/>
          <w14:textFill>
            <w14:solidFill>
              <w14:schemeClr w14:val="tx1"/>
            </w14:solidFill>
          </w14:textFill>
        </w:rPr>
      </w:pPr>
      <w:r>
        <w:rPr>
          <w:rFonts w:ascii="仿宋_GB2312" w:hAnsi="仿宋" w:eastAsia="仿宋_GB2312"/>
          <w:color w:val="000000" w:themeColor="text1"/>
          <w:sz w:val="32"/>
          <w:szCs w:val="32"/>
          <w14:textFill>
            <w14:solidFill>
              <w14:schemeClr w14:val="tx1"/>
            </w14:solidFill>
          </w14:textFill>
        </w:rPr>
        <w:t>打赢蓝天保卫战，</w:t>
      </w:r>
      <w:r>
        <w:rPr>
          <w:rFonts w:hint="eastAsia" w:ascii="仿宋_GB2312" w:hAnsi="仿宋" w:eastAsia="仿宋_GB2312"/>
          <w:color w:val="000000" w:themeColor="text1"/>
          <w:sz w:val="32"/>
          <w:szCs w:val="32"/>
          <w14:textFill>
            <w14:solidFill>
              <w14:schemeClr w14:val="tx1"/>
            </w14:solidFill>
          </w14:textFill>
        </w:rPr>
        <w:t>全面整治工业生产及基础建设排放的大气污染物，建立工业大气污染第三方“在线监测+线下巡查”的闭环管理模式。着重开展汽车、机械制造、工业涂装等生产行业挥发性有机气体治理，加强对臭氧排放浓度的监管。强力落实扬尘防控措施，加强</w:t>
      </w:r>
      <w:r>
        <w:rPr>
          <w:rFonts w:ascii="仿宋_GB2312" w:hAnsi="仿宋" w:eastAsia="仿宋_GB2312"/>
          <w:color w:val="000000" w:themeColor="text1"/>
          <w:sz w:val="32"/>
          <w:szCs w:val="32"/>
          <w14:textFill>
            <w14:solidFill>
              <w14:schemeClr w14:val="tx1"/>
            </w14:solidFill>
          </w14:textFill>
        </w:rPr>
        <w:t>道路扬尘</w:t>
      </w:r>
      <w:r>
        <w:rPr>
          <w:rFonts w:hint="eastAsia" w:ascii="仿宋_GB2312" w:hAnsi="仿宋" w:eastAsia="仿宋_GB2312"/>
          <w:color w:val="000000" w:themeColor="text1"/>
          <w:sz w:val="32"/>
          <w:szCs w:val="32"/>
          <w14:textFill>
            <w14:solidFill>
              <w14:schemeClr w14:val="tx1"/>
            </w14:solidFill>
          </w14:textFill>
        </w:rPr>
        <w:t>、</w:t>
      </w:r>
      <w:r>
        <w:rPr>
          <w:rFonts w:ascii="仿宋_GB2312" w:hAnsi="仿宋" w:eastAsia="仿宋_GB2312"/>
          <w:color w:val="000000" w:themeColor="text1"/>
          <w:sz w:val="32"/>
          <w:szCs w:val="32"/>
          <w14:textFill>
            <w14:solidFill>
              <w14:schemeClr w14:val="tx1"/>
            </w14:solidFill>
          </w14:textFill>
        </w:rPr>
        <w:t>施工扬尘</w:t>
      </w:r>
      <w:r>
        <w:rPr>
          <w:rFonts w:hint="eastAsia" w:ascii="仿宋_GB2312" w:hAnsi="仿宋" w:eastAsia="仿宋_GB2312"/>
          <w:color w:val="000000" w:themeColor="text1"/>
          <w:sz w:val="32"/>
          <w:szCs w:val="32"/>
          <w14:textFill>
            <w14:solidFill>
              <w14:schemeClr w14:val="tx1"/>
            </w14:solidFill>
          </w14:textFill>
        </w:rPr>
        <w:t>的</w:t>
      </w:r>
      <w:r>
        <w:rPr>
          <w:rFonts w:ascii="仿宋_GB2312" w:hAnsi="仿宋" w:eastAsia="仿宋_GB2312"/>
          <w:color w:val="000000" w:themeColor="text1"/>
          <w:sz w:val="32"/>
          <w:szCs w:val="32"/>
          <w14:textFill>
            <w14:solidFill>
              <w14:schemeClr w14:val="tx1"/>
            </w14:solidFill>
          </w14:textFill>
        </w:rPr>
        <w:t>污染</w:t>
      </w:r>
      <w:r>
        <w:rPr>
          <w:rFonts w:hint="eastAsia" w:ascii="仿宋_GB2312" w:hAnsi="仿宋" w:eastAsia="仿宋_GB2312"/>
          <w:color w:val="000000" w:themeColor="text1"/>
          <w:sz w:val="32"/>
          <w:szCs w:val="32"/>
          <w14:textFill>
            <w14:solidFill>
              <w14:schemeClr w14:val="tx1"/>
            </w14:solidFill>
          </w14:textFill>
        </w:rPr>
        <w:t>控制，狠抓工地</w:t>
      </w:r>
      <w:r>
        <w:rPr>
          <w:rFonts w:ascii="仿宋_GB2312" w:hAnsi="仿宋" w:eastAsia="仿宋_GB2312"/>
          <w:color w:val="000000" w:themeColor="text1"/>
          <w:sz w:val="32"/>
          <w:szCs w:val="32"/>
          <w14:textFill>
            <w14:solidFill>
              <w14:schemeClr w14:val="tx1"/>
            </w14:solidFill>
          </w14:textFill>
        </w:rPr>
        <w:t>污染防治</w:t>
      </w:r>
      <w:r>
        <w:rPr>
          <w:rFonts w:hint="eastAsia" w:ascii="仿宋_GB2312" w:hAnsi="仿宋" w:eastAsia="仿宋_GB2312"/>
          <w:color w:val="000000" w:themeColor="text1"/>
          <w:sz w:val="32"/>
          <w:szCs w:val="32"/>
          <w14:textFill>
            <w14:solidFill>
              <w14:schemeClr w14:val="tx1"/>
            </w14:solidFill>
          </w14:textFill>
        </w:rPr>
        <w:t>，堵疏结合推进秸秆禁烧。强化机动车尾气治理，加快推进公务车、执法车、工程车等纯电动化。以PM2.5和臭氧污染防治为重点，建立重污染天气监测预警体系，实现污染区域联防联控联治。严控噪声污染严重的企业，掌握新区噪声污染企业名录，</w:t>
      </w:r>
      <w:r>
        <w:rPr>
          <w:rFonts w:ascii="仿宋_GB2312" w:hAnsi="仿宋" w:eastAsia="仿宋_GB2312"/>
          <w:color w:val="000000" w:themeColor="text1"/>
          <w:sz w:val="32"/>
          <w:szCs w:val="32"/>
          <w14:textFill>
            <w14:solidFill>
              <w14:schemeClr w14:val="tx1"/>
            </w14:solidFill>
          </w14:textFill>
        </w:rPr>
        <w:t>降低厂区噪声污染。</w:t>
      </w:r>
      <w:r>
        <w:rPr>
          <w:rFonts w:hint="eastAsia" w:ascii="仿宋_GB2312" w:hAnsi="仿宋" w:eastAsia="仿宋_GB2312"/>
          <w:color w:val="000000" w:themeColor="text1"/>
          <w:sz w:val="32"/>
          <w:szCs w:val="32"/>
          <w14:textFill>
            <w14:solidFill>
              <w14:schemeClr w14:val="tx1"/>
            </w14:solidFill>
          </w14:textFill>
        </w:rPr>
        <w:t>加强</w:t>
      </w:r>
      <w:r>
        <w:rPr>
          <w:rFonts w:ascii="仿宋_GB2312" w:hAnsi="仿宋" w:eastAsia="仿宋_GB2312"/>
          <w:color w:val="000000" w:themeColor="text1"/>
          <w:sz w:val="32"/>
          <w:szCs w:val="32"/>
          <w14:textFill>
            <w14:solidFill>
              <w14:schemeClr w14:val="tx1"/>
            </w14:solidFill>
          </w14:textFill>
        </w:rPr>
        <w:t>交通噪声防治</w:t>
      </w:r>
      <w:r>
        <w:rPr>
          <w:rFonts w:hint="eastAsia" w:ascii="仿宋_GB2312" w:hAnsi="仿宋" w:eastAsia="仿宋_GB2312"/>
          <w:color w:val="000000" w:themeColor="text1"/>
          <w:sz w:val="32"/>
          <w:szCs w:val="32"/>
          <w14:textFill>
            <w14:solidFill>
              <w14:schemeClr w14:val="tx1"/>
            </w14:solidFill>
          </w14:textFill>
        </w:rPr>
        <w:t>，加强绿化屏障阻隔道路噪声扩散，促进主干道路面采用多孔隙沥青路面的降噪改造。加强</w:t>
      </w:r>
      <w:r>
        <w:rPr>
          <w:rFonts w:ascii="仿宋_GB2312" w:hAnsi="仿宋" w:eastAsia="仿宋_GB2312"/>
          <w:color w:val="000000" w:themeColor="text1"/>
          <w:sz w:val="32"/>
          <w:szCs w:val="32"/>
          <w14:textFill>
            <w14:solidFill>
              <w14:schemeClr w14:val="tx1"/>
            </w14:solidFill>
          </w14:textFill>
        </w:rPr>
        <w:t>重点工地监管，</w:t>
      </w:r>
      <w:r>
        <w:rPr>
          <w:rFonts w:hint="eastAsia" w:ascii="仿宋_GB2312" w:hAnsi="仿宋" w:eastAsia="仿宋_GB2312"/>
          <w:color w:val="000000" w:themeColor="text1"/>
          <w:sz w:val="32"/>
          <w:szCs w:val="32"/>
          <w14:textFill>
            <w14:solidFill>
              <w14:schemeClr w14:val="tx1"/>
            </w14:solidFill>
          </w14:textFill>
        </w:rPr>
        <w:t>加大夜间施工管控力度，</w:t>
      </w:r>
      <w:r>
        <w:rPr>
          <w:rFonts w:ascii="仿宋_GB2312" w:hAnsi="仿宋" w:eastAsia="仿宋_GB2312"/>
          <w:color w:val="000000" w:themeColor="text1"/>
          <w:sz w:val="32"/>
          <w:szCs w:val="32"/>
          <w14:textFill>
            <w14:solidFill>
              <w14:schemeClr w14:val="tx1"/>
            </w14:solidFill>
          </w14:textFill>
        </w:rPr>
        <w:t>加强</w:t>
      </w:r>
      <w:r>
        <w:rPr>
          <w:rFonts w:hint="eastAsia" w:ascii="仿宋_GB2312" w:hAnsi="仿宋" w:eastAsia="仿宋_GB2312"/>
          <w:color w:val="000000" w:themeColor="text1"/>
          <w:sz w:val="32"/>
          <w:szCs w:val="32"/>
          <w14:textFill>
            <w14:solidFill>
              <w14:schemeClr w14:val="tx1"/>
            </w14:solidFill>
          </w14:textFill>
        </w:rPr>
        <w:t>工地</w:t>
      </w:r>
      <w:r>
        <w:rPr>
          <w:rFonts w:ascii="仿宋_GB2312" w:hAnsi="仿宋" w:eastAsia="仿宋_GB2312"/>
          <w:color w:val="000000" w:themeColor="text1"/>
          <w:sz w:val="32"/>
          <w:szCs w:val="32"/>
          <w14:textFill>
            <w14:solidFill>
              <w14:schemeClr w14:val="tx1"/>
            </w14:solidFill>
          </w14:textFill>
        </w:rPr>
        <w:t>噪声防治。</w:t>
      </w:r>
      <w:r>
        <w:rPr>
          <w:rFonts w:hint="eastAsia" w:ascii="仿宋_GB2312" w:hAnsi="仿宋" w:eastAsia="仿宋_GB2312"/>
          <w:color w:val="000000" w:themeColor="text1"/>
          <w:sz w:val="32"/>
          <w:szCs w:val="32"/>
          <w14:textFill>
            <w14:solidFill>
              <w14:schemeClr w14:val="tx1"/>
            </w14:solidFill>
          </w14:textFill>
        </w:rPr>
        <w:t>加强社区噪声管理宣传，</w:t>
      </w:r>
      <w:r>
        <w:rPr>
          <w:rFonts w:ascii="仿宋_GB2312" w:hAnsi="仿宋" w:eastAsia="仿宋_GB2312"/>
          <w:color w:val="000000" w:themeColor="text1"/>
          <w:sz w:val="32"/>
          <w:szCs w:val="32"/>
          <w14:textFill>
            <w14:solidFill>
              <w14:schemeClr w14:val="tx1"/>
            </w14:solidFill>
          </w14:textFill>
        </w:rPr>
        <w:t>严格限制噪声敏感区域产生</w:t>
      </w:r>
      <w:r>
        <w:rPr>
          <w:rFonts w:hint="eastAsia" w:ascii="仿宋_GB2312" w:hAnsi="仿宋" w:eastAsia="仿宋_GB2312"/>
          <w:color w:val="000000" w:themeColor="text1"/>
          <w:sz w:val="32"/>
          <w:szCs w:val="32"/>
          <w14:textFill>
            <w14:solidFill>
              <w14:schemeClr w14:val="tx1"/>
            </w14:solidFill>
          </w14:textFill>
        </w:rPr>
        <w:t>高</w:t>
      </w:r>
      <w:r>
        <w:rPr>
          <w:rFonts w:ascii="仿宋_GB2312" w:hAnsi="仿宋" w:eastAsia="仿宋_GB2312"/>
          <w:color w:val="000000" w:themeColor="text1"/>
          <w:sz w:val="32"/>
          <w:szCs w:val="32"/>
          <w14:textFill>
            <w14:solidFill>
              <w14:schemeClr w14:val="tx1"/>
            </w14:solidFill>
          </w14:textFill>
        </w:rPr>
        <w:t>噪声的活动。</w:t>
      </w:r>
    </w:p>
    <w:p>
      <w:pPr>
        <w:pStyle w:val="5"/>
        <w:spacing w:before="0" w:after="0" w:line="240" w:lineRule="auto"/>
        <w:ind w:firstLine="640" w:firstLineChars="200"/>
        <w:rPr>
          <w:rFonts w:ascii="黑体" w:hAnsi="黑体" w:eastAsia="黑体"/>
          <w:b w:val="0"/>
          <w:color w:val="000000" w:themeColor="text1"/>
          <w14:textFill>
            <w14:solidFill>
              <w14:schemeClr w14:val="tx1"/>
            </w14:solidFill>
          </w14:textFill>
        </w:rPr>
      </w:pPr>
      <w:r>
        <w:rPr>
          <w:rFonts w:hint="eastAsia" w:ascii="黑体" w:hAnsi="黑体" w:eastAsia="黑体"/>
          <w:b w:val="0"/>
          <w:color w:val="000000" w:themeColor="text1"/>
          <w14:textFill>
            <w14:solidFill>
              <w14:schemeClr w14:val="tx1"/>
            </w14:solidFill>
          </w14:textFill>
        </w:rPr>
        <w:t>三、扎实开展“无废城市”建设</w:t>
      </w:r>
    </w:p>
    <w:p>
      <w:pPr>
        <w:adjustRightInd w:val="0"/>
        <w:ind w:firstLine="640" w:firstLineChars="200"/>
        <w:rPr>
          <w:rFonts w:ascii="仿宋_GB2312" w:hAnsi="仿宋" w:eastAsia="仿宋_GB2312"/>
          <w:color w:val="000000" w:themeColor="text1"/>
          <w:sz w:val="32"/>
          <w:szCs w:val="32"/>
          <w14:textFill>
            <w14:solidFill>
              <w14:schemeClr w14:val="tx1"/>
            </w14:solidFill>
          </w14:textFill>
        </w:rPr>
      </w:pPr>
      <w:r>
        <w:rPr>
          <w:rFonts w:hint="eastAsia" w:ascii="仿宋_GB2312" w:hAnsi="仿宋" w:eastAsia="仿宋_GB2312"/>
          <w:color w:val="000000" w:themeColor="text1"/>
          <w:sz w:val="32"/>
          <w:szCs w:val="32"/>
          <w14:textFill>
            <w14:solidFill>
              <w14:schemeClr w14:val="tx1"/>
            </w14:solidFill>
          </w14:textFill>
        </w:rPr>
        <w:t>对标国内国际先进标杆，实行减量、处置、执法、管控四轮并驱，争创柳州“无废城市”建设示范区，实现工业废物、建筑垃圾、生活垃圾等“城市三废”全口径无害化处理。全面压实生产企业固体废物分类收集与处置责任，确保固体废物得到安全妥善处理处置。加强建筑垃圾管控，减少工程建设过程建筑垃圾的产生和排放，提高对建筑垃圾再生品的有效利用，探索建设柳东新区环境治理技术应用示范基地。严格落实《柳州市生活垃圾分类管理条例》，实行垃圾收运强制分类全覆盖，到2025年基本建成垃圾分类处理系统。建设粪污集中处理厂、大型生活垃圾转运站，大力推动固体废物、危险废物处理处置设施规划和建设。到2025年，工业固体废物安全处置率100%，废弃产品规范回收与循环利用率50%，危险废弃物处理处置率保持100%，城市生活垃圾无害化处理率100%。</w:t>
      </w:r>
    </w:p>
    <w:p>
      <w:pPr>
        <w:pStyle w:val="5"/>
        <w:spacing w:before="0" w:after="0" w:line="240" w:lineRule="auto"/>
        <w:ind w:firstLine="640" w:firstLineChars="200"/>
        <w:rPr>
          <w:rFonts w:ascii="黑体" w:hAnsi="黑体" w:eastAsia="黑体"/>
          <w:color w:val="000000" w:themeColor="text1"/>
          <w14:textFill>
            <w14:solidFill>
              <w14:schemeClr w14:val="tx1"/>
            </w14:solidFill>
          </w14:textFill>
        </w:rPr>
      </w:pPr>
      <w:r>
        <w:rPr>
          <w:rFonts w:hint="eastAsia" w:ascii="黑体" w:hAnsi="黑体" w:eastAsia="黑体"/>
          <w:b w:val="0"/>
          <w:color w:val="000000" w:themeColor="text1"/>
          <w14:textFill>
            <w14:solidFill>
              <w14:schemeClr w14:val="tx1"/>
            </w14:solidFill>
          </w14:textFill>
        </w:rPr>
        <w:t>四</w:t>
      </w:r>
      <w:r>
        <w:rPr>
          <w:rFonts w:ascii="黑体" w:hAnsi="黑体" w:eastAsia="黑体"/>
          <w:b w:val="0"/>
          <w:color w:val="000000" w:themeColor="text1"/>
          <w14:textFill>
            <w14:solidFill>
              <w14:schemeClr w14:val="tx1"/>
            </w14:solidFill>
          </w14:textFill>
        </w:rPr>
        <w:t>、</w:t>
      </w:r>
      <w:r>
        <w:rPr>
          <w:rFonts w:hint="eastAsia" w:ascii="黑体" w:hAnsi="黑体" w:eastAsia="黑体"/>
          <w:b w:val="0"/>
          <w:color w:val="000000" w:themeColor="text1"/>
          <w14:textFill>
            <w14:solidFill>
              <w14:schemeClr w14:val="tx1"/>
            </w14:solidFill>
          </w14:textFill>
        </w:rPr>
        <w:t>着力提高</w:t>
      </w:r>
      <w:r>
        <w:rPr>
          <w:rFonts w:ascii="黑体" w:hAnsi="黑体" w:eastAsia="黑体"/>
          <w:b w:val="0"/>
          <w:color w:val="000000" w:themeColor="text1"/>
          <w14:textFill>
            <w14:solidFill>
              <w14:schemeClr w14:val="tx1"/>
            </w14:solidFill>
          </w14:textFill>
        </w:rPr>
        <w:t>土壤</w:t>
      </w:r>
      <w:r>
        <w:rPr>
          <w:rFonts w:hint="eastAsia" w:ascii="黑体" w:hAnsi="黑体" w:eastAsia="黑体"/>
          <w:b w:val="0"/>
          <w:color w:val="000000" w:themeColor="text1"/>
          <w14:textFill>
            <w14:solidFill>
              <w14:schemeClr w14:val="tx1"/>
            </w14:solidFill>
          </w14:textFill>
        </w:rPr>
        <w:t>环境质量</w:t>
      </w:r>
    </w:p>
    <w:p>
      <w:pPr>
        <w:adjustRightInd w:val="0"/>
        <w:ind w:firstLine="640" w:firstLineChars="200"/>
        <w:rPr>
          <w:rFonts w:ascii="仿宋_GB2312" w:hAnsi="仿宋" w:eastAsia="仿宋_GB2312"/>
          <w:color w:val="000000" w:themeColor="text1"/>
          <w:sz w:val="32"/>
          <w:szCs w:val="32"/>
          <w14:textFill>
            <w14:solidFill>
              <w14:schemeClr w14:val="tx1"/>
            </w14:solidFill>
          </w14:textFill>
        </w:rPr>
      </w:pPr>
      <w:r>
        <w:rPr>
          <w:rFonts w:hint="eastAsia" w:ascii="仿宋_GB2312" w:hAnsi="仿宋" w:eastAsia="仿宋_GB2312"/>
          <w:color w:val="000000" w:themeColor="text1"/>
          <w:sz w:val="32"/>
          <w:szCs w:val="32"/>
          <w14:textFill>
            <w14:solidFill>
              <w14:schemeClr w14:val="tx1"/>
            </w14:solidFill>
          </w14:textFill>
        </w:rPr>
        <w:t>积极开展重点</w:t>
      </w:r>
      <w:r>
        <w:rPr>
          <w:rFonts w:ascii="仿宋_GB2312" w:hAnsi="仿宋" w:eastAsia="仿宋_GB2312"/>
          <w:color w:val="000000" w:themeColor="text1"/>
          <w:sz w:val="32"/>
          <w:szCs w:val="32"/>
          <w14:textFill>
            <w14:solidFill>
              <w14:schemeClr w14:val="tx1"/>
            </w14:solidFill>
          </w14:textFill>
        </w:rPr>
        <w:t>建设用地、重点行业企业用地等</w:t>
      </w:r>
      <w:r>
        <w:rPr>
          <w:rFonts w:hint="eastAsia" w:ascii="仿宋_GB2312" w:hAnsi="仿宋" w:eastAsia="仿宋_GB2312"/>
          <w:color w:val="000000" w:themeColor="text1"/>
          <w:sz w:val="32"/>
          <w:szCs w:val="32"/>
          <w14:textFill>
            <w14:solidFill>
              <w14:schemeClr w14:val="tx1"/>
            </w14:solidFill>
          </w14:textFill>
        </w:rPr>
        <w:t>土壤环境质量调查，建立建设用地污染地块清单和集中式饮用水水源地潜在风险地块清单，推动</w:t>
      </w:r>
      <w:r>
        <w:rPr>
          <w:rFonts w:ascii="仿宋_GB2312" w:hAnsi="仿宋" w:eastAsia="仿宋_GB2312"/>
          <w:color w:val="000000" w:themeColor="text1"/>
          <w:sz w:val="32"/>
          <w:szCs w:val="32"/>
          <w14:textFill>
            <w14:solidFill>
              <w14:schemeClr w14:val="tx1"/>
            </w14:solidFill>
          </w14:textFill>
        </w:rPr>
        <w:t>完成</w:t>
      </w:r>
      <w:r>
        <w:rPr>
          <w:rFonts w:hint="eastAsia" w:ascii="仿宋_GB2312" w:hAnsi="仿宋" w:eastAsia="仿宋_GB2312"/>
          <w:color w:val="000000" w:themeColor="text1"/>
          <w:sz w:val="32"/>
          <w:szCs w:val="32"/>
          <w14:textFill>
            <w14:solidFill>
              <w14:schemeClr w14:val="tx1"/>
            </w14:solidFill>
          </w14:textFill>
        </w:rPr>
        <w:t>农用地土壤环境质量类别划分。推动土壤建设用地分用途管理，集中式饮用水水源地分级管理，农用地土壤分类管理。加快</w:t>
      </w:r>
      <w:r>
        <w:rPr>
          <w:rFonts w:ascii="仿宋_GB2312" w:hAnsi="仿宋" w:eastAsia="仿宋_GB2312"/>
          <w:color w:val="000000" w:themeColor="text1"/>
          <w:sz w:val="32"/>
          <w:szCs w:val="32"/>
          <w14:textFill>
            <w14:solidFill>
              <w14:schemeClr w14:val="tx1"/>
            </w14:solidFill>
          </w14:textFill>
        </w:rPr>
        <w:t>推动</w:t>
      </w:r>
      <w:r>
        <w:rPr>
          <w:rFonts w:hint="eastAsia" w:ascii="仿宋_GB2312" w:hAnsi="仿宋" w:eastAsia="仿宋_GB2312"/>
          <w:color w:val="000000" w:themeColor="text1"/>
          <w:sz w:val="32"/>
          <w:szCs w:val="32"/>
          <w14:textFill>
            <w14:solidFill>
              <w14:schemeClr w14:val="tx1"/>
            </w14:solidFill>
          </w14:textFill>
        </w:rPr>
        <w:t>“一地一策”土壤污染整治，在重点行业和区域分步实施土壤污染治理和修复，促进土壤环境污染修复，提高受污染土地安全利用率。坚持“资源化、无害化、低碳节能、安全环保、因地制宜”的原则，推动污水处理剩余污泥用于土地再利用。完善土壤污染快速检测等调查取证和执法装备配备，加强土壤污染防治培训，提高土壤环境质量监督执法水平。</w:t>
      </w:r>
    </w:p>
    <w:bookmarkEnd w:id="529"/>
    <w:bookmarkEnd w:id="530"/>
    <w:bookmarkEnd w:id="531"/>
    <w:bookmarkEnd w:id="532"/>
    <w:bookmarkEnd w:id="533"/>
    <w:bookmarkEnd w:id="534"/>
    <w:bookmarkEnd w:id="535"/>
    <w:bookmarkEnd w:id="536"/>
    <w:p>
      <w:pPr>
        <w:pStyle w:val="4"/>
        <w:jc w:val="center"/>
        <w:rPr>
          <w:rFonts w:hint="eastAsia" w:ascii="黑体" w:hAnsi="黑体" w:eastAsia="黑体" w:cs="Times New Roman"/>
          <w:b w:val="0"/>
          <w:color w:val="000000" w:themeColor="text1"/>
          <w14:textFill>
            <w14:solidFill>
              <w14:schemeClr w14:val="tx1"/>
            </w14:solidFill>
          </w14:textFill>
        </w:rPr>
      </w:pPr>
      <w:bookmarkStart w:id="537" w:name="_Toc8156"/>
      <w:bookmarkStart w:id="538" w:name="_Toc16896"/>
      <w:bookmarkStart w:id="539" w:name="_Toc75341689"/>
      <w:bookmarkStart w:id="540" w:name="_Toc27583"/>
      <w:bookmarkStart w:id="541" w:name="_Toc6010"/>
      <w:bookmarkStart w:id="542" w:name="_Toc28532"/>
      <w:bookmarkStart w:id="543" w:name="_Toc3472"/>
      <w:bookmarkStart w:id="544" w:name="_Toc11346"/>
      <w:bookmarkStart w:id="545" w:name="_Toc15274"/>
      <w:bookmarkStart w:id="546" w:name="_Toc12908"/>
      <w:bookmarkStart w:id="547" w:name="_Toc16255"/>
      <w:bookmarkStart w:id="548" w:name="_Toc9228"/>
      <w:bookmarkStart w:id="549" w:name="_Toc26424"/>
      <w:bookmarkStart w:id="550" w:name="_Toc13632"/>
      <w:bookmarkStart w:id="551" w:name="_Toc21270"/>
      <w:bookmarkStart w:id="552" w:name="_Toc28039"/>
      <w:bookmarkStart w:id="553" w:name="_Toc9654"/>
      <w:bookmarkStart w:id="554" w:name="_Toc29687"/>
      <w:bookmarkStart w:id="555" w:name="_Toc31648"/>
      <w:bookmarkStart w:id="556" w:name="_Toc15359"/>
      <w:bookmarkStart w:id="557" w:name="_Toc23113"/>
      <w:bookmarkStart w:id="558" w:name="_Toc12821"/>
      <w:bookmarkStart w:id="559" w:name="_Toc18225"/>
      <w:bookmarkStart w:id="560" w:name="_Toc102"/>
      <w:r>
        <w:rPr>
          <w:rFonts w:hint="eastAsia" w:ascii="黑体" w:hAnsi="黑体" w:eastAsia="黑体" w:cs="Times New Roman"/>
          <w:b w:val="0"/>
          <w:color w:val="000000" w:themeColor="text1"/>
          <w14:textFill>
            <w14:solidFill>
              <w14:schemeClr w14:val="tx1"/>
            </w14:solidFill>
          </w14:textFill>
        </w:rPr>
        <w:t>第三节 积极推动绿色低碳发展</w:t>
      </w:r>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p>
    <w:p>
      <w:pPr>
        <w:pStyle w:val="5"/>
        <w:spacing w:before="0" w:after="0" w:line="240" w:lineRule="auto"/>
        <w:ind w:firstLine="640" w:firstLineChars="200"/>
        <w:rPr>
          <w:rFonts w:ascii="黑体" w:hAnsi="黑体" w:eastAsia="黑体"/>
          <w:b w:val="0"/>
          <w:color w:val="000000" w:themeColor="text1"/>
          <w14:textFill>
            <w14:solidFill>
              <w14:schemeClr w14:val="tx1"/>
            </w14:solidFill>
          </w14:textFill>
        </w:rPr>
      </w:pPr>
      <w:r>
        <w:rPr>
          <w:rFonts w:ascii="黑体" w:hAnsi="黑体" w:eastAsia="黑体"/>
          <w:b w:val="0"/>
          <w:color w:val="000000" w:themeColor="text1"/>
          <w14:textFill>
            <w14:solidFill>
              <w14:schemeClr w14:val="tx1"/>
            </w14:solidFill>
          </w14:textFill>
        </w:rPr>
        <w:t>一、推广绿色生产方式</w:t>
      </w:r>
    </w:p>
    <w:p>
      <w:pPr>
        <w:adjustRightInd w:val="0"/>
        <w:snapToGrid w:val="0"/>
        <w:spacing w:line="360" w:lineRule="auto"/>
        <w:ind w:firstLine="640" w:firstLineChars="200"/>
        <w:rPr>
          <w:rFonts w:ascii="仿宋_GB2312" w:hAnsi="仿宋" w:eastAsia="仿宋_GB2312"/>
          <w:color w:val="000000" w:themeColor="text1"/>
          <w:sz w:val="32"/>
          <w:szCs w:val="32"/>
          <w14:textFill>
            <w14:solidFill>
              <w14:schemeClr w14:val="tx1"/>
            </w14:solidFill>
          </w14:textFill>
        </w:rPr>
      </w:pPr>
      <w:r>
        <w:rPr>
          <w:rFonts w:ascii="仿宋_GB2312" w:hAnsi="仿宋" w:eastAsia="仿宋_GB2312"/>
          <w:color w:val="000000" w:themeColor="text1"/>
          <w:sz w:val="32"/>
          <w:szCs w:val="32"/>
          <w14:textFill>
            <w14:solidFill>
              <w14:schemeClr w14:val="tx1"/>
            </w14:solidFill>
          </w14:textFill>
        </w:rPr>
        <w:t>丰富绿色发展内涵，支撑新区可持续发展</w:t>
      </w:r>
      <w:r>
        <w:rPr>
          <w:rFonts w:hint="eastAsia" w:ascii="仿宋_GB2312" w:hAnsi="仿宋" w:eastAsia="仿宋_GB2312"/>
          <w:color w:val="000000" w:themeColor="text1"/>
          <w:sz w:val="32"/>
          <w:szCs w:val="32"/>
          <w14:textFill>
            <w14:solidFill>
              <w14:schemeClr w14:val="tx1"/>
            </w14:solidFill>
          </w14:textFill>
        </w:rPr>
        <w:t>。</w:t>
      </w:r>
      <w:r>
        <w:rPr>
          <w:rFonts w:ascii="仿宋_GB2312" w:hAnsi="仿宋" w:eastAsia="仿宋_GB2312"/>
          <w:color w:val="000000" w:themeColor="text1"/>
          <w:sz w:val="32"/>
          <w:szCs w:val="32"/>
          <w14:textFill>
            <w14:solidFill>
              <w14:schemeClr w14:val="tx1"/>
            </w14:solidFill>
          </w14:textFill>
        </w:rPr>
        <w:t>严格执行产业园区</w:t>
      </w:r>
      <w:r>
        <w:rPr>
          <w:rFonts w:hint="eastAsia" w:ascii="仿宋_GB2312" w:hAnsi="仿宋" w:eastAsia="仿宋_GB2312"/>
          <w:color w:val="000000" w:themeColor="text1"/>
          <w:sz w:val="32"/>
          <w:szCs w:val="32"/>
          <w14:textFill>
            <w14:solidFill>
              <w14:schemeClr w14:val="tx1"/>
            </w14:solidFill>
          </w14:textFill>
        </w:rPr>
        <w:t>能耗、用地、环保、安全、质量标准</w:t>
      </w:r>
      <w:r>
        <w:rPr>
          <w:rFonts w:ascii="仿宋_GB2312" w:hAnsi="仿宋" w:eastAsia="仿宋_GB2312"/>
          <w:color w:val="000000" w:themeColor="text1"/>
          <w:sz w:val="32"/>
          <w:szCs w:val="32"/>
          <w14:textFill>
            <w14:solidFill>
              <w14:schemeClr w14:val="tx1"/>
            </w14:solidFill>
          </w14:textFill>
        </w:rPr>
        <w:t>，</w:t>
      </w:r>
      <w:r>
        <w:rPr>
          <w:rFonts w:hint="eastAsia" w:ascii="仿宋_GB2312" w:hAnsi="仿宋" w:eastAsia="仿宋_GB2312"/>
          <w:color w:val="000000" w:themeColor="text1"/>
          <w:sz w:val="32"/>
          <w:szCs w:val="32"/>
          <w14:textFill>
            <w14:solidFill>
              <w14:schemeClr w14:val="tx1"/>
            </w14:solidFill>
          </w14:textFill>
        </w:rPr>
        <w:t>全面深化</w:t>
      </w:r>
      <w:r>
        <w:rPr>
          <w:rFonts w:eastAsia="仿宋_GB2312"/>
          <w:color w:val="000000" w:themeColor="text1"/>
          <w:sz w:val="32"/>
          <w:szCs w:val="32"/>
          <w14:textFill>
            <w14:solidFill>
              <w14:schemeClr w14:val="tx1"/>
            </w14:solidFill>
          </w14:textFill>
        </w:rPr>
        <w:t>国家级绿色工业园区</w:t>
      </w:r>
      <w:r>
        <w:rPr>
          <w:rFonts w:hint="eastAsia" w:ascii="仿宋_GB2312" w:hAnsi="仿宋" w:eastAsia="仿宋_GB2312"/>
          <w:color w:val="000000" w:themeColor="text1"/>
          <w:sz w:val="32"/>
          <w:szCs w:val="32"/>
          <w14:textFill>
            <w14:solidFill>
              <w14:schemeClr w14:val="tx1"/>
            </w14:solidFill>
          </w14:textFill>
        </w:rPr>
        <w:t>建设，不断强化建设方案实施，争取实现预期成效。引导产业发展与生态环境相互促进，推动企业技术设备更新升级和绿色化改造，实施产业集群和工业园区绿色化循环化升级改造。</w:t>
      </w:r>
      <w:r>
        <w:rPr>
          <w:rFonts w:ascii="仿宋_GB2312" w:hAnsi="仿宋" w:eastAsia="仿宋_GB2312"/>
          <w:color w:val="000000" w:themeColor="text1"/>
          <w:sz w:val="32"/>
          <w:szCs w:val="32"/>
          <w14:textFill>
            <w14:solidFill>
              <w14:schemeClr w14:val="tx1"/>
            </w14:solidFill>
          </w14:textFill>
        </w:rPr>
        <w:t>推出一批低碳经济发展示范工程，筛选1-2家低碳技术示范企业，发挥示范带动效应。</w:t>
      </w:r>
      <w:r>
        <w:rPr>
          <w:rFonts w:hint="eastAsia" w:ascii="仿宋_GB2312" w:hAnsi="仿宋" w:eastAsia="仿宋_GB2312"/>
          <w:color w:val="000000" w:themeColor="text1"/>
          <w:sz w:val="32"/>
          <w:szCs w:val="32"/>
          <w14:textFill>
            <w14:solidFill>
              <w14:schemeClr w14:val="tx1"/>
            </w14:solidFill>
          </w14:textFill>
        </w:rPr>
        <w:t>坚持分类处置，通过整合、提升、治理等手段，持续</w:t>
      </w:r>
      <w:r>
        <w:rPr>
          <w:rFonts w:ascii="仿宋_GB2312" w:hAnsi="仿宋" w:eastAsia="仿宋_GB2312"/>
          <w:color w:val="000000" w:themeColor="text1"/>
          <w:sz w:val="32"/>
          <w:szCs w:val="32"/>
          <w14:textFill>
            <w14:solidFill>
              <w14:schemeClr w14:val="tx1"/>
            </w14:solidFill>
          </w14:textFill>
        </w:rPr>
        <w:t>推进“散乱污”企业整治工作</w:t>
      </w:r>
      <w:r>
        <w:rPr>
          <w:rFonts w:hint="eastAsia" w:ascii="仿宋_GB2312" w:hAnsi="仿宋" w:eastAsia="仿宋_GB2312"/>
          <w:color w:val="000000" w:themeColor="text1"/>
          <w:sz w:val="32"/>
          <w:szCs w:val="32"/>
          <w14:textFill>
            <w14:solidFill>
              <w14:schemeClr w14:val="tx1"/>
            </w14:solidFill>
          </w14:textFill>
        </w:rPr>
        <w:t>。</w:t>
      </w:r>
      <w:r>
        <w:rPr>
          <w:rFonts w:ascii="仿宋_GB2312" w:hAnsi="仿宋" w:eastAsia="仿宋_GB2312"/>
          <w:color w:val="000000" w:themeColor="text1"/>
          <w:sz w:val="32"/>
          <w:szCs w:val="32"/>
          <w14:textFill>
            <w14:solidFill>
              <w14:schemeClr w14:val="tx1"/>
            </w14:solidFill>
          </w14:textFill>
        </w:rPr>
        <w:t>建立低碳技术研发创新平台，引导企业开展低碳技术的研发、关键技术攻关和产业化</w:t>
      </w:r>
      <w:r>
        <w:rPr>
          <w:rFonts w:hint="eastAsia" w:ascii="仿宋_GB2312" w:hAnsi="仿宋" w:eastAsia="仿宋_GB2312"/>
          <w:color w:val="000000" w:themeColor="text1"/>
          <w:sz w:val="32"/>
          <w:szCs w:val="32"/>
          <w14:textFill>
            <w14:solidFill>
              <w14:schemeClr w14:val="tx1"/>
            </w14:solidFill>
          </w14:textFill>
        </w:rPr>
        <w:t>，</w:t>
      </w:r>
      <w:r>
        <w:rPr>
          <w:rFonts w:ascii="仿宋_GB2312" w:hAnsi="仿宋" w:eastAsia="仿宋_GB2312"/>
          <w:color w:val="000000" w:themeColor="text1"/>
          <w:sz w:val="32"/>
          <w:szCs w:val="32"/>
          <w14:textFill>
            <w14:solidFill>
              <w14:schemeClr w14:val="tx1"/>
            </w14:solidFill>
          </w14:textFill>
        </w:rPr>
        <w:t>促进节能环保产业循环化发展。积极推进工业再制造，推动汽车、工程机械关键零部件的再制造，实现零部件循环利用。</w:t>
      </w:r>
      <w:r>
        <w:rPr>
          <w:rFonts w:hint="eastAsia" w:ascii="仿宋_GB2312" w:hAnsi="仿宋" w:eastAsia="仿宋_GB2312"/>
          <w:color w:val="000000" w:themeColor="text1"/>
          <w:sz w:val="32"/>
          <w:szCs w:val="32"/>
          <w14:textFill>
            <w14:solidFill>
              <w14:schemeClr w14:val="tx1"/>
            </w14:solidFill>
          </w14:textFill>
        </w:rPr>
        <w:t>落实强制清洁生产审核，推动重点企业完成清洁生产改造。实施能源消耗总量和强度双控行动，严格落实节能审查制度，强化节能审查事中事后监管，探索开展节能验收。</w:t>
      </w:r>
    </w:p>
    <w:p>
      <w:pPr>
        <w:pStyle w:val="5"/>
        <w:spacing w:before="0" w:after="0" w:line="240" w:lineRule="auto"/>
        <w:ind w:firstLine="640" w:firstLineChars="200"/>
        <w:rPr>
          <w:rFonts w:ascii="黑体" w:hAnsi="黑体" w:eastAsia="黑体"/>
          <w:b w:val="0"/>
          <w:color w:val="000000" w:themeColor="text1"/>
          <w14:textFill>
            <w14:solidFill>
              <w14:schemeClr w14:val="tx1"/>
            </w14:solidFill>
          </w14:textFill>
        </w:rPr>
      </w:pPr>
      <w:r>
        <w:rPr>
          <w:rFonts w:hint="eastAsia" w:ascii="黑体" w:hAnsi="黑体" w:eastAsia="黑体"/>
          <w:b w:val="0"/>
          <w:color w:val="000000" w:themeColor="text1"/>
          <w14:textFill>
            <w14:solidFill>
              <w14:schemeClr w14:val="tx1"/>
            </w14:solidFill>
          </w14:textFill>
        </w:rPr>
        <w:t>二、加强建筑节能减排</w:t>
      </w:r>
    </w:p>
    <w:p>
      <w:pPr>
        <w:adjustRightInd w:val="0"/>
        <w:ind w:firstLine="640" w:firstLineChars="200"/>
        <w:rPr>
          <w:rFonts w:ascii="仿宋_GB2312" w:hAnsi="仿宋" w:eastAsia="仿宋_GB2312"/>
          <w:color w:val="000000" w:themeColor="text1"/>
          <w:sz w:val="32"/>
          <w:szCs w:val="32"/>
          <w14:textFill>
            <w14:solidFill>
              <w14:schemeClr w14:val="tx1"/>
            </w14:solidFill>
          </w14:textFill>
        </w:rPr>
      </w:pPr>
      <w:r>
        <w:rPr>
          <w:rFonts w:hint="eastAsia" w:ascii="仿宋_GB2312" w:hAnsi="仿宋" w:eastAsia="仿宋_GB2312"/>
          <w:color w:val="000000" w:themeColor="text1"/>
          <w:sz w:val="32"/>
          <w:szCs w:val="32"/>
          <w14:textFill>
            <w14:solidFill>
              <w14:schemeClr w14:val="tx1"/>
            </w14:solidFill>
          </w14:textFill>
        </w:rPr>
        <w:t>推进新建</w:t>
      </w:r>
      <w:r>
        <w:rPr>
          <w:rFonts w:ascii="仿宋_GB2312" w:hAnsi="仿宋" w:eastAsia="仿宋_GB2312"/>
          <w:color w:val="000000" w:themeColor="text1"/>
          <w:sz w:val="32"/>
          <w:szCs w:val="32"/>
          <w14:textFill>
            <w14:solidFill>
              <w14:schemeClr w14:val="tx1"/>
            </w14:solidFill>
          </w14:textFill>
        </w:rPr>
        <w:t>公共建筑全面实施</w:t>
      </w:r>
      <w:r>
        <w:rPr>
          <w:rFonts w:hint="eastAsia" w:ascii="仿宋_GB2312" w:hAnsi="仿宋" w:eastAsia="仿宋_GB2312"/>
          <w:color w:val="000000" w:themeColor="text1"/>
          <w:sz w:val="32"/>
          <w:szCs w:val="32"/>
          <w14:textFill>
            <w14:solidFill>
              <w14:schemeClr w14:val="tx1"/>
            </w14:solidFill>
          </w14:textFill>
        </w:rPr>
        <w:t>合同</w:t>
      </w:r>
      <w:r>
        <w:rPr>
          <w:rFonts w:ascii="仿宋_GB2312" w:hAnsi="仿宋" w:eastAsia="仿宋_GB2312"/>
          <w:color w:val="000000" w:themeColor="text1"/>
          <w:sz w:val="32"/>
          <w:szCs w:val="32"/>
          <w14:textFill>
            <w14:solidFill>
              <w14:schemeClr w14:val="tx1"/>
            </w14:solidFill>
          </w14:textFill>
        </w:rPr>
        <w:t>能源管理，</w:t>
      </w:r>
      <w:r>
        <w:rPr>
          <w:rFonts w:hint="eastAsia" w:ascii="仿宋_GB2312" w:hAnsi="仿宋" w:eastAsia="仿宋_GB2312"/>
          <w:color w:val="000000" w:themeColor="text1"/>
          <w:sz w:val="32"/>
          <w:szCs w:val="32"/>
          <w14:textFill>
            <w14:solidFill>
              <w14:schemeClr w14:val="tx1"/>
            </w14:solidFill>
          </w14:textFill>
        </w:rPr>
        <w:t>推动</w:t>
      </w:r>
      <w:r>
        <w:rPr>
          <w:rFonts w:ascii="仿宋_GB2312" w:hAnsi="仿宋" w:eastAsia="仿宋_GB2312"/>
          <w:color w:val="000000" w:themeColor="text1"/>
          <w:sz w:val="32"/>
          <w:szCs w:val="32"/>
          <w14:textFill>
            <w14:solidFill>
              <w14:schemeClr w14:val="tx1"/>
            </w14:solidFill>
          </w14:textFill>
        </w:rPr>
        <w:t>大型公共建筑用能系统的节能改造，提高用能</w:t>
      </w:r>
      <w:r>
        <w:rPr>
          <w:rFonts w:hint="eastAsia" w:ascii="仿宋_GB2312" w:hAnsi="仿宋" w:eastAsia="仿宋_GB2312"/>
          <w:color w:val="000000" w:themeColor="text1"/>
          <w:sz w:val="32"/>
          <w:szCs w:val="32"/>
          <w14:textFill>
            <w14:solidFill>
              <w14:schemeClr w14:val="tx1"/>
            </w14:solidFill>
          </w14:textFill>
        </w:rPr>
        <w:t>效率</w:t>
      </w:r>
      <w:r>
        <w:rPr>
          <w:rFonts w:ascii="仿宋_GB2312" w:hAnsi="仿宋" w:eastAsia="仿宋_GB2312"/>
          <w:color w:val="000000" w:themeColor="text1"/>
          <w:sz w:val="32"/>
          <w:szCs w:val="32"/>
          <w14:textFill>
            <w14:solidFill>
              <w14:schemeClr w14:val="tx1"/>
            </w14:solidFill>
          </w14:textFill>
        </w:rPr>
        <w:t>和管理水平。</w:t>
      </w:r>
      <w:r>
        <w:rPr>
          <w:rFonts w:hint="eastAsia" w:ascii="仿宋_GB2312" w:hAnsi="仿宋" w:eastAsia="仿宋_GB2312"/>
          <w:color w:val="000000" w:themeColor="text1"/>
          <w:sz w:val="32"/>
          <w:szCs w:val="32"/>
          <w14:textFill>
            <w14:solidFill>
              <w14:schemeClr w14:val="tx1"/>
            </w14:solidFill>
          </w14:textFill>
        </w:rPr>
        <w:t>新建快速路和主干道等，同步实施综合管廊建设。</w:t>
      </w:r>
      <w:r>
        <w:rPr>
          <w:rFonts w:ascii="仿宋_GB2312" w:hAnsi="仿宋" w:eastAsia="仿宋_GB2312"/>
          <w:color w:val="000000" w:themeColor="text1"/>
          <w:sz w:val="32"/>
          <w:szCs w:val="32"/>
          <w14:textFill>
            <w14:solidFill>
              <w14:schemeClr w14:val="tx1"/>
            </w14:solidFill>
          </w14:textFill>
        </w:rPr>
        <w:t>在交通、水务、园林绿化等政府投资工程</w:t>
      </w:r>
      <w:r>
        <w:rPr>
          <w:rFonts w:hint="eastAsia" w:ascii="仿宋_GB2312" w:hAnsi="仿宋" w:eastAsia="仿宋_GB2312"/>
          <w:color w:val="000000" w:themeColor="text1"/>
          <w:sz w:val="32"/>
          <w:szCs w:val="32"/>
          <w14:textFill>
            <w14:solidFill>
              <w14:schemeClr w14:val="tx1"/>
            </w14:solidFill>
          </w14:textFill>
        </w:rPr>
        <w:t>，</w:t>
      </w:r>
      <w:r>
        <w:rPr>
          <w:rFonts w:ascii="仿宋_GB2312" w:hAnsi="仿宋" w:eastAsia="仿宋_GB2312"/>
          <w:color w:val="000000" w:themeColor="text1"/>
          <w:sz w:val="32"/>
          <w:szCs w:val="32"/>
          <w14:textFill>
            <w14:solidFill>
              <w14:schemeClr w14:val="tx1"/>
            </w14:solidFill>
          </w14:textFill>
        </w:rPr>
        <w:t>推广使用建筑废弃物综合利用产品</w:t>
      </w:r>
      <w:r>
        <w:rPr>
          <w:rFonts w:hint="eastAsia" w:ascii="仿宋_GB2312" w:hAnsi="仿宋" w:eastAsia="仿宋_GB2312"/>
          <w:color w:val="000000" w:themeColor="text1"/>
          <w:sz w:val="32"/>
          <w:szCs w:val="32"/>
          <w14:textFill>
            <w14:solidFill>
              <w14:schemeClr w14:val="tx1"/>
            </w14:solidFill>
          </w14:textFill>
        </w:rPr>
        <w:t>。推广实施装配式建筑，到2025年装配式建筑面积比例达到30%。积极推动</w:t>
      </w:r>
      <w:r>
        <w:rPr>
          <w:rFonts w:ascii="仿宋_GB2312" w:hAnsi="仿宋" w:eastAsia="仿宋_GB2312"/>
          <w:color w:val="000000" w:themeColor="text1"/>
          <w:sz w:val="32"/>
          <w:szCs w:val="32"/>
          <w14:textFill>
            <w14:solidFill>
              <w14:schemeClr w14:val="tx1"/>
            </w14:solidFill>
          </w14:textFill>
        </w:rPr>
        <w:t>新建国家二星级以上绿色建筑比例</w:t>
      </w:r>
      <w:r>
        <w:rPr>
          <w:rFonts w:hint="eastAsia" w:ascii="仿宋_GB2312" w:hAnsi="仿宋" w:eastAsia="仿宋_GB2312"/>
          <w:color w:val="000000" w:themeColor="text1"/>
          <w:sz w:val="32"/>
          <w:szCs w:val="32"/>
          <w14:textFill>
            <w14:solidFill>
              <w14:schemeClr w14:val="tx1"/>
            </w14:solidFill>
          </w14:textFill>
        </w:rPr>
        <w:t>持续提高，推广BIM建造管理模式，</w:t>
      </w:r>
      <w:r>
        <w:rPr>
          <w:rFonts w:ascii="仿宋_GB2312" w:hAnsi="仿宋_GB2312" w:eastAsia="仿宋_GB2312" w:cs="仿宋_GB2312"/>
          <w:color w:val="000000" w:themeColor="text1"/>
          <w:sz w:val="32"/>
          <w:szCs w:val="32"/>
          <w14:textFill>
            <w14:solidFill>
              <w14:schemeClr w14:val="tx1"/>
            </w14:solidFill>
          </w14:textFill>
        </w:rPr>
        <w:t>城镇新建民用建筑全面执行建筑节能强制性标准和绿色建筑标准</w:t>
      </w:r>
      <w:r>
        <w:rPr>
          <w:rFonts w:hint="eastAsia" w:ascii="仿宋_GB2312" w:hAnsi="仿宋_GB2312" w:eastAsia="仿宋_GB2312" w:cs="仿宋_GB2312"/>
          <w:color w:val="000000" w:themeColor="text1"/>
          <w:sz w:val="32"/>
          <w:szCs w:val="32"/>
          <w14:textFill>
            <w14:solidFill>
              <w14:schemeClr w14:val="tx1"/>
            </w14:solidFill>
          </w14:textFill>
        </w:rPr>
        <w:t>，</w:t>
      </w:r>
      <w:r>
        <w:rPr>
          <w:rFonts w:ascii="仿宋_GB2312" w:hAnsi="仿宋" w:eastAsia="仿宋_GB2312"/>
          <w:color w:val="000000" w:themeColor="text1"/>
          <w:sz w:val="32"/>
          <w:szCs w:val="32"/>
          <w14:textFill>
            <w14:solidFill>
              <w14:schemeClr w14:val="tx1"/>
            </w14:solidFill>
          </w14:textFill>
        </w:rPr>
        <w:t>到2025年，</w:t>
      </w:r>
      <w:r>
        <w:rPr>
          <w:rFonts w:hint="eastAsia" w:ascii="仿宋_GB2312" w:hAnsi="仿宋" w:eastAsia="仿宋_GB2312"/>
          <w:color w:val="000000" w:themeColor="text1"/>
          <w:sz w:val="32"/>
          <w:szCs w:val="32"/>
          <w14:textFill>
            <w14:solidFill>
              <w14:schemeClr w14:val="tx1"/>
            </w14:solidFill>
          </w14:textFill>
        </w:rPr>
        <w:t>新区新增绿色建筑面积750万平方米，其中新区党政机关办公楼按二星级规范建设。</w:t>
      </w:r>
    </w:p>
    <w:p>
      <w:pPr>
        <w:pStyle w:val="5"/>
        <w:spacing w:before="0" w:after="0" w:line="240" w:lineRule="auto"/>
        <w:ind w:firstLine="640" w:firstLineChars="200"/>
        <w:rPr>
          <w:rFonts w:ascii="黑体" w:hAnsi="黑体" w:eastAsia="黑体"/>
          <w:b w:val="0"/>
          <w:color w:val="000000" w:themeColor="text1"/>
          <w14:textFill>
            <w14:solidFill>
              <w14:schemeClr w14:val="tx1"/>
            </w14:solidFill>
          </w14:textFill>
        </w:rPr>
      </w:pPr>
      <w:r>
        <w:rPr>
          <w:rFonts w:hint="eastAsia" w:ascii="黑体" w:hAnsi="黑体" w:eastAsia="黑体"/>
          <w:b w:val="0"/>
          <w:color w:val="000000" w:themeColor="text1"/>
          <w14:textFill>
            <w14:solidFill>
              <w14:schemeClr w14:val="tx1"/>
            </w14:solidFill>
          </w14:textFill>
        </w:rPr>
        <w:t>三、倡导低碳</w:t>
      </w:r>
      <w:r>
        <w:rPr>
          <w:rFonts w:ascii="黑体" w:hAnsi="黑体" w:eastAsia="黑体"/>
          <w:b w:val="0"/>
          <w:color w:val="000000" w:themeColor="text1"/>
          <w14:textFill>
            <w14:solidFill>
              <w14:schemeClr w14:val="tx1"/>
            </w14:solidFill>
          </w14:textFill>
        </w:rPr>
        <w:t>文明</w:t>
      </w:r>
      <w:r>
        <w:rPr>
          <w:rFonts w:hint="eastAsia" w:ascii="黑体" w:hAnsi="黑体" w:eastAsia="黑体"/>
          <w:b w:val="0"/>
          <w:color w:val="000000" w:themeColor="text1"/>
          <w14:textFill>
            <w14:solidFill>
              <w14:schemeClr w14:val="tx1"/>
            </w14:solidFill>
          </w14:textFill>
        </w:rPr>
        <w:t>生活</w:t>
      </w:r>
    </w:p>
    <w:p>
      <w:pPr>
        <w:adjustRightInd w:val="0"/>
        <w:ind w:firstLine="640" w:firstLineChars="200"/>
        <w:rPr>
          <w:rFonts w:ascii="仿宋_GB2312" w:hAnsi="仿宋" w:eastAsia="仿宋_GB2312"/>
          <w:color w:val="000000" w:themeColor="text1"/>
          <w:sz w:val="32"/>
          <w:szCs w:val="32"/>
          <w14:textFill>
            <w14:solidFill>
              <w14:schemeClr w14:val="tx1"/>
            </w14:solidFill>
          </w14:textFill>
        </w:rPr>
      </w:pPr>
      <w:r>
        <w:rPr>
          <w:rFonts w:hint="eastAsia" w:ascii="仿宋_GB2312" w:hAnsi="Calibri" w:eastAsia="仿宋_GB2312" w:cs="Times New Roman"/>
          <w:color w:val="000000" w:themeColor="text1"/>
          <w:sz w:val="32"/>
          <w:szCs w:val="32"/>
          <w14:textFill>
            <w14:solidFill>
              <w14:schemeClr w14:val="tx1"/>
            </w14:solidFill>
          </w14:textFill>
        </w:rPr>
        <w:t>倡导低碳生产、低碳生活和低碳消费方式，开展“低碳机关”“低碳学校”“低碳园区”“低碳企业”和“低碳社区”等创建活动。开展行政办公场所节能改造和节约型公共机构示范单位创建活动，创建具有标杆性的低碳示范单位。</w:t>
      </w:r>
      <w:r>
        <w:rPr>
          <w:rFonts w:hint="eastAsia" w:ascii="仿宋_GB2312" w:hAnsi="仿宋" w:eastAsia="仿宋_GB2312"/>
          <w:color w:val="000000" w:themeColor="text1"/>
          <w:sz w:val="32"/>
          <w:szCs w:val="32"/>
          <w14:textFill>
            <w14:solidFill>
              <w14:schemeClr w14:val="tx1"/>
            </w14:solidFill>
          </w14:textFill>
        </w:rPr>
        <w:t>加快推进轻轨、公交、慢行交通建设，构建便民绿色公共出行系统；大力推动无车日活动，鼓励引导市民绿色出行；加快充电桩等新能源汽车配套设施建设，推广新能源车辆应用。鼓励居民绿色消费，推广高效节能产品和绿色环保产品。开展“世界环境日”“环保进社区”等生态文明主题宣传，深入企业、社区、学校普法宣法，加强宣传教育，增强全民保护环境、资源节约、资源重复利用意识。</w:t>
      </w:r>
    </w:p>
    <w:p>
      <w:pPr>
        <w:pStyle w:val="5"/>
        <w:spacing w:before="0" w:after="0" w:line="240" w:lineRule="auto"/>
        <w:ind w:firstLine="640" w:firstLineChars="200"/>
        <w:rPr>
          <w:rFonts w:ascii="黑体" w:hAnsi="黑体" w:eastAsia="黑体"/>
          <w:b w:val="0"/>
          <w:color w:val="000000" w:themeColor="text1"/>
          <w14:textFill>
            <w14:solidFill>
              <w14:schemeClr w14:val="tx1"/>
            </w14:solidFill>
          </w14:textFill>
        </w:rPr>
      </w:pPr>
      <w:r>
        <w:rPr>
          <w:rFonts w:hint="eastAsia" w:ascii="黑体" w:hAnsi="黑体" w:eastAsia="黑体"/>
          <w:b w:val="0"/>
          <w:color w:val="000000" w:themeColor="text1"/>
          <w14:textFill>
            <w14:solidFill>
              <w14:schemeClr w14:val="tx1"/>
            </w14:solidFill>
          </w14:textFill>
        </w:rPr>
        <w:t>四、打造节水标杆城区</w:t>
      </w:r>
    </w:p>
    <w:p>
      <w:pPr>
        <w:adjustRightInd w:val="0"/>
        <w:ind w:firstLine="640" w:firstLineChars="200"/>
        <w:rPr>
          <w:rFonts w:ascii="仿宋_GB2312" w:hAnsi="仿宋" w:eastAsia="仿宋_GB2312"/>
          <w:color w:val="000000" w:themeColor="text1"/>
          <w:sz w:val="32"/>
          <w:szCs w:val="32"/>
          <w14:textFill>
            <w14:solidFill>
              <w14:schemeClr w14:val="tx1"/>
            </w14:solidFill>
          </w14:textFill>
        </w:rPr>
      </w:pPr>
      <w:r>
        <w:rPr>
          <w:rFonts w:hint="eastAsia" w:ascii="仿宋_GB2312" w:hAnsi="仿宋" w:eastAsia="仿宋_GB2312"/>
          <w:color w:val="000000" w:themeColor="text1"/>
          <w:sz w:val="32"/>
          <w:szCs w:val="32"/>
          <w14:textFill>
            <w14:solidFill>
              <w14:schemeClr w14:val="tx1"/>
            </w14:solidFill>
          </w14:textFill>
        </w:rPr>
        <w:t>加强供水漏损控制，实施供水管网更新措施，精进供水管网运行管理，推进供水管网探漏信息化，多措并举降漏损。加强再生水利用，提高再生水安全标准，扩大再生水应用领域，推动再生水用于市政杂用、河流生态补水、工业冷却水等。推进高耗水行业节水改造，推进工业节水减排，加强企业水资源循环利用，开展节水型企业创建，建设节水型工业园区，</w:t>
      </w:r>
      <w:r>
        <w:rPr>
          <w:rFonts w:ascii="仿宋_GB2312" w:hAnsi="仿宋" w:eastAsia="仿宋_GB2312"/>
          <w:color w:val="000000" w:themeColor="text1"/>
          <w:sz w:val="32"/>
          <w:szCs w:val="32"/>
          <w14:textFill>
            <w14:solidFill>
              <w14:schemeClr w14:val="tx1"/>
            </w14:solidFill>
          </w14:textFill>
        </w:rPr>
        <w:t>“</w:t>
      </w:r>
      <w:r>
        <w:rPr>
          <w:rFonts w:hint="eastAsia" w:ascii="仿宋_GB2312" w:hAnsi="仿宋" w:eastAsia="仿宋_GB2312"/>
          <w:color w:val="000000" w:themeColor="text1"/>
          <w:sz w:val="32"/>
          <w:szCs w:val="32"/>
          <w14:textFill>
            <w14:solidFill>
              <w14:schemeClr w14:val="tx1"/>
            </w14:solidFill>
          </w14:textFill>
        </w:rPr>
        <w:t>十四五</w:t>
      </w:r>
      <w:r>
        <w:rPr>
          <w:rFonts w:ascii="仿宋_GB2312" w:hAnsi="仿宋" w:eastAsia="仿宋_GB2312"/>
          <w:color w:val="000000" w:themeColor="text1"/>
          <w:sz w:val="32"/>
          <w:szCs w:val="32"/>
          <w14:textFill>
            <w14:solidFill>
              <w14:schemeClr w14:val="tx1"/>
            </w14:solidFill>
          </w14:textFill>
        </w:rPr>
        <w:t>”</w:t>
      </w:r>
      <w:r>
        <w:rPr>
          <w:rFonts w:hint="eastAsia" w:ascii="仿宋_GB2312" w:hAnsi="仿宋" w:eastAsia="仿宋_GB2312"/>
          <w:color w:val="000000" w:themeColor="text1"/>
          <w:sz w:val="32"/>
          <w:szCs w:val="32"/>
          <w14:textFill>
            <w14:solidFill>
              <w14:schemeClr w14:val="tx1"/>
            </w14:solidFill>
          </w14:textFill>
        </w:rPr>
        <w:t>期间节水型企业覆盖率达到</w:t>
      </w:r>
      <w:r>
        <w:rPr>
          <w:rFonts w:ascii="仿宋_GB2312" w:hAnsi="仿宋" w:eastAsia="仿宋_GB2312"/>
          <w:color w:val="000000" w:themeColor="text1"/>
          <w:sz w:val="32"/>
          <w:szCs w:val="32"/>
          <w14:textFill>
            <w14:solidFill>
              <w14:schemeClr w14:val="tx1"/>
            </w14:solidFill>
          </w14:textFill>
        </w:rPr>
        <w:t>20%</w:t>
      </w:r>
      <w:r>
        <w:rPr>
          <w:rFonts w:hint="eastAsia" w:ascii="仿宋_GB2312" w:hAnsi="仿宋" w:eastAsia="仿宋_GB2312"/>
          <w:color w:val="000000" w:themeColor="text1"/>
          <w:sz w:val="32"/>
          <w:szCs w:val="32"/>
          <w14:textFill>
            <w14:solidFill>
              <w14:schemeClr w14:val="tx1"/>
            </w14:solidFill>
          </w14:textFill>
        </w:rPr>
        <w:t>以上。强化节水型公共机构创建，新区机关全部建成节水型单位。强化居民家庭节水，定期开展节水型生活用水器具普及率调查，利用宣传推广和经济措施，鼓励社会各界使用节水器具。积极推进节水型居民小区、节水好家庭等创建活动，</w:t>
      </w:r>
      <w:r>
        <w:rPr>
          <w:rFonts w:ascii="仿宋_GB2312" w:hAnsi="仿宋" w:eastAsia="仿宋_GB2312"/>
          <w:color w:val="000000" w:themeColor="text1"/>
          <w:sz w:val="32"/>
          <w:szCs w:val="32"/>
          <w14:textFill>
            <w14:solidFill>
              <w14:schemeClr w14:val="tx1"/>
            </w14:solidFill>
          </w14:textFill>
        </w:rPr>
        <w:t>“</w:t>
      </w:r>
      <w:r>
        <w:rPr>
          <w:rFonts w:hint="eastAsia" w:ascii="仿宋_GB2312" w:hAnsi="仿宋" w:eastAsia="仿宋_GB2312"/>
          <w:color w:val="000000" w:themeColor="text1"/>
          <w:sz w:val="32"/>
          <w:szCs w:val="32"/>
          <w14:textFill>
            <w14:solidFill>
              <w14:schemeClr w14:val="tx1"/>
            </w14:solidFill>
          </w14:textFill>
        </w:rPr>
        <w:t>十四五</w:t>
      </w:r>
      <w:r>
        <w:rPr>
          <w:rFonts w:ascii="仿宋_GB2312" w:hAnsi="仿宋" w:eastAsia="仿宋_GB2312"/>
          <w:color w:val="000000" w:themeColor="text1"/>
          <w:sz w:val="32"/>
          <w:szCs w:val="32"/>
          <w14:textFill>
            <w14:solidFill>
              <w14:schemeClr w14:val="tx1"/>
            </w14:solidFill>
          </w14:textFill>
        </w:rPr>
        <w:t>”</w:t>
      </w:r>
      <w:r>
        <w:rPr>
          <w:rFonts w:hint="eastAsia" w:ascii="仿宋_GB2312" w:hAnsi="仿宋" w:eastAsia="仿宋_GB2312"/>
          <w:color w:val="000000" w:themeColor="text1"/>
          <w:sz w:val="32"/>
          <w:szCs w:val="32"/>
          <w14:textFill>
            <w14:solidFill>
              <w14:schemeClr w14:val="tx1"/>
            </w14:solidFill>
          </w14:textFill>
        </w:rPr>
        <w:t>期间，节水型小区覆盖率达到</w:t>
      </w:r>
      <w:r>
        <w:rPr>
          <w:rFonts w:ascii="仿宋_GB2312" w:hAnsi="仿宋" w:eastAsia="仿宋_GB2312"/>
          <w:color w:val="000000" w:themeColor="text1"/>
          <w:sz w:val="32"/>
          <w:szCs w:val="32"/>
          <w14:textFill>
            <w14:solidFill>
              <w14:schemeClr w14:val="tx1"/>
            </w14:solidFill>
          </w14:textFill>
        </w:rPr>
        <w:t>30%</w:t>
      </w:r>
      <w:r>
        <w:rPr>
          <w:rFonts w:hint="eastAsia" w:ascii="仿宋_GB2312" w:hAnsi="仿宋" w:eastAsia="仿宋_GB2312"/>
          <w:color w:val="000000" w:themeColor="text1"/>
          <w:sz w:val="32"/>
          <w:szCs w:val="32"/>
          <w14:textFill>
            <w14:solidFill>
              <w14:schemeClr w14:val="tx1"/>
            </w14:solidFill>
          </w14:textFill>
        </w:rPr>
        <w:t>以上。</w:t>
      </w:r>
    </w:p>
    <w:p>
      <w:pPr>
        <w:pStyle w:val="5"/>
        <w:spacing w:before="0" w:after="0" w:line="240" w:lineRule="auto"/>
        <w:ind w:firstLine="640" w:firstLineChars="200"/>
        <w:rPr>
          <w:rFonts w:ascii="黑体" w:hAnsi="黑体" w:eastAsia="黑体"/>
          <w:b w:val="0"/>
          <w:color w:val="000000" w:themeColor="text1"/>
          <w14:textFill>
            <w14:solidFill>
              <w14:schemeClr w14:val="tx1"/>
            </w14:solidFill>
          </w14:textFill>
        </w:rPr>
      </w:pPr>
      <w:r>
        <w:rPr>
          <w:rFonts w:hint="eastAsia" w:ascii="黑体" w:hAnsi="黑体" w:eastAsia="黑体"/>
          <w:b w:val="0"/>
          <w:color w:val="000000" w:themeColor="text1"/>
          <w14:textFill>
            <w14:solidFill>
              <w14:schemeClr w14:val="tx1"/>
            </w14:solidFill>
          </w14:textFill>
        </w:rPr>
        <w:t>五、推动新区智慧环保建设</w:t>
      </w:r>
    </w:p>
    <w:p>
      <w:pPr>
        <w:ind w:firstLine="640" w:firstLineChars="200"/>
        <w:rPr>
          <w:rFonts w:ascii="仿宋_GB2312" w:hAnsi="仿宋" w:eastAsia="仿宋_GB2312" w:cs="Times New Roman"/>
          <w:color w:val="000000" w:themeColor="text1"/>
          <w:sz w:val="32"/>
          <w:szCs w:val="32"/>
          <w14:textFill>
            <w14:solidFill>
              <w14:schemeClr w14:val="tx1"/>
            </w14:solidFill>
          </w14:textFill>
        </w:rPr>
      </w:pPr>
      <w:r>
        <w:rPr>
          <w:rFonts w:hint="eastAsia" w:ascii="仿宋_GB2312" w:hAnsi="仿宋" w:eastAsia="仿宋_GB2312"/>
          <w:color w:val="000000" w:themeColor="text1"/>
          <w:sz w:val="32"/>
          <w:szCs w:val="32"/>
          <w14:textFill>
            <w14:solidFill>
              <w14:schemeClr w14:val="tx1"/>
            </w14:solidFill>
          </w14:textFill>
        </w:rPr>
        <w:t>建立生态环境监测监控一张网，实现对全区污染源排放、环境质量的一体化实时感知，以污染源信息库为基础，构建污染源全生命周期管理模型，串联污染源监管日常执法、信访投诉、行政管理等业务信息，强化完整的数据资产管控和技术支撑能力，提升生态环境质量和环境监管现状水平；建立预警处置平台，实现生态环境预警手段的多样性和预警的及时性，强化生态环境问题精准监管和协同处置的能力，整体提升监管效率，监管效能。</w:t>
      </w:r>
      <w:r>
        <w:rPr>
          <w:rFonts w:hint="eastAsia" w:ascii="仿宋_GB2312" w:hAnsi="仿宋" w:eastAsia="仿宋_GB2312" w:cs="Times New Roman"/>
          <w:color w:val="000000" w:themeColor="text1"/>
          <w:sz w:val="32"/>
          <w:szCs w:val="32"/>
          <w14:textFill>
            <w14:solidFill>
              <w14:schemeClr w14:val="tx1"/>
            </w14:solidFill>
          </w14:textFill>
        </w:rPr>
        <w:br w:type="page"/>
      </w:r>
    </w:p>
    <w:p>
      <w:pPr>
        <w:pStyle w:val="3"/>
        <w:keepLines w:val="0"/>
        <w:widowControl/>
        <w:spacing w:before="0" w:afterLines="100" w:line="240" w:lineRule="auto"/>
        <w:jc w:val="center"/>
        <w:rPr>
          <w:rFonts w:ascii="黑体" w:hAnsi="黑体" w:eastAsia="黑体" w:cs="Times New Roman"/>
          <w:b w:val="0"/>
          <w:color w:val="000000" w:themeColor="text1"/>
          <w:sz w:val="32"/>
          <w:szCs w:val="32"/>
          <w14:textFill>
            <w14:solidFill>
              <w14:schemeClr w14:val="tx1"/>
            </w14:solidFill>
          </w14:textFill>
        </w:rPr>
      </w:pPr>
      <w:bookmarkStart w:id="561" w:name="_Toc29414"/>
      <w:bookmarkStart w:id="562" w:name="_Toc24715"/>
      <w:bookmarkStart w:id="563" w:name="_Toc32341"/>
      <w:bookmarkStart w:id="564" w:name="_Toc1707"/>
      <w:bookmarkStart w:id="565" w:name="_Toc75341690"/>
      <w:bookmarkStart w:id="566" w:name="_Toc24180"/>
      <w:bookmarkStart w:id="567" w:name="_Toc18163"/>
      <w:bookmarkStart w:id="568" w:name="_Toc23103"/>
      <w:bookmarkStart w:id="569" w:name="_Toc21236"/>
      <w:bookmarkStart w:id="570" w:name="_Toc13727"/>
      <w:bookmarkStart w:id="571" w:name="_Toc32561"/>
      <w:bookmarkStart w:id="572" w:name="_Toc809"/>
      <w:bookmarkStart w:id="573" w:name="_Toc19356"/>
      <w:bookmarkStart w:id="574" w:name="_Toc768"/>
      <w:bookmarkStart w:id="575" w:name="_Toc30832"/>
      <w:bookmarkStart w:id="576" w:name="_Toc9152"/>
      <w:bookmarkStart w:id="577" w:name="_Toc15185"/>
      <w:bookmarkStart w:id="578" w:name="_Toc1639"/>
      <w:bookmarkStart w:id="579" w:name="_Toc42856349"/>
      <w:bookmarkStart w:id="580" w:name="_Toc23585"/>
      <w:bookmarkStart w:id="581" w:name="_Toc19273"/>
      <w:bookmarkStart w:id="582" w:name="_Toc1417"/>
      <w:bookmarkStart w:id="583" w:name="_Toc13992"/>
      <w:bookmarkStart w:id="584" w:name="_Toc6249"/>
      <w:bookmarkStart w:id="585" w:name="_Toc26091"/>
      <w:bookmarkStart w:id="586" w:name="_Toc15791"/>
      <w:bookmarkStart w:id="587" w:name="_Toc13935"/>
      <w:r>
        <w:rPr>
          <w:rFonts w:hint="eastAsia" w:ascii="黑体" w:hAnsi="黑体" w:eastAsia="黑体" w:cs="Times New Roman"/>
          <w:b w:val="0"/>
          <w:color w:val="000000" w:themeColor="text1"/>
          <w:sz w:val="32"/>
          <w:szCs w:val="32"/>
          <w14:textFill>
            <w14:solidFill>
              <w14:schemeClr w14:val="tx1"/>
            </w14:solidFill>
          </w14:textFill>
        </w:rPr>
        <w:t>第九章 保障措施与机制</w:t>
      </w:r>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p>
    <w:p>
      <w:pPr>
        <w:adjustRightInd w:val="0"/>
        <w:ind w:firstLine="640" w:firstLineChars="200"/>
        <w:rPr>
          <w:rFonts w:ascii="仿宋_GB2312" w:hAnsi="仿宋" w:eastAsia="仿宋_GB2312"/>
          <w:color w:val="000000" w:themeColor="text1"/>
          <w:sz w:val="32"/>
          <w:szCs w:val="32"/>
          <w14:textFill>
            <w14:solidFill>
              <w14:schemeClr w14:val="tx1"/>
            </w14:solidFill>
          </w14:textFill>
        </w:rPr>
      </w:pPr>
      <w:r>
        <w:rPr>
          <w:rFonts w:hint="eastAsia" w:ascii="仿宋_GB2312" w:hAnsi="仿宋" w:eastAsia="仿宋_GB2312"/>
          <w:color w:val="000000" w:themeColor="text1"/>
          <w:sz w:val="32"/>
          <w:szCs w:val="32"/>
          <w14:textFill>
            <w14:solidFill>
              <w14:schemeClr w14:val="tx1"/>
            </w14:solidFill>
          </w14:textFill>
        </w:rPr>
        <w:t>实现新区“十四五”规划和二〇三五年远景目标，需要新区坚持党的全面领导，充分调动一切积极因素，广泛团结一切可以团结的力量，形成推动发展的强大合力，以经济社会发展规律为出发，坚持改革创新、坚持目标导向，坚持重点支撑，建立科学系统的规划实施保障机制。</w:t>
      </w:r>
      <w:bookmarkStart w:id="588" w:name="_Toc426479616"/>
      <w:bookmarkStart w:id="589" w:name="_Toc426480416"/>
      <w:bookmarkStart w:id="590" w:name="_Toc426480498"/>
      <w:bookmarkStart w:id="591" w:name="_Toc426479943"/>
      <w:bookmarkStart w:id="592" w:name="_Toc426483001"/>
      <w:bookmarkStart w:id="593" w:name="_Toc438750488"/>
    </w:p>
    <w:p>
      <w:pPr>
        <w:pStyle w:val="4"/>
        <w:jc w:val="center"/>
        <w:rPr>
          <w:rFonts w:hint="eastAsia" w:ascii="黑体" w:hAnsi="黑体" w:eastAsia="黑体" w:cs="Times New Roman"/>
          <w:b w:val="0"/>
          <w:color w:val="000000" w:themeColor="text1"/>
          <w14:textFill>
            <w14:solidFill>
              <w14:schemeClr w14:val="tx1"/>
            </w14:solidFill>
          </w14:textFill>
        </w:rPr>
      </w:pPr>
      <w:bookmarkStart w:id="594" w:name="_Toc2525"/>
      <w:bookmarkStart w:id="595" w:name="_Toc25577"/>
      <w:bookmarkStart w:id="596" w:name="_Toc7000"/>
      <w:bookmarkStart w:id="597" w:name="_Toc19532"/>
      <w:bookmarkStart w:id="598" w:name="_Toc5191"/>
      <w:bookmarkStart w:id="599" w:name="_Toc25686"/>
      <w:bookmarkStart w:id="600" w:name="_Toc5651"/>
      <w:bookmarkStart w:id="601" w:name="_Toc16122"/>
      <w:bookmarkStart w:id="602" w:name="_Toc32046"/>
      <w:bookmarkStart w:id="603" w:name="_Toc22097"/>
      <w:bookmarkStart w:id="604" w:name="_Toc14755"/>
      <w:bookmarkStart w:id="605" w:name="_Toc19821"/>
      <w:bookmarkStart w:id="606" w:name="_Toc18263"/>
      <w:bookmarkStart w:id="607" w:name="_Toc2612"/>
      <w:bookmarkStart w:id="608" w:name="_Toc17415"/>
      <w:bookmarkStart w:id="609" w:name="_Toc21454"/>
      <w:bookmarkStart w:id="610" w:name="_Toc26744"/>
      <w:bookmarkStart w:id="611" w:name="_Toc22254"/>
      <w:bookmarkStart w:id="612" w:name="_Toc13364"/>
      <w:bookmarkStart w:id="613" w:name="_Toc42856350"/>
      <w:bookmarkStart w:id="614" w:name="_Toc75341691"/>
      <w:bookmarkStart w:id="615" w:name="_Toc507"/>
      <w:bookmarkStart w:id="616" w:name="_Toc17494"/>
      <w:bookmarkStart w:id="617" w:name="_Toc29904"/>
      <w:bookmarkStart w:id="618" w:name="_Toc1729"/>
      <w:bookmarkStart w:id="619" w:name="_Toc22655"/>
      <w:bookmarkStart w:id="620" w:name="_Toc31134"/>
      <w:r>
        <w:rPr>
          <w:rFonts w:hint="eastAsia" w:ascii="黑体" w:hAnsi="黑体" w:eastAsia="黑体" w:cs="Times New Roman"/>
          <w:b w:val="0"/>
          <w:color w:val="000000" w:themeColor="text1"/>
          <w14:textFill>
            <w14:solidFill>
              <w14:schemeClr w14:val="tx1"/>
            </w14:solidFill>
          </w14:textFill>
        </w:rPr>
        <w:t>第一节 强化规划实施组织协调</w:t>
      </w:r>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p>
    <w:p>
      <w:pPr>
        <w:pStyle w:val="5"/>
        <w:spacing w:before="0" w:after="0" w:line="240" w:lineRule="auto"/>
        <w:ind w:firstLine="640" w:firstLineChars="200"/>
        <w:rPr>
          <w:rFonts w:ascii="黑体" w:hAnsi="黑体" w:eastAsia="黑体"/>
          <w:b w:val="0"/>
          <w:color w:val="000000" w:themeColor="text1"/>
          <w14:textFill>
            <w14:solidFill>
              <w14:schemeClr w14:val="tx1"/>
            </w14:solidFill>
          </w14:textFill>
        </w:rPr>
      </w:pPr>
      <w:r>
        <w:rPr>
          <w:rFonts w:hint="eastAsia" w:ascii="黑体" w:hAnsi="黑体" w:eastAsia="黑体"/>
          <w:b w:val="0"/>
          <w:color w:val="000000" w:themeColor="text1"/>
          <w14:textFill>
            <w14:solidFill>
              <w14:schemeClr w14:val="tx1"/>
            </w14:solidFill>
          </w14:textFill>
        </w:rPr>
        <w:t>一、加强党的核心领导作用</w:t>
      </w:r>
    </w:p>
    <w:p>
      <w:pPr>
        <w:adjustRightInd w:val="0"/>
        <w:ind w:firstLine="640" w:firstLineChars="200"/>
        <w:rPr>
          <w:rFonts w:ascii="仿宋_GB2312" w:hAnsi="仿宋" w:eastAsia="仿宋_GB2312"/>
          <w:color w:val="000000" w:themeColor="text1"/>
          <w:sz w:val="32"/>
          <w:szCs w:val="32"/>
          <w14:textFill>
            <w14:solidFill>
              <w14:schemeClr w14:val="tx1"/>
            </w14:solidFill>
          </w14:textFill>
        </w:rPr>
      </w:pPr>
      <w:r>
        <w:rPr>
          <w:rFonts w:hint="eastAsia" w:ascii="仿宋_GB2312" w:hAnsi="仿宋" w:eastAsia="仿宋_GB2312"/>
          <w:color w:val="000000" w:themeColor="text1"/>
          <w:sz w:val="32"/>
          <w:szCs w:val="32"/>
          <w14:textFill>
            <w14:solidFill>
              <w14:schemeClr w14:val="tx1"/>
            </w14:solidFill>
          </w14:textFill>
        </w:rPr>
        <w:t>贯彻党把方向、谋大局、定政策、促改革的要求，深入学习贯彻习近平新时代中国特色社会主义思想，增强“四个意识”、坚定“四个自信”、做到“两个维护”，完善上下贯通、执行有力的组织体系，确保党中央决策部署有效落实。加强新区党工委总揽全局、协调各方的核心领导作用，发挥各级党组织领导作用，保证规划实施推进的政治导向和正确方向，统一领导、统一部署、统筹协调、考核评价和督办督查。深化容错纠错机制，贯彻“三个区分开来”，保护干部干事创业热情。作风建设常抓不懈，激励广大干部新时代新担当新作为。发挥新区议事机构作用和基层党组织的落地执行力作用，广泛凝聚社会各界的智慧，为规划纲要各项任务的顺利推进和落实提供组织保障、纪律保障、机制保障。</w:t>
      </w:r>
    </w:p>
    <w:p>
      <w:pPr>
        <w:pStyle w:val="5"/>
        <w:spacing w:before="0" w:after="0" w:line="240" w:lineRule="auto"/>
        <w:ind w:firstLine="640" w:firstLineChars="200"/>
        <w:rPr>
          <w:rFonts w:ascii="黑体" w:hAnsi="黑体" w:eastAsia="黑体"/>
          <w:b w:val="0"/>
          <w:color w:val="000000" w:themeColor="text1"/>
          <w14:textFill>
            <w14:solidFill>
              <w14:schemeClr w14:val="tx1"/>
            </w14:solidFill>
          </w14:textFill>
        </w:rPr>
      </w:pPr>
      <w:r>
        <w:rPr>
          <w:rFonts w:hint="eastAsia" w:ascii="黑体" w:hAnsi="黑体" w:eastAsia="黑体"/>
          <w:b w:val="0"/>
          <w:color w:val="000000" w:themeColor="text1"/>
          <w14:textFill>
            <w14:solidFill>
              <w14:schemeClr w14:val="tx1"/>
            </w14:solidFill>
          </w14:textFill>
        </w:rPr>
        <w:t>二、加强各级领导的责任担当</w:t>
      </w:r>
    </w:p>
    <w:p>
      <w:pPr>
        <w:adjustRightInd w:val="0"/>
        <w:ind w:firstLine="640" w:firstLineChars="200"/>
        <w:rPr>
          <w:rFonts w:hint="eastAsia" w:ascii="仿宋_GB2312" w:hAnsi="仿宋" w:eastAsia="仿宋_GB2312"/>
          <w:color w:val="000000" w:themeColor="text1"/>
          <w:sz w:val="32"/>
          <w:szCs w:val="32"/>
          <w:lang w:val="en-US" w:eastAsia="zh-CN"/>
          <w14:textFill>
            <w14:solidFill>
              <w14:schemeClr w14:val="tx1"/>
            </w14:solidFill>
          </w14:textFill>
        </w:rPr>
      </w:pPr>
      <w:r>
        <w:rPr>
          <w:rFonts w:hint="eastAsia" w:ascii="仿宋_GB2312" w:hAnsi="仿宋" w:eastAsia="仿宋_GB2312"/>
          <w:color w:val="000000" w:themeColor="text1"/>
          <w:sz w:val="32"/>
          <w:szCs w:val="32"/>
          <w:lang w:val="en-US" w:eastAsia="zh-CN"/>
          <w14:textFill>
            <w14:solidFill>
              <w14:schemeClr w14:val="tx1"/>
            </w14:solidFill>
          </w14:textFill>
        </w:rPr>
        <w:t>新区党工委、管委会领导班子和各级各部门坚持知责于心、担责于身、履责于行，紧紧抓住习近平总书记视察广西、柳州时的重大机遇，以深入开展党史学习教育凝聚强大动力，坚定信心，立足当下，着眼长远，对本部门“十四五”发展目标、重点任务、思路举措进行再研究、再梳理、再优化，以过硬的作风抓好贯彻落实，努力取得更好成绩。</w:t>
      </w:r>
    </w:p>
    <w:p>
      <w:pPr>
        <w:pStyle w:val="5"/>
        <w:spacing w:before="0" w:after="0" w:line="240" w:lineRule="auto"/>
        <w:ind w:firstLine="640" w:firstLineChars="200"/>
        <w:rPr>
          <w:rFonts w:ascii="黑体" w:hAnsi="黑体" w:eastAsia="黑体"/>
          <w:b w:val="0"/>
          <w:color w:val="000000" w:themeColor="text1"/>
          <w14:textFill>
            <w14:solidFill>
              <w14:schemeClr w14:val="tx1"/>
            </w14:solidFill>
          </w14:textFill>
        </w:rPr>
      </w:pPr>
      <w:r>
        <w:rPr>
          <w:rFonts w:hint="eastAsia" w:ascii="黑体" w:hAnsi="黑体" w:eastAsia="黑体"/>
          <w:b w:val="0"/>
          <w:color w:val="000000" w:themeColor="text1"/>
          <w14:textFill>
            <w14:solidFill>
              <w14:schemeClr w14:val="tx1"/>
            </w14:solidFill>
          </w14:textFill>
        </w:rPr>
        <w:t xml:space="preserve">三、加强规划衔接和细化 </w:t>
      </w:r>
    </w:p>
    <w:p>
      <w:pPr>
        <w:adjustRightInd w:val="0"/>
        <w:ind w:firstLine="640" w:firstLineChars="200"/>
        <w:rPr>
          <w:rFonts w:ascii="仿宋_GB2312" w:hAnsi="仿宋" w:eastAsia="仿宋_GB2312"/>
          <w:color w:val="000000" w:themeColor="text1"/>
          <w:sz w:val="32"/>
          <w:szCs w:val="32"/>
          <w14:textFill>
            <w14:solidFill>
              <w14:schemeClr w14:val="tx1"/>
            </w14:solidFill>
          </w14:textFill>
        </w:rPr>
      </w:pPr>
      <w:r>
        <w:rPr>
          <w:rFonts w:hint="eastAsia" w:ascii="仿宋_GB2312" w:hAnsi="仿宋" w:eastAsia="仿宋_GB2312"/>
          <w:color w:val="000000" w:themeColor="text1"/>
          <w:sz w:val="32"/>
          <w:szCs w:val="32"/>
          <w14:textFill>
            <w14:solidFill>
              <w14:schemeClr w14:val="tx1"/>
            </w14:solidFill>
          </w14:textFill>
        </w:rPr>
        <w:t>强化总体规划的引导地位，充分发挥规划的统筹协调和宏观指导作用。新区各专项规划切实贯彻总体规划的目标战略和主要任务，加强与总体规划各项指标的衔接。建立健全总体规划的组织体系，制定规划年度实施方案，落实牵头单位和工作责任，明确实施进度和推进措施，形成新区各部门之间的协调合作机制，对工作进程中出现的新问题、新情况及时沟通协调，分析研究解决办法和应对措施。专家咨询机制，建设提供决策询问和参考。通过实施建设计划、行动计划、年度计划、各类政策意见、实施方案等，分解规划纲要提出的目标任务，推进规划纲要的实施。</w:t>
      </w:r>
    </w:p>
    <w:bookmarkEnd w:id="588"/>
    <w:bookmarkEnd w:id="589"/>
    <w:bookmarkEnd w:id="590"/>
    <w:bookmarkEnd w:id="591"/>
    <w:bookmarkEnd w:id="592"/>
    <w:bookmarkEnd w:id="593"/>
    <w:p>
      <w:pPr>
        <w:pStyle w:val="4"/>
        <w:jc w:val="center"/>
        <w:rPr>
          <w:rFonts w:hint="eastAsia" w:ascii="黑体" w:hAnsi="黑体" w:eastAsia="黑体" w:cs="Times New Roman"/>
          <w:b w:val="0"/>
          <w:color w:val="000000" w:themeColor="text1"/>
          <w14:textFill>
            <w14:solidFill>
              <w14:schemeClr w14:val="tx1"/>
            </w14:solidFill>
          </w14:textFill>
        </w:rPr>
      </w:pPr>
      <w:bookmarkStart w:id="621" w:name="_Toc8025"/>
      <w:bookmarkStart w:id="622" w:name="_Toc12692"/>
      <w:bookmarkStart w:id="623" w:name="_Toc25024"/>
      <w:bookmarkStart w:id="624" w:name="_Toc17126"/>
      <w:bookmarkStart w:id="625" w:name="_Toc11522"/>
      <w:bookmarkStart w:id="626" w:name="_Toc42856351"/>
      <w:bookmarkStart w:id="627" w:name="_Toc5008"/>
      <w:bookmarkStart w:id="628" w:name="_Toc31979"/>
      <w:bookmarkStart w:id="629" w:name="_Toc4040"/>
      <w:bookmarkStart w:id="630" w:name="_Toc4400"/>
      <w:bookmarkStart w:id="631" w:name="_Toc13294"/>
      <w:bookmarkStart w:id="632" w:name="_Toc13427"/>
      <w:bookmarkStart w:id="633" w:name="_Toc25563"/>
      <w:bookmarkStart w:id="634" w:name="_Toc25589"/>
      <w:bookmarkStart w:id="635" w:name="_Toc29080"/>
      <w:bookmarkStart w:id="636" w:name="_Toc3442"/>
      <w:bookmarkStart w:id="637" w:name="_Toc9294"/>
      <w:bookmarkStart w:id="638" w:name="_Toc13867"/>
      <w:bookmarkStart w:id="639" w:name="_Toc25293"/>
      <w:bookmarkStart w:id="640" w:name="_Toc18157"/>
      <w:bookmarkStart w:id="641" w:name="_Toc75341692"/>
      <w:bookmarkStart w:id="642" w:name="_Toc9256"/>
      <w:bookmarkStart w:id="643" w:name="_Toc2261"/>
      <w:bookmarkStart w:id="644" w:name="_Toc27103"/>
      <w:bookmarkStart w:id="645" w:name="_Toc4971"/>
      <w:bookmarkStart w:id="646" w:name="_Toc18067"/>
      <w:bookmarkStart w:id="647" w:name="_Toc28639"/>
      <w:bookmarkStart w:id="648" w:name="_Toc426479951"/>
      <w:bookmarkStart w:id="649" w:name="_Toc426479618"/>
      <w:bookmarkStart w:id="650" w:name="_Toc426480424"/>
      <w:bookmarkStart w:id="651" w:name="_Toc426480500"/>
      <w:bookmarkStart w:id="652" w:name="_Toc438750496"/>
      <w:bookmarkStart w:id="653" w:name="_Toc426483009"/>
      <w:r>
        <w:rPr>
          <w:rFonts w:hint="eastAsia" w:ascii="黑体" w:hAnsi="黑体" w:eastAsia="黑体" w:cs="Times New Roman"/>
          <w:b w:val="0"/>
          <w:color w:val="000000" w:themeColor="text1"/>
          <w14:textFill>
            <w14:solidFill>
              <w14:schemeClr w14:val="tx1"/>
            </w14:solidFill>
          </w14:textFill>
        </w:rPr>
        <w:t>第二节 强化规划实施重大支撑</w:t>
      </w:r>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p>
    <w:p>
      <w:pPr>
        <w:pStyle w:val="5"/>
        <w:spacing w:before="0" w:after="0" w:line="240" w:lineRule="auto"/>
        <w:ind w:firstLine="640" w:firstLineChars="200"/>
        <w:rPr>
          <w:rFonts w:ascii="黑体" w:hAnsi="黑体" w:eastAsia="黑体"/>
          <w:b w:val="0"/>
          <w:color w:val="000000" w:themeColor="text1"/>
          <w14:textFill>
            <w14:solidFill>
              <w14:schemeClr w14:val="tx1"/>
            </w14:solidFill>
          </w14:textFill>
        </w:rPr>
      </w:pPr>
      <w:r>
        <w:rPr>
          <w:rFonts w:hint="eastAsia" w:ascii="黑体" w:hAnsi="黑体" w:eastAsia="黑体"/>
          <w:b w:val="0"/>
          <w:color w:val="000000" w:themeColor="text1"/>
          <w14:textFill>
            <w14:solidFill>
              <w14:schemeClr w14:val="tx1"/>
            </w14:solidFill>
          </w14:textFill>
        </w:rPr>
        <w:t>一、</w:t>
      </w:r>
      <w:bookmarkStart w:id="654" w:name="_Toc444451242"/>
      <w:r>
        <w:rPr>
          <w:rFonts w:hint="eastAsia" w:ascii="黑体" w:hAnsi="黑体" w:eastAsia="黑体"/>
          <w:b w:val="0"/>
          <w:color w:val="000000" w:themeColor="text1"/>
          <w14:textFill>
            <w14:solidFill>
              <w14:schemeClr w14:val="tx1"/>
            </w14:solidFill>
          </w14:textFill>
        </w:rPr>
        <w:t>强化重大项目支撑</w:t>
      </w:r>
      <w:bookmarkEnd w:id="654"/>
    </w:p>
    <w:p>
      <w:pPr>
        <w:adjustRightInd w:val="0"/>
        <w:ind w:firstLine="640" w:firstLineChars="200"/>
        <w:rPr>
          <w:rFonts w:ascii="仿宋_GB2312" w:hAnsi="仿宋" w:eastAsia="仿宋_GB2312"/>
          <w:color w:val="000000" w:themeColor="text1"/>
          <w:sz w:val="32"/>
          <w:szCs w:val="32"/>
          <w14:textFill>
            <w14:solidFill>
              <w14:schemeClr w14:val="tx1"/>
            </w14:solidFill>
          </w14:textFill>
        </w:rPr>
      </w:pPr>
      <w:r>
        <w:rPr>
          <w:rFonts w:hint="eastAsia" w:ascii="仿宋_GB2312" w:hAnsi="仿宋" w:eastAsia="仿宋_GB2312"/>
          <w:color w:val="000000" w:themeColor="text1"/>
          <w:sz w:val="32"/>
          <w:szCs w:val="32"/>
          <w14:textFill>
            <w14:solidFill>
              <w14:schemeClr w14:val="tx1"/>
            </w14:solidFill>
          </w14:textFill>
        </w:rPr>
        <w:t>科学谋划重大项目。围绕补短板、促升级、增后劲、惠民生，组织实施好一批关系全局和长远发展的重大项目，注重发挥社会力量作用，着力提升基础设施水平，增强产业创新力和竞争力，促进改善生态环境，提高人民群众生活水平。优化重大项目投资行业结构和区域分布结构，保持投资规模稳步较快增长。围绕本规划确定的重点领域和区域，重点投向新基础建设领域、工业互联网领域、基本民生服务领域、城市更新领域和生态环境保护领域。“十四五”期间，柳东新区拟建设重大项目约530个，总投资约1730亿元。</w:t>
      </w:r>
    </w:p>
    <w:p>
      <w:pPr>
        <w:pStyle w:val="5"/>
        <w:spacing w:before="0" w:after="0"/>
        <w:ind w:firstLine="640" w:firstLineChars="200"/>
        <w:rPr>
          <w:rFonts w:ascii="黑体" w:hAnsi="黑体" w:eastAsia="黑体"/>
          <w:b w:val="0"/>
          <w:color w:val="000000" w:themeColor="text1"/>
          <w14:textFill>
            <w14:solidFill>
              <w14:schemeClr w14:val="tx1"/>
            </w14:solidFill>
          </w14:textFill>
        </w:rPr>
      </w:pPr>
      <w:bookmarkStart w:id="655" w:name="_Toc426479953"/>
      <w:bookmarkStart w:id="656" w:name="_Toc426483011"/>
      <w:bookmarkStart w:id="657" w:name="_Toc438750498"/>
      <w:bookmarkStart w:id="658" w:name="_Toc426480426"/>
      <w:r>
        <w:rPr>
          <w:rFonts w:hint="eastAsia" w:ascii="黑体" w:hAnsi="黑体" w:eastAsia="黑体"/>
          <w:b w:val="0"/>
          <w:color w:val="000000" w:themeColor="text1"/>
          <w14:textFill>
            <w14:solidFill>
              <w14:schemeClr w14:val="tx1"/>
            </w14:solidFill>
          </w14:textFill>
        </w:rPr>
        <w:t>二</w:t>
      </w:r>
      <w:r>
        <w:rPr>
          <w:rFonts w:ascii="黑体" w:hAnsi="黑体" w:eastAsia="黑体"/>
          <w:b w:val="0"/>
          <w:color w:val="000000" w:themeColor="text1"/>
          <w14:textFill>
            <w14:solidFill>
              <w14:schemeClr w14:val="tx1"/>
            </w14:solidFill>
          </w14:textFill>
        </w:rPr>
        <w:t>、强化资金支撑保障</w:t>
      </w:r>
    </w:p>
    <w:p>
      <w:pPr>
        <w:pStyle w:val="9"/>
        <w:numPr>
          <w:ilvl w:val="255"/>
          <w:numId w:val="0"/>
        </w:numPr>
        <w:ind w:firstLine="640" w:firstLineChars="200"/>
        <w:rPr>
          <w:rFonts w:ascii="仿宋_GB2312" w:hAnsi="仿宋" w:eastAsia="仿宋_GB2312"/>
          <w:color w:val="000000" w:themeColor="text1"/>
          <w:sz w:val="32"/>
          <w:szCs w:val="32"/>
          <w14:textFill>
            <w14:solidFill>
              <w14:schemeClr w14:val="tx1"/>
            </w14:solidFill>
          </w14:textFill>
        </w:rPr>
      </w:pPr>
      <w:r>
        <w:rPr>
          <w:rFonts w:hint="eastAsia" w:ascii="仿宋_GB2312" w:hAnsi="仿宋" w:eastAsia="仿宋_GB2312" w:cs="Dotum"/>
          <w:color w:val="000000" w:themeColor="text1"/>
          <w:sz w:val="32"/>
          <w:szCs w:val="32"/>
          <w14:textFill>
            <w14:solidFill>
              <w14:schemeClr w14:val="tx1"/>
            </w14:solidFill>
          </w14:textFill>
        </w:rPr>
        <w:t>创新优化政府投资行为，发挥好政府投资的引导和带动作用</w:t>
      </w:r>
      <w:r>
        <w:rPr>
          <w:rFonts w:hint="eastAsia" w:ascii="仿宋_GB2312" w:hAnsi="仿宋" w:eastAsia="仿宋_GB2312"/>
          <w:color w:val="000000" w:themeColor="text1"/>
          <w:sz w:val="32"/>
          <w:szCs w:val="32"/>
          <w14:textFill>
            <w14:solidFill>
              <w14:schemeClr w14:val="tx1"/>
            </w14:solidFill>
          </w14:textFill>
        </w:rPr>
        <w:t>，激发民间投资活力，形成市场主导的投资内生增长机制。强化财政保障政策的实施，创新发展有效的融资途径，解决基础设施建设中的融资瓶颈，推动市政建设市场化发展。灵活运用政府专项贷发行融资，多维度优化新区政府融资结构，鼓励市场化投资，增加有效融资。引入基于“PPP+ REITs”的集成融资模式，依托信托公司将民间资本聚集，有效解决过分依赖财政收入与政府资本的瓶颈，加快建设项目落地实施，增强可操作性和灵活性。积极探索通过“PPP+ REITs”方式盘活存量资产，形成资金和资产的良性循环。优化政府财政支出结构，集中财力保障重点、保民生、保大局，全面实施预算绩效管理，提高资金使用效能。</w:t>
      </w:r>
    </w:p>
    <w:p>
      <w:pPr>
        <w:pStyle w:val="5"/>
        <w:spacing w:before="0" w:after="0" w:line="240" w:lineRule="auto"/>
        <w:ind w:firstLine="640" w:firstLineChars="200"/>
        <w:rPr>
          <w:rFonts w:ascii="黑体" w:hAnsi="黑体" w:eastAsia="黑体"/>
          <w:b w:val="0"/>
          <w:color w:val="000000" w:themeColor="text1"/>
          <w14:textFill>
            <w14:solidFill>
              <w14:schemeClr w14:val="tx1"/>
            </w14:solidFill>
          </w14:textFill>
        </w:rPr>
      </w:pPr>
      <w:r>
        <w:rPr>
          <w:rFonts w:hint="eastAsia" w:ascii="黑体" w:hAnsi="黑体" w:eastAsia="黑体"/>
          <w:b w:val="0"/>
          <w:color w:val="000000" w:themeColor="text1"/>
          <w14:textFill>
            <w14:solidFill>
              <w14:schemeClr w14:val="tx1"/>
            </w14:solidFill>
          </w14:textFill>
        </w:rPr>
        <w:t>三</w:t>
      </w:r>
      <w:bookmarkEnd w:id="655"/>
      <w:bookmarkEnd w:id="656"/>
      <w:bookmarkEnd w:id="657"/>
      <w:bookmarkEnd w:id="658"/>
      <w:r>
        <w:rPr>
          <w:rFonts w:hint="eastAsia" w:ascii="黑体" w:hAnsi="黑体" w:eastAsia="黑体"/>
          <w:b w:val="0"/>
          <w:color w:val="000000" w:themeColor="text1"/>
          <w14:textFill>
            <w14:solidFill>
              <w14:schemeClr w14:val="tx1"/>
            </w14:solidFill>
          </w14:textFill>
        </w:rPr>
        <w:t>、强化重大改革举措</w:t>
      </w:r>
    </w:p>
    <w:p>
      <w:pPr>
        <w:adjustRightInd w:val="0"/>
        <w:ind w:firstLine="640" w:firstLineChars="200"/>
        <w:rPr>
          <w:rFonts w:ascii="仿宋_GB2312" w:hAnsi="仿宋" w:eastAsia="仿宋_GB2312"/>
          <w:color w:val="000000" w:themeColor="text1"/>
          <w:sz w:val="32"/>
          <w:szCs w:val="32"/>
          <w14:textFill>
            <w14:solidFill>
              <w14:schemeClr w14:val="tx1"/>
            </w14:solidFill>
          </w14:textFill>
        </w:rPr>
      </w:pPr>
      <w:r>
        <w:rPr>
          <w:rFonts w:hint="eastAsia" w:ascii="仿宋_GB2312" w:hAnsi="仿宋" w:eastAsia="仿宋_GB2312"/>
          <w:color w:val="000000" w:themeColor="text1"/>
          <w:sz w:val="32"/>
          <w:szCs w:val="32"/>
          <w14:textFill>
            <w14:solidFill>
              <w14:schemeClr w14:val="tx1"/>
            </w14:solidFill>
          </w14:textFill>
        </w:rPr>
        <w:t>围绕增强发展内生动力、激发市场活力，研究推出一批重大改革开放举措，重点厘清政府和市场、政府和社会关系的要求，努力在推动“放管服”改革、数字政府、社会信用体系建设、国土空间规划和土地管理、优秀人才进驻、劳动用工制度、生态环境治理等领域取得先行先试权限，率先取得新突破。</w:t>
      </w:r>
    </w:p>
    <w:p>
      <w:pPr>
        <w:pStyle w:val="4"/>
        <w:jc w:val="center"/>
        <w:rPr>
          <w:rFonts w:hint="eastAsia" w:ascii="黑体" w:hAnsi="黑体" w:eastAsia="黑体" w:cs="Times New Roman"/>
          <w:b w:val="0"/>
          <w:color w:val="000000" w:themeColor="text1"/>
          <w14:textFill>
            <w14:solidFill>
              <w14:schemeClr w14:val="tx1"/>
            </w14:solidFill>
          </w14:textFill>
        </w:rPr>
      </w:pPr>
      <w:bookmarkStart w:id="659" w:name="_Toc31287"/>
      <w:bookmarkStart w:id="660" w:name="_Toc26596"/>
      <w:bookmarkStart w:id="661" w:name="_Toc17072"/>
      <w:bookmarkStart w:id="662" w:name="_Toc12303"/>
      <w:bookmarkStart w:id="663" w:name="_Toc3065"/>
      <w:bookmarkStart w:id="664" w:name="_Toc26076"/>
      <w:bookmarkStart w:id="665" w:name="_Toc960"/>
      <w:bookmarkStart w:id="666" w:name="_Toc24506"/>
      <w:bookmarkStart w:id="667" w:name="_Toc880"/>
      <w:bookmarkStart w:id="668" w:name="_Toc592"/>
      <w:bookmarkStart w:id="669" w:name="_Toc24824"/>
      <w:bookmarkStart w:id="670" w:name="_Toc5422"/>
      <w:bookmarkStart w:id="671" w:name="_Toc75341693"/>
      <w:bookmarkStart w:id="672" w:name="_Toc13048"/>
      <w:bookmarkStart w:id="673" w:name="_Toc22289"/>
      <w:bookmarkStart w:id="674" w:name="_Toc5372"/>
      <w:bookmarkStart w:id="675" w:name="_Toc30884"/>
      <w:bookmarkStart w:id="676" w:name="_Toc30156"/>
      <w:bookmarkStart w:id="677" w:name="_Toc26897"/>
      <w:bookmarkStart w:id="678" w:name="_Toc30412"/>
      <w:bookmarkStart w:id="679" w:name="_Toc19856"/>
      <w:bookmarkStart w:id="680" w:name="_Toc42856352"/>
      <w:bookmarkStart w:id="681" w:name="_Toc951"/>
      <w:bookmarkStart w:id="682" w:name="_Toc26193"/>
      <w:bookmarkStart w:id="683" w:name="_Toc8199"/>
      <w:bookmarkStart w:id="684" w:name="_Toc25186"/>
      <w:bookmarkStart w:id="685" w:name="_Toc9651"/>
      <w:r>
        <w:rPr>
          <w:rFonts w:hint="eastAsia" w:ascii="黑体" w:hAnsi="黑体" w:eastAsia="黑体" w:cs="Times New Roman"/>
          <w:b w:val="0"/>
          <w:color w:val="000000" w:themeColor="text1"/>
          <w14:textFill>
            <w14:solidFill>
              <w14:schemeClr w14:val="tx1"/>
            </w14:solidFill>
          </w14:textFill>
        </w:rPr>
        <w:t xml:space="preserve">第三节 </w:t>
      </w:r>
      <w:bookmarkEnd w:id="648"/>
      <w:bookmarkEnd w:id="649"/>
      <w:bookmarkEnd w:id="650"/>
      <w:bookmarkEnd w:id="651"/>
      <w:bookmarkEnd w:id="652"/>
      <w:bookmarkEnd w:id="653"/>
      <w:r>
        <w:rPr>
          <w:rFonts w:hint="eastAsia" w:ascii="黑体" w:hAnsi="黑体" w:eastAsia="黑体" w:cs="Times New Roman"/>
          <w:b w:val="0"/>
          <w:color w:val="000000" w:themeColor="text1"/>
          <w14:textFill>
            <w14:solidFill>
              <w14:schemeClr w14:val="tx1"/>
            </w14:solidFill>
          </w14:textFill>
        </w:rPr>
        <w:t>强化规划实施监测评估</w:t>
      </w:r>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p>
    <w:p>
      <w:pPr>
        <w:pStyle w:val="5"/>
        <w:spacing w:before="0" w:after="0" w:line="240" w:lineRule="auto"/>
        <w:ind w:firstLine="640" w:firstLineChars="200"/>
        <w:rPr>
          <w:rFonts w:ascii="黑体" w:hAnsi="黑体" w:eastAsia="黑体"/>
          <w:b w:val="0"/>
          <w:color w:val="000000" w:themeColor="text1"/>
          <w14:textFill>
            <w14:solidFill>
              <w14:schemeClr w14:val="tx1"/>
            </w14:solidFill>
          </w14:textFill>
        </w:rPr>
      </w:pPr>
      <w:r>
        <w:rPr>
          <w:rFonts w:hint="eastAsia" w:ascii="黑体" w:hAnsi="黑体" w:eastAsia="黑体"/>
          <w:b w:val="0"/>
          <w:color w:val="000000" w:themeColor="text1"/>
          <w14:textFill>
            <w14:solidFill>
              <w14:schemeClr w14:val="tx1"/>
            </w14:solidFill>
          </w14:textFill>
        </w:rPr>
        <w:t>一、强化约束性指标的执行实施</w:t>
      </w:r>
    </w:p>
    <w:p>
      <w:pPr>
        <w:adjustRightInd w:val="0"/>
        <w:ind w:firstLine="640" w:firstLineChars="200"/>
        <w:rPr>
          <w:rFonts w:ascii="仿宋_GB2312" w:hAnsi="仿宋" w:eastAsia="仿宋_GB2312"/>
          <w:color w:val="000000" w:themeColor="text1"/>
          <w:sz w:val="32"/>
          <w:szCs w:val="32"/>
          <w14:textFill>
            <w14:solidFill>
              <w14:schemeClr w14:val="tx1"/>
            </w14:solidFill>
          </w14:textFill>
        </w:rPr>
      </w:pPr>
      <w:r>
        <w:rPr>
          <w:rFonts w:hint="eastAsia" w:ascii="仿宋_GB2312" w:hAnsi="仿宋" w:eastAsia="仿宋_GB2312"/>
          <w:color w:val="000000" w:themeColor="text1"/>
          <w:sz w:val="32"/>
          <w:szCs w:val="32"/>
          <w14:textFill>
            <w14:solidFill>
              <w14:schemeClr w14:val="tx1"/>
            </w14:solidFill>
          </w14:textFill>
        </w:rPr>
        <w:t>规划约束性指标纳入柳东新区经济社会发展综合评价。建立健全新区党工委和管委会统一领导、部门和镇（街道）政府各负其责、督查机构统筹实施的三级“大督查”体系，定期开展对规划指标、政策措施和重大项目实施情况的跟踪监测分析，强化动态管理，提高规划实施的效果。</w:t>
      </w:r>
    </w:p>
    <w:p>
      <w:pPr>
        <w:pStyle w:val="5"/>
        <w:spacing w:before="0" w:after="0" w:line="240" w:lineRule="auto"/>
        <w:ind w:firstLine="640" w:firstLineChars="200"/>
        <w:rPr>
          <w:rFonts w:ascii="黑体" w:hAnsi="黑体" w:eastAsia="黑体"/>
          <w:b w:val="0"/>
          <w:color w:val="000000" w:themeColor="text1"/>
          <w14:textFill>
            <w14:solidFill>
              <w14:schemeClr w14:val="tx1"/>
            </w14:solidFill>
          </w14:textFill>
        </w:rPr>
      </w:pPr>
      <w:r>
        <w:rPr>
          <w:rFonts w:hint="eastAsia" w:ascii="黑体" w:hAnsi="黑体" w:eastAsia="黑体"/>
          <w:b w:val="0"/>
          <w:color w:val="000000" w:themeColor="text1"/>
          <w14:textFill>
            <w14:solidFill>
              <w14:schemeClr w14:val="tx1"/>
            </w14:solidFill>
          </w14:textFill>
        </w:rPr>
        <w:t>二、加强规划评估和考核</w:t>
      </w:r>
    </w:p>
    <w:p>
      <w:pPr>
        <w:adjustRightInd w:val="0"/>
        <w:ind w:firstLine="640" w:firstLineChars="200"/>
        <w:rPr>
          <w:rFonts w:ascii="仿宋_GB2312" w:hAnsi="仿宋" w:eastAsia="仿宋_GB2312"/>
          <w:color w:val="000000" w:themeColor="text1"/>
          <w:sz w:val="32"/>
          <w:szCs w:val="32"/>
          <w14:textFill>
            <w14:solidFill>
              <w14:schemeClr w14:val="tx1"/>
            </w14:solidFill>
          </w14:textFill>
        </w:rPr>
      </w:pPr>
      <w:r>
        <w:rPr>
          <w:rFonts w:hint="eastAsia" w:ascii="仿宋_GB2312" w:hAnsi="仿宋" w:eastAsia="仿宋_GB2312"/>
          <w:color w:val="000000" w:themeColor="text1"/>
          <w:sz w:val="32"/>
          <w:szCs w:val="32"/>
          <w14:textFill>
            <w14:solidFill>
              <w14:schemeClr w14:val="tx1"/>
            </w14:solidFill>
          </w14:textFill>
        </w:rPr>
        <w:t>完善规划实施的评估激励机制和动态修正机制。加强分类指导，加强专项督查。加大监督力度，完善通报机制，及时沟通规划执行情况，建立社会各界周期性参与规划实施、督查规划进程机制。建立容错机制，形成包容创新、允许试错的宽松环境。发挥社会各界对规划实施情况的监督作用，开展第三方评价。</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ascii="仿宋_GB2312" w:hAnsi="仿宋" w:eastAsia="仿宋_GB2312"/>
          <w:color w:val="000000" w:themeColor="text1"/>
          <w:sz w:val="32"/>
          <w:szCs w:val="32"/>
          <w14:textFill>
            <w14:solidFill>
              <w14:schemeClr w14:val="tx1"/>
            </w14:solidFill>
          </w14:textFill>
        </w:rPr>
      </w:pPr>
      <w:r>
        <w:rPr>
          <w:rFonts w:hint="eastAsia" w:ascii="仿宋_GB2312" w:hAnsi="仿宋" w:eastAsia="仿宋_GB2312"/>
          <w:color w:val="000000" w:themeColor="text1"/>
          <w:sz w:val="32"/>
          <w:szCs w:val="32"/>
          <w14:textFill>
            <w14:solidFill>
              <w14:schemeClr w14:val="tx1"/>
            </w14:solidFill>
          </w14:textFill>
        </w:rPr>
        <w:br w:type="page"/>
      </w:r>
    </w:p>
    <w:p>
      <w:pPr>
        <w:pStyle w:val="4"/>
        <w:keepNext/>
        <w:keepLines/>
        <w:pageBreakBefore w:val="0"/>
        <w:widowControl w:val="0"/>
        <w:kinsoku/>
        <w:wordWrap/>
        <w:overflowPunct/>
        <w:topLinePunct w:val="0"/>
        <w:autoSpaceDE/>
        <w:autoSpaceDN/>
        <w:bidi w:val="0"/>
        <w:adjustRightInd/>
        <w:snapToGrid/>
        <w:spacing w:before="0" w:after="0" w:line="560" w:lineRule="exact"/>
        <w:jc w:val="left"/>
        <w:textAlignment w:val="auto"/>
        <w:rPr>
          <w:rFonts w:hint="eastAsia" w:ascii="黑体" w:hAnsi="黑体" w:eastAsia="黑体" w:cs="黑体"/>
          <w:b w:val="0"/>
          <w:color w:val="000000" w:themeColor="text1"/>
          <w:lang w:val="en-US" w:eastAsia="zh-CN"/>
          <w14:textFill>
            <w14:solidFill>
              <w14:schemeClr w14:val="tx1"/>
            </w14:solidFill>
          </w14:textFill>
        </w:rPr>
      </w:pPr>
      <w:bookmarkStart w:id="686" w:name="_Toc15983"/>
      <w:bookmarkStart w:id="687" w:name="_Toc15462"/>
      <w:bookmarkStart w:id="688" w:name="_Toc31002"/>
      <w:bookmarkStart w:id="689" w:name="_Toc7238"/>
      <w:bookmarkStart w:id="690" w:name="_Toc21724"/>
      <w:bookmarkStart w:id="691" w:name="_Toc30581"/>
      <w:bookmarkStart w:id="692" w:name="_Toc15668"/>
      <w:bookmarkStart w:id="693" w:name="_Toc22808"/>
      <w:bookmarkStart w:id="694" w:name="_Toc18664"/>
      <w:bookmarkStart w:id="695" w:name="_Toc12770"/>
      <w:bookmarkStart w:id="696" w:name="_Toc5706"/>
      <w:bookmarkStart w:id="697" w:name="_Toc1761"/>
      <w:bookmarkStart w:id="698" w:name="_Toc15585"/>
      <w:bookmarkStart w:id="699" w:name="_Toc11710"/>
      <w:bookmarkStart w:id="700" w:name="_Toc75341694"/>
      <w:bookmarkStart w:id="701" w:name="_Toc27046"/>
      <w:bookmarkStart w:id="702" w:name="_Toc29562"/>
      <w:bookmarkStart w:id="703" w:name="_Toc13226"/>
      <w:bookmarkStart w:id="704" w:name="_Toc1128"/>
      <w:bookmarkStart w:id="705" w:name="_Toc3284"/>
      <w:bookmarkStart w:id="706" w:name="_Toc4318"/>
      <w:r>
        <w:rPr>
          <w:rFonts w:hint="eastAsia" w:ascii="黑体" w:hAnsi="黑体" w:eastAsia="黑体" w:cs="黑体"/>
          <w:b w:val="0"/>
          <w:color w:val="000000" w:themeColor="text1"/>
          <w14:textFill>
            <w14:solidFill>
              <w14:schemeClr w14:val="tx1"/>
            </w14:solidFill>
          </w14:textFill>
        </w:rPr>
        <w:t>附</w:t>
      </w:r>
      <w:r>
        <w:rPr>
          <w:rFonts w:hint="eastAsia" w:ascii="黑体" w:hAnsi="黑体" w:eastAsia="黑体" w:cs="黑体"/>
          <w:b w:val="0"/>
          <w:color w:val="000000" w:themeColor="text1"/>
          <w:lang w:eastAsia="zh-CN"/>
          <w14:textFill>
            <w14:solidFill>
              <w14:schemeClr w14:val="tx1"/>
            </w14:solidFill>
          </w14:textFill>
        </w:rPr>
        <w:t>件</w:t>
      </w:r>
      <w:r>
        <w:rPr>
          <w:rFonts w:hint="eastAsia" w:ascii="黑体" w:hAnsi="黑体" w:eastAsia="黑体" w:cs="黑体"/>
          <w:b w:val="0"/>
          <w:color w:val="000000" w:themeColor="text1"/>
          <w:lang w:val="en-US" w:eastAsia="zh-CN"/>
          <w14:textFill>
            <w14:solidFill>
              <w14:schemeClr w14:val="tx1"/>
            </w14:solidFill>
          </w14:textFill>
        </w:rPr>
        <w:t>1</w:t>
      </w:r>
    </w:p>
    <w:p>
      <w:pPr>
        <w:pStyle w:val="4"/>
        <w:jc w:val="center"/>
        <w:rPr>
          <w:rFonts w:hint="eastAsia" w:ascii="黑体" w:hAnsi="黑体" w:eastAsia="黑体" w:cs="Times New Roman"/>
          <w:b w:val="0"/>
          <w:color w:val="000000" w:themeColor="text1"/>
          <w14:textFill>
            <w14:solidFill>
              <w14:schemeClr w14:val="tx1"/>
            </w14:solidFill>
          </w14:textFill>
        </w:rPr>
      </w:pPr>
      <w:r>
        <w:rPr>
          <w:rFonts w:hint="eastAsia" w:ascii="黑体" w:hAnsi="黑体" w:eastAsia="黑体" w:cs="Times New Roman"/>
          <w:b w:val="0"/>
          <w:color w:val="000000" w:themeColor="text1"/>
          <w14:textFill>
            <w14:solidFill>
              <w14:schemeClr w14:val="tx1"/>
            </w14:solidFill>
          </w14:textFill>
        </w:rPr>
        <w:t>柳东新区“十四五”指标预测说明</w:t>
      </w:r>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p>
    <w:p>
      <w:pPr>
        <w:numPr>
          <w:ilvl w:val="0"/>
          <w:numId w:val="4"/>
        </w:numPr>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地区生产总值（GDP）增长：“十四五”期新区该指标预期年均增长９%以上，比同期柳州市年均增速高约１个百分点，保持中高速增长。</w:t>
      </w:r>
    </w:p>
    <w:p>
      <w:pPr>
        <w:numPr>
          <w:ilvl w:val="0"/>
          <w:numId w:val="4"/>
        </w:numPr>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人均地区生产总值增长：到2025年，新区常住人口规模预期达30万人，“十四五”期该指标预期年均增长7%以上，比全市高约0.5个百分点。</w:t>
      </w:r>
    </w:p>
    <w:p>
      <w:pPr>
        <w:numPr>
          <w:ilvl w:val="0"/>
          <w:numId w:val="4"/>
        </w:numPr>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规上工业总产值：到2025年，新区规上工业总产值预期达到1600亿元，以2020年新区规上工业总产值794.08亿元（小口径范围统计值）为基数计算，年均增长率约为15%。</w:t>
      </w:r>
    </w:p>
    <w:p>
      <w:pPr>
        <w:numPr>
          <w:ilvl w:val="0"/>
          <w:numId w:val="4"/>
        </w:numPr>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全员劳动生产率增长：“十四五”期新区该指标预期年均增长不低于6.5%，高于全市0.3个百分点。</w:t>
      </w:r>
    </w:p>
    <w:p>
      <w:pPr>
        <w:numPr>
          <w:ilvl w:val="0"/>
          <w:numId w:val="4"/>
        </w:numPr>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财政收入：到2025年，新区财政收入预期达到80亿元。以2020年新区财政收入52.22亿元为基数，年均增长率为8.9%,高于全市3.4个百分点。</w:t>
      </w:r>
    </w:p>
    <w:p>
      <w:pPr>
        <w:numPr>
          <w:ilvl w:val="0"/>
          <w:numId w:val="4"/>
        </w:numPr>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园区企业研发投入强度：根据《柳州高新技术产业开发区高质量发展“十四五”规划纲要》，确定为3.5%。</w:t>
      </w:r>
    </w:p>
    <w:p>
      <w:pPr>
        <w:numPr>
          <w:ilvl w:val="0"/>
          <w:numId w:val="4"/>
        </w:numPr>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每万人口高价值发明专利拥有量：基于创新驱动发展示范区和高质量发展先行区的新区规划定位，衔接市级规划并结合新区职能部门意见，到2025年，柳东新区该项指标预期达6件。</w:t>
      </w:r>
    </w:p>
    <w:p>
      <w:pPr>
        <w:numPr>
          <w:ilvl w:val="0"/>
          <w:numId w:val="4"/>
        </w:numPr>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人均技术合同交易额：根据《柳州高新技术产业开发区高质量发展“十四五”规划纲要》，确定为0.5万元。</w:t>
      </w:r>
    </w:p>
    <w:p>
      <w:pPr>
        <w:numPr>
          <w:ilvl w:val="0"/>
          <w:numId w:val="4"/>
        </w:numPr>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高新技术企业数量：2020年柳东新区拥有国家高新技术企业206家。随着“十四五”期间双创环境和创新能力不断提高，到2025年，争取新区该指标达到300家。</w:t>
      </w:r>
    </w:p>
    <w:p>
      <w:pPr>
        <w:numPr>
          <w:ilvl w:val="0"/>
          <w:numId w:val="4"/>
        </w:numPr>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省级及以上创新平台：根据新区相关部门意见和工作实际，到2025年，争取新区该指标达到120家。</w:t>
      </w:r>
    </w:p>
    <w:p>
      <w:pPr>
        <w:numPr>
          <w:ilvl w:val="0"/>
          <w:numId w:val="4"/>
        </w:numPr>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省级及以上科技企业孵化器和众创空间数：到2025年</w:t>
      </w:r>
      <w:r>
        <w:rPr>
          <w:rFonts w:ascii="仿宋_GB2312" w:hAnsi="仿宋_GB2312" w:eastAsia="仿宋_GB2312" w:cs="仿宋_GB2312"/>
          <w:color w:val="000000" w:themeColor="text1"/>
          <w:sz w:val="32"/>
          <w:szCs w:val="32"/>
          <w14:textFill>
            <w14:solidFill>
              <w14:schemeClr w14:val="tx1"/>
            </w14:solidFill>
          </w14:textFill>
        </w:rPr>
        <w:t>，新区</w:t>
      </w:r>
      <w:r>
        <w:rPr>
          <w:rFonts w:hint="eastAsia" w:ascii="仿宋_GB2312" w:hAnsi="仿宋_GB2312" w:eastAsia="仿宋_GB2312" w:cs="仿宋_GB2312"/>
          <w:color w:val="000000" w:themeColor="text1"/>
          <w:sz w:val="32"/>
          <w:szCs w:val="32"/>
          <w14:textFill>
            <w14:solidFill>
              <w14:schemeClr w14:val="tx1"/>
            </w14:solidFill>
          </w14:textFill>
        </w:rPr>
        <w:t>预期建成各类双创载体40家以上，其中省级及以上超过18家。</w:t>
      </w:r>
    </w:p>
    <w:p>
      <w:pPr>
        <w:numPr>
          <w:ilvl w:val="0"/>
          <w:numId w:val="4"/>
        </w:numPr>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财政科技支出与当年财政支出比例：到2025年，新区科技三项经费，即财政科技支出占当年财政总支出的份额预期达3%。</w:t>
      </w:r>
    </w:p>
    <w:p>
      <w:pPr>
        <w:numPr>
          <w:ilvl w:val="0"/>
          <w:numId w:val="4"/>
        </w:numPr>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新区常住人口：</w:t>
      </w:r>
      <w:r>
        <w:rPr>
          <w:rFonts w:ascii="仿宋_GB2312" w:hAnsi="仿宋_GB2312" w:eastAsia="仿宋_GB2312" w:cs="仿宋_GB2312"/>
          <w:color w:val="000000" w:themeColor="text1"/>
          <w:sz w:val="32"/>
          <w:szCs w:val="32"/>
          <w14:textFill>
            <w14:solidFill>
              <w14:schemeClr w14:val="tx1"/>
            </w14:solidFill>
          </w14:textFill>
        </w:rPr>
        <w:t>第七次全国人口普查</w:t>
      </w:r>
      <w:r>
        <w:rPr>
          <w:rFonts w:hint="eastAsia" w:ascii="仿宋_GB2312" w:hAnsi="仿宋_GB2312" w:eastAsia="仿宋_GB2312" w:cs="仿宋_GB2312"/>
          <w:color w:val="000000" w:themeColor="text1"/>
          <w:sz w:val="32"/>
          <w:szCs w:val="32"/>
          <w14:textFill>
            <w14:solidFill>
              <w14:schemeClr w14:val="tx1"/>
            </w14:solidFill>
          </w14:textFill>
        </w:rPr>
        <w:t>（2020年）柳东新区城乡登记人口为22.6万人，随着新区产城融合发展和人口集聚能力持续提升，到“十四五”期末新区常住人口规模预期达30万人，年均增长6%。</w:t>
      </w:r>
    </w:p>
    <w:p>
      <w:pPr>
        <w:pStyle w:val="2"/>
        <w:numPr>
          <w:ilvl w:val="0"/>
          <w:numId w:val="4"/>
        </w:numPr>
        <w:ind w:firstLine="640"/>
        <w:rPr>
          <w:rFonts w:ascii="仿宋_GB2312" w:hAnsi="仿宋_GB2312" w:cs="仿宋_GB2312"/>
          <w:color w:val="000000" w:themeColor="text1"/>
          <w:sz w:val="32"/>
          <w:szCs w:val="32"/>
          <w14:textFill>
            <w14:solidFill>
              <w14:schemeClr w14:val="tx1"/>
            </w14:solidFill>
          </w14:textFill>
        </w:rPr>
      </w:pPr>
      <w:r>
        <w:rPr>
          <w:rFonts w:hint="eastAsia" w:ascii="仿宋_GB2312" w:hAnsi="仿宋_GB2312" w:cs="仿宋_GB2312"/>
          <w:color w:val="000000" w:themeColor="text1"/>
          <w:sz w:val="32"/>
          <w:szCs w:val="32"/>
          <w14:textFill>
            <w14:solidFill>
              <w14:schemeClr w14:val="tx1"/>
            </w14:solidFill>
          </w14:textFill>
        </w:rPr>
        <w:t>常住人口城镇化率：2020年</w:t>
      </w:r>
      <w:r>
        <w:rPr>
          <w:rFonts w:ascii="仿宋_GB2312" w:hAnsi="仿宋_GB2312" w:cs="仿宋_GB2312"/>
          <w:color w:val="000000" w:themeColor="text1"/>
          <w:sz w:val="32"/>
          <w:szCs w:val="32"/>
          <w14:textFill>
            <w14:solidFill>
              <w14:schemeClr w14:val="tx1"/>
            </w14:solidFill>
          </w14:textFill>
        </w:rPr>
        <w:t>柳州市</w:t>
      </w:r>
      <w:r>
        <w:rPr>
          <w:rFonts w:hint="eastAsia" w:ascii="仿宋_GB2312" w:hAnsi="仿宋_GB2312" w:cs="仿宋_GB2312"/>
          <w:color w:val="000000" w:themeColor="text1"/>
          <w:sz w:val="32"/>
          <w:szCs w:val="32"/>
          <w14:textFill>
            <w14:solidFill>
              <w14:schemeClr w14:val="tx1"/>
            </w14:solidFill>
          </w14:textFill>
        </w:rPr>
        <w:t>常住人口</w:t>
      </w:r>
      <w:r>
        <w:rPr>
          <w:rFonts w:ascii="仿宋_GB2312" w:hAnsi="仿宋_GB2312" w:cs="仿宋_GB2312"/>
          <w:color w:val="000000" w:themeColor="text1"/>
          <w:sz w:val="32"/>
          <w:szCs w:val="32"/>
          <w14:textFill>
            <w14:solidFill>
              <w14:schemeClr w14:val="tx1"/>
            </w14:solidFill>
          </w14:textFill>
        </w:rPr>
        <w:t>城镇化率达69.93</w:t>
      </w:r>
      <w:r>
        <w:rPr>
          <w:rFonts w:hint="eastAsia" w:ascii="仿宋_GB2312" w:hAnsi="仿宋_GB2312" w:cs="仿宋_GB2312"/>
          <w:color w:val="000000" w:themeColor="text1"/>
          <w:sz w:val="32"/>
          <w:szCs w:val="32"/>
          <w14:textFill>
            <w14:solidFill>
              <w14:schemeClr w14:val="tx1"/>
            </w14:solidFill>
          </w14:textFill>
        </w:rPr>
        <w:t>%，新区指标达71%，根据《柳州市新型城镇化规划(2021-2035 年)》，2025年全市目标为72%，新区目标预期达75%。</w:t>
      </w:r>
    </w:p>
    <w:p>
      <w:pPr>
        <w:numPr>
          <w:ilvl w:val="0"/>
          <w:numId w:val="4"/>
        </w:numPr>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居民人均可支配收入：“十四五”期新区人口、经济持续扩张，该指标保持与全市一致，即年均增长6.5%。</w:t>
      </w:r>
    </w:p>
    <w:p>
      <w:pPr>
        <w:numPr>
          <w:ilvl w:val="0"/>
          <w:numId w:val="4"/>
        </w:numPr>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九年义务教育巩固率：到2025年，新区在校生巩固率，即新区学校入学人数与毕业人数的百分比预期达97%。</w:t>
      </w:r>
    </w:p>
    <w:p>
      <w:pPr>
        <w:numPr>
          <w:ilvl w:val="0"/>
          <w:numId w:val="4"/>
        </w:numPr>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城镇调查失业率：“十四五”期新区作为柳州创新创业高地，该指标应低于全市平均水平，预期在5.5%以下。</w:t>
      </w:r>
    </w:p>
    <w:p>
      <w:pPr>
        <w:numPr>
          <w:ilvl w:val="0"/>
          <w:numId w:val="4"/>
        </w:numPr>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ascii="仿宋_GB2312" w:hAnsi="仿宋_GB2312" w:eastAsia="仿宋_GB2312" w:cs="仿宋_GB2312"/>
          <w:color w:val="000000" w:themeColor="text1"/>
          <w:sz w:val="32"/>
          <w:szCs w:val="32"/>
          <w14:textFill>
            <w14:solidFill>
              <w14:schemeClr w14:val="tx1"/>
            </w14:solidFill>
          </w14:textFill>
        </w:rPr>
        <w:t>劳动年龄人口平均受教育年限</w:t>
      </w:r>
      <w:r>
        <w:rPr>
          <w:rFonts w:hint="eastAsia" w:ascii="仿宋_GB2312" w:hAnsi="仿宋_GB2312" w:eastAsia="仿宋_GB2312" w:cs="仿宋_GB2312"/>
          <w:color w:val="000000" w:themeColor="text1"/>
          <w:sz w:val="32"/>
          <w:szCs w:val="32"/>
          <w14:textFill>
            <w14:solidFill>
              <w14:schemeClr w14:val="tx1"/>
            </w14:solidFill>
          </w14:textFill>
        </w:rPr>
        <w:t>：“十四五”期全市指标为10.7年，新区为全市人才高地，该指标预期达11年。</w:t>
      </w:r>
    </w:p>
    <w:p>
      <w:pPr>
        <w:numPr>
          <w:ilvl w:val="0"/>
          <w:numId w:val="4"/>
        </w:numPr>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每千人口拥有3 岁以下婴幼儿托位数：“十四五”期新区该指标保持与全市一致，争取达4个。</w:t>
      </w:r>
    </w:p>
    <w:p>
      <w:pPr>
        <w:numPr>
          <w:ilvl w:val="0"/>
          <w:numId w:val="4"/>
        </w:numPr>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ascii="仿宋_GB2312" w:hAnsi="仿宋_GB2312" w:eastAsia="仿宋_GB2312" w:cs="仿宋_GB2312"/>
          <w:color w:val="000000" w:themeColor="text1"/>
          <w:sz w:val="32"/>
          <w:szCs w:val="32"/>
          <w14:textFill>
            <w14:solidFill>
              <w14:schemeClr w14:val="tx1"/>
            </w14:solidFill>
          </w14:textFill>
        </w:rPr>
        <w:t>每千人口拥有执业（助理）医师数</w:t>
      </w:r>
      <w:r>
        <w:rPr>
          <w:rFonts w:hint="eastAsia" w:ascii="仿宋_GB2312" w:hAnsi="仿宋_GB2312" w:eastAsia="仿宋_GB2312" w:cs="仿宋_GB2312"/>
          <w:color w:val="000000" w:themeColor="text1"/>
          <w:sz w:val="32"/>
          <w:szCs w:val="32"/>
          <w14:textFill>
            <w14:solidFill>
              <w14:schemeClr w14:val="tx1"/>
            </w14:solidFill>
          </w14:textFill>
        </w:rPr>
        <w:t>：“十四五”期新区该指标保持与全市一致，争取达3.3人。</w:t>
      </w:r>
    </w:p>
    <w:p>
      <w:pPr>
        <w:numPr>
          <w:ilvl w:val="0"/>
          <w:numId w:val="4"/>
        </w:numPr>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城乡居民基本医疗保险参保率：“十四五”期新区该指标预期达98%以上。</w:t>
      </w:r>
    </w:p>
    <w:p>
      <w:pPr>
        <w:numPr>
          <w:ilvl w:val="0"/>
          <w:numId w:val="4"/>
        </w:numPr>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基本养老参保率：新区2020年该指标达95%， “十四五”期预期达97%，高于全市2个百分点。</w:t>
      </w:r>
    </w:p>
    <w:p>
      <w:pPr>
        <w:numPr>
          <w:ilvl w:val="0"/>
          <w:numId w:val="4"/>
        </w:numPr>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保障性住房：“十四五”期新区该指标以市级下达任务为准。</w:t>
      </w:r>
    </w:p>
    <w:p>
      <w:pPr>
        <w:numPr>
          <w:ilvl w:val="0"/>
          <w:numId w:val="4"/>
        </w:numPr>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城镇污水处理率：到2025年，新区该指标预期达95%以上。</w:t>
      </w:r>
    </w:p>
    <w:p>
      <w:pPr>
        <w:numPr>
          <w:ilvl w:val="0"/>
          <w:numId w:val="4"/>
        </w:numPr>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工业固体废物综合利用率：到2025年，新区该指标预期达100%。</w:t>
      </w:r>
    </w:p>
    <w:p>
      <w:pPr>
        <w:numPr>
          <w:ilvl w:val="0"/>
          <w:numId w:val="4"/>
        </w:numPr>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城市生活垃圾无害化处理率：到2025年，新区该指标预期达100%。</w:t>
      </w:r>
    </w:p>
    <w:p>
      <w:pPr>
        <w:numPr>
          <w:ilvl w:val="0"/>
          <w:numId w:val="4"/>
        </w:numPr>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耕地保有量：“十四五”期新区该指标以市级下达任务为准。</w:t>
      </w:r>
    </w:p>
    <w:p>
      <w:pPr>
        <w:numPr>
          <w:ilvl w:val="0"/>
          <w:numId w:val="4"/>
        </w:numPr>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新增建设用地面积：“十四五”期新区该指标以市级下达任务为准。</w:t>
      </w:r>
    </w:p>
    <w:p>
      <w:pPr>
        <w:numPr>
          <w:ilvl w:val="0"/>
          <w:numId w:val="4"/>
        </w:numPr>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万元GDP能源消耗下降：“十四五”期新区该指标以市级下达任务为准。</w:t>
      </w:r>
    </w:p>
    <w:p>
      <w:pPr>
        <w:numPr>
          <w:ilvl w:val="0"/>
          <w:numId w:val="4"/>
        </w:numPr>
        <w:tabs>
          <w:tab w:val="clear" w:pos="312"/>
        </w:tabs>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万元GDP用水量降低：“十四五”期新区该指标以市级下达任务为准。</w:t>
      </w:r>
    </w:p>
    <w:p>
      <w:pPr>
        <w:numPr>
          <w:ilvl w:val="0"/>
          <w:numId w:val="4"/>
        </w:numPr>
        <w:tabs>
          <w:tab w:val="clear" w:pos="312"/>
        </w:tabs>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森林覆盖率： 2020年新区森林覆盖率为33.37%，结合城市建设实际，“十四五”期新区该指标预期达35%。</w:t>
      </w:r>
    </w:p>
    <w:p>
      <w:pPr>
        <w:numPr>
          <w:ilvl w:val="0"/>
          <w:numId w:val="4"/>
        </w:numPr>
        <w:tabs>
          <w:tab w:val="clear" w:pos="312"/>
        </w:tabs>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细颗粒物(PM2.5）浓度：“十四五”期新区该指标以市级下达任务为准。</w:t>
      </w:r>
    </w:p>
    <w:p>
      <w:pPr>
        <w:numPr>
          <w:ilvl w:val="0"/>
          <w:numId w:val="4"/>
        </w:numPr>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城市人均公园绿地面积：“十四五”期新区该指标保持与全市一致，争取达14平方米。</w:t>
      </w:r>
    </w:p>
    <w:p>
      <w:pPr>
        <w:numPr>
          <w:ilvl w:val="0"/>
          <w:numId w:val="4"/>
        </w:numPr>
        <w:tabs>
          <w:tab w:val="clear" w:pos="312"/>
        </w:tabs>
        <w:adjustRightInd w:val="0"/>
        <w:ind w:firstLine="640" w:firstLineChars="200"/>
        <w:jc w:val="left"/>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主要江河地表水质量－达到或好于Ⅲ类水体比例：，“十四五”期新区该指标保持与全市一致，争取达100%。</w:t>
      </w:r>
    </w:p>
    <w:p>
      <w:pPr>
        <w:pStyle w:val="3"/>
        <w:widowControl/>
        <w:jc w:val="center"/>
        <w:rPr>
          <w:rFonts w:ascii="黑体" w:hAnsi="黑体" w:eastAsia="黑体" w:cs="Times New Roman"/>
          <w:color w:val="000000" w:themeColor="text1"/>
          <w:sz w:val="32"/>
          <w:szCs w:val="32"/>
          <w14:textFill>
            <w14:solidFill>
              <w14:schemeClr w14:val="tx1"/>
            </w14:solidFill>
          </w14:textFill>
        </w:rPr>
      </w:pPr>
    </w:p>
    <w:sectPr>
      <w:headerReference r:id="rId5" w:type="default"/>
      <w:footerReference r:id="rId6"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TimesNewRomanPSMT">
    <w:altName w:val="Times New Roman"/>
    <w:panose1 w:val="00000000000000000000"/>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Dotum">
    <w:altName w:val="Malgun Gothic"/>
    <w:panose1 w:val="020B0600000101010101"/>
    <w:charset w:val="81"/>
    <w:family w:val="swiss"/>
    <w:pitch w:val="default"/>
    <w:sig w:usb0="00000000" w:usb1="00000000" w:usb2="00000030" w:usb3="00000000" w:csb0="4008009F" w:csb1="DFD70000"/>
  </w:font>
  <w:font w:name="Malgun Gothic">
    <w:panose1 w:val="020B0503020000020004"/>
    <w:charset w:val="81"/>
    <w:family w:val="auto"/>
    <w:pitch w:val="default"/>
    <w:sig w:usb0="9000002F" w:usb1="29D77CFB" w:usb2="00000012" w:usb3="00000000" w:csb0="00080001" w:csb1="00000000"/>
  </w:font>
  <w:font w:name="Arial Unicode MS">
    <w:altName w:val="宋体"/>
    <w:panose1 w:val="020B0604020202020204"/>
    <w:charset w:val="86"/>
    <w:family w:val="swiss"/>
    <w:pitch w:val="default"/>
    <w:sig w:usb0="00000000" w:usb1="00000000"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center"/>
    </w:pPr>
  </w:p>
  <w:p>
    <w:pPr>
      <w:pStyle w:val="1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snapToGrid w:val="0"/>
                            <w:rPr>
                              <w:rFonts w:eastAsia="宋体"/>
                              <w:sz w:val="18"/>
                            </w:rPr>
                          </w:pPr>
                          <w:r>
                            <w:rPr>
                              <w:rFonts w:hint="eastAsia" w:ascii="仿宋_GB2312" w:hAnsi="仿宋_GB2312" w:eastAsia="仿宋_GB2312" w:cs="仿宋_GB2312"/>
                              <w:sz w:val="18"/>
                            </w:rPr>
                            <w:fldChar w:fldCharType="begin"/>
                          </w:r>
                          <w:r>
                            <w:rPr>
                              <w:rFonts w:hint="eastAsia" w:ascii="仿宋_GB2312" w:hAnsi="仿宋_GB2312" w:eastAsia="仿宋_GB2312" w:cs="仿宋_GB2312"/>
                              <w:sz w:val="18"/>
                            </w:rPr>
                            <w:instrText xml:space="preserve"> PAGE  \* MERGEFORMAT </w:instrText>
                          </w:r>
                          <w:r>
                            <w:rPr>
                              <w:rFonts w:hint="eastAsia" w:ascii="仿宋_GB2312" w:hAnsi="仿宋_GB2312" w:eastAsia="仿宋_GB2312" w:cs="仿宋_GB2312"/>
                              <w:sz w:val="18"/>
                            </w:rPr>
                            <w:fldChar w:fldCharType="separate"/>
                          </w:r>
                          <w:r>
                            <w:rPr>
                              <w:rFonts w:ascii="仿宋_GB2312" w:hAnsi="仿宋_GB2312" w:eastAsia="仿宋_GB2312" w:cs="仿宋_GB2312"/>
                              <w:sz w:val="18"/>
                            </w:rPr>
                            <w:t>34</w:t>
                          </w:r>
                          <w:r>
                            <w:rPr>
                              <w:rFonts w:hint="eastAsia" w:ascii="仿宋_GB2312" w:hAnsi="仿宋_GB2312" w:eastAsia="仿宋_GB2312" w:cs="仿宋_GB2312"/>
                              <w:sz w:val="1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aj184AgAAb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XhqPXzgCAABvBAAADgAAAAAAAAABACAAAAAfAQAAZHJzL2Uyb0RvYy54&#10;bWxQSwUGAAAAAAYABgBZAQAAyQUAAAAA&#10;">
              <v:fill on="f" focussize="0,0"/>
              <v:stroke on="f" weight="0.5pt"/>
              <v:imagedata o:title=""/>
              <o:lock v:ext="edit" aspectratio="f"/>
              <v:textbox inset="0mm,0mm,0mm,0mm" style="mso-fit-shape-to-text:t;">
                <w:txbxContent>
                  <w:p>
                    <w:pPr>
                      <w:snapToGrid w:val="0"/>
                      <w:rPr>
                        <w:rFonts w:eastAsia="宋体"/>
                        <w:sz w:val="18"/>
                      </w:rPr>
                    </w:pPr>
                    <w:r>
                      <w:rPr>
                        <w:rFonts w:hint="eastAsia" w:ascii="仿宋_GB2312" w:hAnsi="仿宋_GB2312" w:eastAsia="仿宋_GB2312" w:cs="仿宋_GB2312"/>
                        <w:sz w:val="18"/>
                      </w:rPr>
                      <w:fldChar w:fldCharType="begin"/>
                    </w:r>
                    <w:r>
                      <w:rPr>
                        <w:rFonts w:hint="eastAsia" w:ascii="仿宋_GB2312" w:hAnsi="仿宋_GB2312" w:eastAsia="仿宋_GB2312" w:cs="仿宋_GB2312"/>
                        <w:sz w:val="18"/>
                      </w:rPr>
                      <w:instrText xml:space="preserve"> PAGE  \* MERGEFORMAT </w:instrText>
                    </w:r>
                    <w:r>
                      <w:rPr>
                        <w:rFonts w:hint="eastAsia" w:ascii="仿宋_GB2312" w:hAnsi="仿宋_GB2312" w:eastAsia="仿宋_GB2312" w:cs="仿宋_GB2312"/>
                        <w:sz w:val="18"/>
                      </w:rPr>
                      <w:fldChar w:fldCharType="separate"/>
                    </w:r>
                    <w:r>
                      <w:rPr>
                        <w:rFonts w:ascii="仿宋_GB2312" w:hAnsi="仿宋_GB2312" w:eastAsia="仿宋_GB2312" w:cs="仿宋_GB2312"/>
                        <w:sz w:val="18"/>
                      </w:rPr>
                      <w:t>34</w:t>
                    </w:r>
                    <w:r>
                      <w:rPr>
                        <w:rFonts w:hint="eastAsia" w:ascii="仿宋_GB2312" w:hAnsi="仿宋_GB2312" w:eastAsia="仿宋_GB2312" w:cs="仿宋_GB2312"/>
                        <w:sz w:val="18"/>
                      </w:rPr>
                      <w:fldChar w:fldCharType="end"/>
                    </w:r>
                  </w:p>
                </w:txbxContent>
              </v:textbox>
            </v:shape>
          </w:pict>
        </mc:Fallback>
      </mc:AlternateContent>
    </w:r>
  </w:p>
  <w:p>
    <w:pPr>
      <w:pStyle w:val="1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2"/>
                          </w:pPr>
                          <w:r>
                            <w:fldChar w:fldCharType="begin"/>
                          </w:r>
                          <w:r>
                            <w:instrText xml:space="preserve"> PAGE  \* MERGEFORMAT </w:instrText>
                          </w:r>
                          <w:r>
                            <w:fldChar w:fldCharType="separate"/>
                          </w:r>
                          <w:r>
                            <w:t>105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z8DRzgCAABvBAAADgAAAAAAAAABACAAAAAfAQAAZHJzL2Uyb0RvYy54&#10;bWxQSwUGAAAAAAYABgBZAQAAyQU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105</w:t>
                    </w:r>
                    <w:r>
                      <w:fldChar w:fldCharType="end"/>
                    </w:r>
                  </w:p>
                </w:txbxContent>
              </v:textbox>
            </v:shape>
          </w:pict>
        </mc:Fallback>
      </mc:AlternateContent>
    </w:r>
  </w:p>
  <w:p>
    <w:pPr>
      <w:pStyle w:val="1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31ED516"/>
    <w:multiLevelType w:val="singleLevel"/>
    <w:tmpl w:val="A31ED516"/>
    <w:lvl w:ilvl="0" w:tentative="0">
      <w:start w:val="3"/>
      <w:numFmt w:val="chineseCounting"/>
      <w:suff w:val="nothing"/>
      <w:lvlText w:val="%1、"/>
      <w:lvlJc w:val="left"/>
      <w:rPr>
        <w:rFonts w:hint="eastAsia"/>
      </w:rPr>
    </w:lvl>
  </w:abstractNum>
  <w:abstractNum w:abstractNumId="1">
    <w:nsid w:val="37C13A58"/>
    <w:multiLevelType w:val="singleLevel"/>
    <w:tmpl w:val="37C13A58"/>
    <w:lvl w:ilvl="0" w:tentative="0">
      <w:start w:val="1"/>
      <w:numFmt w:val="decimal"/>
      <w:lvlText w:val="%1."/>
      <w:lvlJc w:val="left"/>
      <w:pPr>
        <w:tabs>
          <w:tab w:val="left" w:pos="312"/>
        </w:tabs>
      </w:pPr>
    </w:lvl>
  </w:abstractNum>
  <w:abstractNum w:abstractNumId="2">
    <w:nsid w:val="4AB3FADE"/>
    <w:multiLevelType w:val="singleLevel"/>
    <w:tmpl w:val="4AB3FADE"/>
    <w:lvl w:ilvl="0" w:tentative="0">
      <w:start w:val="2"/>
      <w:numFmt w:val="chineseCounting"/>
      <w:suff w:val="nothing"/>
      <w:lvlText w:val="%1、"/>
      <w:lvlJc w:val="left"/>
      <w:rPr>
        <w:rFonts w:hint="eastAsia"/>
      </w:rPr>
    </w:lvl>
  </w:abstractNum>
  <w:abstractNum w:abstractNumId="3">
    <w:nsid w:val="51DFCB84"/>
    <w:multiLevelType w:val="singleLevel"/>
    <w:tmpl w:val="51DFCB84"/>
    <w:lvl w:ilvl="0" w:tentative="0">
      <w:start w:val="2"/>
      <w:numFmt w:val="chineseCounting"/>
      <w:suff w:val="nothing"/>
      <w:lvlText w:val="%1、"/>
      <w:lvlJc w:val="left"/>
      <w:rPr>
        <w:rFonts w:hint="eastAsia"/>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FjMWExZTYwZjkwYmM4YTY4MDBkMDJhMWNjYzAwOTIifQ=="/>
  </w:docVars>
  <w:rsids>
    <w:rsidRoot w:val="00172A27"/>
    <w:rsid w:val="0000493A"/>
    <w:rsid w:val="00020967"/>
    <w:rsid w:val="00023964"/>
    <w:rsid w:val="0006033F"/>
    <w:rsid w:val="00065AE9"/>
    <w:rsid w:val="00070AEA"/>
    <w:rsid w:val="00070B1A"/>
    <w:rsid w:val="00072020"/>
    <w:rsid w:val="000872F0"/>
    <w:rsid w:val="000902B6"/>
    <w:rsid w:val="0009113F"/>
    <w:rsid w:val="00092DD9"/>
    <w:rsid w:val="00093DF5"/>
    <w:rsid w:val="000965B7"/>
    <w:rsid w:val="000A1DDA"/>
    <w:rsid w:val="000B388C"/>
    <w:rsid w:val="000B6417"/>
    <w:rsid w:val="000B7488"/>
    <w:rsid w:val="000D4E50"/>
    <w:rsid w:val="000D5671"/>
    <w:rsid w:val="000E409A"/>
    <w:rsid w:val="000F714B"/>
    <w:rsid w:val="000F7CC5"/>
    <w:rsid w:val="001147C0"/>
    <w:rsid w:val="00121EBB"/>
    <w:rsid w:val="00126578"/>
    <w:rsid w:val="00132564"/>
    <w:rsid w:val="00134769"/>
    <w:rsid w:val="00135B3C"/>
    <w:rsid w:val="00156021"/>
    <w:rsid w:val="001569DA"/>
    <w:rsid w:val="00172A27"/>
    <w:rsid w:val="00183C88"/>
    <w:rsid w:val="0018620A"/>
    <w:rsid w:val="00187783"/>
    <w:rsid w:val="00190148"/>
    <w:rsid w:val="00195E95"/>
    <w:rsid w:val="001975B0"/>
    <w:rsid w:val="001C4A81"/>
    <w:rsid w:val="001D137B"/>
    <w:rsid w:val="001D1967"/>
    <w:rsid w:val="001D5F76"/>
    <w:rsid w:val="001F17AF"/>
    <w:rsid w:val="001F6B12"/>
    <w:rsid w:val="00202142"/>
    <w:rsid w:val="0020311C"/>
    <w:rsid w:val="002066EE"/>
    <w:rsid w:val="00214312"/>
    <w:rsid w:val="0023433C"/>
    <w:rsid w:val="00240C33"/>
    <w:rsid w:val="00242120"/>
    <w:rsid w:val="0024285E"/>
    <w:rsid w:val="00244049"/>
    <w:rsid w:val="00245017"/>
    <w:rsid w:val="00245AF7"/>
    <w:rsid w:val="00246780"/>
    <w:rsid w:val="00247EB7"/>
    <w:rsid w:val="00247EC3"/>
    <w:rsid w:val="002516B8"/>
    <w:rsid w:val="00255E5B"/>
    <w:rsid w:val="00272399"/>
    <w:rsid w:val="00281CB9"/>
    <w:rsid w:val="002963C8"/>
    <w:rsid w:val="002A4581"/>
    <w:rsid w:val="002A53D8"/>
    <w:rsid w:val="002B012A"/>
    <w:rsid w:val="002B33C8"/>
    <w:rsid w:val="002C2159"/>
    <w:rsid w:val="002D08BE"/>
    <w:rsid w:val="002D24D1"/>
    <w:rsid w:val="002D3A19"/>
    <w:rsid w:val="002E6901"/>
    <w:rsid w:val="002E776B"/>
    <w:rsid w:val="002F43C1"/>
    <w:rsid w:val="00302A91"/>
    <w:rsid w:val="00307B8A"/>
    <w:rsid w:val="00316C4D"/>
    <w:rsid w:val="00321C21"/>
    <w:rsid w:val="00321D07"/>
    <w:rsid w:val="0032263E"/>
    <w:rsid w:val="00324250"/>
    <w:rsid w:val="0033228C"/>
    <w:rsid w:val="003326C6"/>
    <w:rsid w:val="00337F89"/>
    <w:rsid w:val="00341A70"/>
    <w:rsid w:val="003426EC"/>
    <w:rsid w:val="00347BCB"/>
    <w:rsid w:val="00347C1D"/>
    <w:rsid w:val="00362F97"/>
    <w:rsid w:val="00372439"/>
    <w:rsid w:val="0037604D"/>
    <w:rsid w:val="00386B51"/>
    <w:rsid w:val="00386DCC"/>
    <w:rsid w:val="003A16D1"/>
    <w:rsid w:val="003A31E6"/>
    <w:rsid w:val="003B219D"/>
    <w:rsid w:val="003B5592"/>
    <w:rsid w:val="003C4F69"/>
    <w:rsid w:val="003C520F"/>
    <w:rsid w:val="003D0D8C"/>
    <w:rsid w:val="003D0E9A"/>
    <w:rsid w:val="003D62A8"/>
    <w:rsid w:val="003D65EF"/>
    <w:rsid w:val="003E02E2"/>
    <w:rsid w:val="003E2999"/>
    <w:rsid w:val="003F02BE"/>
    <w:rsid w:val="003F2324"/>
    <w:rsid w:val="003F5B2C"/>
    <w:rsid w:val="00402676"/>
    <w:rsid w:val="0040278B"/>
    <w:rsid w:val="00403E75"/>
    <w:rsid w:val="0042057D"/>
    <w:rsid w:val="00422D1E"/>
    <w:rsid w:val="004271DF"/>
    <w:rsid w:val="00435356"/>
    <w:rsid w:val="00442EB7"/>
    <w:rsid w:val="0044575B"/>
    <w:rsid w:val="004463DC"/>
    <w:rsid w:val="00450C5C"/>
    <w:rsid w:val="00455BE2"/>
    <w:rsid w:val="004568A6"/>
    <w:rsid w:val="0045790C"/>
    <w:rsid w:val="004856F9"/>
    <w:rsid w:val="0049445B"/>
    <w:rsid w:val="004A4FBD"/>
    <w:rsid w:val="004B2267"/>
    <w:rsid w:val="004D5CEE"/>
    <w:rsid w:val="004F0516"/>
    <w:rsid w:val="005011D0"/>
    <w:rsid w:val="00501614"/>
    <w:rsid w:val="00510091"/>
    <w:rsid w:val="005133F1"/>
    <w:rsid w:val="0052131D"/>
    <w:rsid w:val="005221D9"/>
    <w:rsid w:val="00522BDD"/>
    <w:rsid w:val="00523978"/>
    <w:rsid w:val="00530C99"/>
    <w:rsid w:val="00530E4C"/>
    <w:rsid w:val="00534CFC"/>
    <w:rsid w:val="00543325"/>
    <w:rsid w:val="005440FD"/>
    <w:rsid w:val="00552C69"/>
    <w:rsid w:val="005543B2"/>
    <w:rsid w:val="0055541E"/>
    <w:rsid w:val="005565D4"/>
    <w:rsid w:val="00566450"/>
    <w:rsid w:val="005677ED"/>
    <w:rsid w:val="00567C60"/>
    <w:rsid w:val="00580C13"/>
    <w:rsid w:val="005917B4"/>
    <w:rsid w:val="005940B4"/>
    <w:rsid w:val="00596961"/>
    <w:rsid w:val="005A05FD"/>
    <w:rsid w:val="005A5379"/>
    <w:rsid w:val="005A74EA"/>
    <w:rsid w:val="005B059A"/>
    <w:rsid w:val="005B73D1"/>
    <w:rsid w:val="005C7EFF"/>
    <w:rsid w:val="005D2643"/>
    <w:rsid w:val="005E163E"/>
    <w:rsid w:val="005E1A7A"/>
    <w:rsid w:val="005E794A"/>
    <w:rsid w:val="005F032F"/>
    <w:rsid w:val="005F1192"/>
    <w:rsid w:val="005F1AA7"/>
    <w:rsid w:val="005F392A"/>
    <w:rsid w:val="005F54CB"/>
    <w:rsid w:val="005F6570"/>
    <w:rsid w:val="00601449"/>
    <w:rsid w:val="00640F3A"/>
    <w:rsid w:val="006614EB"/>
    <w:rsid w:val="00674B5F"/>
    <w:rsid w:val="00676471"/>
    <w:rsid w:val="00683F26"/>
    <w:rsid w:val="0069337C"/>
    <w:rsid w:val="006957A2"/>
    <w:rsid w:val="00696809"/>
    <w:rsid w:val="00696EBD"/>
    <w:rsid w:val="0069770F"/>
    <w:rsid w:val="006A0528"/>
    <w:rsid w:val="006A1463"/>
    <w:rsid w:val="006C06A1"/>
    <w:rsid w:val="006D2BA3"/>
    <w:rsid w:val="006D5F0D"/>
    <w:rsid w:val="006E3C0B"/>
    <w:rsid w:val="006E44D3"/>
    <w:rsid w:val="006E4A8D"/>
    <w:rsid w:val="006F3DA1"/>
    <w:rsid w:val="006F6B1A"/>
    <w:rsid w:val="006F7935"/>
    <w:rsid w:val="007002BF"/>
    <w:rsid w:val="00700F5B"/>
    <w:rsid w:val="00707CF8"/>
    <w:rsid w:val="00714053"/>
    <w:rsid w:val="0071593E"/>
    <w:rsid w:val="00716305"/>
    <w:rsid w:val="0072131A"/>
    <w:rsid w:val="007244B3"/>
    <w:rsid w:val="0072490E"/>
    <w:rsid w:val="00734633"/>
    <w:rsid w:val="0074056B"/>
    <w:rsid w:val="00757172"/>
    <w:rsid w:val="00763563"/>
    <w:rsid w:val="00764604"/>
    <w:rsid w:val="00774570"/>
    <w:rsid w:val="007848F1"/>
    <w:rsid w:val="007A50CA"/>
    <w:rsid w:val="007A61D0"/>
    <w:rsid w:val="007A6375"/>
    <w:rsid w:val="007B2FC6"/>
    <w:rsid w:val="007B742C"/>
    <w:rsid w:val="007C3818"/>
    <w:rsid w:val="007C5761"/>
    <w:rsid w:val="007C7C8C"/>
    <w:rsid w:val="007D63AF"/>
    <w:rsid w:val="007E1C9E"/>
    <w:rsid w:val="007E3C47"/>
    <w:rsid w:val="007E6D81"/>
    <w:rsid w:val="007F102E"/>
    <w:rsid w:val="00800284"/>
    <w:rsid w:val="00801804"/>
    <w:rsid w:val="008038CB"/>
    <w:rsid w:val="00806251"/>
    <w:rsid w:val="0081132E"/>
    <w:rsid w:val="00812235"/>
    <w:rsid w:val="00817B4B"/>
    <w:rsid w:val="0082161B"/>
    <w:rsid w:val="0082705C"/>
    <w:rsid w:val="00827834"/>
    <w:rsid w:val="0083566D"/>
    <w:rsid w:val="008407A4"/>
    <w:rsid w:val="00850C0A"/>
    <w:rsid w:val="00852188"/>
    <w:rsid w:val="00855DAF"/>
    <w:rsid w:val="00861559"/>
    <w:rsid w:val="00863FC4"/>
    <w:rsid w:val="008661AF"/>
    <w:rsid w:val="00867844"/>
    <w:rsid w:val="00872216"/>
    <w:rsid w:val="008823B3"/>
    <w:rsid w:val="00884DE0"/>
    <w:rsid w:val="00885400"/>
    <w:rsid w:val="00885D46"/>
    <w:rsid w:val="008869B9"/>
    <w:rsid w:val="00894D92"/>
    <w:rsid w:val="008967D0"/>
    <w:rsid w:val="008A7783"/>
    <w:rsid w:val="008B2B1D"/>
    <w:rsid w:val="008B7299"/>
    <w:rsid w:val="008C1DFC"/>
    <w:rsid w:val="008C639F"/>
    <w:rsid w:val="008D4188"/>
    <w:rsid w:val="008E1B86"/>
    <w:rsid w:val="008E2760"/>
    <w:rsid w:val="008E27BD"/>
    <w:rsid w:val="008E6CD1"/>
    <w:rsid w:val="008F6F7D"/>
    <w:rsid w:val="009002E3"/>
    <w:rsid w:val="00901E7F"/>
    <w:rsid w:val="009030A3"/>
    <w:rsid w:val="00905A3E"/>
    <w:rsid w:val="0090688E"/>
    <w:rsid w:val="00907EA2"/>
    <w:rsid w:val="00914AF2"/>
    <w:rsid w:val="00915858"/>
    <w:rsid w:val="00924C0A"/>
    <w:rsid w:val="00926F46"/>
    <w:rsid w:val="00930836"/>
    <w:rsid w:val="00930EBB"/>
    <w:rsid w:val="00934EE8"/>
    <w:rsid w:val="00941826"/>
    <w:rsid w:val="009542F2"/>
    <w:rsid w:val="00983A9E"/>
    <w:rsid w:val="00997890"/>
    <w:rsid w:val="009A0B3E"/>
    <w:rsid w:val="009A459F"/>
    <w:rsid w:val="009B28BA"/>
    <w:rsid w:val="009B4CA4"/>
    <w:rsid w:val="009B59F0"/>
    <w:rsid w:val="009D0E09"/>
    <w:rsid w:val="009D38F4"/>
    <w:rsid w:val="009D55D7"/>
    <w:rsid w:val="009F0CBA"/>
    <w:rsid w:val="00A01C25"/>
    <w:rsid w:val="00A150B3"/>
    <w:rsid w:val="00A32773"/>
    <w:rsid w:val="00A3439F"/>
    <w:rsid w:val="00A36F68"/>
    <w:rsid w:val="00A37AF0"/>
    <w:rsid w:val="00A438D2"/>
    <w:rsid w:val="00A507B6"/>
    <w:rsid w:val="00A51F30"/>
    <w:rsid w:val="00A558F3"/>
    <w:rsid w:val="00A63B97"/>
    <w:rsid w:val="00A67351"/>
    <w:rsid w:val="00A85024"/>
    <w:rsid w:val="00A93E47"/>
    <w:rsid w:val="00A944C9"/>
    <w:rsid w:val="00AA1639"/>
    <w:rsid w:val="00AB4748"/>
    <w:rsid w:val="00AB6BFB"/>
    <w:rsid w:val="00AD18AF"/>
    <w:rsid w:val="00AD25E4"/>
    <w:rsid w:val="00AE0653"/>
    <w:rsid w:val="00AE14C0"/>
    <w:rsid w:val="00AE234C"/>
    <w:rsid w:val="00AF52F4"/>
    <w:rsid w:val="00AF6F17"/>
    <w:rsid w:val="00AF7BF9"/>
    <w:rsid w:val="00B01554"/>
    <w:rsid w:val="00B02856"/>
    <w:rsid w:val="00B028C0"/>
    <w:rsid w:val="00B02E7C"/>
    <w:rsid w:val="00B06790"/>
    <w:rsid w:val="00B07235"/>
    <w:rsid w:val="00B108DE"/>
    <w:rsid w:val="00B15F3E"/>
    <w:rsid w:val="00B22306"/>
    <w:rsid w:val="00B244AF"/>
    <w:rsid w:val="00B2646A"/>
    <w:rsid w:val="00B3034A"/>
    <w:rsid w:val="00B31AFB"/>
    <w:rsid w:val="00B3405A"/>
    <w:rsid w:val="00B345E2"/>
    <w:rsid w:val="00B36B48"/>
    <w:rsid w:val="00B433A6"/>
    <w:rsid w:val="00B4408F"/>
    <w:rsid w:val="00B50EBF"/>
    <w:rsid w:val="00B5187C"/>
    <w:rsid w:val="00B56A89"/>
    <w:rsid w:val="00B62010"/>
    <w:rsid w:val="00B7045E"/>
    <w:rsid w:val="00B75EEE"/>
    <w:rsid w:val="00B77E62"/>
    <w:rsid w:val="00B77FC0"/>
    <w:rsid w:val="00B905CA"/>
    <w:rsid w:val="00B90744"/>
    <w:rsid w:val="00B923F9"/>
    <w:rsid w:val="00B924D8"/>
    <w:rsid w:val="00B94DC9"/>
    <w:rsid w:val="00BA7258"/>
    <w:rsid w:val="00BB37F9"/>
    <w:rsid w:val="00BC2FDB"/>
    <w:rsid w:val="00BD1431"/>
    <w:rsid w:val="00BD3EDD"/>
    <w:rsid w:val="00BD4BE0"/>
    <w:rsid w:val="00BE07B8"/>
    <w:rsid w:val="00BE1FAF"/>
    <w:rsid w:val="00BF0769"/>
    <w:rsid w:val="00BF5F78"/>
    <w:rsid w:val="00C05DD9"/>
    <w:rsid w:val="00C11BD1"/>
    <w:rsid w:val="00C1216F"/>
    <w:rsid w:val="00C14D0A"/>
    <w:rsid w:val="00C32C3B"/>
    <w:rsid w:val="00C40C1A"/>
    <w:rsid w:val="00C4245A"/>
    <w:rsid w:val="00C4472A"/>
    <w:rsid w:val="00C45E70"/>
    <w:rsid w:val="00C512F4"/>
    <w:rsid w:val="00C605BF"/>
    <w:rsid w:val="00C818C7"/>
    <w:rsid w:val="00C83BBB"/>
    <w:rsid w:val="00C86A4B"/>
    <w:rsid w:val="00C94A05"/>
    <w:rsid w:val="00CA1CAD"/>
    <w:rsid w:val="00CA48C4"/>
    <w:rsid w:val="00CB1BDA"/>
    <w:rsid w:val="00CB680E"/>
    <w:rsid w:val="00CB6914"/>
    <w:rsid w:val="00CC4EB0"/>
    <w:rsid w:val="00CC7185"/>
    <w:rsid w:val="00CD52CA"/>
    <w:rsid w:val="00CD7B6E"/>
    <w:rsid w:val="00CE0249"/>
    <w:rsid w:val="00CE26D4"/>
    <w:rsid w:val="00CF0DD6"/>
    <w:rsid w:val="00CF7873"/>
    <w:rsid w:val="00D011A2"/>
    <w:rsid w:val="00D064D1"/>
    <w:rsid w:val="00D074A7"/>
    <w:rsid w:val="00D15C3D"/>
    <w:rsid w:val="00D31B9D"/>
    <w:rsid w:val="00D33303"/>
    <w:rsid w:val="00D5410C"/>
    <w:rsid w:val="00D5476B"/>
    <w:rsid w:val="00D660B6"/>
    <w:rsid w:val="00D722D9"/>
    <w:rsid w:val="00D741F6"/>
    <w:rsid w:val="00D80CCE"/>
    <w:rsid w:val="00D8525D"/>
    <w:rsid w:val="00D92AC0"/>
    <w:rsid w:val="00D93BD1"/>
    <w:rsid w:val="00D97193"/>
    <w:rsid w:val="00DA298F"/>
    <w:rsid w:val="00DA4E2A"/>
    <w:rsid w:val="00DB1EE2"/>
    <w:rsid w:val="00DC0947"/>
    <w:rsid w:val="00DD1A9E"/>
    <w:rsid w:val="00DD276D"/>
    <w:rsid w:val="00DD7E5D"/>
    <w:rsid w:val="00DE0DC8"/>
    <w:rsid w:val="00DE4EDC"/>
    <w:rsid w:val="00E02148"/>
    <w:rsid w:val="00E0313A"/>
    <w:rsid w:val="00E04294"/>
    <w:rsid w:val="00E15A6C"/>
    <w:rsid w:val="00E169B7"/>
    <w:rsid w:val="00E32E7C"/>
    <w:rsid w:val="00E402F7"/>
    <w:rsid w:val="00E419E3"/>
    <w:rsid w:val="00E723B5"/>
    <w:rsid w:val="00E7690F"/>
    <w:rsid w:val="00E9758B"/>
    <w:rsid w:val="00E97C91"/>
    <w:rsid w:val="00EA1676"/>
    <w:rsid w:val="00EA44BF"/>
    <w:rsid w:val="00EA669C"/>
    <w:rsid w:val="00EB18F9"/>
    <w:rsid w:val="00EC0D71"/>
    <w:rsid w:val="00EC174A"/>
    <w:rsid w:val="00EC5DBE"/>
    <w:rsid w:val="00EC6936"/>
    <w:rsid w:val="00EE0CF8"/>
    <w:rsid w:val="00EE2FBC"/>
    <w:rsid w:val="00EE7D20"/>
    <w:rsid w:val="00EF0B55"/>
    <w:rsid w:val="00EF528F"/>
    <w:rsid w:val="00EF670C"/>
    <w:rsid w:val="00EF6ECC"/>
    <w:rsid w:val="00F00092"/>
    <w:rsid w:val="00F02D05"/>
    <w:rsid w:val="00F03CD6"/>
    <w:rsid w:val="00F165F5"/>
    <w:rsid w:val="00F276DB"/>
    <w:rsid w:val="00F34764"/>
    <w:rsid w:val="00F45776"/>
    <w:rsid w:val="00F45CEA"/>
    <w:rsid w:val="00F65C39"/>
    <w:rsid w:val="00F7604B"/>
    <w:rsid w:val="00F84157"/>
    <w:rsid w:val="00F92DF9"/>
    <w:rsid w:val="00FA0596"/>
    <w:rsid w:val="00FB19CA"/>
    <w:rsid w:val="00FB6754"/>
    <w:rsid w:val="00FC23ED"/>
    <w:rsid w:val="00FC5B87"/>
    <w:rsid w:val="00FD5726"/>
    <w:rsid w:val="00FF671E"/>
    <w:rsid w:val="01157C74"/>
    <w:rsid w:val="01547E9F"/>
    <w:rsid w:val="017F4A22"/>
    <w:rsid w:val="01861498"/>
    <w:rsid w:val="01BE4A3A"/>
    <w:rsid w:val="025F74BC"/>
    <w:rsid w:val="02CF4B77"/>
    <w:rsid w:val="02FE4260"/>
    <w:rsid w:val="0312627E"/>
    <w:rsid w:val="034740F9"/>
    <w:rsid w:val="03B304F5"/>
    <w:rsid w:val="03B46CBB"/>
    <w:rsid w:val="050932F5"/>
    <w:rsid w:val="05776993"/>
    <w:rsid w:val="05AF131E"/>
    <w:rsid w:val="070F4619"/>
    <w:rsid w:val="076C6F88"/>
    <w:rsid w:val="07997618"/>
    <w:rsid w:val="07CF5871"/>
    <w:rsid w:val="07FD2014"/>
    <w:rsid w:val="081A5165"/>
    <w:rsid w:val="08343644"/>
    <w:rsid w:val="0837020E"/>
    <w:rsid w:val="08490AB7"/>
    <w:rsid w:val="08924A65"/>
    <w:rsid w:val="09BE54C0"/>
    <w:rsid w:val="0AAA175F"/>
    <w:rsid w:val="0B7135FE"/>
    <w:rsid w:val="0B793A5D"/>
    <w:rsid w:val="0B8E4A7C"/>
    <w:rsid w:val="0B944966"/>
    <w:rsid w:val="0BE22B13"/>
    <w:rsid w:val="0C5E237A"/>
    <w:rsid w:val="0C71577A"/>
    <w:rsid w:val="0CBA07A1"/>
    <w:rsid w:val="0CEE2069"/>
    <w:rsid w:val="0D3D3261"/>
    <w:rsid w:val="0D4D1FBA"/>
    <w:rsid w:val="0D6C5048"/>
    <w:rsid w:val="0D8651AE"/>
    <w:rsid w:val="0DD477A5"/>
    <w:rsid w:val="0E897123"/>
    <w:rsid w:val="0EC14A01"/>
    <w:rsid w:val="0FE64BAA"/>
    <w:rsid w:val="106F7998"/>
    <w:rsid w:val="10A97A1A"/>
    <w:rsid w:val="115F789A"/>
    <w:rsid w:val="11711812"/>
    <w:rsid w:val="11CF3559"/>
    <w:rsid w:val="11F1410C"/>
    <w:rsid w:val="127D42FC"/>
    <w:rsid w:val="12C9702C"/>
    <w:rsid w:val="12DA6C71"/>
    <w:rsid w:val="13603DAA"/>
    <w:rsid w:val="137503C4"/>
    <w:rsid w:val="13A761A3"/>
    <w:rsid w:val="13F50DD2"/>
    <w:rsid w:val="14280973"/>
    <w:rsid w:val="143E6BAC"/>
    <w:rsid w:val="148A36F3"/>
    <w:rsid w:val="14B6444D"/>
    <w:rsid w:val="14F434C3"/>
    <w:rsid w:val="15577789"/>
    <w:rsid w:val="16491EDB"/>
    <w:rsid w:val="17555755"/>
    <w:rsid w:val="175E517B"/>
    <w:rsid w:val="17A1514E"/>
    <w:rsid w:val="17AB5E22"/>
    <w:rsid w:val="18314277"/>
    <w:rsid w:val="18435B97"/>
    <w:rsid w:val="18877895"/>
    <w:rsid w:val="18976322"/>
    <w:rsid w:val="192E2B9C"/>
    <w:rsid w:val="19597E28"/>
    <w:rsid w:val="195B0248"/>
    <w:rsid w:val="19A66082"/>
    <w:rsid w:val="1A0C2CEB"/>
    <w:rsid w:val="1A5556AF"/>
    <w:rsid w:val="1A9E5111"/>
    <w:rsid w:val="1AE157FA"/>
    <w:rsid w:val="1B317B47"/>
    <w:rsid w:val="1B656D93"/>
    <w:rsid w:val="1BA41B62"/>
    <w:rsid w:val="1BA430F2"/>
    <w:rsid w:val="1BB07EAF"/>
    <w:rsid w:val="1C042BA7"/>
    <w:rsid w:val="1C452404"/>
    <w:rsid w:val="1C9841AF"/>
    <w:rsid w:val="1C9B66F8"/>
    <w:rsid w:val="1D0722C1"/>
    <w:rsid w:val="1D6648C8"/>
    <w:rsid w:val="1E0F09FF"/>
    <w:rsid w:val="1E1B4774"/>
    <w:rsid w:val="1E796ED5"/>
    <w:rsid w:val="1F50380C"/>
    <w:rsid w:val="1F6D7060"/>
    <w:rsid w:val="1FAE44DA"/>
    <w:rsid w:val="2045362C"/>
    <w:rsid w:val="205827F2"/>
    <w:rsid w:val="205A666F"/>
    <w:rsid w:val="209E2A6E"/>
    <w:rsid w:val="20B51BAD"/>
    <w:rsid w:val="20F139CE"/>
    <w:rsid w:val="21352936"/>
    <w:rsid w:val="21B350F4"/>
    <w:rsid w:val="2248309D"/>
    <w:rsid w:val="2296649D"/>
    <w:rsid w:val="22B479F5"/>
    <w:rsid w:val="22D72E0C"/>
    <w:rsid w:val="22FC0E3A"/>
    <w:rsid w:val="235C7DBB"/>
    <w:rsid w:val="23D50561"/>
    <w:rsid w:val="23FC7A0D"/>
    <w:rsid w:val="247177A2"/>
    <w:rsid w:val="2477776D"/>
    <w:rsid w:val="24D95403"/>
    <w:rsid w:val="24ED291A"/>
    <w:rsid w:val="24FF1934"/>
    <w:rsid w:val="259517D0"/>
    <w:rsid w:val="259C5029"/>
    <w:rsid w:val="25EF48BE"/>
    <w:rsid w:val="25FF6A62"/>
    <w:rsid w:val="26CC77B0"/>
    <w:rsid w:val="274D1DB9"/>
    <w:rsid w:val="27B31CEA"/>
    <w:rsid w:val="27BB029E"/>
    <w:rsid w:val="287D3F32"/>
    <w:rsid w:val="289B7039"/>
    <w:rsid w:val="289E2F8B"/>
    <w:rsid w:val="28CA5973"/>
    <w:rsid w:val="29152D7F"/>
    <w:rsid w:val="29515A49"/>
    <w:rsid w:val="296D36DC"/>
    <w:rsid w:val="297F1A56"/>
    <w:rsid w:val="29BC4138"/>
    <w:rsid w:val="29CD54E7"/>
    <w:rsid w:val="29E57F4D"/>
    <w:rsid w:val="2A3E6866"/>
    <w:rsid w:val="2AA007B5"/>
    <w:rsid w:val="2AE6064B"/>
    <w:rsid w:val="2B1A34F2"/>
    <w:rsid w:val="2B230532"/>
    <w:rsid w:val="2B264BD5"/>
    <w:rsid w:val="2B7C2E14"/>
    <w:rsid w:val="2B9C331B"/>
    <w:rsid w:val="2C6F21E4"/>
    <w:rsid w:val="2C9D1CEC"/>
    <w:rsid w:val="2D123983"/>
    <w:rsid w:val="2DFA713B"/>
    <w:rsid w:val="2E7F3812"/>
    <w:rsid w:val="2ED3002B"/>
    <w:rsid w:val="2EDC5518"/>
    <w:rsid w:val="2F364C1F"/>
    <w:rsid w:val="2F531764"/>
    <w:rsid w:val="2FBA5B93"/>
    <w:rsid w:val="2FE03795"/>
    <w:rsid w:val="307253D7"/>
    <w:rsid w:val="30917746"/>
    <w:rsid w:val="30A30A79"/>
    <w:rsid w:val="30AE17CE"/>
    <w:rsid w:val="30EB07C3"/>
    <w:rsid w:val="312E6035"/>
    <w:rsid w:val="32153D82"/>
    <w:rsid w:val="3273656C"/>
    <w:rsid w:val="32F8236C"/>
    <w:rsid w:val="33076E5F"/>
    <w:rsid w:val="336D267E"/>
    <w:rsid w:val="33A57BA9"/>
    <w:rsid w:val="33F401F2"/>
    <w:rsid w:val="342316C2"/>
    <w:rsid w:val="34E4120C"/>
    <w:rsid w:val="35064D83"/>
    <w:rsid w:val="35635F06"/>
    <w:rsid w:val="35BA486F"/>
    <w:rsid w:val="35E50B08"/>
    <w:rsid w:val="360F18B9"/>
    <w:rsid w:val="36326EC7"/>
    <w:rsid w:val="366D2CF5"/>
    <w:rsid w:val="366E397E"/>
    <w:rsid w:val="36CE325F"/>
    <w:rsid w:val="370130CD"/>
    <w:rsid w:val="37936F79"/>
    <w:rsid w:val="37B45B58"/>
    <w:rsid w:val="37B90E66"/>
    <w:rsid w:val="392C4D33"/>
    <w:rsid w:val="395E032C"/>
    <w:rsid w:val="3970343B"/>
    <w:rsid w:val="39C953AD"/>
    <w:rsid w:val="39D93EB0"/>
    <w:rsid w:val="39F042A5"/>
    <w:rsid w:val="3A3B23D3"/>
    <w:rsid w:val="3B4C23A0"/>
    <w:rsid w:val="3C40537D"/>
    <w:rsid w:val="3C424BA2"/>
    <w:rsid w:val="3C5452C2"/>
    <w:rsid w:val="3E02261A"/>
    <w:rsid w:val="3E2C1BAB"/>
    <w:rsid w:val="3E8D5EDC"/>
    <w:rsid w:val="3F6C4003"/>
    <w:rsid w:val="3F9B259C"/>
    <w:rsid w:val="3FA419A3"/>
    <w:rsid w:val="3FC5700B"/>
    <w:rsid w:val="404A6DD8"/>
    <w:rsid w:val="4056263E"/>
    <w:rsid w:val="41154371"/>
    <w:rsid w:val="419412F2"/>
    <w:rsid w:val="41D86BF8"/>
    <w:rsid w:val="41F308A9"/>
    <w:rsid w:val="42110767"/>
    <w:rsid w:val="424E357B"/>
    <w:rsid w:val="42512B84"/>
    <w:rsid w:val="425D2C0E"/>
    <w:rsid w:val="42886FA8"/>
    <w:rsid w:val="42A468F9"/>
    <w:rsid w:val="42D31623"/>
    <w:rsid w:val="42D52796"/>
    <w:rsid w:val="43780C34"/>
    <w:rsid w:val="43EA51E2"/>
    <w:rsid w:val="448D4949"/>
    <w:rsid w:val="45AF4038"/>
    <w:rsid w:val="45BF1647"/>
    <w:rsid w:val="460935C0"/>
    <w:rsid w:val="462A05A5"/>
    <w:rsid w:val="46A25B84"/>
    <w:rsid w:val="47003432"/>
    <w:rsid w:val="477C62AC"/>
    <w:rsid w:val="47C2750F"/>
    <w:rsid w:val="47FB1A53"/>
    <w:rsid w:val="482005A2"/>
    <w:rsid w:val="484E6E3F"/>
    <w:rsid w:val="485E70D2"/>
    <w:rsid w:val="491A793D"/>
    <w:rsid w:val="493220A4"/>
    <w:rsid w:val="494D276A"/>
    <w:rsid w:val="49815EA0"/>
    <w:rsid w:val="49BB3BB4"/>
    <w:rsid w:val="4A067A11"/>
    <w:rsid w:val="4A4E36A8"/>
    <w:rsid w:val="4A5F1B3E"/>
    <w:rsid w:val="4A7873DE"/>
    <w:rsid w:val="4AA93DDE"/>
    <w:rsid w:val="4AB47644"/>
    <w:rsid w:val="4AF678FE"/>
    <w:rsid w:val="4B790DCD"/>
    <w:rsid w:val="4B9D35B5"/>
    <w:rsid w:val="4BAA5C47"/>
    <w:rsid w:val="4BD61268"/>
    <w:rsid w:val="4BF411B6"/>
    <w:rsid w:val="4BF56AB9"/>
    <w:rsid w:val="4C030510"/>
    <w:rsid w:val="4C3458D2"/>
    <w:rsid w:val="4C832654"/>
    <w:rsid w:val="4C901C02"/>
    <w:rsid w:val="4CB72D11"/>
    <w:rsid w:val="4CB930E5"/>
    <w:rsid w:val="4D092926"/>
    <w:rsid w:val="4D612608"/>
    <w:rsid w:val="4E0B2A7F"/>
    <w:rsid w:val="4E114EEC"/>
    <w:rsid w:val="4EB242AD"/>
    <w:rsid w:val="4ECE5758"/>
    <w:rsid w:val="4EE84F01"/>
    <w:rsid w:val="4F7F7873"/>
    <w:rsid w:val="4FA7717C"/>
    <w:rsid w:val="4FDC0102"/>
    <w:rsid w:val="4FFA6E0B"/>
    <w:rsid w:val="50D956A9"/>
    <w:rsid w:val="50F0621E"/>
    <w:rsid w:val="50F14969"/>
    <w:rsid w:val="511E03D9"/>
    <w:rsid w:val="513304A0"/>
    <w:rsid w:val="513776B2"/>
    <w:rsid w:val="513E0438"/>
    <w:rsid w:val="5216437E"/>
    <w:rsid w:val="525543A2"/>
    <w:rsid w:val="525971E2"/>
    <w:rsid w:val="526161D2"/>
    <w:rsid w:val="52806502"/>
    <w:rsid w:val="52841274"/>
    <w:rsid w:val="52B1616E"/>
    <w:rsid w:val="52C40152"/>
    <w:rsid w:val="52D46F1A"/>
    <w:rsid w:val="52EB485D"/>
    <w:rsid w:val="53326C3F"/>
    <w:rsid w:val="541304D0"/>
    <w:rsid w:val="550138F3"/>
    <w:rsid w:val="5590450D"/>
    <w:rsid w:val="55A84E6F"/>
    <w:rsid w:val="55B95EE8"/>
    <w:rsid w:val="55D45AFE"/>
    <w:rsid w:val="567E7143"/>
    <w:rsid w:val="56802FCE"/>
    <w:rsid w:val="568A4E8A"/>
    <w:rsid w:val="56EA7C76"/>
    <w:rsid w:val="57386B8F"/>
    <w:rsid w:val="57B40C6F"/>
    <w:rsid w:val="57CC0AA6"/>
    <w:rsid w:val="57F46339"/>
    <w:rsid w:val="58114726"/>
    <w:rsid w:val="58157504"/>
    <w:rsid w:val="585E5E1D"/>
    <w:rsid w:val="589261A8"/>
    <w:rsid w:val="590F0C7B"/>
    <w:rsid w:val="59502A98"/>
    <w:rsid w:val="59C803F6"/>
    <w:rsid w:val="5A97606D"/>
    <w:rsid w:val="5B296101"/>
    <w:rsid w:val="5B713A7D"/>
    <w:rsid w:val="5C530026"/>
    <w:rsid w:val="5C7D59EF"/>
    <w:rsid w:val="5CB80EF3"/>
    <w:rsid w:val="5CDE1848"/>
    <w:rsid w:val="5CEC52D2"/>
    <w:rsid w:val="5D1145C2"/>
    <w:rsid w:val="5D670EA1"/>
    <w:rsid w:val="5D9649B4"/>
    <w:rsid w:val="5DC56E34"/>
    <w:rsid w:val="5E0855C0"/>
    <w:rsid w:val="5E196388"/>
    <w:rsid w:val="5EB92207"/>
    <w:rsid w:val="5EC76F91"/>
    <w:rsid w:val="5EF72AD8"/>
    <w:rsid w:val="5FBF424C"/>
    <w:rsid w:val="5FE02555"/>
    <w:rsid w:val="60213A0E"/>
    <w:rsid w:val="60891F02"/>
    <w:rsid w:val="613B26B3"/>
    <w:rsid w:val="61B36312"/>
    <w:rsid w:val="625827F1"/>
    <w:rsid w:val="626A39CC"/>
    <w:rsid w:val="6281114D"/>
    <w:rsid w:val="62C506DC"/>
    <w:rsid w:val="631D4122"/>
    <w:rsid w:val="63D06612"/>
    <w:rsid w:val="63EE0FD4"/>
    <w:rsid w:val="64340D18"/>
    <w:rsid w:val="64704B01"/>
    <w:rsid w:val="647D612E"/>
    <w:rsid w:val="65412349"/>
    <w:rsid w:val="6550410F"/>
    <w:rsid w:val="656B0312"/>
    <w:rsid w:val="658715A8"/>
    <w:rsid w:val="659B7746"/>
    <w:rsid w:val="65FB7BAB"/>
    <w:rsid w:val="661D75FA"/>
    <w:rsid w:val="66C53724"/>
    <w:rsid w:val="673A0822"/>
    <w:rsid w:val="677D2403"/>
    <w:rsid w:val="67E5002E"/>
    <w:rsid w:val="681B2BBD"/>
    <w:rsid w:val="689B5E20"/>
    <w:rsid w:val="68C66F88"/>
    <w:rsid w:val="68C72B9F"/>
    <w:rsid w:val="68D311BA"/>
    <w:rsid w:val="695367BB"/>
    <w:rsid w:val="69BE649C"/>
    <w:rsid w:val="6A1B087F"/>
    <w:rsid w:val="6A366548"/>
    <w:rsid w:val="6A6D0D8B"/>
    <w:rsid w:val="6A94391F"/>
    <w:rsid w:val="6A9D102E"/>
    <w:rsid w:val="6BD43180"/>
    <w:rsid w:val="6BE1267D"/>
    <w:rsid w:val="6C702B97"/>
    <w:rsid w:val="6CC201CE"/>
    <w:rsid w:val="6CF96BCC"/>
    <w:rsid w:val="6DD97CBE"/>
    <w:rsid w:val="6DE12D7F"/>
    <w:rsid w:val="6DF51448"/>
    <w:rsid w:val="6E0D0928"/>
    <w:rsid w:val="6E8A0F3C"/>
    <w:rsid w:val="6EBB02B1"/>
    <w:rsid w:val="6EDB0080"/>
    <w:rsid w:val="6F14413C"/>
    <w:rsid w:val="6F2C39CA"/>
    <w:rsid w:val="700613B4"/>
    <w:rsid w:val="70342507"/>
    <w:rsid w:val="70636C94"/>
    <w:rsid w:val="707D0F7A"/>
    <w:rsid w:val="70857F96"/>
    <w:rsid w:val="711D1375"/>
    <w:rsid w:val="71667C2F"/>
    <w:rsid w:val="717F08CF"/>
    <w:rsid w:val="718424CC"/>
    <w:rsid w:val="71AC3689"/>
    <w:rsid w:val="71C637E2"/>
    <w:rsid w:val="71F01B88"/>
    <w:rsid w:val="722505AB"/>
    <w:rsid w:val="72417A18"/>
    <w:rsid w:val="724677EA"/>
    <w:rsid w:val="72823060"/>
    <w:rsid w:val="72BD440E"/>
    <w:rsid w:val="73393D2B"/>
    <w:rsid w:val="73730A7D"/>
    <w:rsid w:val="73744F42"/>
    <w:rsid w:val="73806C5A"/>
    <w:rsid w:val="73B73B89"/>
    <w:rsid w:val="73F02C2D"/>
    <w:rsid w:val="743621E2"/>
    <w:rsid w:val="748E2574"/>
    <w:rsid w:val="75147FD9"/>
    <w:rsid w:val="755E6379"/>
    <w:rsid w:val="759E612E"/>
    <w:rsid w:val="75BE6688"/>
    <w:rsid w:val="7683403A"/>
    <w:rsid w:val="76C81F35"/>
    <w:rsid w:val="77E46E76"/>
    <w:rsid w:val="78557253"/>
    <w:rsid w:val="786B20DF"/>
    <w:rsid w:val="79077EBA"/>
    <w:rsid w:val="79BF4E18"/>
    <w:rsid w:val="79F71073"/>
    <w:rsid w:val="7B4E4BD9"/>
    <w:rsid w:val="7BF14883"/>
    <w:rsid w:val="7BFD7788"/>
    <w:rsid w:val="7C422437"/>
    <w:rsid w:val="7CE03118"/>
    <w:rsid w:val="7D3F031F"/>
    <w:rsid w:val="7DB43957"/>
    <w:rsid w:val="7E5E05A5"/>
    <w:rsid w:val="7EA72B4E"/>
    <w:rsid w:val="7EA736D3"/>
    <w:rsid w:val="7ED7549B"/>
    <w:rsid w:val="7EFB6D48"/>
    <w:rsid w:val="7F1636CB"/>
    <w:rsid w:val="7F652931"/>
    <w:rsid w:val="7F65593D"/>
    <w:rsid w:val="7F80188F"/>
    <w:rsid w:val="7FC64688"/>
    <w:rsid w:val="7FD2327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9" w:semiHidden="0" w:name="heading 2"/>
    <w:lsdException w:qFormat="1"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qFormat="1" w:uiPriority="99" w:name="footnote text"/>
    <w:lsdException w:qFormat="1"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iPriority="99"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47"/>
    <w:qFormat/>
    <w:uiPriority w:val="0"/>
    <w:pPr>
      <w:keepNext/>
      <w:keepLines/>
      <w:spacing w:before="340" w:after="330" w:line="578" w:lineRule="auto"/>
      <w:outlineLvl w:val="0"/>
    </w:pPr>
    <w:rPr>
      <w:b/>
      <w:bCs/>
      <w:kern w:val="44"/>
      <w:sz w:val="44"/>
      <w:szCs w:val="44"/>
    </w:rPr>
  </w:style>
  <w:style w:type="paragraph" w:styleId="4">
    <w:name w:val="heading 2"/>
    <w:basedOn w:val="1"/>
    <w:next w:val="1"/>
    <w:qFormat/>
    <w:uiPriority w:val="99"/>
    <w:pPr>
      <w:keepNext/>
      <w:keepLines/>
      <w:spacing w:before="260" w:after="260" w:line="416" w:lineRule="auto"/>
      <w:outlineLvl w:val="1"/>
    </w:pPr>
    <w:rPr>
      <w:rFonts w:ascii="Calibri Light" w:hAnsi="Calibri Light"/>
      <w:b/>
      <w:bCs/>
      <w:sz w:val="32"/>
      <w:szCs w:val="32"/>
    </w:rPr>
  </w:style>
  <w:style w:type="paragraph" w:styleId="5">
    <w:name w:val="heading 3"/>
    <w:basedOn w:val="1"/>
    <w:next w:val="1"/>
    <w:unhideWhenUsed/>
    <w:qFormat/>
    <w:uiPriority w:val="9"/>
    <w:pPr>
      <w:keepNext/>
      <w:keepLines/>
      <w:spacing w:before="260" w:after="260" w:line="416" w:lineRule="auto"/>
      <w:outlineLvl w:val="2"/>
    </w:pPr>
    <w:rPr>
      <w:b/>
      <w:bCs/>
      <w:sz w:val="32"/>
      <w:szCs w:val="32"/>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customStyle="1" w:styleId="2">
    <w:name w:val="正文-公1"/>
    <w:basedOn w:val="1"/>
    <w:qFormat/>
    <w:uiPriority w:val="0"/>
    <w:pPr>
      <w:ind w:firstLine="200" w:firstLineChars="200"/>
      <w:jc w:val="left"/>
    </w:pPr>
    <w:rPr>
      <w:rFonts w:ascii="Times New Roman" w:hAnsi="Times New Roman" w:eastAsia="仿宋_GB2312"/>
    </w:rPr>
  </w:style>
  <w:style w:type="paragraph" w:styleId="6">
    <w:name w:val="Normal Indent"/>
    <w:basedOn w:val="1"/>
    <w:unhideWhenUsed/>
    <w:qFormat/>
    <w:uiPriority w:val="99"/>
    <w:pPr>
      <w:ind w:firstLine="640" w:firstLineChars="200"/>
    </w:pPr>
    <w:rPr>
      <w:rFonts w:ascii="仿宋_GB2312" w:eastAsia="仿宋_GB2312"/>
      <w:sz w:val="32"/>
      <w:szCs w:val="32"/>
    </w:rPr>
  </w:style>
  <w:style w:type="paragraph" w:styleId="7">
    <w:name w:val="Document Map"/>
    <w:basedOn w:val="1"/>
    <w:link w:val="40"/>
    <w:qFormat/>
    <w:uiPriority w:val="0"/>
    <w:rPr>
      <w:rFonts w:ascii="宋体" w:eastAsia="宋体"/>
      <w:sz w:val="18"/>
      <w:szCs w:val="18"/>
    </w:rPr>
  </w:style>
  <w:style w:type="paragraph" w:styleId="8">
    <w:name w:val="annotation text"/>
    <w:basedOn w:val="1"/>
    <w:qFormat/>
    <w:uiPriority w:val="0"/>
    <w:pPr>
      <w:jc w:val="left"/>
    </w:pPr>
  </w:style>
  <w:style w:type="paragraph" w:styleId="9">
    <w:name w:val="Body Text"/>
    <w:basedOn w:val="1"/>
    <w:next w:val="1"/>
    <w:qFormat/>
    <w:uiPriority w:val="0"/>
    <w:pPr>
      <w:spacing w:after="120"/>
    </w:pPr>
    <w:rPr>
      <w:kern w:val="0"/>
    </w:rPr>
  </w:style>
  <w:style w:type="paragraph" w:styleId="10">
    <w:name w:val="Plain Text"/>
    <w:basedOn w:val="1"/>
    <w:unhideWhenUsed/>
    <w:qFormat/>
    <w:uiPriority w:val="99"/>
    <w:rPr>
      <w:rFonts w:ascii="宋体" w:hAnsi="Courier New" w:eastAsia="宋体" w:cs="Courier New"/>
      <w:szCs w:val="21"/>
    </w:rPr>
  </w:style>
  <w:style w:type="paragraph" w:styleId="11">
    <w:name w:val="Balloon Text"/>
    <w:basedOn w:val="1"/>
    <w:link w:val="41"/>
    <w:qFormat/>
    <w:uiPriority w:val="0"/>
    <w:rPr>
      <w:sz w:val="18"/>
      <w:szCs w:val="18"/>
    </w:rPr>
  </w:style>
  <w:style w:type="paragraph" w:styleId="12">
    <w:name w:val="footer"/>
    <w:basedOn w:val="1"/>
    <w:unhideWhenUsed/>
    <w:qFormat/>
    <w:uiPriority w:val="99"/>
    <w:pPr>
      <w:tabs>
        <w:tab w:val="center" w:pos="4153"/>
        <w:tab w:val="right" w:pos="8306"/>
      </w:tabs>
      <w:snapToGrid w:val="0"/>
      <w:jc w:val="left"/>
    </w:pPr>
    <w:rPr>
      <w:sz w:val="18"/>
      <w:szCs w:val="18"/>
    </w:rPr>
  </w:style>
  <w:style w:type="paragraph" w:styleId="13">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14">
    <w:name w:val="toc 1"/>
    <w:basedOn w:val="1"/>
    <w:next w:val="1"/>
    <w:unhideWhenUsed/>
    <w:qFormat/>
    <w:uiPriority w:val="39"/>
    <w:pPr>
      <w:widowControl/>
      <w:spacing w:after="100" w:line="259" w:lineRule="auto"/>
      <w:jc w:val="left"/>
    </w:pPr>
    <w:rPr>
      <w:rFonts w:cs="Times New Roman"/>
      <w:kern w:val="0"/>
      <w:sz w:val="22"/>
    </w:rPr>
  </w:style>
  <w:style w:type="paragraph" w:styleId="15">
    <w:name w:val="footnote text"/>
    <w:basedOn w:val="1"/>
    <w:semiHidden/>
    <w:unhideWhenUsed/>
    <w:qFormat/>
    <w:uiPriority w:val="99"/>
    <w:pPr>
      <w:snapToGrid w:val="0"/>
      <w:jc w:val="left"/>
    </w:pPr>
    <w:rPr>
      <w:sz w:val="18"/>
      <w:szCs w:val="18"/>
    </w:rPr>
  </w:style>
  <w:style w:type="paragraph" w:styleId="16">
    <w:name w:val="toc 2"/>
    <w:basedOn w:val="1"/>
    <w:next w:val="1"/>
    <w:unhideWhenUsed/>
    <w:qFormat/>
    <w:uiPriority w:val="39"/>
    <w:pPr>
      <w:widowControl/>
      <w:spacing w:after="100" w:line="259" w:lineRule="auto"/>
      <w:ind w:left="220"/>
      <w:jc w:val="left"/>
    </w:pPr>
    <w:rPr>
      <w:rFonts w:cs="Times New Roman"/>
      <w:kern w:val="0"/>
      <w:sz w:val="22"/>
    </w:rPr>
  </w:style>
  <w:style w:type="paragraph" w:styleId="17">
    <w:name w:val="Normal (Web)"/>
    <w:basedOn w:val="1"/>
    <w:qFormat/>
    <w:uiPriority w:val="0"/>
    <w:pPr>
      <w:spacing w:beforeAutospacing="1" w:afterAutospacing="1"/>
      <w:jc w:val="left"/>
    </w:pPr>
    <w:rPr>
      <w:rFonts w:cs="Times New Roman"/>
      <w:kern w:val="0"/>
      <w:sz w:val="24"/>
    </w:rPr>
  </w:style>
  <w:style w:type="table" w:styleId="19">
    <w:name w:val="Table Grid"/>
    <w:basedOn w:val="1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tcBorders>
        <w:top w:val="single" w:color="auto" w:sz="4" w:space="0"/>
        <w:left w:val="single" w:color="auto" w:sz="4" w:space="0"/>
        <w:bottom w:val="single" w:color="auto" w:sz="4" w:space="0"/>
        <w:right w:val="single" w:color="auto" w:sz="4" w:space="0"/>
      </w:tcBorders>
    </w:tcPr>
  </w:style>
  <w:style w:type="character" w:styleId="21">
    <w:name w:val="Strong"/>
    <w:basedOn w:val="20"/>
    <w:qFormat/>
    <w:uiPriority w:val="0"/>
    <w:rPr>
      <w:b/>
    </w:rPr>
  </w:style>
  <w:style w:type="character" w:styleId="22">
    <w:name w:val="FollowedHyperlink"/>
    <w:basedOn w:val="20"/>
    <w:qFormat/>
    <w:uiPriority w:val="0"/>
    <w:rPr>
      <w:rFonts w:hint="eastAsia" w:ascii="微软雅黑" w:hAnsi="微软雅黑" w:eastAsia="微软雅黑" w:cs="微软雅黑"/>
      <w:color w:val="333333"/>
      <w:sz w:val="21"/>
      <w:szCs w:val="21"/>
      <w:u w:val="none"/>
    </w:rPr>
  </w:style>
  <w:style w:type="character" w:styleId="23">
    <w:name w:val="Emphasis"/>
    <w:basedOn w:val="20"/>
    <w:qFormat/>
    <w:uiPriority w:val="20"/>
    <w:rPr>
      <w:i/>
      <w:iCs/>
    </w:rPr>
  </w:style>
  <w:style w:type="character" w:styleId="24">
    <w:name w:val="Hyperlink"/>
    <w:basedOn w:val="20"/>
    <w:qFormat/>
    <w:uiPriority w:val="99"/>
    <w:rPr>
      <w:rFonts w:hint="eastAsia" w:ascii="微软雅黑" w:hAnsi="微软雅黑" w:eastAsia="微软雅黑" w:cs="微软雅黑"/>
      <w:color w:val="333333"/>
      <w:sz w:val="21"/>
      <w:szCs w:val="21"/>
      <w:u w:val="none"/>
    </w:rPr>
  </w:style>
  <w:style w:type="character" w:styleId="25">
    <w:name w:val="annotation reference"/>
    <w:basedOn w:val="20"/>
    <w:qFormat/>
    <w:uiPriority w:val="0"/>
    <w:rPr>
      <w:sz w:val="21"/>
      <w:szCs w:val="21"/>
    </w:rPr>
  </w:style>
  <w:style w:type="character" w:styleId="26">
    <w:name w:val="footnote reference"/>
    <w:basedOn w:val="20"/>
    <w:semiHidden/>
    <w:unhideWhenUsed/>
    <w:qFormat/>
    <w:uiPriority w:val="99"/>
    <w:rPr>
      <w:vertAlign w:val="superscript"/>
    </w:rPr>
  </w:style>
  <w:style w:type="paragraph" w:customStyle="1" w:styleId="27">
    <w:name w:val="Default"/>
    <w:qFormat/>
    <w:uiPriority w:val="0"/>
    <w:pPr>
      <w:widowControl w:val="0"/>
      <w:autoSpaceDE w:val="0"/>
      <w:autoSpaceDN w:val="0"/>
      <w:adjustRightInd w:val="0"/>
    </w:pPr>
    <w:rPr>
      <w:rFonts w:ascii="宋体" w:eastAsia="宋体" w:cs="宋体" w:hAnsiTheme="minorHAnsi"/>
      <w:color w:val="000000"/>
      <w:sz w:val="24"/>
      <w:szCs w:val="24"/>
      <w:lang w:val="en-US" w:eastAsia="zh-CN" w:bidi="ar-SA"/>
    </w:rPr>
  </w:style>
  <w:style w:type="paragraph" w:customStyle="1" w:styleId="28">
    <w:name w:val="Body text|1"/>
    <w:basedOn w:val="1"/>
    <w:qFormat/>
    <w:uiPriority w:val="0"/>
    <w:pPr>
      <w:spacing w:line="408" w:lineRule="auto"/>
      <w:ind w:firstLine="400"/>
    </w:pPr>
    <w:rPr>
      <w:rFonts w:ascii="宋体" w:hAnsi="宋体" w:eastAsia="宋体" w:cs="宋体"/>
      <w:sz w:val="30"/>
      <w:szCs w:val="30"/>
      <w:lang w:val="zh-TW" w:eastAsia="zh-TW" w:bidi="zh-TW"/>
    </w:rPr>
  </w:style>
  <w:style w:type="paragraph" w:styleId="29">
    <w:name w:val="List Paragraph"/>
    <w:basedOn w:val="1"/>
    <w:qFormat/>
    <w:uiPriority w:val="34"/>
    <w:pPr>
      <w:ind w:firstLine="420" w:firstLineChars="200"/>
    </w:pPr>
  </w:style>
  <w:style w:type="paragraph" w:customStyle="1" w:styleId="30">
    <w:name w:val="样式 纯文本 + 黑体 首行缩进:  2 字符 Char"/>
    <w:basedOn w:val="10"/>
    <w:qFormat/>
    <w:uiPriority w:val="0"/>
  </w:style>
  <w:style w:type="paragraph" w:customStyle="1" w:styleId="31">
    <w:name w:val="WPSOffice手动目录 1"/>
    <w:qFormat/>
    <w:uiPriority w:val="0"/>
    <w:rPr>
      <w:rFonts w:ascii="Times New Roman" w:hAnsi="Times New Roman" w:eastAsia="宋体" w:cs="Times New Roman"/>
      <w:lang w:val="en-US" w:eastAsia="zh-CN" w:bidi="ar-SA"/>
    </w:rPr>
  </w:style>
  <w:style w:type="paragraph" w:customStyle="1" w:styleId="32">
    <w:name w:val="WPSOffice手动目录 2"/>
    <w:qFormat/>
    <w:uiPriority w:val="0"/>
    <w:pPr>
      <w:ind w:left="200" w:leftChars="200"/>
    </w:pPr>
    <w:rPr>
      <w:rFonts w:ascii="Times New Roman" w:hAnsi="Times New Roman" w:eastAsia="宋体" w:cs="Times New Roman"/>
      <w:lang w:val="en-US" w:eastAsia="zh-CN" w:bidi="ar-SA"/>
    </w:rPr>
  </w:style>
  <w:style w:type="character" w:customStyle="1" w:styleId="33">
    <w:name w:val="hover28"/>
    <w:basedOn w:val="20"/>
    <w:qFormat/>
    <w:uiPriority w:val="0"/>
    <w:rPr>
      <w:color w:val="1D6DC6"/>
    </w:rPr>
  </w:style>
  <w:style w:type="character" w:customStyle="1" w:styleId="34">
    <w:name w:val="hover29"/>
    <w:basedOn w:val="20"/>
    <w:qFormat/>
    <w:uiPriority w:val="0"/>
    <w:rPr>
      <w:color w:val="1D6DC6"/>
    </w:rPr>
  </w:style>
  <w:style w:type="character" w:customStyle="1" w:styleId="35">
    <w:name w:val="hover30"/>
    <w:basedOn w:val="20"/>
    <w:qFormat/>
    <w:uiPriority w:val="0"/>
    <w:rPr>
      <w:color w:val="1D6DC6"/>
    </w:rPr>
  </w:style>
  <w:style w:type="character" w:customStyle="1" w:styleId="36">
    <w:name w:val="on"/>
    <w:basedOn w:val="20"/>
    <w:qFormat/>
    <w:uiPriority w:val="0"/>
    <w:rPr>
      <w:b/>
      <w:color w:val="D60A25"/>
    </w:rPr>
  </w:style>
  <w:style w:type="character" w:customStyle="1" w:styleId="37">
    <w:name w:val="on1"/>
    <w:basedOn w:val="20"/>
    <w:qFormat/>
    <w:uiPriority w:val="0"/>
    <w:rPr>
      <w:b/>
    </w:rPr>
  </w:style>
  <w:style w:type="character" w:customStyle="1" w:styleId="38">
    <w:name w:val="hover31"/>
    <w:basedOn w:val="20"/>
    <w:qFormat/>
    <w:uiPriority w:val="0"/>
    <w:rPr>
      <w:color w:val="1D6DC6"/>
    </w:rPr>
  </w:style>
  <w:style w:type="character" w:customStyle="1" w:styleId="39">
    <w:name w:val="hover32"/>
    <w:basedOn w:val="20"/>
    <w:qFormat/>
    <w:uiPriority w:val="0"/>
    <w:rPr>
      <w:color w:val="1D6DC6"/>
    </w:rPr>
  </w:style>
  <w:style w:type="character" w:customStyle="1" w:styleId="40">
    <w:name w:val="文档结构图 Char"/>
    <w:basedOn w:val="20"/>
    <w:link w:val="7"/>
    <w:qFormat/>
    <w:uiPriority w:val="0"/>
    <w:rPr>
      <w:rFonts w:ascii="宋体" w:hAnsiTheme="minorHAnsi" w:cstheme="minorBidi"/>
      <w:kern w:val="2"/>
      <w:sz w:val="18"/>
      <w:szCs w:val="18"/>
    </w:rPr>
  </w:style>
  <w:style w:type="character" w:customStyle="1" w:styleId="41">
    <w:name w:val="批注框文本 Char"/>
    <w:basedOn w:val="20"/>
    <w:link w:val="11"/>
    <w:qFormat/>
    <w:uiPriority w:val="0"/>
    <w:rPr>
      <w:rFonts w:asciiTheme="minorHAnsi" w:hAnsiTheme="minorHAnsi" w:eastAsiaTheme="minorEastAsia" w:cstheme="minorBidi"/>
      <w:kern w:val="2"/>
      <w:sz w:val="18"/>
      <w:szCs w:val="18"/>
    </w:rPr>
  </w:style>
  <w:style w:type="character" w:customStyle="1" w:styleId="42">
    <w:name w:val="明显强调1"/>
    <w:basedOn w:val="20"/>
    <w:qFormat/>
    <w:uiPriority w:val="21"/>
    <w:rPr>
      <w:b/>
      <w:iCs/>
      <w:color w:val="auto"/>
    </w:rPr>
  </w:style>
  <w:style w:type="character" w:customStyle="1" w:styleId="43">
    <w:name w:val="fontstyle01"/>
    <w:basedOn w:val="20"/>
    <w:qFormat/>
    <w:uiPriority w:val="0"/>
    <w:rPr>
      <w:rFonts w:hint="eastAsia" w:ascii="仿宋_GB2312" w:eastAsia="仿宋_GB2312"/>
      <w:color w:val="000000"/>
      <w:sz w:val="32"/>
      <w:szCs w:val="32"/>
    </w:rPr>
  </w:style>
  <w:style w:type="character" w:customStyle="1" w:styleId="44">
    <w:name w:val="fontstyle11"/>
    <w:basedOn w:val="20"/>
    <w:qFormat/>
    <w:uiPriority w:val="0"/>
    <w:rPr>
      <w:rFonts w:hint="eastAsia" w:ascii="TimesNewRomanPSMT" w:eastAsia="TimesNewRomanPSMT"/>
      <w:color w:val="000000"/>
      <w:sz w:val="32"/>
      <w:szCs w:val="32"/>
    </w:rPr>
  </w:style>
  <w:style w:type="character" w:customStyle="1" w:styleId="45">
    <w:name w:val="fontstyle21"/>
    <w:basedOn w:val="20"/>
    <w:qFormat/>
    <w:uiPriority w:val="0"/>
    <w:rPr>
      <w:rFonts w:hint="eastAsia" w:ascii="TimesNewRomanPSMT" w:eastAsia="TimesNewRomanPSMT"/>
      <w:color w:val="000000"/>
      <w:sz w:val="28"/>
      <w:szCs w:val="28"/>
    </w:rPr>
  </w:style>
  <w:style w:type="character" w:customStyle="1" w:styleId="46">
    <w:name w:val="UserStyle_13"/>
    <w:qFormat/>
    <w:uiPriority w:val="0"/>
    <w:rPr>
      <w:rFonts w:ascii="Calibri" w:hAnsi="Calibri" w:eastAsia="宋体"/>
    </w:rPr>
  </w:style>
  <w:style w:type="character" w:customStyle="1" w:styleId="47">
    <w:name w:val="标题 1 Char"/>
    <w:basedOn w:val="20"/>
    <w:link w:val="3"/>
    <w:qFormat/>
    <w:uiPriority w:val="0"/>
    <w:rPr>
      <w:rFonts w:asciiTheme="minorHAnsi" w:hAnsiTheme="minorHAnsi" w:eastAsiaTheme="minorEastAsia" w:cstheme="minorBidi"/>
      <w:b/>
      <w:bCs/>
      <w:kern w:val="44"/>
      <w:sz w:val="44"/>
      <w:szCs w:val="44"/>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1.emf"/><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2.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893E3A4-8485-4E50-B1AA-98258FEA015C}">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111</Pages>
  <Words>59424</Words>
  <Characters>60492</Characters>
  <Lines>455</Lines>
  <Paragraphs>128</Paragraphs>
  <TotalTime>2</TotalTime>
  <ScaleCrop>false</ScaleCrop>
  <LinksUpToDate>false</LinksUpToDate>
  <CharactersWithSpaces>60788</CharactersWithSpaces>
  <Application>WPS Office_11.1.0.11115_F1E327BC-269C-435d-A152-05C5408002CA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2021-12-19T05:17:00Z</dcterms:created>
  <dc:creator>oldmantony</dc:creator>
  <cp:lastModifiedBy>BroCColi</cp:lastModifiedBy>
  <dcterms:modified xsi:type="dcterms:W3CDTF">2024-11-12T02:31:44Z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C43B7003815D4B5083064F83DBCF5C88_13</vt:lpwstr>
  </property>
</Properties>
</file>