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柳州市柳东新区国民经济</w:t>
      </w:r>
      <w:r>
        <w:rPr>
          <w:rFonts w:hint="eastAsia" w:ascii="黑体" w:hAnsi="黑体" w:eastAsia="黑体" w:cs="微软雅黑"/>
          <w:color w:val="000000" w:themeColor="text1"/>
          <w:sz w:val="44"/>
          <w:szCs w:val="44"/>
          <w:lang w:val="en-US" w:eastAsia="zh-CN"/>
          <w14:textFill>
            <w14:solidFill>
              <w14:schemeClr w14:val="tx1"/>
            </w14:solidFill>
          </w14:textFill>
        </w:rPr>
        <w:t>和</w:t>
      </w:r>
      <w:r>
        <w:rPr>
          <w:rFonts w:hint="eastAsia" w:ascii="黑体" w:hAnsi="黑体" w:eastAsia="黑体" w:cs="微软雅黑"/>
          <w:color w:val="000000" w:themeColor="text1"/>
          <w:sz w:val="44"/>
          <w:szCs w:val="44"/>
          <w14:textFill>
            <w14:solidFill>
              <w14:schemeClr w14:val="tx1"/>
            </w14:solidFill>
          </w14:textFill>
        </w:rPr>
        <w:t>社会发展</w:t>
      </w:r>
    </w:p>
    <w:p>
      <w:pPr>
        <w:ind w:left="-199" w:leftChars="-95" w:right="-218" w:rightChars="-104"/>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第十四个五年规划和2035年远景目标纲要</w:t>
      </w:r>
    </w:p>
    <w:p>
      <w:pPr>
        <w:pStyle w:val="9"/>
        <w:rPr>
          <w:color w:val="000000" w:themeColor="text1"/>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spacing w:line="240" w:lineRule="atLeast"/>
        <w:jc w:val="center"/>
        <w:rPr>
          <w:rFonts w:eastAsia="黑体"/>
          <w:color w:val="000000" w:themeColor="text1"/>
          <w:sz w:val="36"/>
          <w:szCs w:val="36"/>
          <w14:textFill>
            <w14:solidFill>
              <w14:schemeClr w14:val="tx1"/>
            </w14:solidFill>
          </w14:textFill>
        </w:rPr>
      </w:pPr>
      <w:r>
        <w:rPr>
          <w:rFonts w:hint="eastAsia" w:eastAsia="黑体"/>
          <w:color w:val="000000" w:themeColor="text1"/>
          <w:sz w:val="36"/>
          <w:szCs w:val="36"/>
          <w14:textFill>
            <w14:solidFill>
              <w14:schemeClr w14:val="tx1"/>
            </w14:solidFill>
          </w14:textFill>
        </w:rPr>
        <w:t>柳州市柳东新区管理委员会</w:t>
      </w:r>
    </w:p>
    <w:p>
      <w:pPr>
        <w:pStyle w:val="9"/>
        <w:jc w:val="center"/>
        <w:rPr>
          <w:color w:val="000000" w:themeColor="text1"/>
          <w14:textFill>
            <w14:solidFill>
              <w14:schemeClr w14:val="tx1"/>
            </w14:solidFill>
          </w14:textFill>
        </w:rPr>
      </w:pPr>
      <w:r>
        <w:rPr>
          <w:rFonts w:hint="eastAsia" w:eastAsia="黑体"/>
          <w:color w:val="000000" w:themeColor="text1"/>
          <w:sz w:val="36"/>
          <w:szCs w:val="36"/>
          <w14:textFill>
            <w14:solidFill>
              <w14:schemeClr w14:val="tx1"/>
            </w14:solidFill>
          </w14:textFill>
        </w:rPr>
        <w:t>2021年12月</w:t>
      </w:r>
    </w:p>
    <w:p>
      <w:pPr>
        <w:pStyle w:val="3"/>
        <w:overflowPunct w:val="0"/>
        <w:ind w:firstLine="640" w:firstLineChars="200"/>
        <w:jc w:val="center"/>
        <w:rPr>
          <w:rFonts w:ascii="黑体" w:hAnsi="黑体" w:eastAsia="黑体" w:cs="Times New Roman"/>
          <w:b w:val="0"/>
          <w:color w:val="000000" w:themeColor="text1"/>
          <w:sz w:val="32"/>
          <w:szCs w:val="32"/>
          <w14:textFill>
            <w14:solidFill>
              <w14:schemeClr w14:val="tx1"/>
            </w14:solidFill>
          </w14:textFill>
        </w:rPr>
      </w:pPr>
      <w:bookmarkStart w:id="0" w:name="_Toc13293"/>
      <w:bookmarkStart w:id="1" w:name="_Toc30976"/>
    </w:p>
    <w:sdt>
      <w:sdtPr>
        <w:rPr>
          <w:rFonts w:ascii="宋体" w:hAnsi="宋体" w:eastAsia="宋体"/>
          <w:color w:val="000000" w:themeColor="text1"/>
          <w14:textFill>
            <w14:solidFill>
              <w14:schemeClr w14:val="tx1"/>
            </w14:solidFill>
          </w14:textFill>
        </w:rPr>
        <w:id w:val="147472927"/>
        <w:docPartObj>
          <w:docPartGallery w:val="Table of Contents"/>
          <w:docPartUnique/>
        </w:docPartObj>
      </w:sdtPr>
      <w:sdtEndPr>
        <w:rPr>
          <w:rFonts w:hint="eastAsia" w:asciiTheme="minorHAnsi" w:hAnsiTheme="minorHAnsi" w:eastAsiaTheme="minorEastAsia"/>
          <w:b/>
          <w:color w:val="000000" w:themeColor="text1"/>
          <w14:textFill>
            <w14:solidFill>
              <w14:schemeClr w14:val="tx1"/>
            </w14:solidFill>
          </w14:textFill>
        </w:rPr>
      </w:sdtEndPr>
      <w:sdtContent>
        <w:p>
          <w:pPr>
            <w:jc w:val="center"/>
            <w:rPr>
              <w:rFonts w:ascii="宋体" w:hAnsi="宋体" w:eastAsia="宋体"/>
              <w:color w:val="000000" w:themeColor="text1"/>
              <w14:textFill>
                <w14:solidFill>
                  <w14:schemeClr w14:val="tx1"/>
                </w14:solidFill>
              </w14:textFill>
            </w:rPr>
          </w:pPr>
        </w:p>
        <w:p>
          <w:pPr>
            <w:jc w:val="left"/>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br w:type="page"/>
          </w:r>
        </w:p>
        <w:p>
          <w:pPr>
            <w:jc w:val="center"/>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目录</w:t>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color w:val="000000" w:themeColor="text1"/>
              <w:sz w:val="30"/>
              <w:szCs w:val="30"/>
              <w14:textFill>
                <w14:solidFill>
                  <w14:schemeClr w14:val="tx1"/>
                </w14:solidFill>
              </w14:textFill>
            </w:rPr>
            <w:instrText xml:space="preserve">TOC \o "1-2" \h \u </w:instrText>
          </w:r>
          <w:r>
            <w:rPr>
              <w:rFonts w:hint="eastAsia" w:ascii="仿宋_GB2312" w:hAnsi="仿宋_GB2312" w:eastAsia="仿宋_GB2312" w:cs="仿宋_GB2312"/>
              <w:color w:val="000000" w:themeColor="text1"/>
              <w:sz w:val="30"/>
              <w:szCs w:val="30"/>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_Toc7519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前言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_Toc7519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第一章 夯实发展基础，直面重大变局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_Toc5575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“十三五”发展成效</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_Toc5575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_Toc8605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“十四五”发展环境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_Toc8605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_Toc17432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第二章 增强发展动能，主动肩负使命</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_Toc17432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_Toc10718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指导思想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_Toc10718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_Toc29531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发展定位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_Toc29531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_Toc16168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二〇三五年远景目标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_Toc16168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_Toc22756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“十四五”发展目标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_Toc22756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_Toc29305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发展战略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_Toc29305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_Toc5835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第三章 突出创新引领，打造柳州创新创业领航区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_Toc5835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增强技术创新能力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促进科技成果转化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完善创新创业环境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_Toc4673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汇聚创新创业人才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_Toc4673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_Toc12597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第四章 聚力高质量发展，打造升级版广西柳州汽车城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_Toc12597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_Toc13061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全速驱动汽车产业跨越升级</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_Toc13061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_Toc32188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培育壮大三大战略性新兴产业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_Toc32188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_Toc10383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推动现代服务业集聚发展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_Toc10383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_Toc21729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积极布局培育前沿性产业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_Toc21729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_Toc8319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推动产业转型和高质</w:t>
          </w:r>
          <w:r>
            <w:rPr>
              <w:rFonts w:hint="eastAsia" w:ascii="仿宋_GB2312" w:hAnsi="仿宋_GB2312" w:eastAsia="仿宋_GB2312" w:cs="仿宋_GB2312"/>
              <w:sz w:val="30"/>
              <w:szCs w:val="30"/>
              <w:lang w:eastAsia="zh-CN"/>
            </w:rPr>
            <w:t>量</w:t>
          </w:r>
          <w:r>
            <w:rPr>
              <w:rFonts w:hint="eastAsia" w:ascii="仿宋_GB2312" w:hAnsi="仿宋_GB2312" w:eastAsia="仿宋_GB2312" w:cs="仿宋_GB2312"/>
              <w:sz w:val="30"/>
              <w:szCs w:val="30"/>
            </w:rPr>
            <w:t>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_Toc8319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第六节 统筹“三片四园七区”布局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第五章 加快产城融合，实现新区品质全面提升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_Toc2225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全域统筹提升新区发展新高度</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_Toc2225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_Toc1503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完善基础设施塑造城市新品质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_Toc1503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_Toc13258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统筹构建城乡融合发展新格局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_Toc13258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_Toc19224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第六章 深化改革开放，开拓区域协同发展新局面</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_Toc19224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_Toc11694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争创新区改革发展新优势</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_Toc11694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_Toc10581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打造开放合作的新平台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_Toc10581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_Toc13654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全面对接粤港澳大湾区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_Toc13654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_Toc2634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第七章 共治共建共享，打造民生幸福和谐家园</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_Toc2634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社会治理共建共治共享</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_Toc2530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_Toc22477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加强社会公共安全建设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_Toc22477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_Toc28515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加大均衡优质公共服务</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_Toc28515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_Toc11855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构建有温度的社会保障</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_Toc11855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_Toc885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第八章 涵养好山好水，构建生态美好典范区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_Toc885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_Toc9582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打造生态美丽柳东新区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_Toc9582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加强生态环境治理保护</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_Toc5552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_Toc21270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积极推动绿色低碳发展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_Toc21270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_Toc32341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第九章 保障措施与机制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_Toc32341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_Toc26744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强化规划实施组织协调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_Toc26744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_Toc25563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强化规划实施重大支撑</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_Toc25563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_Toc3065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强化规划实施监测评估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_Toc3065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_Toc11710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附</w:t>
          </w:r>
          <w:r>
            <w:rPr>
              <w:rFonts w:hint="eastAsia" w:ascii="仿宋_GB2312" w:hAnsi="仿宋_GB2312" w:eastAsia="仿宋_GB2312" w:cs="仿宋_GB2312"/>
              <w:sz w:val="30"/>
              <w:szCs w:val="30"/>
              <w:lang w:eastAsia="zh-CN"/>
            </w:rPr>
            <w:t>件</w:t>
          </w:r>
          <w:r>
            <w:rPr>
              <w:rFonts w:hint="eastAsia" w:ascii="仿宋_GB2312" w:hAnsi="仿宋_GB2312" w:eastAsia="仿宋_GB2312" w:cs="仿宋_GB2312"/>
              <w:sz w:val="30"/>
              <w:szCs w:val="30"/>
            </w:rPr>
            <w:t>.柳东新区“十四五”指标预测说明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_Toc11710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keepNext w:val="0"/>
            <w:keepLines w:val="0"/>
            <w:pageBreakBefore w:val="0"/>
            <w:kinsoku/>
            <w:wordWrap/>
            <w:overflowPunct w:val="0"/>
            <w:topLinePunct w:val="0"/>
            <w:autoSpaceDE/>
            <w:autoSpaceDN/>
            <w:bidi w:val="0"/>
            <w:adjustRightInd/>
            <w:snapToGrid/>
            <w:spacing w:line="560" w:lineRule="exact"/>
            <w:ind w:firstLine="600" w:firstLineChars="200"/>
            <w:textAlignment w:val="auto"/>
            <w:rPr>
              <w:color w:val="000000" w:themeColor="text1"/>
              <w14:textFill>
                <w14:solidFill>
                  <w14:schemeClr w14:val="tx1"/>
                </w14:solidFill>
              </w14:textFill>
            </w:rPr>
            <w:sectPr>
              <w:footerReference r:id="rId3" w:type="default"/>
              <w:pgSz w:w="11906" w:h="16838"/>
              <w:pgMar w:top="1440" w:right="1706"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sdtContent>
    </w:sdt>
    <w:p>
      <w:pPr>
        <w:pStyle w:val="3"/>
        <w:spacing w:before="0" w:after="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 w:name="_Toc30895"/>
      <w:bookmarkStart w:id="3" w:name="_Toc12181"/>
      <w:bookmarkStart w:id="4" w:name="_Toc21284"/>
      <w:bookmarkStart w:id="5" w:name="_Toc12727"/>
      <w:bookmarkStart w:id="6" w:name="_Toc75341651"/>
      <w:bookmarkStart w:id="7" w:name="_Toc9461"/>
      <w:bookmarkStart w:id="8" w:name="_Toc14996"/>
      <w:bookmarkStart w:id="9" w:name="_Toc13249"/>
      <w:bookmarkStart w:id="10" w:name="_Toc9566"/>
      <w:bookmarkStart w:id="11" w:name="_Toc22"/>
      <w:bookmarkStart w:id="12" w:name="_Toc14326"/>
      <w:bookmarkStart w:id="13" w:name="_Toc477"/>
      <w:bookmarkStart w:id="14" w:name="_Toc31842"/>
      <w:bookmarkStart w:id="15" w:name="_Toc7583"/>
      <w:bookmarkStart w:id="16" w:name="_Toc7728"/>
      <w:bookmarkStart w:id="17" w:name="_Toc24116"/>
      <w:bookmarkStart w:id="18" w:name="_Toc6472"/>
      <w:bookmarkStart w:id="19" w:name="_Toc1977"/>
      <w:bookmarkStart w:id="20" w:name="_Toc25749"/>
      <w:bookmarkStart w:id="21" w:name="_Toc416"/>
      <w:bookmarkStart w:id="22" w:name="_Toc26292"/>
      <w:bookmarkStart w:id="23" w:name="_Toc7519"/>
      <w:r>
        <w:rPr>
          <w:rFonts w:hint="eastAsia" w:ascii="黑体" w:hAnsi="黑体" w:eastAsia="黑体" w:cs="Times New Roman"/>
          <w:b w:val="0"/>
          <w:color w:val="000000" w:themeColor="text1"/>
          <w:sz w:val="32"/>
          <w:szCs w:val="32"/>
          <w14:textFill>
            <w14:solidFill>
              <w14:schemeClr w14:val="tx1"/>
            </w14:solidFill>
          </w14:textFill>
        </w:rPr>
        <w:t>前言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overflowPunct w:val="0"/>
        <w:ind w:firstLine="640" w:firstLineChars="200"/>
        <w:rPr>
          <w:rFonts w:ascii="仿宋_GB2312" w:hAnsi="仿宋" w:eastAsia="仿宋_GB2312" w:cs="仿宋_GB2312"/>
          <w:color w:val="000000" w:themeColor="text1"/>
          <w:sz w:val="32"/>
          <w:szCs w:val="32"/>
          <w14:textFill>
            <w14:solidFill>
              <w14:schemeClr w14:val="tx1"/>
            </w14:solidFill>
          </w14:textFill>
        </w:rPr>
      </w:pP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面对发展环境、发展阶段带来的深刻变化和复杂挑战，在柳州市委、市政府的坚强领导下，柳东新区齐心合力、坚定信心、攻坚克难、砥砺前行，奋力完成各项重大任务，较好实现总体发展目标。“十四五”时期，是我国全面建成小康社会、实现第一个百年奋斗目标之后，乘势而上开启全面建设社会主义现代化国家新征程、向第二个百年奋斗目标进军的第一个五年</w:t>
      </w:r>
      <w:r>
        <w:rPr>
          <w:rFonts w:hint="eastAsia" w:ascii="仿宋_GB2312" w:hAnsi="仿宋" w:eastAsia="仿宋_GB2312"/>
          <w:color w:val="000000" w:themeColor="text1"/>
          <w:sz w:val="32"/>
          <w:szCs w:val="32"/>
          <w14:textFill>
            <w14:solidFill>
              <w14:schemeClr w14:val="tx1"/>
            </w14:solidFill>
          </w14:textFill>
        </w:rPr>
        <w:t>；是柳州市立足新发展阶段、贯彻新发展理念、融入新发展格局，加快建设现代制造城的关键五年；</w:t>
      </w:r>
      <w:r>
        <w:rPr>
          <w:rFonts w:hint="eastAsia" w:ascii="仿宋_GB2312" w:hAnsi="仿宋" w:eastAsia="仿宋_GB2312" w:cs="仿宋_GB2312"/>
          <w:color w:val="000000" w:themeColor="text1"/>
          <w:sz w:val="32"/>
          <w:szCs w:val="32"/>
          <w14:textFill>
            <w14:solidFill>
              <w14:schemeClr w14:val="tx1"/>
            </w14:solidFill>
          </w14:textFill>
        </w:rPr>
        <w:t>也是柳东新区建设广西柳州汽车城升级版，打造柳州现代制造城核心区的攻坚期。深入贯彻习近平总书记视察广西时的重要讲话和重要指示精神，按照党中央和自治区党委的部署要求，扎实推动“十四五”高质量发展，科学编制并实施好《柳东新区国民经济和社会发展第十四个五年规划和2035年远景目标纲要》，意义重大、影响深远。</w:t>
      </w: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p>
    <w:p>
      <w:pPr>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ascii="仿宋_GB2312" w:hAnsi="仿宋" w:eastAsia="仿宋_GB2312" w:cs="仿宋_GB2312"/>
          <w:color w:val="000000" w:themeColor="text1"/>
          <w:sz w:val="32"/>
          <w:szCs w:val="32"/>
          <w14:textFill>
            <w14:solidFill>
              <w14:schemeClr w14:val="tx1"/>
            </w14:solidFill>
          </w14:textFill>
        </w:rPr>
        <w:br w:type="page"/>
      </w:r>
    </w:p>
    <w:p>
      <w:pPr>
        <w:pStyle w:val="3"/>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4" w:name="_Toc983"/>
      <w:bookmarkStart w:id="25" w:name="_Toc27974"/>
      <w:bookmarkStart w:id="26" w:name="_Toc18494"/>
      <w:bookmarkStart w:id="27" w:name="_Toc25733"/>
      <w:bookmarkStart w:id="28" w:name="_Toc29428"/>
      <w:bookmarkStart w:id="29" w:name="_Toc7936"/>
      <w:bookmarkStart w:id="30" w:name="_Toc29153"/>
      <w:bookmarkStart w:id="31" w:name="_Toc25806"/>
      <w:bookmarkStart w:id="32" w:name="_Toc6225"/>
      <w:bookmarkStart w:id="33" w:name="_Toc21932"/>
      <w:bookmarkStart w:id="34" w:name="_Toc31072"/>
      <w:bookmarkStart w:id="35" w:name="_Toc12450"/>
      <w:bookmarkStart w:id="36" w:name="_Toc3060"/>
      <w:bookmarkStart w:id="37" w:name="_Toc2114"/>
      <w:bookmarkStart w:id="38" w:name="_Toc11170"/>
      <w:bookmarkStart w:id="39" w:name="_Toc20650"/>
      <w:bookmarkStart w:id="40" w:name="_Toc16508"/>
      <w:bookmarkStart w:id="41" w:name="_Toc177"/>
      <w:bookmarkStart w:id="42" w:name="_Toc21499"/>
      <w:bookmarkStart w:id="43" w:name="_Toc3295"/>
      <w:bookmarkStart w:id="44" w:name="_Toc75341652"/>
      <w:bookmarkStart w:id="45" w:name="_Toc9696"/>
      <w:bookmarkStart w:id="46" w:name="_Toc26041"/>
      <w:bookmarkStart w:id="47" w:name="_Toc16393"/>
      <w:r>
        <w:rPr>
          <w:rFonts w:hint="eastAsia" w:ascii="黑体" w:hAnsi="黑体" w:eastAsia="黑体" w:cs="Times New Roman"/>
          <w:b w:val="0"/>
          <w:color w:val="000000" w:themeColor="text1"/>
          <w:sz w:val="32"/>
          <w:szCs w:val="32"/>
          <w14:textFill>
            <w14:solidFill>
              <w14:schemeClr w14:val="tx1"/>
            </w14:solidFill>
          </w14:textFill>
        </w:rPr>
        <w:t>第一章 夯实发展基础，直面重大变局</w:t>
      </w:r>
      <w:bookmarkEnd w:id="24"/>
      <w:bookmarkEnd w:id="25"/>
      <w:bookmarkEnd w:id="26"/>
      <w:bookmarkEnd w:id="27"/>
      <w:bookmarkEnd w:id="28"/>
      <w:bookmarkEnd w:id="29"/>
    </w:p>
    <w:p>
      <w:pPr>
        <w:overflowPunct w:val="0"/>
        <w:spacing w:line="560" w:lineRule="exact"/>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“十三五”时期，柳东新区坚定不移贯彻新发展理念，</w:t>
      </w:r>
      <w:r>
        <w:rPr>
          <w:rFonts w:hint="eastAsia" w:ascii="仿宋_GB2312" w:hAnsi="宋体" w:eastAsia="仿宋_GB2312"/>
          <w:color w:val="000000" w:themeColor="text1"/>
          <w:sz w:val="32"/>
          <w:szCs w:val="32"/>
          <w14:textFill>
            <w14:solidFill>
              <w14:schemeClr w14:val="tx1"/>
            </w14:solidFill>
          </w14:textFill>
        </w:rPr>
        <w:t>以建设“国内一流，世界先进”汽车城为目标，以“产城融合、生态引领、创新驱动、特色新城”为导向，</w:t>
      </w:r>
      <w:r>
        <w:rPr>
          <w:rFonts w:hint="eastAsia" w:ascii="仿宋_GB2312" w:hAnsi="仿宋" w:eastAsia="仿宋_GB2312" w:cs="仿宋_GB2312"/>
          <w:color w:val="000000" w:themeColor="text1"/>
          <w:sz w:val="32"/>
          <w:szCs w:val="32"/>
          <w14:textFill>
            <w14:solidFill>
              <w14:schemeClr w14:val="tx1"/>
            </w14:solidFill>
          </w14:textFill>
        </w:rPr>
        <w:t>干在实处，走在前列，较好地完成了“十三五”规划各项目标任务，为“十四五”发展奠定了坚实基础。</w:t>
      </w:r>
    </w:p>
    <w:p>
      <w:pPr>
        <w:pStyle w:val="4"/>
        <w:jc w:val="center"/>
        <w:rPr>
          <w:rFonts w:ascii="黑体" w:hAnsi="黑体" w:eastAsia="黑体" w:cs="Times New Roman"/>
          <w:b w:val="0"/>
          <w:color w:val="000000" w:themeColor="text1"/>
          <w14:textFill>
            <w14:solidFill>
              <w14:schemeClr w14:val="tx1"/>
            </w14:solidFill>
          </w14:textFill>
        </w:rPr>
      </w:pPr>
      <w:bookmarkStart w:id="48" w:name="_Toc5575"/>
      <w:bookmarkStart w:id="49" w:name="_Toc20981"/>
      <w:bookmarkStart w:id="50" w:name="_Toc2685"/>
      <w:bookmarkStart w:id="51" w:name="_Toc19054"/>
      <w:bookmarkStart w:id="52" w:name="_Toc26871"/>
      <w:bookmarkStart w:id="53" w:name="_Toc22307"/>
      <w:r>
        <w:rPr>
          <w:rFonts w:hint="eastAsia" w:ascii="黑体" w:hAnsi="黑体" w:eastAsia="黑体" w:cs="Times New Roman"/>
          <w:b w:val="0"/>
          <w:color w:val="000000" w:themeColor="text1"/>
          <w14:textFill>
            <w14:solidFill>
              <w14:schemeClr w14:val="tx1"/>
            </w14:solidFill>
          </w14:textFill>
        </w:rPr>
        <w:t xml:space="preserve">第一节 </w:t>
      </w:r>
      <w:r>
        <w:rPr>
          <w:rFonts w:ascii="黑体" w:hAnsi="黑体" w:eastAsia="黑体" w:cs="Times New Roman"/>
          <w:b w:val="0"/>
          <w:color w:val="000000" w:themeColor="text1"/>
          <w14:textFill>
            <w14:solidFill>
              <w14:schemeClr w14:val="tx1"/>
            </w14:solidFill>
          </w14:textFill>
        </w:rPr>
        <w:t>“</w:t>
      </w:r>
      <w:r>
        <w:rPr>
          <w:rFonts w:hint="eastAsia" w:ascii="黑体" w:hAnsi="黑体" w:eastAsia="黑体" w:cs="Times New Roman"/>
          <w:b w:val="0"/>
          <w:color w:val="000000" w:themeColor="text1"/>
          <w14:textFill>
            <w14:solidFill>
              <w14:schemeClr w14:val="tx1"/>
            </w14:solidFill>
          </w14:textFill>
        </w:rPr>
        <w:t>十三五”发展成效</w:t>
      </w:r>
      <w:bookmarkEnd w:id="48"/>
      <w:bookmarkEnd w:id="49"/>
      <w:bookmarkEnd w:id="50"/>
      <w:bookmarkEnd w:id="51"/>
      <w:bookmarkEnd w:id="52"/>
      <w:bookmarkEnd w:id="53"/>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一、经济实力跨越升级</w:t>
      </w:r>
    </w:p>
    <w:p>
      <w:pPr>
        <w:overflowPunct w:val="0"/>
        <w:spacing w:line="560" w:lineRule="exact"/>
        <w:ind w:firstLine="640" w:firstLineChars="20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十三五”期间，柳东新区经济结构全面优化，经济规模持续壮大，经济效益显著提高，主要经济成果基本符合规划预期：2019年，新区地区生产总值（GDP）实现295亿元，2016-2019年年均增长约8.40%；农林牧渔业总产值4.26亿元，年均增长3.77%；规上工业企业总产值完成1001.39亿元，年均增长12.67%；社会消费品零售总额完成90.2亿元，年均增长13.2%；固定资产投资完成383.54亿元，年均增长13%；财政收入完成50.68亿元，年均增长19.58%，全年新区汽车产量达49.5万辆。2020年面对新冠肺炎疫情的剧烈冲击，新区经济强势破局，展现蓬勃活力与强大韧性：全年新区地区生产总值实现283.2亿元（“十三五”年均增速约6.0%），农林牧渔业总产值完成4.57亿元，本级规上工业企业总产值完成326.37亿元，社会消费品零售总额完成94.63亿元，固定资产投资完成385.32亿元，财政收入完成52.22亿元，汽车产业完成产量46.13万辆，稳增长目标胜利实现。</w:t>
      </w:r>
    </w:p>
    <w:p>
      <w:pPr>
        <w:pStyle w:val="5"/>
        <w:numPr>
          <w:ilvl w:val="0"/>
          <w:numId w:val="1"/>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实业柳东强势崛起</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“十三五”期间，柳东新区</w:t>
      </w:r>
      <w:r>
        <w:rPr>
          <w:rFonts w:ascii="仿宋_GB2312" w:hAnsi="仿宋_GB2312" w:eastAsia="仿宋_GB2312" w:cs="仿宋_GB2312"/>
          <w:color w:val="000000" w:themeColor="text1"/>
          <w:sz w:val="32"/>
          <w:szCs w:val="32"/>
          <w14:textFill>
            <w14:solidFill>
              <w14:schemeClr w14:val="tx1"/>
            </w14:solidFill>
          </w14:textFill>
        </w:rPr>
        <w:t>坚持做实做强做优实体</w:t>
      </w:r>
      <w:r>
        <w:rPr>
          <w:rFonts w:hint="eastAsia" w:ascii="仿宋_GB2312" w:hAnsi="仿宋_GB2312" w:eastAsia="仿宋_GB2312" w:cs="仿宋_GB2312"/>
          <w:color w:val="000000" w:themeColor="text1"/>
          <w:sz w:val="32"/>
          <w:szCs w:val="32"/>
          <w14:textFill>
            <w14:solidFill>
              <w14:schemeClr w14:val="tx1"/>
            </w14:solidFill>
          </w14:textFill>
        </w:rPr>
        <w:t>经济，加快</w:t>
      </w:r>
      <w:r>
        <w:rPr>
          <w:rFonts w:hint="eastAsia" w:ascii="仿宋_GB2312" w:eastAsia="仿宋_GB2312"/>
          <w:color w:val="000000" w:themeColor="text1"/>
          <w:sz w:val="32"/>
          <w:szCs w:val="32"/>
          <w14:textFill>
            <w14:solidFill>
              <w14:schemeClr w14:val="tx1"/>
            </w14:solidFill>
          </w14:textFill>
        </w:rPr>
        <w:t>构建现代产业体系</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优化提升产业结构和发展层次，推进</w:t>
      </w:r>
      <w:r>
        <w:rPr>
          <w:rFonts w:hint="eastAsia" w:ascii="仿宋_GB2312" w:hAnsi="仿宋_GB2312" w:eastAsia="仿宋_GB2312" w:cs="仿宋_GB2312"/>
          <w:color w:val="000000" w:themeColor="text1"/>
          <w:sz w:val="32"/>
          <w:szCs w:val="32"/>
          <w14:textFill>
            <w14:solidFill>
              <w14:schemeClr w14:val="tx1"/>
            </w14:solidFill>
          </w14:textFill>
        </w:rPr>
        <w:t>实业柳东固本强基、高质量崛起。在工业领域，统筹推进</w:t>
      </w:r>
      <w:r>
        <w:rPr>
          <w:rFonts w:ascii="仿宋_GB2312" w:hAnsi="仿宋_GB2312" w:eastAsia="仿宋_GB2312" w:cs="仿宋_GB2312"/>
          <w:color w:val="000000" w:themeColor="text1"/>
          <w:sz w:val="32"/>
          <w:szCs w:val="32"/>
          <w14:textFill>
            <w14:solidFill>
              <w14:schemeClr w14:val="tx1"/>
            </w14:solidFill>
          </w14:textFill>
        </w:rPr>
        <w:t>传统产业转型升级</w:t>
      </w:r>
      <w:r>
        <w:rPr>
          <w:rFonts w:hint="eastAsia" w:ascii="仿宋_GB2312" w:hAnsi="仿宋_GB2312" w:eastAsia="仿宋_GB2312" w:cs="仿宋_GB2312"/>
          <w:color w:val="000000" w:themeColor="text1"/>
          <w:sz w:val="32"/>
          <w:szCs w:val="32"/>
          <w14:textFill>
            <w14:solidFill>
              <w14:schemeClr w14:val="tx1"/>
            </w14:solidFill>
          </w14:textFill>
        </w:rPr>
        <w:t>和</w:t>
      </w:r>
      <w:r>
        <w:rPr>
          <w:rFonts w:ascii="仿宋_GB2312" w:hAnsi="仿宋_GB2312" w:eastAsia="仿宋_GB2312" w:cs="仿宋_GB2312"/>
          <w:color w:val="000000" w:themeColor="text1"/>
          <w:sz w:val="32"/>
          <w:szCs w:val="32"/>
          <w14:textFill>
            <w14:solidFill>
              <w14:schemeClr w14:val="tx1"/>
            </w14:solidFill>
          </w14:textFill>
        </w:rPr>
        <w:t>战略性新兴产业发展壮大，</w:t>
      </w:r>
      <w:r>
        <w:rPr>
          <w:rFonts w:hint="eastAsia" w:ascii="仿宋_GB2312" w:hAnsi="仿宋_GB2312" w:eastAsia="仿宋_GB2312" w:cs="仿宋_GB2312"/>
          <w:color w:val="000000" w:themeColor="text1"/>
          <w:sz w:val="32"/>
          <w:szCs w:val="32"/>
          <w14:textFill>
            <w14:solidFill>
              <w14:schemeClr w14:val="tx1"/>
            </w14:solidFill>
          </w14:textFill>
        </w:rPr>
        <w:t>扎实构建汽车和零部件产业为主导</w:t>
      </w:r>
      <w:r>
        <w:rPr>
          <w:rFonts w:hint="eastAsia" w:ascii="仿宋_GB2312" w:eastAsia="仿宋_GB2312"/>
          <w:color w:val="000000" w:themeColor="text1"/>
          <w:sz w:val="32"/>
          <w:szCs w:val="32"/>
          <w14:textFill>
            <w14:solidFill>
              <w14:schemeClr w14:val="tx1"/>
            </w14:solidFill>
          </w14:textFill>
        </w:rPr>
        <w:t>，战略性新兴产业联动发展的“3+3+1”产业格局，2019年二产增加值达222.93亿元，规上工业总产值突破千亿元，2020年二产增加值达201.32亿元，规上工业企业达154家。大力实施广西柳州汽车城再升级战略，四大整车基地全面崛起，传统技术升级换代和“新四化”技术应用突飞猛进，驱动整车制造规模和产品结构持续突破，全产业链蓬勃发展，乘用车整车生产本地配套率超过50%，成为国家级创新型新能源汽车及零部件产业集群培育试点。战略性新兴产业生机盎然，2020年新区本级规上战略性新兴产业企业达53家，产值占规上企业总产值的45.86%。智能轨道交通产业落地生根，跨坐式单轨车厢顺利下线，形成</w:t>
      </w:r>
      <w:r>
        <w:rPr>
          <w:rFonts w:ascii="Times New Roman" w:hAnsi="Times New Roman" w:eastAsia="仿宋_GB2312" w:cs="Times New Roman"/>
          <w:color w:val="000000" w:themeColor="text1"/>
          <w:sz w:val="32"/>
          <w:szCs w:val="32"/>
          <w14:textFill>
            <w14:solidFill>
              <w14:schemeClr w14:val="tx1"/>
            </w14:solidFill>
          </w14:textFill>
        </w:rPr>
        <w:t>年产</w:t>
      </w:r>
      <w:r>
        <w:rPr>
          <w:rFonts w:ascii="仿宋_GB2312" w:hAnsi="仿宋" w:eastAsia="仿宋_GB2312"/>
          <w:color w:val="000000" w:themeColor="text1"/>
          <w:sz w:val="32"/>
          <w:szCs w:val="32"/>
          <w14:textFill>
            <w14:solidFill>
              <w14:schemeClr w14:val="tx1"/>
            </w14:solidFill>
          </w14:textFill>
        </w:rPr>
        <w:t>200辆跨座式单轨车辆能力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新能源</w:t>
      </w:r>
      <w:r>
        <w:rPr>
          <w:rFonts w:hint="eastAsia" w:ascii="仿宋_GB2312" w:hAnsi="仿宋" w:eastAsia="仿宋_GB2312"/>
          <w:color w:val="000000" w:themeColor="text1"/>
          <w:sz w:val="32"/>
          <w:szCs w:val="32"/>
          <w14:textFill>
            <w14:solidFill>
              <w14:schemeClr w14:val="tx1"/>
            </w14:solidFill>
          </w14:textFill>
        </w:rPr>
        <w:t>电池重大</w:t>
      </w:r>
      <w:r>
        <w:rPr>
          <w:rFonts w:ascii="仿宋_GB2312" w:hAnsi="仿宋" w:eastAsia="仿宋_GB2312"/>
          <w:color w:val="000000" w:themeColor="text1"/>
          <w:sz w:val="32"/>
          <w:szCs w:val="32"/>
          <w14:textFill>
            <w14:solidFill>
              <w14:schemeClr w14:val="tx1"/>
            </w14:solidFill>
          </w14:textFill>
        </w:rPr>
        <w:t>项目</w:t>
      </w:r>
      <w:r>
        <w:rPr>
          <w:rFonts w:hint="eastAsia" w:ascii="仿宋_GB2312" w:hAnsi="仿宋" w:eastAsia="仿宋_GB2312"/>
          <w:color w:val="000000" w:themeColor="text1"/>
          <w:sz w:val="32"/>
          <w:szCs w:val="32"/>
          <w14:textFill>
            <w14:solidFill>
              <w14:schemeClr w14:val="tx1"/>
            </w14:solidFill>
          </w14:textFill>
        </w:rPr>
        <w:t>强势</w:t>
      </w:r>
      <w:r>
        <w:rPr>
          <w:rFonts w:ascii="仿宋_GB2312" w:hAnsi="仿宋" w:eastAsia="仿宋_GB2312"/>
          <w:color w:val="000000" w:themeColor="text1"/>
          <w:sz w:val="32"/>
          <w:szCs w:val="32"/>
          <w14:textFill>
            <w14:solidFill>
              <w14:schemeClr w14:val="tx1"/>
            </w14:solidFill>
          </w14:textFill>
        </w:rPr>
        <w:t>入驻，产业</w:t>
      </w:r>
      <w:r>
        <w:rPr>
          <w:rFonts w:hint="eastAsia" w:ascii="仿宋_GB2312" w:hAnsi="仿宋" w:eastAsia="仿宋_GB2312"/>
          <w:color w:val="000000" w:themeColor="text1"/>
          <w:sz w:val="32"/>
          <w:szCs w:val="32"/>
          <w14:textFill>
            <w14:solidFill>
              <w14:schemeClr w14:val="tx1"/>
            </w14:solidFill>
          </w14:textFill>
        </w:rPr>
        <w:t>发展风生水起；</w:t>
      </w:r>
      <w:r>
        <w:rPr>
          <w:rFonts w:hint="eastAsia" w:ascii="仿宋_GB2312" w:hAnsi="仿宋" w:eastAsia="仿宋_GB2312" w:cs="Times New Roman"/>
          <w:color w:val="000000" w:themeColor="text1"/>
          <w:sz w:val="32"/>
          <w:szCs w:val="32"/>
          <w14:textFill>
            <w14:solidFill>
              <w14:schemeClr w14:val="tx1"/>
            </w14:solidFill>
          </w14:textFill>
        </w:rPr>
        <w:t>新能源汽车产业</w:t>
      </w:r>
      <w:r>
        <w:rPr>
          <w:rFonts w:hint="eastAsia" w:ascii="仿宋_GB2312" w:hAnsi="仿宋" w:eastAsia="仿宋_GB2312"/>
          <w:color w:val="000000" w:themeColor="text1"/>
          <w:sz w:val="32"/>
          <w:szCs w:val="32"/>
          <w14:textFill>
            <w14:solidFill>
              <w14:schemeClr w14:val="tx1"/>
            </w14:solidFill>
          </w14:textFill>
        </w:rPr>
        <w:t>异军突起，产品迭代升级产销两旺，</w:t>
      </w:r>
      <w:r>
        <w:rPr>
          <w:rFonts w:hint="eastAsia" w:ascii="仿宋_GB2312" w:hAnsi="仿宋" w:eastAsia="仿宋_GB2312" w:cs="Times New Roman"/>
          <w:color w:val="000000" w:themeColor="text1"/>
          <w:sz w:val="32"/>
          <w:szCs w:val="32"/>
          <w14:textFill>
            <w14:solidFill>
              <w14:schemeClr w14:val="tx1"/>
            </w14:solidFill>
          </w14:textFill>
        </w:rPr>
        <w:t>氢能源车样车</w:t>
      </w:r>
      <w:r>
        <w:rPr>
          <w:rFonts w:hint="eastAsia" w:ascii="仿宋_GB2312" w:hAnsi="仿宋" w:eastAsia="仿宋_GB2312"/>
          <w:color w:val="000000" w:themeColor="text1"/>
          <w:sz w:val="32"/>
          <w:szCs w:val="32"/>
          <w14:textFill>
            <w14:solidFill>
              <w14:schemeClr w14:val="tx1"/>
            </w14:solidFill>
          </w14:textFill>
        </w:rPr>
        <w:t>实现</w:t>
      </w:r>
      <w:r>
        <w:rPr>
          <w:rFonts w:hint="eastAsia" w:ascii="仿宋_GB2312" w:hAnsi="仿宋" w:eastAsia="仿宋_GB2312" w:cs="Times New Roman"/>
          <w:color w:val="000000" w:themeColor="text1"/>
          <w:sz w:val="32"/>
          <w:szCs w:val="32"/>
          <w14:textFill>
            <w14:solidFill>
              <w14:schemeClr w14:val="tx1"/>
            </w14:solidFill>
          </w14:textFill>
        </w:rPr>
        <w:t>试跑。电子光电产业</w:t>
      </w:r>
      <w:r>
        <w:rPr>
          <w:rFonts w:hint="eastAsia" w:ascii="仿宋_GB2312" w:hAnsi="仿宋" w:eastAsia="仿宋_GB2312"/>
          <w:color w:val="000000" w:themeColor="text1"/>
          <w:sz w:val="32"/>
          <w:szCs w:val="32"/>
          <w14:textFill>
            <w14:solidFill>
              <w14:schemeClr w14:val="tx1"/>
            </w14:solidFill>
          </w14:textFill>
        </w:rPr>
        <w:t>存量升级、增量引育，</w:t>
      </w:r>
      <w:r>
        <w:rPr>
          <w:rFonts w:hint="eastAsia" w:ascii="仿宋_GB2312" w:hAnsi="仿宋" w:eastAsia="仿宋_GB2312" w:cs="Times New Roman"/>
          <w:color w:val="000000" w:themeColor="text1"/>
          <w:sz w:val="32"/>
          <w:szCs w:val="32"/>
          <w14:textFill>
            <w14:solidFill>
              <w14:schemeClr w14:val="tx1"/>
            </w14:solidFill>
          </w14:textFill>
        </w:rPr>
        <w:t>千亿级产业集群</w:t>
      </w:r>
      <w:r>
        <w:rPr>
          <w:rFonts w:hint="eastAsia" w:ascii="仿宋_GB2312" w:hAnsi="仿宋" w:eastAsia="仿宋_GB2312"/>
          <w:color w:val="000000" w:themeColor="text1"/>
          <w:sz w:val="32"/>
          <w:szCs w:val="32"/>
          <w14:textFill>
            <w14:solidFill>
              <w14:schemeClr w14:val="tx1"/>
            </w14:solidFill>
          </w14:textFill>
        </w:rPr>
        <w:t>蓄势待发</w:t>
      </w:r>
      <w:r>
        <w:rPr>
          <w:rFonts w:hint="eastAsia" w:ascii="仿宋_GB2312" w:hAnsi="仿宋" w:eastAsia="仿宋_GB2312" w:cs="Times New Roman"/>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新一代信息技术</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高端装备制造、新材料</w:t>
      </w:r>
      <w:r>
        <w:rPr>
          <w:rFonts w:hint="eastAsia" w:ascii="仿宋_GB2312" w:hAnsi="仿宋" w:eastAsia="仿宋_GB2312"/>
          <w:color w:val="000000" w:themeColor="text1"/>
          <w:sz w:val="32"/>
          <w:szCs w:val="32"/>
          <w14:textFill>
            <w14:solidFill>
              <w14:schemeClr w14:val="tx1"/>
            </w14:solidFill>
          </w14:textFill>
        </w:rPr>
        <w:t>等产业均有突破性发展。在服务业领域，</w:t>
      </w:r>
      <w:r>
        <w:rPr>
          <w:rFonts w:hint="eastAsia" w:ascii="仿宋_GB2312" w:hAnsi="仿宋_GB2312" w:eastAsia="仿宋_GB2312" w:cs="仿宋_GB2312"/>
          <w:color w:val="000000" w:themeColor="text1"/>
          <w:sz w:val="32"/>
          <w:szCs w:val="32"/>
          <w14:textFill>
            <w14:solidFill>
              <w14:schemeClr w14:val="tx1"/>
            </w14:solidFill>
          </w14:textFill>
        </w:rPr>
        <w:t>2020年新区规上限上服务业企业达81家，</w:t>
      </w:r>
      <w:r>
        <w:rPr>
          <w:rFonts w:hint="eastAsia" w:ascii="仿宋_GB2312" w:eastAsia="仿宋_GB2312"/>
          <w:color w:val="000000" w:themeColor="text1"/>
          <w:sz w:val="32"/>
          <w:szCs w:val="32"/>
          <w14:textFill>
            <w14:solidFill>
              <w14:schemeClr w14:val="tx1"/>
            </w14:solidFill>
          </w14:textFill>
        </w:rPr>
        <w:t>三产增加值达79.26亿元，在经济总量的占比</w:t>
      </w:r>
      <w:r>
        <w:rPr>
          <w:rFonts w:hint="eastAsia" w:ascii="仿宋_GB2312" w:hAnsi="仿宋" w:eastAsia="仿宋_GB2312"/>
          <w:color w:val="000000" w:themeColor="text1"/>
          <w:sz w:val="32"/>
          <w:szCs w:val="32"/>
          <w14:textFill>
            <w14:solidFill>
              <w14:schemeClr w14:val="tx1"/>
            </w14:solidFill>
          </w14:textFill>
        </w:rPr>
        <w:t>稳步攀升。一批</w:t>
      </w:r>
      <w:r>
        <w:rPr>
          <w:rFonts w:hint="eastAsia" w:ascii="仿宋_GB2312" w:hAnsi="仿宋" w:eastAsia="仿宋_GB2312" w:cs="Times New Roman"/>
          <w:color w:val="000000" w:themeColor="text1"/>
          <w:sz w:val="32"/>
          <w:szCs w:val="32"/>
          <w14:textFill>
            <w14:solidFill>
              <w14:schemeClr w14:val="tx1"/>
            </w14:solidFill>
          </w14:textFill>
        </w:rPr>
        <w:t>汽车质量检验</w:t>
      </w:r>
      <w:r>
        <w:rPr>
          <w:rFonts w:hint="eastAsia" w:ascii="仿宋_GB2312" w:hAnsi="仿宋" w:eastAsia="仿宋_GB2312"/>
          <w:color w:val="000000" w:themeColor="text1"/>
          <w:sz w:val="32"/>
          <w:szCs w:val="32"/>
          <w14:textFill>
            <w14:solidFill>
              <w14:schemeClr w14:val="tx1"/>
            </w14:solidFill>
          </w14:textFill>
        </w:rPr>
        <w:t>、技术研发、</w:t>
      </w:r>
      <w:r>
        <w:rPr>
          <w:rFonts w:hint="eastAsia" w:ascii="仿宋_GB2312" w:hAnsi="仿宋" w:eastAsia="仿宋_GB2312" w:cs="Times New Roman"/>
          <w:color w:val="000000" w:themeColor="text1"/>
          <w:sz w:val="32"/>
          <w:szCs w:val="32"/>
          <w14:textFill>
            <w14:solidFill>
              <w14:schemeClr w14:val="tx1"/>
            </w14:solidFill>
          </w14:textFill>
        </w:rPr>
        <w:t>保税物流</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Times New Roman"/>
          <w:color w:val="000000" w:themeColor="text1"/>
          <w:sz w:val="32"/>
          <w:szCs w:val="32"/>
          <w14:textFill>
            <w14:solidFill>
              <w14:schemeClr w14:val="tx1"/>
            </w14:solidFill>
          </w14:textFill>
        </w:rPr>
        <w:t>物流配送</w:t>
      </w:r>
      <w:r>
        <w:rPr>
          <w:rFonts w:hint="eastAsia" w:ascii="仿宋_GB2312" w:hAnsi="仿宋" w:eastAsia="仿宋_GB2312"/>
          <w:color w:val="000000" w:themeColor="text1"/>
          <w:sz w:val="32"/>
          <w:szCs w:val="32"/>
          <w14:textFill>
            <w14:solidFill>
              <w14:schemeClr w14:val="tx1"/>
            </w14:solidFill>
          </w14:textFill>
        </w:rPr>
        <w:t>、商务</w:t>
      </w:r>
      <w:r>
        <w:rPr>
          <w:rFonts w:hint="eastAsia" w:ascii="仿宋_GB2312" w:hAnsi="仿宋" w:eastAsia="仿宋_GB2312" w:cs="Times New Roman"/>
          <w:color w:val="000000" w:themeColor="text1"/>
          <w:sz w:val="32"/>
          <w:szCs w:val="32"/>
          <w14:textFill>
            <w14:solidFill>
              <w14:schemeClr w14:val="tx1"/>
            </w14:solidFill>
          </w14:textFill>
        </w:rPr>
        <w:t>会展</w:t>
      </w:r>
      <w:r>
        <w:rPr>
          <w:rFonts w:hint="eastAsia" w:ascii="仿宋_GB2312" w:hAnsi="仿宋" w:eastAsia="仿宋_GB2312"/>
          <w:color w:val="000000" w:themeColor="text1"/>
          <w:sz w:val="32"/>
          <w:szCs w:val="32"/>
          <w14:textFill>
            <w14:solidFill>
              <w14:schemeClr w14:val="tx1"/>
            </w14:solidFill>
          </w14:textFill>
        </w:rPr>
        <w:t>等服务载体全面建成使用，生产性服务业欣欣向荣、支撑有力；业态多元、</w:t>
      </w:r>
      <w:r>
        <w:rPr>
          <w:rFonts w:hint="eastAsia" w:ascii="仿宋_GB2312" w:hAnsi="仿宋_GB2312" w:eastAsia="仿宋_GB2312" w:cs="仿宋_GB2312"/>
          <w:color w:val="000000" w:themeColor="text1"/>
          <w:sz w:val="32"/>
          <w:szCs w:val="32"/>
          <w14:textFill>
            <w14:solidFill>
              <w14:schemeClr w14:val="tx1"/>
            </w14:solidFill>
          </w14:textFill>
        </w:rPr>
        <w:t>功能复合、特色</w:t>
      </w:r>
      <w:r>
        <w:rPr>
          <w:rFonts w:hint="eastAsia" w:ascii="仿宋_GB2312" w:hAnsi="仿宋_GB2312" w:eastAsia="仿宋_GB2312" w:cs="仿宋_GB2312"/>
          <w:color w:val="000000" w:themeColor="text1"/>
          <w:sz w:val="32"/>
          <w:szCs w:val="32"/>
          <w:lang w:eastAsia="zh-CN"/>
          <w14:textFill>
            <w14:solidFill>
              <w14:schemeClr w14:val="tx1"/>
            </w14:solidFill>
          </w14:textFill>
        </w:rPr>
        <w:t>突出</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 w:eastAsia="仿宋_GB2312"/>
          <w:color w:val="000000" w:themeColor="text1"/>
          <w:sz w:val="32"/>
          <w:szCs w:val="32"/>
          <w14:textFill>
            <w14:solidFill>
              <w14:schemeClr w14:val="tx1"/>
            </w14:solidFill>
          </w14:textFill>
        </w:rPr>
        <w:t>生活性服务业、文旅产业齐头并进，批零住餐和</w:t>
      </w:r>
      <w:r>
        <w:rPr>
          <w:rFonts w:ascii="仿宋_GB2312" w:hAnsi="仿宋" w:eastAsia="仿宋_GB2312"/>
          <w:color w:val="000000" w:themeColor="text1"/>
          <w:sz w:val="32"/>
          <w:szCs w:val="32"/>
          <w14:textFill>
            <w14:solidFill>
              <w14:schemeClr w14:val="tx1"/>
            </w14:solidFill>
          </w14:textFill>
        </w:rPr>
        <w:t>其他营利性服务业</w:t>
      </w:r>
      <w:r>
        <w:rPr>
          <w:rFonts w:hint="eastAsia" w:ascii="仿宋_GB2312" w:hAnsi="仿宋" w:eastAsia="仿宋_GB2312"/>
          <w:color w:val="000000" w:themeColor="text1"/>
          <w:sz w:val="32"/>
          <w:szCs w:val="32"/>
          <w14:textFill>
            <w14:solidFill>
              <w14:schemeClr w14:val="tx1"/>
            </w14:solidFill>
          </w14:textFill>
        </w:rPr>
        <w:t>有力拉动经济上行，</w:t>
      </w:r>
      <w:r>
        <w:rPr>
          <w:rFonts w:hint="eastAsia" w:ascii="仿宋_GB2312" w:eastAsia="仿宋_GB2312"/>
          <w:bCs/>
          <w:color w:val="000000" w:themeColor="text1"/>
          <w:sz w:val="32"/>
          <w:szCs w:val="32"/>
          <w14:textFill>
            <w14:solidFill>
              <w14:schemeClr w14:val="tx1"/>
            </w14:solidFill>
          </w14:textFill>
        </w:rPr>
        <w:t>全境游客</w:t>
      </w:r>
      <w:r>
        <w:rPr>
          <w:rFonts w:hint="eastAsia" w:ascii="仿宋_GB2312" w:hAnsi="仿宋" w:eastAsia="仿宋_GB2312"/>
          <w:color w:val="000000" w:themeColor="text1"/>
          <w:sz w:val="32"/>
          <w:szCs w:val="32"/>
          <w14:textFill>
            <w14:solidFill>
              <w14:schemeClr w14:val="tx1"/>
            </w14:solidFill>
          </w14:textFill>
        </w:rPr>
        <w:t>最高年度突破</w:t>
      </w:r>
      <w:r>
        <w:rPr>
          <w:rFonts w:ascii="仿宋_GB2312" w:eastAsia="仿宋_GB2312"/>
          <w:bCs/>
          <w:color w:val="000000" w:themeColor="text1"/>
          <w:sz w:val="32"/>
          <w:szCs w:val="32"/>
          <w14:textFill>
            <w14:solidFill>
              <w14:schemeClr w14:val="tx1"/>
            </w14:solidFill>
          </w14:textFill>
        </w:rPr>
        <w:t>250</w:t>
      </w:r>
      <w:r>
        <w:rPr>
          <w:rFonts w:hint="eastAsia" w:ascii="仿宋_GB2312" w:eastAsia="仿宋_GB2312"/>
          <w:bCs/>
          <w:color w:val="000000" w:themeColor="text1"/>
          <w:sz w:val="32"/>
          <w:szCs w:val="32"/>
          <w14:textFill>
            <w14:solidFill>
              <w14:schemeClr w14:val="tx1"/>
            </w14:solidFill>
          </w14:textFill>
        </w:rPr>
        <w:t>万人次，年旅游收入</w:t>
      </w:r>
      <w:r>
        <w:rPr>
          <w:rFonts w:ascii="仿宋_GB2312" w:eastAsia="仿宋_GB2312"/>
          <w:bCs/>
          <w:color w:val="000000" w:themeColor="text1"/>
          <w:sz w:val="32"/>
          <w:szCs w:val="32"/>
          <w14:textFill>
            <w14:solidFill>
              <w14:schemeClr w14:val="tx1"/>
            </w14:solidFill>
          </w14:textFill>
        </w:rPr>
        <w:t>1</w:t>
      </w:r>
      <w:r>
        <w:rPr>
          <w:rFonts w:hint="eastAsia" w:ascii="仿宋_GB2312" w:eastAsia="仿宋_GB2312"/>
          <w:bCs/>
          <w:color w:val="000000" w:themeColor="text1"/>
          <w:sz w:val="32"/>
          <w:szCs w:val="32"/>
          <w14:textFill>
            <w14:solidFill>
              <w14:schemeClr w14:val="tx1"/>
            </w14:solidFill>
          </w14:textFill>
        </w:rPr>
        <w:t>亿元</w:t>
      </w:r>
      <w:r>
        <w:rPr>
          <w:rFonts w:hint="eastAsia" w:ascii="仿宋_GB2312" w:hAnsi="仿宋" w:eastAsia="仿宋_GB2312"/>
          <w:color w:val="000000" w:themeColor="text1"/>
          <w:sz w:val="32"/>
          <w:szCs w:val="32"/>
          <w14:textFill>
            <w14:solidFill>
              <w14:schemeClr w14:val="tx1"/>
            </w14:solidFill>
          </w14:textFill>
        </w:rPr>
        <w:t>。4个友邻汇项目、4家AAAA级景区汇聚客流，一批</w:t>
      </w:r>
      <w:r>
        <w:rPr>
          <w:rFonts w:ascii="Times New Roman" w:hAnsi="Times New Roman" w:eastAsia="仿宋_GB2312" w:cs="Times New Roman"/>
          <w:color w:val="000000" w:themeColor="text1"/>
          <w:sz w:val="32"/>
          <w:szCs w:val="32"/>
          <w14:textFill>
            <w14:solidFill>
              <w14:schemeClr w14:val="tx1"/>
            </w14:solidFill>
          </w14:textFill>
        </w:rPr>
        <w:t>农贸市场</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乡村旅游区、商务酒店、主</w:t>
      </w:r>
      <w:r>
        <w:rPr>
          <w:rFonts w:hint="eastAsia" w:ascii="仿宋_GB2312" w:eastAsia="仿宋_GB2312"/>
          <w:color w:val="000000" w:themeColor="text1"/>
          <w:sz w:val="32"/>
          <w:szCs w:val="32"/>
          <w14:textFill>
            <w14:solidFill>
              <w14:schemeClr w14:val="tx1"/>
            </w14:solidFill>
          </w14:textFill>
        </w:rPr>
        <w:t>题酒店错落布局，消费服务业渐入佳境。在农业领域，农业经济规模持续壮大，2020年一产增加值达2.61亿元，连续五年稳定增长，</w:t>
      </w:r>
      <w:r>
        <w:rPr>
          <w:rFonts w:ascii="仿宋_GB2312" w:eastAsia="仿宋_GB2312"/>
          <w:color w:val="000000" w:themeColor="text1"/>
          <w:sz w:val="32"/>
          <w:szCs w:val="32"/>
          <w14:textFill>
            <w14:solidFill>
              <w14:schemeClr w14:val="tx1"/>
            </w14:solidFill>
          </w14:textFill>
        </w:rPr>
        <w:t>粮食、蔗糖、水果、蔬菜、</w:t>
      </w:r>
      <w:r>
        <w:rPr>
          <w:rFonts w:hint="eastAsia" w:ascii="仿宋_GB2312" w:eastAsia="仿宋_GB2312"/>
          <w:color w:val="000000" w:themeColor="text1"/>
          <w:sz w:val="32"/>
          <w:szCs w:val="32"/>
          <w14:textFill>
            <w14:solidFill>
              <w14:schemeClr w14:val="tx1"/>
            </w14:solidFill>
          </w14:textFill>
        </w:rPr>
        <w:t>林木</w:t>
      </w:r>
      <w:r>
        <w:rPr>
          <w:rFonts w:ascii="仿宋_GB2312" w:eastAsia="仿宋_GB2312"/>
          <w:color w:val="000000" w:themeColor="text1"/>
          <w:sz w:val="32"/>
          <w:szCs w:val="32"/>
          <w14:textFill>
            <w14:solidFill>
              <w14:schemeClr w14:val="tx1"/>
            </w14:solidFill>
          </w14:textFill>
        </w:rPr>
        <w:t>、优质家畜</w:t>
      </w:r>
      <w:r>
        <w:rPr>
          <w:rFonts w:hint="eastAsia" w:ascii="仿宋_GB2312" w:eastAsia="仿宋_GB2312"/>
          <w:color w:val="000000" w:themeColor="text1"/>
          <w:sz w:val="32"/>
          <w:szCs w:val="32"/>
          <w14:textFill>
            <w14:solidFill>
              <w14:schemeClr w14:val="tx1"/>
            </w14:solidFill>
          </w14:textFill>
        </w:rPr>
        <w:t>等产业保持健康发展。以</w:t>
      </w:r>
      <w:r>
        <w:rPr>
          <w:rFonts w:ascii="仿宋_GB2312" w:eastAsia="仿宋_GB2312"/>
          <w:color w:val="000000" w:themeColor="text1"/>
          <w:sz w:val="32"/>
          <w:szCs w:val="32"/>
          <w14:textFill>
            <w14:solidFill>
              <w14:schemeClr w14:val="tx1"/>
            </w14:solidFill>
          </w14:textFill>
        </w:rPr>
        <w:t>乡村振兴战略</w:t>
      </w:r>
      <w:r>
        <w:rPr>
          <w:rFonts w:hint="eastAsia" w:ascii="仿宋_GB2312" w:eastAsia="仿宋_GB2312"/>
          <w:color w:val="000000" w:themeColor="text1"/>
          <w:sz w:val="32"/>
          <w:szCs w:val="32"/>
          <w14:textFill>
            <w14:solidFill>
              <w14:schemeClr w14:val="tx1"/>
            </w14:solidFill>
          </w14:textFill>
        </w:rPr>
        <w:t>引领农业高质量发展</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新区农业产业产品结构持续调整优化，</w:t>
      </w:r>
      <w:r>
        <w:rPr>
          <w:rFonts w:ascii="仿宋_GB2312" w:eastAsia="仿宋_GB2312"/>
          <w:color w:val="000000" w:themeColor="text1"/>
          <w:sz w:val="32"/>
          <w:szCs w:val="32"/>
          <w14:textFill>
            <w14:solidFill>
              <w14:schemeClr w14:val="tx1"/>
            </w14:solidFill>
          </w14:textFill>
        </w:rPr>
        <w:t>农产品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三品一标</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认证</w:t>
      </w:r>
      <w:r>
        <w:rPr>
          <w:rFonts w:hint="eastAsia" w:ascii="Times New Roman" w:hAnsi="Times New Roman" w:eastAsia="仿宋_GB2312" w:cs="Times New Roman"/>
          <w:color w:val="000000" w:themeColor="text1"/>
          <w:sz w:val="32"/>
          <w:szCs w:val="32"/>
          <w14:textFill>
            <w14:solidFill>
              <w14:schemeClr w14:val="tx1"/>
            </w14:solidFill>
          </w14:textFill>
        </w:rPr>
        <w:t>、知名</w:t>
      </w:r>
      <w:r>
        <w:rPr>
          <w:rFonts w:ascii="Times New Roman" w:hAnsi="Times New Roman" w:eastAsia="仿宋_GB2312" w:cs="Times New Roman"/>
          <w:color w:val="000000" w:themeColor="text1"/>
          <w:sz w:val="32"/>
          <w:szCs w:val="32"/>
          <w14:textFill>
            <w14:solidFill>
              <w14:schemeClr w14:val="tx1"/>
            </w14:solidFill>
          </w14:textFill>
        </w:rPr>
        <w:t>品牌</w:t>
      </w:r>
      <w:r>
        <w:rPr>
          <w:rFonts w:hint="eastAsia" w:ascii="Times New Roman" w:hAnsi="Times New Roman" w:eastAsia="仿宋_GB2312" w:cs="Times New Roman"/>
          <w:color w:val="000000" w:themeColor="text1"/>
          <w:sz w:val="32"/>
          <w:szCs w:val="32"/>
          <w14:textFill>
            <w14:solidFill>
              <w14:schemeClr w14:val="tx1"/>
            </w14:solidFill>
          </w14:textFill>
        </w:rPr>
        <w:t>建设稳步实施，</w:t>
      </w:r>
      <w:r>
        <w:rPr>
          <w:rFonts w:ascii="Times New Roman" w:hAnsi="Times New Roman" w:eastAsia="仿宋_GB2312" w:cs="Times New Roman"/>
          <w:color w:val="000000" w:themeColor="text1"/>
          <w:sz w:val="32"/>
          <w:szCs w:val="32"/>
          <w14:textFill>
            <w14:solidFill>
              <w14:schemeClr w14:val="tx1"/>
            </w14:solidFill>
          </w14:textFill>
        </w:rPr>
        <w:t>现代特色农业示范区、乡级现代特色农业示范园</w:t>
      </w:r>
      <w:r>
        <w:rPr>
          <w:rFonts w:hint="eastAsia" w:ascii="Times New Roman" w:hAnsi="Times New Roman" w:eastAsia="仿宋_GB2312" w:cs="Times New Roman"/>
          <w:color w:val="000000" w:themeColor="text1"/>
          <w:sz w:val="32"/>
          <w:szCs w:val="32"/>
          <w14:textFill>
            <w14:solidFill>
              <w14:schemeClr w14:val="tx1"/>
            </w14:solidFill>
          </w14:textFill>
        </w:rPr>
        <w:t>做大做深，</w:t>
      </w:r>
      <w:r>
        <w:rPr>
          <w:rFonts w:hint="eastAsia" w:ascii="仿宋_GB2312" w:hAnsi="仿宋_GB2312" w:eastAsia="仿宋_GB2312" w:cs="仿宋_GB2312"/>
          <w:color w:val="000000" w:themeColor="text1"/>
          <w:sz w:val="32"/>
          <w:szCs w:val="32"/>
          <w14:textFill>
            <w14:solidFill>
              <w14:schemeClr w14:val="tx1"/>
            </w14:solidFill>
          </w14:textFill>
        </w:rPr>
        <w:t>一批特色农产品加快</w:t>
      </w:r>
      <w:r>
        <w:rPr>
          <w:rFonts w:ascii="Times New Roman" w:hAnsi="Times New Roman" w:eastAsia="仿宋_GB2312" w:cs="Times New Roman"/>
          <w:color w:val="000000" w:themeColor="text1"/>
          <w:sz w:val="32"/>
          <w:szCs w:val="32"/>
          <w14:textFill>
            <w14:solidFill>
              <w14:schemeClr w14:val="tx1"/>
            </w14:solidFill>
          </w14:textFill>
        </w:rPr>
        <w:t>集聚发展</w:t>
      </w:r>
      <w:r>
        <w:rPr>
          <w:rFonts w:hint="eastAsia" w:ascii="仿宋_GB2312" w:hAnsi="仿宋_GB2312" w:eastAsia="仿宋_GB2312" w:cs="仿宋_GB2312"/>
          <w:color w:val="000000" w:themeColor="text1"/>
          <w:sz w:val="32"/>
          <w:szCs w:val="32"/>
          <w14:textFill>
            <w14:solidFill>
              <w14:schemeClr w14:val="tx1"/>
            </w14:solidFill>
          </w14:textFill>
        </w:rPr>
        <w:t>，菜</w:t>
      </w:r>
      <w:r>
        <w:rPr>
          <w:rFonts w:hint="eastAsia" w:ascii="仿宋_GB2312" w:hAnsi="仿宋_GB2312" w:eastAsia="仿宋_GB2312" w:cs="仿宋_GB2312"/>
          <w:color w:val="000000" w:themeColor="text1"/>
          <w:sz w:val="32"/>
          <w:szCs w:val="32"/>
          <w:lang w:eastAsia="zh-CN"/>
          <w14:textFill>
            <w14:solidFill>
              <w14:schemeClr w14:val="tx1"/>
            </w14:solidFill>
          </w14:textFill>
        </w:rPr>
        <w:t>篮</w:t>
      </w:r>
      <w:r>
        <w:rPr>
          <w:rFonts w:hint="eastAsia" w:ascii="仿宋_GB2312" w:hAnsi="仿宋_GB2312" w:eastAsia="仿宋_GB2312" w:cs="仿宋_GB2312"/>
          <w:color w:val="000000" w:themeColor="text1"/>
          <w:sz w:val="32"/>
          <w:szCs w:val="32"/>
          <w14:textFill>
            <w14:solidFill>
              <w14:schemeClr w14:val="tx1"/>
            </w14:solidFill>
          </w14:textFill>
        </w:rPr>
        <w:t>子供给日益丰富多样。</w:t>
      </w:r>
    </w:p>
    <w:p>
      <w:pPr>
        <w:pStyle w:val="5"/>
        <w:numPr>
          <w:ilvl w:val="0"/>
          <w:numId w:val="2"/>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创新柳东活力洋溢</w:t>
      </w:r>
    </w:p>
    <w:p>
      <w:pPr>
        <w:ind w:firstLine="640" w:firstLineChars="200"/>
        <w:rPr>
          <w:rFonts w:ascii="仿宋_GB2312" w:hAnsi="仿宋"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“十三五”期间，新区坚持</w:t>
      </w:r>
      <w:r>
        <w:rPr>
          <w:rFonts w:hint="eastAsia" w:ascii="仿宋_GB2312" w:eastAsia="仿宋_GB2312"/>
          <w:color w:val="000000" w:themeColor="text1"/>
          <w:sz w:val="32"/>
          <w:szCs w:val="32"/>
          <w14:textFill>
            <w14:solidFill>
              <w14:schemeClr w14:val="tx1"/>
            </w14:solidFill>
          </w14:textFill>
        </w:rPr>
        <w:t>“汽车产业衍生带动、智慧科技驱动转型”，</w:t>
      </w:r>
      <w:r>
        <w:rPr>
          <w:rFonts w:ascii="仿宋_GB2312" w:hAnsi="仿宋_GB2312" w:eastAsia="仿宋_GB2312" w:cs="仿宋_GB2312"/>
          <w:color w:val="000000" w:themeColor="text1"/>
          <w:sz w:val="32"/>
          <w:szCs w:val="32"/>
          <w14:textFill>
            <w14:solidFill>
              <w14:schemeClr w14:val="tx1"/>
            </w14:solidFill>
          </w14:textFill>
        </w:rPr>
        <w:t>打造一流</w:t>
      </w:r>
      <w:r>
        <w:rPr>
          <w:rFonts w:hint="eastAsia" w:ascii="仿宋_GB2312" w:hAnsi="仿宋_GB2312" w:eastAsia="仿宋_GB2312" w:cs="仿宋_GB2312"/>
          <w:color w:val="000000" w:themeColor="text1"/>
          <w:sz w:val="32"/>
          <w:szCs w:val="32"/>
          <w14:textFill>
            <w14:solidFill>
              <w14:schemeClr w14:val="tx1"/>
            </w14:solidFill>
          </w14:textFill>
        </w:rPr>
        <w:t>科创</w:t>
      </w:r>
      <w:r>
        <w:rPr>
          <w:rFonts w:ascii="仿宋_GB2312" w:hAnsi="仿宋_GB2312" w:eastAsia="仿宋_GB2312" w:cs="仿宋_GB2312"/>
          <w:color w:val="000000" w:themeColor="text1"/>
          <w:sz w:val="32"/>
          <w:szCs w:val="32"/>
          <w14:textFill>
            <w14:solidFill>
              <w14:schemeClr w14:val="tx1"/>
            </w14:solidFill>
          </w14:textFill>
        </w:rPr>
        <w:t>园区</w:t>
      </w:r>
      <w:r>
        <w:rPr>
          <w:rFonts w:hint="eastAsia" w:ascii="仿宋_GB2312" w:hAnsi="仿宋_GB2312" w:eastAsia="仿宋_GB2312" w:cs="仿宋_GB2312"/>
          <w:color w:val="000000" w:themeColor="text1"/>
          <w:sz w:val="32"/>
          <w:szCs w:val="32"/>
          <w14:textFill>
            <w14:solidFill>
              <w14:schemeClr w14:val="tx1"/>
            </w14:solidFill>
          </w14:textFill>
        </w:rPr>
        <w:t>，致力将</w:t>
      </w:r>
      <w:r>
        <w:rPr>
          <w:rFonts w:ascii="仿宋_GB2312" w:hAnsi="仿宋_GB2312" w:eastAsia="仿宋_GB2312" w:cs="仿宋_GB2312"/>
          <w:color w:val="000000" w:themeColor="text1"/>
          <w:sz w:val="32"/>
          <w:szCs w:val="32"/>
          <w14:textFill>
            <w14:solidFill>
              <w14:schemeClr w14:val="tx1"/>
            </w14:solidFill>
          </w14:textFill>
        </w:rPr>
        <w:t>科技创新优势转化为园区发展强势，</w:t>
      </w:r>
      <w:r>
        <w:rPr>
          <w:rFonts w:hint="eastAsia" w:ascii="仿宋_GB2312" w:hAnsi="仿宋_GB2312" w:eastAsia="仿宋_GB2312" w:cs="仿宋_GB2312"/>
          <w:color w:val="000000" w:themeColor="text1"/>
          <w:sz w:val="32"/>
          <w:szCs w:val="32"/>
          <w14:textFill>
            <w14:solidFill>
              <w14:schemeClr w14:val="tx1"/>
            </w14:solidFill>
          </w14:textFill>
        </w:rPr>
        <w:t>科技支撑发展动能全面增强。</w:t>
      </w:r>
      <w:r>
        <w:rPr>
          <w:rFonts w:hint="eastAsia" w:ascii="仿宋_GB2312" w:hAnsi="仿宋_GB2312" w:eastAsia="仿宋_GB2312" w:cs="仿宋_GB2312"/>
          <w:color w:val="000000" w:themeColor="text1"/>
          <w:sz w:val="32"/>
          <w:szCs w:val="40"/>
          <w14:textFill>
            <w14:solidFill>
              <w14:schemeClr w14:val="tx1"/>
            </w14:solidFill>
          </w14:textFill>
        </w:rPr>
        <w:t>柳州高新区综合排名在全国</w:t>
      </w:r>
      <w:r>
        <w:rPr>
          <w:rFonts w:ascii="仿宋_GB2312" w:hAnsi="仿宋_GB2312" w:eastAsia="仿宋_GB2312" w:cs="仿宋_GB2312"/>
          <w:color w:val="000000" w:themeColor="text1"/>
          <w:sz w:val="32"/>
          <w:szCs w:val="40"/>
          <w14:textFill>
            <w14:solidFill>
              <w14:schemeClr w14:val="tx1"/>
            </w14:solidFill>
          </w14:textFill>
        </w:rPr>
        <w:t>169</w:t>
      </w:r>
      <w:r>
        <w:rPr>
          <w:rFonts w:hint="eastAsia" w:ascii="仿宋_GB2312" w:hAnsi="仿宋_GB2312" w:eastAsia="仿宋_GB2312" w:cs="仿宋_GB2312"/>
          <w:color w:val="000000" w:themeColor="text1"/>
          <w:sz w:val="32"/>
          <w:szCs w:val="40"/>
          <w14:textFill>
            <w14:solidFill>
              <w14:schemeClr w14:val="tx1"/>
            </w14:solidFill>
          </w14:textFill>
        </w:rPr>
        <w:t>家国家高新区中排第44位，</w:t>
      </w:r>
      <w:r>
        <w:rPr>
          <w:rFonts w:hint="eastAsia" w:ascii="仿宋_GB2312" w:hAnsi="仿宋" w:eastAsia="仿宋_GB2312" w:cs="仿宋"/>
          <w:color w:val="000000" w:themeColor="text1"/>
          <w:sz w:val="32"/>
          <w:szCs w:val="32"/>
          <w14:textFill>
            <w14:solidFill>
              <w14:schemeClr w14:val="tx1"/>
            </w14:solidFill>
          </w14:textFill>
        </w:rPr>
        <w:t>成为</w:t>
      </w:r>
      <w:r>
        <w:rPr>
          <w:rFonts w:eastAsia="仿宋_GB2312"/>
          <w:color w:val="000000" w:themeColor="text1"/>
          <w:sz w:val="32"/>
          <w:szCs w:val="32"/>
          <w:shd w:val="clear" w:color="auto" w:fill="FFFFFF"/>
          <w14:textFill>
            <w14:solidFill>
              <w14:schemeClr w14:val="tx1"/>
            </w14:solidFill>
          </w14:textFill>
        </w:rPr>
        <w:t>国家知识产权示范园区</w:t>
      </w:r>
      <w:r>
        <w:rPr>
          <w:rFonts w:hint="eastAsia" w:eastAsia="仿宋_GB2312"/>
          <w:color w:val="000000" w:themeColor="text1"/>
          <w:sz w:val="32"/>
          <w:szCs w:val="32"/>
          <w:shd w:val="clear" w:color="auto" w:fill="FFFFFF"/>
          <w14:textFill>
            <w14:solidFill>
              <w14:schemeClr w14:val="tx1"/>
            </w14:solidFill>
          </w14:textFill>
        </w:rPr>
        <w:t>、</w:t>
      </w:r>
      <w:r>
        <w:rPr>
          <w:rFonts w:hint="eastAsia" w:ascii="仿宋_GB2312" w:hAnsi="仿宋" w:eastAsia="仿宋_GB2312" w:cs="仿宋"/>
          <w:color w:val="000000" w:themeColor="text1"/>
          <w:sz w:val="32"/>
          <w:szCs w:val="32"/>
          <w14:textFill>
            <w14:solidFill>
              <w14:schemeClr w14:val="tx1"/>
            </w14:solidFill>
          </w14:textFill>
        </w:rPr>
        <w:t>国家大众创业万众创新示范基地、国家级小型</w:t>
      </w:r>
      <w:r>
        <w:rPr>
          <w:rFonts w:hint="eastAsia" w:ascii="仿宋_GB2312" w:hAnsi="仿宋_GB2312" w:eastAsia="仿宋_GB2312" w:cs="仿宋_GB2312"/>
          <w:color w:val="000000" w:themeColor="text1"/>
          <w:sz w:val="32"/>
          <w:szCs w:val="32"/>
          <w14:textFill>
            <w14:solidFill>
              <w14:schemeClr w14:val="tx1"/>
            </w14:solidFill>
          </w14:textFill>
        </w:rPr>
        <w:t>微型企业创业创新示范基地、</w:t>
      </w:r>
      <w:r>
        <w:rPr>
          <w:rStyle w:val="43"/>
          <w:rFonts w:hint="default"/>
          <w:color w:val="000000" w:themeColor="text1"/>
          <w14:textFill>
            <w14:solidFill>
              <w14:schemeClr w14:val="tx1"/>
            </w14:solidFill>
          </w14:textFill>
        </w:rPr>
        <w:t>国家产业园区发展竞争力百强园区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广西第二批可持续发展实验区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创新型特色园区</w:t>
      </w:r>
      <w:r>
        <w:rPr>
          <w:rFonts w:hint="eastAsia" w:ascii="仿宋_GB2312" w:hAnsi="仿宋_GB2312" w:eastAsia="仿宋_GB2312" w:cs="仿宋_GB2312"/>
          <w:color w:val="000000" w:themeColor="text1"/>
          <w:sz w:val="32"/>
          <w:szCs w:val="32"/>
          <w14:textFill>
            <w14:solidFill>
              <w14:schemeClr w14:val="tx1"/>
            </w14:solidFill>
          </w14:textFill>
        </w:rPr>
        <w:t>建设顺利</w:t>
      </w:r>
      <w:r>
        <w:rPr>
          <w:rFonts w:ascii="仿宋_GB2312" w:hAnsi="仿宋_GB2312" w:eastAsia="仿宋_GB2312" w:cs="仿宋_GB2312"/>
          <w:color w:val="000000" w:themeColor="text1"/>
          <w:sz w:val="32"/>
          <w:szCs w:val="32"/>
          <w14:textFill>
            <w14:solidFill>
              <w14:schemeClr w14:val="tx1"/>
            </w14:solidFill>
          </w14:textFill>
        </w:rPr>
        <w:t>通过自治区</w:t>
      </w:r>
      <w:r>
        <w:rPr>
          <w:rFonts w:eastAsia="仿宋_GB2312"/>
          <w:bCs/>
          <w:color w:val="000000" w:themeColor="text1"/>
          <w:sz w:val="32"/>
          <w:szCs w:val="32"/>
          <w14:textFill>
            <w14:solidFill>
              <w14:schemeClr w14:val="tx1"/>
            </w14:solidFill>
          </w14:textFill>
        </w:rPr>
        <w:t>验收</w:t>
      </w:r>
      <w:r>
        <w:rPr>
          <w:rFonts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创新主体持续壮大，</w:t>
      </w:r>
      <w:r>
        <w:rPr>
          <w:rFonts w:hint="eastAsia" w:ascii="仿宋_GB2312" w:hAnsi="仿宋_GB2312" w:eastAsia="仿宋_GB2312" w:cs="仿宋_GB2312"/>
          <w:bCs/>
          <w:color w:val="000000" w:themeColor="text1"/>
          <w:sz w:val="32"/>
          <w:szCs w:val="32"/>
          <w14:textFill>
            <w14:solidFill>
              <w14:schemeClr w14:val="tx1"/>
            </w14:solidFill>
          </w14:textFill>
        </w:rPr>
        <w:t>2020年</w:t>
      </w:r>
      <w:r>
        <w:rPr>
          <w:rFonts w:hint="eastAsia" w:ascii="仿宋_GB2312" w:hAnsi="仿宋_GB2312" w:eastAsia="仿宋_GB2312" w:cs="仿宋_GB2312"/>
          <w:color w:val="000000" w:themeColor="text1"/>
          <w:sz w:val="32"/>
          <w:szCs w:val="32"/>
          <w14:textFill>
            <w14:solidFill>
              <w14:schemeClr w14:val="tx1"/>
            </w14:solidFill>
          </w14:textFill>
        </w:rPr>
        <w:t>柳东新区拥有国家高新技术企业达到206家，科技型中小企业</w:t>
      </w:r>
      <w:r>
        <w:rPr>
          <w:rFonts w:ascii="仿宋_GB2312" w:hAnsi="仿宋_GB2312" w:eastAsia="仿宋_GB2312" w:cs="仿宋_GB2312"/>
          <w:color w:val="000000" w:themeColor="text1"/>
          <w:sz w:val="32"/>
          <w:szCs w:val="32"/>
          <w14:textFill>
            <w14:solidFill>
              <w14:schemeClr w14:val="tx1"/>
            </w14:solidFill>
          </w14:textFill>
        </w:rPr>
        <w:t>212</w:t>
      </w:r>
      <w:r>
        <w:rPr>
          <w:rFonts w:hint="eastAsia" w:ascii="仿宋_GB2312" w:hAnsi="仿宋_GB2312" w:eastAsia="仿宋_GB2312" w:cs="仿宋_GB2312"/>
          <w:color w:val="000000" w:themeColor="text1"/>
          <w:sz w:val="32"/>
          <w:szCs w:val="32"/>
          <w14:textFill>
            <w14:solidFill>
              <w14:schemeClr w14:val="tx1"/>
            </w14:solidFill>
          </w14:textFill>
        </w:rPr>
        <w:t>家，新型研发机构5家；</w:t>
      </w:r>
      <w:r>
        <w:rPr>
          <w:rFonts w:hint="eastAsia" w:ascii="仿宋_GB2312" w:hAnsi="仿宋_GB2312" w:eastAsia="仿宋_GB2312" w:cs="仿宋_GB2312"/>
          <w:bCs/>
          <w:color w:val="000000" w:themeColor="text1"/>
          <w:sz w:val="32"/>
          <w:szCs w:val="32"/>
          <w14:textFill>
            <w14:solidFill>
              <w14:schemeClr w14:val="tx1"/>
            </w14:solidFill>
          </w14:textFill>
        </w:rPr>
        <w:t>拥有国家级创新平台6家，市级及以上企业技术中心和工程技术研究中心90 家，国家级科技企业孵化器1家，科技部备案众创空间3家。科技成果产出和转移转化紧密衔接，发明专利申请4954件，授权2156件，PCT国际专利40件，科技成果转化数量和质量均位列全市第一</w:t>
      </w:r>
      <w:r>
        <w:rPr>
          <w:rFonts w:hint="eastAsia" w:ascii="仿宋_GB2312" w:hAnsi="宋体" w:eastAsia="仿宋_GB2312"/>
          <w:color w:val="000000" w:themeColor="text1"/>
          <w:sz w:val="32"/>
          <w:szCs w:val="32"/>
          <w14:textFill>
            <w14:solidFill>
              <w14:schemeClr w14:val="tx1"/>
            </w14:solidFill>
          </w14:textFill>
        </w:rPr>
        <w:t>。新区科技金融、大众创业万众创新、知识产权保护、跨区域协同创新等领域突破发展，滨江智谷、广西汽车研究院等高端项目加快布局。新技术、新产业、新业态蓬勃兴起，特别在数字经济领域，涌现国家信息中心工业大数据应用柳州基地、柳州市车联网先导区、广西智能汽车科技企业孵化器、柳东新区网络信息安全技术实验室、柳州短视频直播创业孵化基地、猪八戒网柳东数字经济产业园、柳州数字文化创意产业园、广西互联网教育产业园以及智能工厂、数字车间等一批成长性好的高端特色载体，“产业数字化、数字产业化”步稳蹄急。</w:t>
      </w:r>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四、魅力柳东日新月异</w:t>
      </w:r>
    </w:p>
    <w:p>
      <w:pPr>
        <w:overflowPunct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“十三五”期间，新区以产城融合为导向，加快重点片区重点工程建设，城市基础</w:t>
      </w:r>
      <w:r>
        <w:rPr>
          <w:rFonts w:hint="eastAsia" w:ascii="仿宋_GB2312" w:hAnsi="仿宋" w:eastAsia="仿宋_GB2312" w:cs="仿宋_GB2312"/>
          <w:color w:val="000000" w:themeColor="text1"/>
          <w:sz w:val="32"/>
          <w:szCs w:val="32"/>
          <w14:textFill>
            <w14:solidFill>
              <w14:schemeClr w14:val="tx1"/>
            </w14:solidFill>
          </w14:textFill>
        </w:rPr>
        <w:t>设施日益完善，“城市名片”增姿添彩，城市面貌焕然一新，</w:t>
      </w:r>
      <w:r>
        <w:rPr>
          <w:rFonts w:hint="eastAsia" w:ascii="仿宋_GB2312" w:eastAsia="仿宋_GB2312"/>
          <w:color w:val="000000" w:themeColor="text1"/>
          <w:sz w:val="32"/>
          <w:szCs w:val="32"/>
          <w14:textFill>
            <w14:solidFill>
              <w14:schemeClr w14:val="tx1"/>
            </w14:solidFill>
          </w14:textFill>
        </w:rPr>
        <w:t>城市功能品质全面提升，成为国家产城融合示范区</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五年来，新增建成区面积 22.4 平方公里，城市框架进一步拉大。优化国土空间布局，完善高铁站片区、秀水片区、中山街片区以及村屯新农村等一批重点片区规划。</w:t>
      </w:r>
      <w:r>
        <w:rPr>
          <w:rFonts w:hint="eastAsia" w:ascii="仿宋_GB2312" w:hAnsi="仿宋_GB2312" w:eastAsia="仿宋_GB2312" w:cs="仿宋_GB2312"/>
          <w:color w:val="000000" w:themeColor="text1"/>
          <w:sz w:val="32"/>
          <w:szCs w:val="32"/>
          <w14:textFill>
            <w14:solidFill>
              <w14:schemeClr w14:val="tx1"/>
            </w14:solidFill>
          </w14:textFill>
        </w:rPr>
        <w:t>内外交通“畅通工程”卓有成效</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累计新增通车里程179公里，东外环、官塘大桥、曙光大</w:t>
      </w:r>
      <w:r>
        <w:rPr>
          <w:rFonts w:hint="eastAsia" w:ascii="仿宋_GB2312" w:hAnsi="仿宋_GB2312" w:eastAsia="仿宋_GB2312" w:cs="仿宋_GB2312"/>
          <w:color w:val="000000" w:themeColor="text1"/>
          <w:sz w:val="32"/>
          <w:szCs w:val="32"/>
          <w14:textFill>
            <w14:solidFill>
              <w14:schemeClr w14:val="tx1"/>
            </w14:solidFill>
          </w14:textFill>
        </w:rPr>
        <w:t>道等标志性道路工程建成通车。公交日趋便捷，多条 BRT 公交线与主城区往来穿梭，两条轻轨线在建，共享巴士开通运营，构建起快捷畅通的交通网络。市政设施更加完善，</w:t>
      </w:r>
      <w:r>
        <w:rPr>
          <w:rFonts w:hint="eastAsia" w:ascii="仿宋_GB2312" w:eastAsia="仿宋_GB2312"/>
          <w:color w:val="000000" w:themeColor="text1"/>
          <w:sz w:val="32"/>
          <w:szCs w:val="32"/>
          <w14:textFill>
            <w14:solidFill>
              <w14:schemeClr w14:val="tx1"/>
            </w14:solidFill>
          </w14:textFill>
        </w:rPr>
        <w:t>柳东水厂、</w:t>
      </w:r>
      <w:r>
        <w:rPr>
          <w:rFonts w:hint="eastAsia" w:eastAsia="仿宋_GB2312"/>
          <w:color w:val="000000" w:themeColor="text1"/>
          <w:sz w:val="32"/>
          <w:szCs w:val="32"/>
          <w14:textFill>
            <w14:solidFill>
              <w14:schemeClr w14:val="tx1"/>
            </w14:solidFill>
          </w14:textFill>
        </w:rPr>
        <w:t>污水提升泵站、雒容燃气站等</w:t>
      </w:r>
      <w:r>
        <w:rPr>
          <w:rFonts w:hint="eastAsia" w:ascii="仿宋_GB2312" w:hAnsi="仿宋_GB2312" w:eastAsia="仿宋_GB2312" w:cs="仿宋_GB2312"/>
          <w:color w:val="000000" w:themeColor="text1"/>
          <w:sz w:val="32"/>
          <w:szCs w:val="32"/>
          <w14:textFill>
            <w14:solidFill>
              <w14:schemeClr w14:val="tx1"/>
            </w14:solidFill>
          </w14:textFill>
        </w:rPr>
        <w:t>一批公用事业设施建成并投入使用。宜居配套更加完善，一批友邻汇、农贸市场建成经营，华润商住综合体、红星美凯龙商住综合体等生活配套设施先后落地。公共文体服务异彩纷呈，卡乐星球、克里湾水世界、柳东体育公园、九子岭公园、柳州市文化广场等大型场馆相继建成开放</w:t>
      </w:r>
      <w:r>
        <w:rPr>
          <w:rFonts w:hint="eastAsia" w:ascii="仿宋_GB2312"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生态文明建设成果颇丰，</w:t>
      </w:r>
      <w:r>
        <w:rPr>
          <w:rFonts w:hint="eastAsia" w:ascii="仿宋_GB2312" w:eastAsia="仿宋_GB2312"/>
          <w:color w:val="000000" w:themeColor="text1"/>
          <w:sz w:val="32"/>
          <w:szCs w:val="32"/>
          <w14:textFill>
            <w14:solidFill>
              <w14:schemeClr w14:val="tx1"/>
            </w14:solidFill>
          </w14:textFill>
        </w:rPr>
        <w:t>建成河道长约 36.6 公里，绿地面积 423.75 万平方米，绿化覆盖率达44%，</w:t>
      </w:r>
      <w:r>
        <w:rPr>
          <w:rFonts w:hint="eastAsia" w:ascii="仿宋_GB2312" w:hAnsi="Calibri" w:eastAsia="仿宋_GB2312" w:cs="Times New Roman"/>
          <w:color w:val="000000" w:themeColor="text1"/>
          <w:sz w:val="32"/>
          <w:szCs w:val="32"/>
          <w14:textFill>
            <w14:solidFill>
              <w14:schemeClr w14:val="tx1"/>
            </w14:solidFill>
          </w14:textFill>
        </w:rPr>
        <w:t>绿色生态指标名列全市前茅</w:t>
      </w:r>
      <w:r>
        <w:rPr>
          <w:rFonts w:hint="eastAsia" w:ascii="仿宋_GB2312" w:eastAsia="仿宋_GB2312"/>
          <w:color w:val="000000" w:themeColor="text1"/>
          <w:sz w:val="32"/>
          <w:szCs w:val="32"/>
          <w14:textFill>
            <w14:solidFill>
              <w14:schemeClr w14:val="tx1"/>
            </w14:solidFill>
          </w14:textFill>
        </w:rPr>
        <w:t>，成功创建国家级绿色工业园区。智慧城市建设大力推进，城市智能化、精细化管理与服务能力全面提升</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五、幸福柳东民生改善</w:t>
      </w:r>
    </w:p>
    <w:p>
      <w:pPr>
        <w:overflowPunct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“十三五”期间，新区始终坚持民生优先，</w:t>
      </w:r>
      <w:r>
        <w:rPr>
          <w:rFonts w:hint="eastAsia" w:ascii="仿宋_GB2312" w:hAnsi="仿宋_GB2312" w:eastAsia="仿宋_GB2312" w:cs="仿宋_GB2312"/>
          <w:color w:val="000000" w:themeColor="text1"/>
          <w:sz w:val="32"/>
          <w:szCs w:val="32"/>
          <w14:textFill>
            <w14:solidFill>
              <w14:schemeClr w14:val="tx1"/>
            </w14:solidFill>
          </w14:textFill>
        </w:rPr>
        <w:t>全面兜好民生底线，</w:t>
      </w:r>
      <w:r>
        <w:rPr>
          <w:rFonts w:hint="eastAsia" w:ascii="仿宋_GB2312" w:hAnsi="Calibri" w:eastAsia="仿宋_GB2312" w:cs="Times New Roman"/>
          <w:color w:val="000000" w:themeColor="text1"/>
          <w:sz w:val="32"/>
          <w:szCs w:val="32"/>
          <w14:textFill>
            <w14:solidFill>
              <w14:schemeClr w14:val="tx1"/>
            </w14:solidFill>
          </w14:textFill>
        </w:rPr>
        <w:t>五年累计投入民生资金 53.57 亿元，</w:t>
      </w:r>
      <w:r>
        <w:rPr>
          <w:rFonts w:hint="eastAsia" w:ascii="仿宋_GB2312" w:eastAsia="仿宋_GB2312"/>
          <w:color w:val="000000" w:themeColor="text1"/>
          <w:sz w:val="32"/>
          <w:szCs w:val="32"/>
          <w14:textFill>
            <w14:solidFill>
              <w14:schemeClr w14:val="tx1"/>
            </w14:solidFill>
          </w14:textFill>
        </w:rPr>
        <w:t>以</w:t>
      </w:r>
      <w:r>
        <w:rPr>
          <w:rFonts w:hint="eastAsia" w:ascii="仿宋_GB2312" w:hAnsi="Calibri" w:eastAsia="仿宋_GB2312" w:cs="Times New Roman"/>
          <w:color w:val="000000" w:themeColor="text1"/>
          <w:sz w:val="32"/>
          <w:szCs w:val="32"/>
          <w14:textFill>
            <w14:solidFill>
              <w14:schemeClr w14:val="tx1"/>
            </w14:solidFill>
          </w14:textFill>
        </w:rPr>
        <w:t>重大民生项目为引领统筹推动社会事业加速发展，推进民生福祉持续改善，城乡居民可支配收入稳步增长，</w:t>
      </w:r>
      <w:r>
        <w:rPr>
          <w:rFonts w:hint="eastAsia" w:eastAsia="仿宋_GB2312"/>
          <w:color w:val="000000" w:themeColor="text1"/>
          <w:sz w:val="32"/>
          <w:szCs w:val="32"/>
          <w14:textFill>
            <w14:solidFill>
              <w14:schemeClr w14:val="tx1"/>
            </w14:solidFill>
          </w14:textFill>
        </w:rPr>
        <w:t>安全感、幸福感、获得感日益增强。教育事业加快发展，广西科技大学汽车学院、</w:t>
      </w:r>
      <w:r>
        <w:rPr>
          <w:rFonts w:eastAsia="仿宋_GB2312"/>
          <w:color w:val="000000" w:themeColor="text1"/>
          <w:sz w:val="32"/>
          <w:szCs w:val="32"/>
          <w14:textFill>
            <w14:solidFill>
              <w14:schemeClr w14:val="tx1"/>
            </w14:solidFill>
          </w14:textFill>
        </w:rPr>
        <w:t>柳州职业技术学院</w:t>
      </w:r>
      <w:r>
        <w:rPr>
          <w:rFonts w:hint="eastAsia" w:eastAsia="仿宋_GB2312"/>
          <w:color w:val="000000" w:themeColor="text1"/>
          <w:sz w:val="32"/>
          <w:szCs w:val="32"/>
          <w14:textFill>
            <w14:solidFill>
              <w14:schemeClr w14:val="tx1"/>
            </w14:solidFill>
          </w14:textFill>
        </w:rPr>
        <w:t>（柳东校区）和一批优质中学、小学、幼儿园陆续建成办学，有效保障学区</w:t>
      </w:r>
      <w:r>
        <w:rPr>
          <w:rFonts w:eastAsia="仿宋_GB2312"/>
          <w:color w:val="000000" w:themeColor="text1"/>
          <w:sz w:val="32"/>
          <w:szCs w:val="32"/>
          <w14:textFill>
            <w14:solidFill>
              <w14:schemeClr w14:val="tx1"/>
            </w14:solidFill>
          </w14:textFill>
        </w:rPr>
        <w:t>学位和优质教育资源供给</w:t>
      </w:r>
      <w:r>
        <w:rPr>
          <w:rFonts w:hint="eastAsia" w:eastAsia="仿宋_GB2312"/>
          <w:color w:val="000000" w:themeColor="text1"/>
          <w:sz w:val="32"/>
          <w:szCs w:val="32"/>
          <w14:textFill>
            <w14:solidFill>
              <w14:schemeClr w14:val="tx1"/>
            </w14:solidFill>
          </w14:textFill>
        </w:rPr>
        <w:t>，基本</w:t>
      </w:r>
      <w:r>
        <w:rPr>
          <w:rFonts w:eastAsia="仿宋_GB2312"/>
          <w:color w:val="000000" w:themeColor="text1"/>
          <w:sz w:val="32"/>
          <w:szCs w:val="32"/>
          <w14:textFill>
            <w14:solidFill>
              <w14:schemeClr w14:val="tx1"/>
            </w14:solidFill>
          </w14:textFill>
        </w:rPr>
        <w:t>公共教育服务均等化</w:t>
      </w:r>
      <w:r>
        <w:rPr>
          <w:rFonts w:hint="eastAsia" w:eastAsia="仿宋_GB2312"/>
          <w:color w:val="000000" w:themeColor="text1"/>
          <w:sz w:val="32"/>
          <w:szCs w:val="32"/>
          <w14:textFill>
            <w14:solidFill>
              <w14:schemeClr w14:val="tx1"/>
            </w14:solidFill>
          </w14:textFill>
        </w:rPr>
        <w:t>水平有力提升，初中升学率跻身全市前列，</w:t>
      </w:r>
      <w:r>
        <w:rPr>
          <w:rFonts w:hint="eastAsia" w:eastAsia="仿宋_GB2312"/>
          <w:color w:val="000000" w:themeColor="text1"/>
          <w:sz w:val="32"/>
          <w:szCs w:val="32"/>
          <w:lang w:eastAsia="zh-CN"/>
          <w14:textFill>
            <w14:solidFill>
              <w14:schemeClr w14:val="tx1"/>
            </w14:solidFill>
          </w14:textFill>
        </w:rPr>
        <w:t>柳东</w:t>
      </w:r>
      <w:r>
        <w:rPr>
          <w:rFonts w:hint="eastAsia" w:eastAsia="仿宋_GB2312"/>
          <w:color w:val="000000" w:themeColor="text1"/>
          <w:sz w:val="32"/>
          <w:szCs w:val="32"/>
          <w14:textFill>
            <w14:solidFill>
              <w14:schemeClr w14:val="tx1"/>
            </w14:solidFill>
          </w14:textFill>
        </w:rPr>
        <w:t>“优质教育”名片熠熠生辉。医疗卫生事</w:t>
      </w:r>
      <w:r>
        <w:rPr>
          <w:rFonts w:hint="eastAsia" w:ascii="仿宋_GB2312" w:hAnsi="Calibri" w:eastAsia="仿宋_GB2312" w:cs="Times New Roman"/>
          <w:color w:val="000000" w:themeColor="text1"/>
          <w:sz w:val="32"/>
          <w:szCs w:val="32"/>
          <w14:textFill>
            <w14:solidFill>
              <w14:schemeClr w14:val="tx1"/>
            </w14:solidFill>
          </w14:textFill>
        </w:rPr>
        <w:t>业发展提速快进，柳州市儿童医院一二期建成使用、三期续建收尾，雒容镇中心卫生院迁建项目顺利竣工，一批社区卫生服务中心交付运营，</w:t>
      </w:r>
      <w:r>
        <w:rPr>
          <w:rFonts w:ascii="仿宋_GB2312" w:hAnsi="Calibri" w:eastAsia="仿宋_GB2312" w:cs="Times New Roman"/>
          <w:color w:val="000000" w:themeColor="text1"/>
          <w:sz w:val="32"/>
          <w:szCs w:val="32"/>
          <w14:textFill>
            <w14:solidFill>
              <w14:schemeClr w14:val="tx1"/>
            </w14:solidFill>
          </w14:textFill>
        </w:rPr>
        <w:t>三级医疗卫生服务</w:t>
      </w:r>
      <w:r>
        <w:rPr>
          <w:rFonts w:hint="eastAsia" w:ascii="仿宋_GB2312" w:hAnsi="Calibri" w:eastAsia="仿宋_GB2312" w:cs="Times New Roman"/>
          <w:color w:val="000000" w:themeColor="text1"/>
          <w:sz w:val="32"/>
          <w:szCs w:val="32"/>
          <w14:textFill>
            <w14:solidFill>
              <w14:schemeClr w14:val="tx1"/>
            </w14:solidFill>
          </w14:textFill>
        </w:rPr>
        <w:t>体系+多层次医疗保障体系日臻完善。群众住有宜居，新区</w:t>
      </w:r>
      <w:r>
        <w:rPr>
          <w:rFonts w:ascii="仿宋_GB2312" w:hAnsi="Calibri" w:eastAsia="仿宋_GB2312" w:cs="Times New Roman"/>
          <w:color w:val="000000" w:themeColor="text1"/>
          <w:sz w:val="32"/>
          <w:szCs w:val="32"/>
          <w14:textFill>
            <w14:solidFill>
              <w14:schemeClr w14:val="tx1"/>
            </w14:solidFill>
          </w14:textFill>
        </w:rPr>
        <w:t>坚持商品房市场和住房保障体</w:t>
      </w:r>
      <w:r>
        <w:rPr>
          <w:rFonts w:eastAsia="仿宋_GB2312"/>
          <w:color w:val="000000" w:themeColor="text1"/>
          <w:sz w:val="32"/>
          <w:szCs w:val="32"/>
          <w14:textFill>
            <w14:solidFill>
              <w14:schemeClr w14:val="tx1"/>
            </w14:solidFill>
          </w14:textFill>
        </w:rPr>
        <w:t>系两手抓</w:t>
      </w:r>
      <w:r>
        <w:rPr>
          <w:rFonts w:hint="eastAsia" w:eastAsia="仿宋_GB2312"/>
          <w:color w:val="000000" w:themeColor="text1"/>
          <w:sz w:val="32"/>
          <w:szCs w:val="32"/>
          <w14:textFill>
            <w14:solidFill>
              <w14:schemeClr w14:val="tx1"/>
            </w14:solidFill>
          </w14:textFill>
        </w:rPr>
        <w:t>，房地产市场健康繁荣发展，棚户区改造和</w:t>
      </w:r>
      <w:r>
        <w:rPr>
          <w:rFonts w:eastAsia="仿宋_GB2312"/>
          <w:color w:val="000000" w:themeColor="text1"/>
          <w:sz w:val="32"/>
          <w:szCs w:val="32"/>
          <w14:textFill>
            <w14:solidFill>
              <w14:schemeClr w14:val="tx1"/>
            </w14:solidFill>
          </w14:textFill>
        </w:rPr>
        <w:t>公租房</w:t>
      </w:r>
      <w:r>
        <w:rPr>
          <w:rFonts w:hint="eastAsia" w:eastAsia="仿宋_GB2312"/>
          <w:color w:val="000000" w:themeColor="text1"/>
          <w:sz w:val="32"/>
          <w:szCs w:val="32"/>
          <w14:textFill>
            <w14:solidFill>
              <w14:schemeClr w14:val="tx1"/>
            </w14:solidFill>
          </w14:textFill>
        </w:rPr>
        <w:t>、安置房建设同步推进</w:t>
      </w:r>
      <w:r>
        <w:rPr>
          <w:rFonts w:hint="eastAsia" w:ascii="仿宋_GB2312" w:hAnsi="Calibri" w:eastAsia="仿宋_GB2312" w:cs="Times New Roman"/>
          <w:color w:val="000000" w:themeColor="text1"/>
          <w:sz w:val="32"/>
          <w:szCs w:val="32"/>
          <w14:textFill>
            <w14:solidFill>
              <w14:schemeClr w14:val="tx1"/>
            </w14:solidFill>
          </w14:textFill>
        </w:rPr>
        <w:t>，广大群众安居乐业共享发展</w:t>
      </w:r>
      <w:r>
        <w:rPr>
          <w:rFonts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就业充分保障，新区以培训+推荐广泛</w:t>
      </w:r>
      <w:r>
        <w:rPr>
          <w:rFonts w:hint="eastAsia" w:ascii="仿宋" w:hAnsi="仿宋" w:eastAsia="仿宋" w:cs="仿宋"/>
          <w:color w:val="000000" w:themeColor="text1"/>
          <w:sz w:val="32"/>
          <w:szCs w:val="32"/>
          <w14:textFill>
            <w14:solidFill>
              <w14:schemeClr w14:val="tx1"/>
            </w14:solidFill>
          </w14:textFill>
        </w:rPr>
        <w:t>拓展被征地农民再就业渠道，</w:t>
      </w:r>
      <w:r>
        <w:rPr>
          <w:rFonts w:hint="eastAsia" w:ascii="仿宋_GB2312" w:hAnsi="Calibri" w:eastAsia="仿宋_GB2312" w:cs="Times New Roman"/>
          <w:color w:val="000000" w:themeColor="text1"/>
          <w:sz w:val="32"/>
          <w:szCs w:val="32"/>
          <w14:textFill>
            <w14:solidFill>
              <w14:schemeClr w14:val="tx1"/>
            </w14:solidFill>
          </w14:textFill>
        </w:rPr>
        <w:t>人力资源市场线</w:t>
      </w:r>
      <w:r>
        <w:rPr>
          <w:rFonts w:hint="eastAsia" w:ascii="仿宋_GB2312" w:hAnsi="仿宋" w:eastAsia="仿宋_GB2312"/>
          <w:color w:val="000000" w:themeColor="text1"/>
          <w:sz w:val="32"/>
          <w:szCs w:val="32"/>
          <w14:textFill>
            <w14:solidFill>
              <w14:schemeClr w14:val="tx1"/>
            </w14:solidFill>
          </w14:textFill>
        </w:rPr>
        <w:t>上线下相结合</w:t>
      </w:r>
      <w:r>
        <w:rPr>
          <w:rFonts w:hint="eastAsia" w:ascii="仿宋_GB2312" w:hAnsi="Calibri"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天天有公共就业服务、周周有招聘会，</w:t>
      </w:r>
      <w:r>
        <w:rPr>
          <w:rFonts w:hint="eastAsia" w:ascii="仿宋_GB2312" w:hAnsi="Calibri" w:eastAsia="仿宋_GB2312" w:cs="Times New Roman"/>
          <w:color w:val="000000" w:themeColor="text1"/>
          <w:sz w:val="32"/>
          <w:szCs w:val="32"/>
          <w14:textFill>
            <w14:solidFill>
              <w14:schemeClr w14:val="tx1"/>
            </w14:solidFill>
          </w14:textFill>
        </w:rPr>
        <w:t>政校企联盟组建成立，有力促进劳动要素供需互联、合作共赢。</w:t>
      </w:r>
      <w:r>
        <w:rPr>
          <w:rFonts w:hint="eastAsia" w:ascii="仿宋_GB2312" w:hAnsi="仿宋" w:eastAsia="仿宋_GB2312"/>
          <w:color w:val="000000" w:themeColor="text1"/>
          <w:sz w:val="32"/>
          <w:szCs w:val="32"/>
          <w14:textFill>
            <w14:solidFill>
              <w14:schemeClr w14:val="tx1"/>
            </w14:solidFill>
          </w14:textFill>
        </w:rPr>
        <w:t>社会保障扩面增效，加大制度衔接适配，社保参保率进一步提高，</w:t>
      </w:r>
      <w:r>
        <w:rPr>
          <w:rFonts w:ascii="Calibri" w:hAnsi="Calibri" w:eastAsia="仿宋_GB2312" w:cs="Times New Roman"/>
          <w:color w:val="000000" w:themeColor="text1"/>
          <w:sz w:val="32"/>
          <w:szCs w:val="32"/>
          <w14:textFill>
            <w14:solidFill>
              <w14:schemeClr w14:val="tx1"/>
            </w14:solidFill>
          </w14:textFill>
        </w:rPr>
        <w:t>养老、医疗参保率</w:t>
      </w:r>
      <w:r>
        <w:rPr>
          <w:rFonts w:hint="eastAsia" w:ascii="仿宋_GB2312" w:hAnsi="Calibri" w:eastAsia="仿宋_GB2312" w:cs="Times New Roman"/>
          <w:color w:val="000000" w:themeColor="text1"/>
          <w:sz w:val="32"/>
          <w:szCs w:val="32"/>
          <w14:textFill>
            <w14:solidFill>
              <w14:schemeClr w14:val="tx1"/>
            </w14:solidFill>
          </w14:textFill>
        </w:rPr>
        <w:t>在95%以上，</w:t>
      </w:r>
      <w:r>
        <w:rPr>
          <w:rFonts w:hint="eastAsia" w:ascii="仿宋_GB2312" w:hAnsi="仿宋" w:eastAsia="仿宋_GB2312"/>
          <w:color w:val="000000" w:themeColor="text1"/>
          <w:sz w:val="32"/>
          <w:szCs w:val="32"/>
          <w14:textFill>
            <w14:solidFill>
              <w14:schemeClr w14:val="tx1"/>
            </w14:solidFill>
          </w14:textFill>
        </w:rPr>
        <w:t>公益性养老服务取得新突破，新区颐养中心、两镇养老设施有序建设，</w:t>
      </w:r>
      <w:r>
        <w:rPr>
          <w:rFonts w:hint="eastAsia" w:ascii="仿宋_GB2312" w:hAnsi="仿宋" w:eastAsia="仿宋_GB2312"/>
          <w:color w:val="000000" w:themeColor="text1"/>
          <w:sz w:val="32"/>
          <w:szCs w:val="32"/>
          <w:lang w:eastAsia="zh-CN"/>
          <w14:textFill>
            <w14:solidFill>
              <w14:schemeClr w14:val="tx1"/>
            </w14:solidFill>
          </w14:textFill>
        </w:rPr>
        <w:t>“医养结合”稳步推进，</w:t>
      </w:r>
      <w:r>
        <w:rPr>
          <w:rFonts w:hint="eastAsia" w:ascii="仿宋_GB2312" w:hAnsi="仿宋" w:eastAsia="仿宋_GB2312"/>
          <w:color w:val="000000" w:themeColor="text1"/>
          <w:sz w:val="32"/>
          <w:szCs w:val="32"/>
          <w14:textFill>
            <w14:solidFill>
              <w14:schemeClr w14:val="tx1"/>
            </w14:solidFill>
          </w14:textFill>
        </w:rPr>
        <w:t>老有所养基础扎实。脱贫攻坚赢得全面胜利，通过在收入、住房、医疗、教育等领域统筹发力，393名</w:t>
      </w:r>
      <w:r>
        <w:rPr>
          <w:rFonts w:ascii="仿宋_GB2312" w:hAnsi="仿宋" w:eastAsia="仿宋_GB2312"/>
          <w:color w:val="000000" w:themeColor="text1"/>
          <w:sz w:val="32"/>
          <w:szCs w:val="32"/>
          <w14:textFill>
            <w14:solidFill>
              <w14:schemeClr w14:val="tx1"/>
            </w14:solidFill>
          </w14:textFill>
        </w:rPr>
        <w:t>建档立卡贫困户</w:t>
      </w:r>
      <w:r>
        <w:rPr>
          <w:rFonts w:hint="eastAsia" w:ascii="仿宋_GB2312" w:hAnsi="仿宋" w:eastAsia="仿宋_GB2312"/>
          <w:color w:val="000000" w:themeColor="text1"/>
          <w:sz w:val="32"/>
          <w:szCs w:val="32"/>
          <w14:textFill>
            <w14:solidFill>
              <w14:schemeClr w14:val="tx1"/>
            </w14:solidFill>
          </w14:textFill>
        </w:rPr>
        <w:t>获得结对帮扶、立体帮扶，</w:t>
      </w:r>
      <w:r>
        <w:rPr>
          <w:rFonts w:hint="eastAsia" w:ascii="仿宋_GB2312" w:hAnsi="仿宋" w:eastAsia="仿宋_GB2312"/>
          <w:color w:val="000000" w:themeColor="text1"/>
          <w:sz w:val="32"/>
          <w:szCs w:val="32"/>
          <w:lang w:eastAsia="zh-CN"/>
          <w14:textFill>
            <w14:solidFill>
              <w14:schemeClr w14:val="tx1"/>
            </w14:solidFill>
          </w14:textFill>
        </w:rPr>
        <w:t>全面</w:t>
      </w:r>
      <w:r>
        <w:rPr>
          <w:rFonts w:hint="eastAsia" w:ascii="仿宋_GB2312" w:hAnsi="仿宋" w:eastAsia="仿宋_GB2312"/>
          <w:color w:val="000000" w:themeColor="text1"/>
          <w:sz w:val="32"/>
          <w:szCs w:val="32"/>
          <w14:textFill>
            <w14:solidFill>
              <w14:schemeClr w14:val="tx1"/>
            </w14:solidFill>
          </w14:textFill>
        </w:rPr>
        <w:t>完成“十三五”脱贫攻坚任务，持续</w:t>
      </w:r>
      <w:r>
        <w:rPr>
          <w:rFonts w:hint="eastAsia" w:ascii="仿宋_GB2312" w:hAnsi="仿宋_GB2312" w:eastAsia="仿宋_GB2312" w:cs="仿宋_GB2312"/>
          <w:color w:val="000000" w:themeColor="text1"/>
          <w:sz w:val="32"/>
          <w:szCs w:val="32"/>
          <w14:textFill>
            <w14:solidFill>
              <w14:schemeClr w14:val="tx1"/>
            </w14:solidFill>
          </w14:textFill>
        </w:rPr>
        <w:t>巩固脱贫攻坚后续帮扶。集中开展“美丽柳东•幸福乡村”活动，巩固提升清洁乡村、生态乡村、宜居乡村活动成果，新农村建设迈上环境秀美、生活甜美、乡村和美、示范领美新征程。</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六、改革柳东乘风破浪</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w:t>
      </w:r>
      <w:r>
        <w:rPr>
          <w:rFonts w:hint="eastAsia" w:ascii="仿宋_GB2312" w:hAnsi="仿宋_GB2312" w:eastAsia="仿宋_GB2312" w:cs="仿宋_GB2312"/>
          <w:color w:val="000000" w:themeColor="text1"/>
          <w:sz w:val="32"/>
          <w:szCs w:val="32"/>
          <w14:textFill>
            <w14:solidFill>
              <w14:schemeClr w14:val="tx1"/>
            </w14:solidFill>
          </w14:textFill>
        </w:rPr>
        <w:t>以主动求变、</w:t>
      </w:r>
      <w:r>
        <w:rPr>
          <w:rFonts w:hint="eastAsia" w:ascii="仿宋_GB2312" w:hAnsi="仿宋" w:eastAsia="仿宋_GB2312"/>
          <w:bCs/>
          <w:snapToGrid w:val="0"/>
          <w:color w:val="000000" w:themeColor="text1"/>
          <w:kern w:val="0"/>
          <w:sz w:val="32"/>
          <w:szCs w:val="32"/>
          <w14:textFill>
            <w14:solidFill>
              <w14:schemeClr w14:val="tx1"/>
            </w14:solidFill>
          </w14:textFill>
        </w:rPr>
        <w:t>集成改革</w:t>
      </w:r>
      <w:r>
        <w:rPr>
          <w:rFonts w:hint="eastAsia" w:ascii="仿宋_GB2312" w:hAnsi="仿宋_GB2312" w:eastAsia="仿宋_GB2312" w:cs="仿宋_GB2312"/>
          <w:color w:val="000000" w:themeColor="text1"/>
          <w:sz w:val="32"/>
          <w:szCs w:val="32"/>
          <w14:textFill>
            <w14:solidFill>
              <w14:schemeClr w14:val="tx1"/>
            </w14:solidFill>
          </w14:textFill>
        </w:rPr>
        <w:t>激发内生发展动力，</w:t>
      </w:r>
      <w:r>
        <w:rPr>
          <w:rFonts w:hint="eastAsia" w:ascii="仿宋_GB2312" w:hAnsi="Calibri" w:eastAsia="仿宋_GB2312" w:cs="Times New Roman"/>
          <w:color w:val="000000" w:themeColor="text1"/>
          <w:sz w:val="32"/>
          <w:szCs w:val="32"/>
          <w14:textFill>
            <w14:solidFill>
              <w14:schemeClr w14:val="tx1"/>
            </w14:solidFill>
          </w14:textFill>
        </w:rPr>
        <w:t>加快治理体系和治理能力现代化，为高质量发展全面赋能。一是持续推动行政管理体制改革。以深化新区人事和薪酬制度改革，实施机构重组和全员竞聘上岗，增强干事创业干劲。以推进发达镇行政管理体制改革，在雒容镇有效构建起</w:t>
      </w:r>
      <w:r>
        <w:rPr>
          <w:rFonts w:hint="eastAsia" w:ascii="仿宋_GB2312" w:hAnsi="仿宋" w:eastAsia="仿宋_GB2312"/>
          <w:bCs/>
          <w:snapToGrid w:val="0"/>
          <w:color w:val="000000" w:themeColor="text1"/>
          <w:kern w:val="0"/>
          <w:sz w:val="32"/>
          <w:szCs w:val="32"/>
          <w14:textFill>
            <w14:solidFill>
              <w14:schemeClr w14:val="tx1"/>
            </w14:solidFill>
          </w14:textFill>
        </w:rPr>
        <w:t>新型基层行政管理体制和运行机制，镇域经济建设、社会管理、公共服务、基层党建全面升级。</w:t>
      </w:r>
      <w:r>
        <w:rPr>
          <w:rFonts w:hint="eastAsia" w:ascii="仿宋_GB2312" w:hAnsi="Calibri" w:eastAsia="仿宋_GB2312" w:cs="Times New Roman"/>
          <w:color w:val="000000" w:themeColor="text1"/>
          <w:sz w:val="32"/>
          <w:szCs w:val="32"/>
          <w14:textFill>
            <w14:solidFill>
              <w14:schemeClr w14:val="tx1"/>
            </w14:solidFill>
          </w14:textFill>
        </w:rPr>
        <w:t>二是打造</w:t>
      </w:r>
      <w:r>
        <w:rPr>
          <w:rFonts w:ascii="Times New Roman" w:hAnsi="Times New Roman" w:eastAsia="仿宋_GB2312"/>
          <w:color w:val="000000" w:themeColor="text1"/>
          <w:sz w:val="32"/>
          <w:szCs w:val="32"/>
          <w14:textFill>
            <w14:solidFill>
              <w14:schemeClr w14:val="tx1"/>
            </w14:solidFill>
          </w14:textFill>
        </w:rPr>
        <w:t>法治化、国际化、便利化的</w:t>
      </w:r>
      <w:r>
        <w:rPr>
          <w:rFonts w:hint="eastAsia" w:ascii="仿宋_GB2312" w:hAnsi="Calibri" w:eastAsia="仿宋_GB2312" w:cs="Times New Roman"/>
          <w:color w:val="000000" w:themeColor="text1"/>
          <w:sz w:val="32"/>
          <w:szCs w:val="32"/>
          <w14:textFill>
            <w14:solidFill>
              <w14:schemeClr w14:val="tx1"/>
            </w14:solidFill>
          </w14:textFill>
        </w:rPr>
        <w:t>营商环境。</w:t>
      </w:r>
      <w:r>
        <w:rPr>
          <w:rFonts w:ascii="Times New Roman" w:hAnsi="Times New Roman" w:eastAsia="仿宋_GB2312"/>
          <w:color w:val="000000" w:themeColor="text1"/>
          <w:sz w:val="32"/>
          <w:szCs w:val="32"/>
          <w14:textFill>
            <w14:solidFill>
              <w14:schemeClr w14:val="tx1"/>
            </w14:solidFill>
          </w14:textFill>
        </w:rPr>
        <w:t>以深化“放管服”改革为</w:t>
      </w:r>
      <w:r>
        <w:rPr>
          <w:rFonts w:hint="eastAsia" w:ascii="Times New Roman" w:hAnsi="Times New Roman" w:eastAsia="仿宋_GB2312"/>
          <w:color w:val="000000" w:themeColor="text1"/>
          <w:sz w:val="32"/>
          <w:szCs w:val="32"/>
          <w14:textFill>
            <w14:solidFill>
              <w14:schemeClr w14:val="tx1"/>
            </w14:solidFill>
          </w14:textFill>
        </w:rPr>
        <w:t>主线</w:t>
      </w:r>
      <w:r>
        <w:rPr>
          <w:rFonts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成立新区行政审批服务中心，</w:t>
      </w:r>
      <w:r>
        <w:rPr>
          <w:rFonts w:ascii="Times New Roman" w:hAnsi="Times New Roman" w:eastAsia="仿宋_GB2312"/>
          <w:color w:val="000000" w:themeColor="text1"/>
          <w:sz w:val="32"/>
          <w:szCs w:val="32"/>
          <w14:textFill>
            <w14:solidFill>
              <w14:schemeClr w14:val="tx1"/>
            </w14:solidFill>
          </w14:textFill>
        </w:rPr>
        <w:t>集中办理市级、城区级许可权限及公共服务类事项，</w:t>
      </w:r>
      <w:r>
        <w:rPr>
          <w:rFonts w:hint="eastAsia" w:ascii="仿宋_GB2312" w:hAnsi="仿宋" w:eastAsia="仿宋_GB2312" w:cs="仿宋"/>
          <w:color w:val="000000" w:themeColor="text1"/>
          <w:sz w:val="32"/>
          <w:szCs w:val="32"/>
          <w14:textFill>
            <w14:solidFill>
              <w14:schemeClr w14:val="tx1"/>
            </w14:solidFill>
          </w14:textFill>
        </w:rPr>
        <w:t>大力实施“一枚公章管审批”“告知承诺制”“全程代</w:t>
      </w:r>
      <w:r>
        <w:rPr>
          <w:rFonts w:hint="eastAsia" w:ascii="仿宋_GB2312" w:hAnsi="Calibri" w:eastAsia="仿宋_GB2312" w:cs="Times New Roman"/>
          <w:color w:val="000000" w:themeColor="text1"/>
          <w:sz w:val="32"/>
          <w:szCs w:val="32"/>
          <w14:textFill>
            <w14:solidFill>
              <w14:schemeClr w14:val="tx1"/>
            </w14:solidFill>
          </w14:textFill>
        </w:rPr>
        <w:t>办”“政务服务无人超市”“互联网+政务服务”“拿地即开工”等先行先试改革行动，审批环节、流程、时效全面优化。三是深化农村土地制度、农村集体产权制度改革，</w:t>
      </w:r>
      <w:r>
        <w:rPr>
          <w:rFonts w:ascii="仿宋_GB2312" w:hAnsi="Calibri" w:eastAsia="仿宋_GB2312" w:cs="Times New Roman"/>
          <w:color w:val="000000" w:themeColor="text1"/>
          <w:sz w:val="32"/>
          <w:szCs w:val="32"/>
          <w14:textFill>
            <w14:solidFill>
              <w14:schemeClr w14:val="tx1"/>
            </w14:solidFill>
          </w14:textFill>
        </w:rPr>
        <w:t>保障农民集体经济组织成员权利</w:t>
      </w:r>
      <w:r>
        <w:rPr>
          <w:rFonts w:hint="eastAsia" w:ascii="仿宋_GB2312" w:hAnsi="Calibri" w:eastAsia="仿宋_GB2312" w:cs="Times New Roman"/>
          <w:color w:val="000000" w:themeColor="text1"/>
          <w:sz w:val="32"/>
          <w:szCs w:val="32"/>
          <w14:textFill>
            <w14:solidFill>
              <w14:schemeClr w14:val="tx1"/>
            </w14:solidFill>
          </w14:textFill>
        </w:rPr>
        <w:t>、</w:t>
      </w:r>
      <w:r>
        <w:rPr>
          <w:rFonts w:ascii="仿宋_GB2312" w:hAnsi="Calibri" w:eastAsia="仿宋_GB2312" w:cs="Times New Roman"/>
          <w:color w:val="000000" w:themeColor="text1"/>
          <w:sz w:val="32"/>
          <w:szCs w:val="32"/>
          <w14:textFill>
            <w14:solidFill>
              <w14:schemeClr w14:val="tx1"/>
            </w14:solidFill>
          </w14:textFill>
        </w:rPr>
        <w:t>农民股份合作</w:t>
      </w:r>
      <w:r>
        <w:rPr>
          <w:rFonts w:hint="eastAsia" w:ascii="仿宋_GB2312" w:hAnsi="Calibri" w:eastAsia="仿宋_GB2312" w:cs="Times New Roman"/>
          <w:color w:val="000000" w:themeColor="text1"/>
          <w:sz w:val="32"/>
          <w:szCs w:val="32"/>
          <w14:textFill>
            <w14:solidFill>
              <w14:schemeClr w14:val="tx1"/>
            </w14:solidFill>
          </w14:textFill>
        </w:rPr>
        <w:t>、土地三权分置、土地流转等领域取得阶段性成果，特别是统筹马步水库片区农村土地集约化利用，探索推进“土地流转+农民入股+按股分红+优先雇用+保底收益+创业收益”农村土地改革模式，充分盘活农村存量土地效益。此外，科技创新、招商引资、建设融资、行政执法等领域改革步伐坚实有力，</w:t>
      </w:r>
      <w:r>
        <w:rPr>
          <w:rFonts w:ascii="仿宋_GB2312" w:hAnsi="仿宋" w:eastAsia="仿宋_GB2312"/>
          <w:color w:val="000000" w:themeColor="text1"/>
          <w:sz w:val="32"/>
          <w:szCs w:val="32"/>
          <w14:textFill>
            <w14:solidFill>
              <w14:schemeClr w14:val="tx1"/>
            </w14:solidFill>
          </w14:textFill>
        </w:rPr>
        <w:t>人才服务</w:t>
      </w:r>
      <w:r>
        <w:rPr>
          <w:rFonts w:hint="eastAsia" w:ascii="仿宋_GB2312" w:hAnsi="仿宋" w:eastAsia="仿宋_GB2312"/>
          <w:color w:val="000000" w:themeColor="text1"/>
          <w:sz w:val="32"/>
          <w:szCs w:val="32"/>
          <w14:textFill>
            <w14:solidFill>
              <w14:schemeClr w14:val="tx1"/>
            </w14:solidFill>
          </w14:textFill>
        </w:rPr>
        <w:t>模式持续创新优化，</w:t>
      </w:r>
      <w:r>
        <w:rPr>
          <w:rFonts w:hint="eastAsia" w:ascii="仿宋_GB2312" w:hAnsi="Calibri" w:eastAsia="仿宋_GB2312" w:cs="Times New Roman"/>
          <w:color w:val="000000" w:themeColor="text1"/>
          <w:sz w:val="32"/>
          <w:szCs w:val="32"/>
          <w14:textFill>
            <w14:solidFill>
              <w14:schemeClr w14:val="tx1"/>
            </w14:solidFill>
          </w14:textFill>
        </w:rPr>
        <w:t>创新打造</w:t>
      </w:r>
      <w:r>
        <w:rPr>
          <w:rFonts w:ascii="仿宋_GB2312" w:hAnsi="仿宋" w:eastAsia="仿宋_GB2312"/>
          <w:color w:val="000000" w:themeColor="text1"/>
          <w:sz w:val="32"/>
          <w:szCs w:val="32"/>
          <w14:textFill>
            <w14:solidFill>
              <w14:schemeClr w14:val="tx1"/>
            </w14:solidFill>
          </w14:textFill>
        </w:rPr>
        <w:t>柳州市海内外高端人才创业创新示范基地</w:t>
      </w:r>
      <w:r>
        <w:rPr>
          <w:rFonts w:hint="eastAsia" w:ascii="仿宋_GB2312" w:hAnsi="仿宋" w:eastAsia="仿宋_GB2312"/>
          <w:color w:val="000000" w:themeColor="text1"/>
          <w:sz w:val="32"/>
          <w:szCs w:val="32"/>
          <w14:textFill>
            <w14:solidFill>
              <w14:schemeClr w14:val="tx1"/>
            </w14:solidFill>
          </w14:textFill>
        </w:rPr>
        <w:t>和新区政校企联盟。</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七、平安柳东砥砺奋进</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w:t>
      </w:r>
      <w:r>
        <w:rPr>
          <w:rFonts w:hint="eastAsia" w:ascii="仿宋_GB2312" w:hAnsi="Calibri" w:eastAsia="仿宋_GB2312" w:cs="Times New Roman"/>
          <w:color w:val="000000" w:themeColor="text1"/>
          <w:sz w:val="32"/>
          <w:szCs w:val="32"/>
          <w14:textFill>
            <w14:solidFill>
              <w14:schemeClr w14:val="tx1"/>
            </w14:solidFill>
          </w14:textFill>
        </w:rPr>
        <w:t>新区持续深化社会综合治理，开展扫黑除恶专项斗争，扎实强化禁毒工作，抓实安全生产和食品安全专项整治，“法治柳东”“平安柳东”建设取得新成效，有效保障社会和谐安定。</w:t>
      </w:r>
      <w:r>
        <w:rPr>
          <w:rFonts w:hint="eastAsia" w:ascii="Times New Roman" w:hAnsi="Times New Roman" w:eastAsia="仿宋_GB2312"/>
          <w:color w:val="000000" w:themeColor="text1"/>
          <w:sz w:val="32"/>
          <w:szCs w:val="32"/>
          <w14:textFill>
            <w14:solidFill>
              <w14:schemeClr w14:val="tx1"/>
            </w14:solidFill>
          </w14:textFill>
        </w:rPr>
        <w:t>面对非洲猪瘟快速</w:t>
      </w:r>
      <w:r>
        <w:rPr>
          <w:rFonts w:hint="eastAsia" w:ascii="仿宋_GB2312" w:hAnsi="仿宋" w:eastAsia="仿宋_GB2312" w:cs="Times New Roman"/>
          <w:color w:val="000000" w:themeColor="text1"/>
          <w:sz w:val="32"/>
          <w:szCs w:val="32"/>
          <w14:textFill>
            <w14:solidFill>
              <w14:schemeClr w14:val="tx1"/>
            </w14:solidFill>
          </w14:textFill>
        </w:rPr>
        <w:t>蔓</w:t>
      </w:r>
      <w:r>
        <w:rPr>
          <w:rFonts w:hint="eastAsia" w:ascii="Times New Roman" w:hAnsi="Times New Roman" w:eastAsia="仿宋_GB2312"/>
          <w:color w:val="000000" w:themeColor="text1"/>
          <w:sz w:val="32"/>
          <w:szCs w:val="32"/>
          <w14:textFill>
            <w14:solidFill>
              <w14:schemeClr w14:val="tx1"/>
            </w14:solidFill>
          </w14:textFill>
        </w:rPr>
        <w:t>延势头，新区及时响应，果断处置，日夜奋战全面加强联防联控，拔毒灭源扼守一线，彻底打赢防控战役，守护了舌尖上的安全。面对新冠肺炎疫情突袭的重大危情，新区坚决贯彻“外防输入、内防反弹”防控策略，聚焦落实“四早”“四集中”要求，坚持关口前移，健全监测预警机制，筑牢严密防线，有效组织防疫物资和生活物资，守护新区职工群众生命安全和身体健康，稳定市场供应并加强综合监管，维护正常经营秩序，夺取了疫情防控和社会维稳双胜利。新区率先全市创新出台系列稳企纾困政策措施，从融资、减负、投资、用工、能源、生活等多维度</w:t>
      </w:r>
      <w:r>
        <w:rPr>
          <w:rFonts w:hint="eastAsia" w:ascii="仿宋_GB2312" w:hAnsi="Calibri" w:eastAsia="仿宋_GB2312" w:cs="Times New Roman"/>
          <w:color w:val="000000" w:themeColor="text1"/>
          <w:sz w:val="32"/>
          <w:szCs w:val="32"/>
          <w14:textFill>
            <w14:solidFill>
              <w14:schemeClr w14:val="tx1"/>
            </w14:solidFill>
          </w14:textFill>
        </w:rPr>
        <w:t>精准攻坚、立体帮扶园区企业，大步走在全市</w:t>
      </w:r>
      <w:r>
        <w:rPr>
          <w:rFonts w:hint="eastAsia" w:ascii="Times New Roman" w:hAnsi="Times New Roman" w:eastAsia="仿宋_GB2312"/>
          <w:color w:val="000000" w:themeColor="text1"/>
          <w:sz w:val="32"/>
          <w:szCs w:val="32"/>
          <w14:textFill>
            <w14:solidFill>
              <w14:schemeClr w14:val="tx1"/>
            </w14:solidFill>
          </w14:textFill>
        </w:rPr>
        <w:t>复工复产复市前列，</w:t>
      </w:r>
      <w:r>
        <w:rPr>
          <w:rFonts w:hint="eastAsia" w:ascii="仿宋_GB2312" w:hAnsi="Calibri" w:eastAsia="仿宋_GB2312" w:cs="Times New Roman"/>
          <w:color w:val="000000" w:themeColor="text1"/>
          <w:sz w:val="32"/>
          <w:szCs w:val="32"/>
          <w14:textFill>
            <w14:solidFill>
              <w14:schemeClr w14:val="tx1"/>
            </w14:solidFill>
          </w14:textFill>
        </w:rPr>
        <w:t>有效保障新区产业链、供应链安全稳定。</w:t>
      </w:r>
    </w:p>
    <w:p>
      <w:pPr>
        <w:spacing w:beforeLines="50" w:line="360" w:lineRule="auto"/>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表1－1“十三五”规划调控指标完成情况表</w:t>
      </w:r>
    </w:p>
    <w:tbl>
      <w:tblPr>
        <w:tblStyle w:val="18"/>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3730"/>
        <w:gridCol w:w="716"/>
        <w:gridCol w:w="1534"/>
        <w:gridCol w:w="116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shd w:val="clear" w:color="auto" w:fill="auto"/>
            <w:vAlign w:val="center"/>
          </w:tcPr>
          <w:p>
            <w:pPr>
              <w:jc w:val="center"/>
              <w:rPr>
                <w:b/>
                <w:bCs/>
                <w:color w:val="000000" w:themeColor="text1"/>
                <w14:textFill>
                  <w14:solidFill>
                    <w14:schemeClr w14:val="tx1"/>
                  </w14:solidFill>
                </w14:textFill>
              </w:rPr>
            </w:pPr>
          </w:p>
        </w:tc>
        <w:tc>
          <w:tcPr>
            <w:tcW w:w="3730"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tc>
        <w:tc>
          <w:tcPr>
            <w:tcW w:w="71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53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规划目标</w:t>
            </w:r>
          </w:p>
        </w:tc>
        <w:tc>
          <w:tcPr>
            <w:tcW w:w="116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完成情况</w:t>
            </w:r>
          </w:p>
        </w:tc>
        <w:tc>
          <w:tcPr>
            <w:tcW w:w="94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经济发展</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1.规模以上工业总产值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1250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1001.39</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2.规模以上工业增加值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222.93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3.财政收入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4.固定资产投资年均增速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5.社会消费品零售总额</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民生福祉</w:t>
            </w:r>
          </w:p>
        </w:tc>
        <w:tc>
          <w:tcPr>
            <w:tcW w:w="3730" w:type="dxa"/>
            <w:shd w:val="clear" w:color="auto" w:fill="auto"/>
            <w:vAlign w:val="center"/>
          </w:tcPr>
          <w:p>
            <w:pPr>
              <w:jc w:val="left"/>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6.常住人口城镇化率</w:t>
            </w:r>
          </w:p>
        </w:tc>
        <w:tc>
          <w:tcPr>
            <w:tcW w:w="71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85</w:t>
            </w:r>
          </w:p>
        </w:tc>
        <w:tc>
          <w:tcPr>
            <w:tcW w:w="116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71</w:t>
            </w:r>
          </w:p>
        </w:tc>
        <w:tc>
          <w:tcPr>
            <w:tcW w:w="94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7.九年义务教育巩固率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8.高中阶段毛入学率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9.新区常住人口</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10.城镇居民人均可支配收入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42488</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11.农村居民人均可支配收入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27286</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12.城镇登记失业率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13.城镇新增就业人数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14.贫困人口脱贫</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15.城镇保障性住房建设和棚户区改造</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创新驱动</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16.研究与试验发展经费支出占地区生产总值比重</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17.新增劳动力平均受教育年限</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18.互联网普及率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19每万名人口拥有发明专利数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生态文明</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20.耕地保有量（国土）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21.新增建设用地规模</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公顷</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按自治区下达任务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22.单位生产总值能源消耗降低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23. COD排放量/NH3-N排放量/SO2排放量/NOx排放量</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24.万元生产总值用水量降低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吨/万元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25.建成区绿化覆盖率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26.森林覆盖率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33.37</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bl>
    <w:p>
      <w:pPr>
        <w:ind w:firstLine="420" w:firstLineChars="200"/>
        <w:rPr>
          <w:rFonts w:ascii="仿宋_GB2312" w:hAnsi="仿宋" w:eastAsia="仿宋_GB2312" w:cs="Times New Roman"/>
          <w:color w:val="000000" w:themeColor="text1"/>
          <w:szCs w:val="21"/>
          <w14:textFill>
            <w14:solidFill>
              <w14:schemeClr w14:val="tx1"/>
            </w14:solidFill>
          </w14:textFill>
        </w:rPr>
      </w:pPr>
      <w:r>
        <w:rPr>
          <w:rFonts w:hint="eastAsia" w:ascii="仿宋_GB2312" w:hAnsi="仿宋" w:eastAsia="仿宋_GB2312" w:cs="Times New Roman"/>
          <w:color w:val="000000" w:themeColor="text1"/>
          <w:szCs w:val="21"/>
          <w14:textFill>
            <w14:solidFill>
              <w14:schemeClr w14:val="tx1"/>
            </w14:solidFill>
          </w14:textFill>
        </w:rPr>
        <w:t>数据来源：《柳东新区发展报告》，各部门年度工作总结；柳州市统计公报；居民人均可支配收入采用大鱼峰数据。为排除疫情异常干扰，部分经济指标采用2019年度数据。</w:t>
      </w:r>
    </w:p>
    <w:p>
      <w:pPr>
        <w:pStyle w:val="4"/>
        <w:jc w:val="center"/>
        <w:rPr>
          <w:rFonts w:hint="eastAsia" w:ascii="黑体" w:hAnsi="黑体" w:eastAsia="黑体" w:cs="Times New Roman"/>
          <w:b w:val="0"/>
          <w:color w:val="000000" w:themeColor="text1"/>
          <w14:textFill>
            <w14:solidFill>
              <w14:schemeClr w14:val="tx1"/>
            </w14:solidFill>
          </w14:textFill>
        </w:rPr>
      </w:pPr>
      <w:bookmarkStart w:id="54" w:name="_Toc13337"/>
      <w:bookmarkStart w:id="55" w:name="_Toc10131"/>
      <w:bookmarkStart w:id="56" w:name="_Toc21075"/>
      <w:bookmarkStart w:id="57" w:name="_Toc8605"/>
      <w:bookmarkStart w:id="58" w:name="_Toc3212"/>
      <w:bookmarkStart w:id="59" w:name="_Toc5094"/>
      <w:r>
        <w:rPr>
          <w:rFonts w:hint="eastAsia" w:ascii="黑体" w:hAnsi="黑体" w:eastAsia="黑体" w:cs="Times New Roman"/>
          <w:b w:val="0"/>
          <w:color w:val="000000" w:themeColor="text1"/>
          <w14:textFill>
            <w14:solidFill>
              <w14:schemeClr w14:val="tx1"/>
            </w14:solidFill>
          </w14:textFill>
        </w:rPr>
        <w:t>第二节 “十四五”发展环境</w:t>
      </w:r>
      <w:bookmarkEnd w:id="54"/>
      <w:bookmarkEnd w:id="55"/>
      <w:bookmarkEnd w:id="56"/>
      <w:bookmarkEnd w:id="57"/>
      <w:bookmarkEnd w:id="58"/>
      <w:bookmarkEnd w:id="59"/>
    </w:p>
    <w:p>
      <w:pPr>
        <w:widowControl/>
        <w:overflowPunct w:val="0"/>
        <w:ind w:firstLine="64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“十三五”期，柳东新区有效夯实可持续发展基础，进入新发展阶段，新区内外发展环境面临系列机遇和挑战。</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一、国际贸易体系逆全球化趋势增强</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国际贸易单边主义和保护主义不断增强，经济逆全球化不断升温，严重冲击现行国际贸易体系。主要经济体之间的贸易壁垒不断提高，贸易摩擦加剧，经济区域化布局趋势显现。全球地缘政治摩擦升温，国</w:t>
      </w:r>
      <w:r>
        <w:rPr>
          <w:rFonts w:hint="eastAsia" w:ascii="仿宋_GB2312" w:hAnsi="Calibri" w:eastAsia="仿宋_GB2312" w:cs="Times New Roman"/>
          <w:color w:val="000000" w:themeColor="text1"/>
          <w:sz w:val="32"/>
          <w:szCs w:val="32"/>
          <w:lang w:eastAsia="zh-CN"/>
          <w14:textFill>
            <w14:solidFill>
              <w14:schemeClr w14:val="tx1"/>
            </w14:solidFill>
          </w14:textFill>
        </w:rPr>
        <w:t>际</w:t>
      </w:r>
      <w:r>
        <w:rPr>
          <w:rFonts w:hint="eastAsia" w:ascii="仿宋_GB2312" w:hAnsi="Calibri" w:eastAsia="仿宋_GB2312" w:cs="Times New Roman"/>
          <w:color w:val="000000" w:themeColor="text1"/>
          <w:sz w:val="32"/>
          <w:szCs w:val="32"/>
          <w14:textFill>
            <w14:solidFill>
              <w14:schemeClr w14:val="tx1"/>
            </w14:solidFill>
          </w14:textFill>
        </w:rPr>
        <w:t>博弈日益激烈，严重影响全球产业链供应链安全。</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二、新冠疫情蔓延局势冲击世界经济</w:t>
      </w:r>
    </w:p>
    <w:p>
      <w:pPr>
        <w:ind w:firstLine="640" w:firstLineChars="200"/>
        <w:rPr>
          <w:rFonts w:ascii="等线" w:hAnsi="等线" w:eastAsia="等线" w:cs="Times New Roman"/>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新冠疫情肆虐全球，各国贸易往来和生产要素流动受阻，经济体间的贸易、科技、文化等交流皆受抑制。各国经济增长由正转负，打破经济周期发展趋势，世界经济发展面临严峻挑战。疫情的常态化蔓延对全球生产研发、贸易往来、商旅服务等活动影响深远，全球产业链、供应链、创新链面临着重构。</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三、数字经济成为技术创新重要高地</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数字经济成为世界新一轮博弈的制高点，人工智能、区块链、云计算、大数据、5G等数字技术推动生产生活方式变革，是应用创新的重要抓手，是经济发展的新引擎。数字技术与实体经济的深度融合，赋能产业发展提高生产效率，改变全球生产力布局，助力应用创新打造新业态新模式，无人驾驶、远程医疗、智慧家居、智能消费等得以成为现实。</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四、国内国际双循环格局加快形成</w:t>
      </w:r>
    </w:p>
    <w:p>
      <w:pPr>
        <w:ind w:firstLine="640" w:firstLineChars="200"/>
        <w:rPr>
          <w:rFonts w:hint="eastAsia"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面对世界百年未有之大变局，我国加快谋划以国内大循环为主体、国内国际双循环相互促进的新发展格局。我国将通过发挥内需潜力保障经济安全和平稳发展，同时积极促进国内外市场高效高质的联动，区域全面经济伙伴关系协定（RCEP）、中欧投资协定的签署，进一步扩宽我国在全球范围配置资源的空间，为国际社会增添了源源不断的正能量。</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五、“新基建”激发经济发展新动能</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高质量发展已成为时代主题，以5G、人工智能、工业互联网、物联网等为代表的“新基建”是数字经济发展的基石。“新基建”既是稳投资、扩内需、拉动经济增长的重要途径，也是促升级、优结构、激发经济新动能的重要环节。加快布局“新基建”，将加速中国市场形成，有助于我国领跑数字经济、智能制造等产业，在新一轮世界竞赛中处于强势地位。</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六、汽车产业重大变革并存挑战机遇</w:t>
      </w:r>
    </w:p>
    <w:p>
      <w:pPr>
        <w:pStyle w:val="9"/>
        <w:ind w:firstLine="640" w:firstLineChars="200"/>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汽车产业将发生巨大变化，尤其是在我国明确“碳达峰”和“碳中和”</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目标，聚焦</w:t>
      </w:r>
      <w:r>
        <w:rPr>
          <w:rFonts w:hint="eastAsia" w:ascii="仿宋_GB2312" w:hAnsi="仿宋_GB2312" w:eastAsia="仿宋_GB2312" w:cs="仿宋_GB2312"/>
          <w:bCs/>
          <w:color w:val="000000" w:themeColor="text1"/>
          <w:kern w:val="2"/>
          <w:sz w:val="32"/>
          <w:szCs w:val="32"/>
          <w14:textFill>
            <w14:solidFill>
              <w14:schemeClr w14:val="tx1"/>
            </w14:solidFill>
          </w14:textFill>
        </w:rPr>
        <w:t>“双碳”，互联网+新能源技术成未来新趋势</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新能源汽车产销屡创新高，国产新能源汽车竞争力不断提升，汽车产业企业加速向制造+服务型企业转型。产业变革带来既是挑战又是机遇，柳东新区汽车产业基础扎实，网联化及智能化等“五化”技术探索走在本地区前列，新区在产业变革的进程中拥有商业模式和技术创新先行先试的底蕴和能力，将新区打造为全国汽车产业变革的试点示范。</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柳东新区将面临重大发展机遇和百年未有之大变局，同时，仍需着力解决新区当前客观存在的经济、产业、民生和城建等领域现实障碍和突出短板。一是国际国内汽车行业竞争更加剧烈，受市场波动影响，汽车产销同步下滑；二是龙头企业转型升级，配套企业同步发展相对乏力；三是经济高质量发展的要素和动能仍待集聚，战略新兴产业、产业金融、商务会展、文化旅游、高端消费等仍处于培育期，核心竞争能力有待提升，新动能尚未形成强大支撑；四是科技创新对产业发展的支撑引领作用有待增强，公共技术服务平台和重大创新基础设施供给仍不充分，部分产业关键技术和核心零部件未能实现供应链安全；五是人口规模支撑不足，聚人气存在制约因素，人口增长缺乏强劲动力，制约多层次人才和劳动资源供给；六是民生短板依旧存在，教育医疗文化和商业配套仍需完善，城市功能难以满足经济社会发展的要求；七是建设资金压力增大，融资途径有待拓宽，综合投资效益仍需提升</w:t>
      </w:r>
      <w:r>
        <w:rPr>
          <w:rFonts w:ascii="仿宋_GB2312" w:hAnsi="Calibri" w:eastAsia="仿宋_GB2312" w:cs="Times New Roman"/>
          <w:color w:val="000000" w:themeColor="text1"/>
          <w:sz w:val="32"/>
          <w:szCs w:val="32"/>
          <w14:textFill>
            <w14:solidFill>
              <w14:schemeClr w14:val="tx1"/>
            </w14:solidFill>
          </w14:textFill>
        </w:rPr>
        <w:t>。</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柳东新区必须深刻认识我国社会主要矛盾变化带来的新特征新要求，深刻认识错综复杂的国际环境带来的新矛盾新挑战，增强机遇意识和风险意识，立足社会主义初级阶段基本国情，立足新区发展客观实际，保持战略定力，办好自己的事，把握好一系列的重要战略机遇，紧扣世界科技和产业发展脉搏，充分利用独特的区域优势、产业优势、交通优势，扬长避短，锻长板、补短板、树样板，应对挑战，趋利避害，奋勇前进，奋力赢得发展先机，构筑发展战略优势，开创新区经济社会发展新局面。</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60" w:name="_Toc27240"/>
      <w:bookmarkStart w:id="61" w:name="_Toc19685"/>
      <w:bookmarkStart w:id="62" w:name="_Toc18936"/>
      <w:bookmarkStart w:id="63" w:name="_Toc10932"/>
      <w:bookmarkStart w:id="64" w:name="_Toc4531"/>
      <w:bookmarkStart w:id="65" w:name="_Toc17432"/>
      <w:r>
        <w:rPr>
          <w:rFonts w:hint="eastAsia" w:ascii="黑体" w:hAnsi="黑体" w:eastAsia="黑体" w:cs="Times New Roman"/>
          <w:b w:val="0"/>
          <w:color w:val="000000" w:themeColor="text1"/>
          <w:sz w:val="32"/>
          <w:szCs w:val="32"/>
          <w14:textFill>
            <w14:solidFill>
              <w14:schemeClr w14:val="tx1"/>
            </w14:solidFill>
          </w14:textFill>
        </w:rPr>
        <w:t>第二章 增强发展动能，主动肩负使命</w:t>
      </w:r>
      <w:bookmarkEnd w:id="60"/>
      <w:bookmarkEnd w:id="61"/>
      <w:bookmarkEnd w:id="62"/>
      <w:bookmarkEnd w:id="63"/>
      <w:bookmarkEnd w:id="64"/>
      <w:bookmarkEnd w:id="65"/>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“十四五”期间，新区要解放思想、改革创新、扩大开放、担当实干，聚力推动工业高质量发展，全面增强发展新动能，</w:t>
      </w:r>
      <w:r>
        <w:rPr>
          <w:rFonts w:hint="eastAsia" w:ascii="仿宋_GB2312" w:hAnsi="Times New Roman" w:eastAsia="仿宋_GB2312" w:cs="Times New Roman"/>
          <w:color w:val="000000" w:themeColor="text1"/>
          <w:kern w:val="0"/>
          <w:sz w:val="32"/>
          <w:szCs w:val="32"/>
          <w14:textFill>
            <w14:solidFill>
              <w14:schemeClr w14:val="tx1"/>
            </w14:solidFill>
          </w14:textFill>
        </w:rPr>
        <w:t>切实肩负起柳州经济社会高质量发展主战场、排头兵和主力军的重要使命</w:t>
      </w:r>
      <w:r>
        <w:rPr>
          <w:rFonts w:hint="eastAsia" w:ascii="仿宋_GB2312" w:hAnsi="Calibri" w:eastAsia="仿宋_GB2312" w:cs="Times New Roman"/>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6" w:name="_Toc26585"/>
      <w:bookmarkStart w:id="67" w:name="_Toc21157"/>
      <w:bookmarkStart w:id="68" w:name="_Toc18048"/>
      <w:bookmarkStart w:id="69" w:name="_Toc20165"/>
      <w:bookmarkStart w:id="70" w:name="_Toc10718"/>
      <w:bookmarkStart w:id="71" w:name="_Toc8832"/>
      <w:r>
        <w:rPr>
          <w:rFonts w:hint="eastAsia" w:ascii="黑体" w:hAnsi="黑体" w:eastAsia="黑体" w:cs="Times New Roman"/>
          <w:b w:val="0"/>
          <w:color w:val="000000" w:themeColor="text1"/>
          <w14:textFill>
            <w14:solidFill>
              <w14:schemeClr w14:val="tx1"/>
            </w14:solidFill>
          </w14:textFill>
        </w:rPr>
        <w:t>第一节 指导思想</w:t>
      </w:r>
      <w:bookmarkEnd w:id="66"/>
      <w:bookmarkEnd w:id="67"/>
      <w:bookmarkEnd w:id="68"/>
      <w:bookmarkEnd w:id="69"/>
      <w:bookmarkEnd w:id="70"/>
      <w:bookmarkEnd w:id="71"/>
    </w:p>
    <w:p>
      <w:pPr>
        <w:overflowPunct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坚持以习近平新时代中国特色社会主义思想为指导，深入贯彻党的十九大和十九届二中、三中、四中、五中、六中全会精神，坚决落实</w:t>
      </w:r>
      <w:r>
        <w:rPr>
          <w:rFonts w:ascii="仿宋_GB2312" w:hAnsi="仿宋_GB2312" w:eastAsia="仿宋_GB2312" w:cs="仿宋_GB2312"/>
          <w:color w:val="000000" w:themeColor="text1"/>
          <w:sz w:val="32"/>
          <w:szCs w:val="32"/>
          <w14:textFill>
            <w14:solidFill>
              <w14:schemeClr w14:val="tx1"/>
            </w14:solidFill>
          </w14:textFill>
        </w:rPr>
        <w:t>习近平总书记对广西工作系列重要指示精神</w:t>
      </w:r>
      <w:r>
        <w:rPr>
          <w:rFonts w:hint="eastAsia" w:ascii="仿宋_GB2312" w:hAnsi="仿宋_GB2312" w:eastAsia="仿宋_GB2312" w:cs="仿宋_GB2312"/>
          <w:color w:val="000000" w:themeColor="text1"/>
          <w:sz w:val="32"/>
          <w:szCs w:val="32"/>
          <w14:textFill>
            <w14:solidFill>
              <w14:schemeClr w14:val="tx1"/>
            </w14:solidFill>
          </w14:textFill>
        </w:rPr>
        <w:t>，紧密围绕“三大定位”新使命和“五个扎实”新要求，全面融入我市</w:t>
      </w:r>
      <w:r>
        <w:rPr>
          <w:rFonts w:ascii="仿宋_GB2312" w:hAnsi="仿宋_GB2312" w:eastAsia="仿宋_GB2312" w:cs="仿宋_GB2312"/>
          <w:color w:val="000000" w:themeColor="text1"/>
          <w:sz w:val="32"/>
          <w:szCs w:val="32"/>
          <w14:textFill>
            <w14:solidFill>
              <w14:schemeClr w14:val="tx1"/>
            </w14:solidFill>
          </w14:textFill>
        </w:rPr>
        <w:t>深入实施“实业兴市，开放强柳”</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持续推进“三大建设”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加快构建“八大体系”</w:t>
      </w:r>
      <w:r>
        <w:rPr>
          <w:rFonts w:hint="eastAsia" w:ascii="仿宋_GB2312" w:hAnsi="仿宋_GB2312" w:eastAsia="仿宋_GB2312" w:cs="仿宋_GB2312"/>
          <w:color w:val="000000" w:themeColor="text1"/>
          <w:sz w:val="32"/>
          <w:szCs w:val="32"/>
          <w14:textFill>
            <w14:solidFill>
              <w14:schemeClr w14:val="tx1"/>
            </w14:solidFill>
          </w14:textFill>
        </w:rPr>
        <w:t>战略布局</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全力助推柳州打造广西副中心城市，以全市经济和社会发展排头兵为使命担当，以</w:t>
      </w:r>
      <w:r>
        <w:rPr>
          <w:rFonts w:ascii="仿宋_GB2312" w:hAnsi="仿宋_GB2312" w:eastAsia="仿宋_GB2312" w:cs="仿宋_GB2312"/>
          <w:color w:val="000000" w:themeColor="text1"/>
          <w:sz w:val="32"/>
          <w:szCs w:val="32"/>
          <w14:textFill>
            <w14:solidFill>
              <w14:schemeClr w14:val="tx1"/>
            </w14:solidFill>
          </w14:textFill>
        </w:rPr>
        <w:t>改造提升传统</w:t>
      </w:r>
      <w:r>
        <w:rPr>
          <w:rFonts w:hint="eastAsia" w:ascii="仿宋_GB2312" w:hAnsi="仿宋_GB2312" w:eastAsia="仿宋_GB2312" w:cs="仿宋_GB2312"/>
          <w:color w:val="000000" w:themeColor="text1"/>
          <w:sz w:val="32"/>
          <w:szCs w:val="32"/>
          <w14:textFill>
            <w14:solidFill>
              <w14:schemeClr w14:val="tx1"/>
            </w14:solidFill>
          </w14:textFill>
        </w:rPr>
        <w:t>优势</w:t>
      </w:r>
      <w:r>
        <w:rPr>
          <w:rFonts w:ascii="仿宋_GB2312" w:hAnsi="仿宋_GB2312" w:eastAsia="仿宋_GB2312" w:cs="仿宋_GB2312"/>
          <w:color w:val="000000" w:themeColor="text1"/>
          <w:sz w:val="32"/>
          <w:szCs w:val="32"/>
          <w14:textFill>
            <w14:solidFill>
              <w14:schemeClr w14:val="tx1"/>
            </w14:solidFill>
          </w14:textFill>
        </w:rPr>
        <w:t>产业</w:t>
      </w:r>
      <w:r>
        <w:rPr>
          <w:rFonts w:hint="eastAsia" w:ascii="仿宋_GB2312" w:hAnsi="仿宋_GB2312" w:eastAsia="仿宋_GB2312" w:cs="仿宋_GB2312"/>
          <w:color w:val="000000" w:themeColor="text1"/>
          <w:sz w:val="32"/>
          <w:szCs w:val="32"/>
          <w14:textFill>
            <w14:solidFill>
              <w14:schemeClr w14:val="tx1"/>
            </w14:solidFill>
          </w14:textFill>
        </w:rPr>
        <w:t>、培育</w:t>
      </w:r>
      <w:r>
        <w:rPr>
          <w:rFonts w:ascii="仿宋_GB2312" w:hAnsi="仿宋_GB2312" w:eastAsia="仿宋_GB2312" w:cs="仿宋_GB2312"/>
          <w:color w:val="000000" w:themeColor="text1"/>
          <w:sz w:val="32"/>
          <w:szCs w:val="32"/>
          <w14:textFill>
            <w14:solidFill>
              <w14:schemeClr w14:val="tx1"/>
            </w14:solidFill>
          </w14:textFill>
        </w:rPr>
        <w:t>壮大新兴产业</w:t>
      </w:r>
      <w:r>
        <w:rPr>
          <w:rFonts w:hint="eastAsia" w:ascii="仿宋_GB2312" w:hAnsi="仿宋_GB2312" w:eastAsia="仿宋_GB2312" w:cs="仿宋_GB2312"/>
          <w:color w:val="000000" w:themeColor="text1"/>
          <w:sz w:val="32"/>
          <w:szCs w:val="32"/>
          <w14:textFill>
            <w14:solidFill>
              <w14:schemeClr w14:val="tx1"/>
            </w14:solidFill>
          </w14:textFill>
        </w:rPr>
        <w:t>为发展主线，以改革创新、追求卓越为根本动力，以建成升级版广西柳州汽车城和</w:t>
      </w:r>
      <w:r>
        <w:rPr>
          <w:rFonts w:ascii="仿宋_GB2312" w:hAnsi="仿宋_GB2312" w:eastAsia="仿宋_GB2312" w:cs="仿宋_GB2312"/>
          <w:color w:val="000000" w:themeColor="text1"/>
          <w:sz w:val="32"/>
          <w:szCs w:val="32"/>
          <w14:textFill>
            <w14:solidFill>
              <w14:schemeClr w14:val="tx1"/>
            </w14:solidFill>
          </w14:textFill>
        </w:rPr>
        <w:t>西南领先、全国一流的产城融合示范区</w:t>
      </w:r>
      <w:r>
        <w:rPr>
          <w:rFonts w:hint="eastAsia" w:ascii="仿宋_GB2312" w:hAnsi="仿宋_GB2312" w:eastAsia="仿宋_GB2312" w:cs="仿宋_GB2312"/>
          <w:color w:val="000000" w:themeColor="text1"/>
          <w:sz w:val="32"/>
          <w:szCs w:val="32"/>
          <w14:textFill>
            <w14:solidFill>
              <w14:schemeClr w14:val="tx1"/>
            </w14:solidFill>
          </w14:textFill>
        </w:rPr>
        <w:t>为目标导航，全面推进新区产业升级高质量发展、产城融合高质量发展、创新创业高质量发展、人民生活高质量发展，在</w:t>
      </w:r>
      <w:r>
        <w:rPr>
          <w:rFonts w:ascii="仿宋_GB2312" w:hAnsi="仿宋_GB2312" w:eastAsia="仿宋_GB2312" w:cs="仿宋_GB2312"/>
          <w:color w:val="000000" w:themeColor="text1"/>
          <w:sz w:val="32"/>
          <w:szCs w:val="32"/>
          <w14:textFill>
            <w14:solidFill>
              <w14:schemeClr w14:val="tx1"/>
            </w14:solidFill>
          </w14:textFill>
        </w:rPr>
        <w:t>建设现代制造城、打造万亿工业强市</w:t>
      </w:r>
      <w:r>
        <w:rPr>
          <w:rFonts w:hint="eastAsia" w:ascii="仿宋_GB2312" w:hAnsi="仿宋_GB2312" w:eastAsia="仿宋_GB2312" w:cs="仿宋_GB2312"/>
          <w:color w:val="000000" w:themeColor="text1"/>
          <w:sz w:val="32"/>
          <w:szCs w:val="32"/>
          <w14:textFill>
            <w14:solidFill>
              <w14:schemeClr w14:val="tx1"/>
            </w14:solidFill>
          </w14:textFill>
        </w:rPr>
        <w:t>中闯出新路子、展现新作为、迈出新步伐、彰显新担当</w:t>
      </w:r>
      <w:r>
        <w:rPr>
          <w:rFonts w:ascii="仿宋_GB2312" w:hAnsi="仿宋_GB2312" w:eastAsia="仿宋_GB2312" w:cs="仿宋_GB2312"/>
          <w:color w:val="000000" w:themeColor="text1"/>
          <w:sz w:val="32"/>
          <w:szCs w:val="32"/>
          <w14:textFill>
            <w14:solidFill>
              <w14:schemeClr w14:val="tx1"/>
            </w14:solidFill>
          </w14:textFill>
        </w:rPr>
        <w:t>，全力谱写新时代</w:t>
      </w:r>
      <w:r>
        <w:rPr>
          <w:rFonts w:hint="eastAsia" w:ascii="仿宋_GB2312" w:hAnsi="仿宋_GB2312" w:eastAsia="仿宋_GB2312" w:cs="仿宋_GB2312"/>
          <w:color w:val="000000" w:themeColor="text1"/>
          <w:sz w:val="32"/>
          <w:szCs w:val="32"/>
          <w14:textFill>
            <w14:solidFill>
              <w14:schemeClr w14:val="tx1"/>
            </w14:solidFill>
          </w14:textFill>
        </w:rPr>
        <w:t>柳东新区高质量发展、跨越发展</w:t>
      </w:r>
      <w:r>
        <w:rPr>
          <w:rFonts w:ascii="仿宋_GB2312" w:hAnsi="仿宋_GB2312" w:eastAsia="仿宋_GB2312" w:cs="仿宋_GB2312"/>
          <w:color w:val="000000" w:themeColor="text1"/>
          <w:sz w:val="32"/>
          <w:szCs w:val="32"/>
          <w14:textFill>
            <w14:solidFill>
              <w14:schemeClr w14:val="tx1"/>
            </w14:solidFill>
          </w14:textFill>
        </w:rPr>
        <w:t>壮美篇章。</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2" w:name="_Toc29531"/>
      <w:bookmarkStart w:id="73" w:name="_Toc6121"/>
      <w:bookmarkStart w:id="74" w:name="_Toc1677"/>
      <w:bookmarkStart w:id="75" w:name="_Toc12847"/>
      <w:bookmarkStart w:id="76" w:name="_Toc23558"/>
      <w:bookmarkStart w:id="77" w:name="_Toc1904"/>
      <w:r>
        <w:rPr>
          <w:rFonts w:hint="eastAsia" w:ascii="黑体" w:hAnsi="黑体" w:eastAsia="黑体" w:cs="Times New Roman"/>
          <w:b w:val="0"/>
          <w:color w:val="000000" w:themeColor="text1"/>
          <w14:textFill>
            <w14:solidFill>
              <w14:schemeClr w14:val="tx1"/>
            </w14:solidFill>
          </w14:textFill>
        </w:rPr>
        <w:t>第二节 发展定位</w:t>
      </w:r>
      <w:bookmarkEnd w:id="72"/>
      <w:bookmarkEnd w:id="73"/>
      <w:bookmarkEnd w:id="74"/>
      <w:bookmarkEnd w:id="75"/>
      <w:bookmarkEnd w:id="76"/>
      <w:bookmarkEnd w:id="77"/>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柳州现代制造城核心区</w:t>
      </w:r>
      <w:r>
        <w:rPr>
          <w:rFonts w:hint="eastAsia" w:ascii="仿宋_GB2312" w:eastAsia="仿宋_GB2312"/>
          <w:color w:val="000000" w:themeColor="text1"/>
          <w:sz w:val="32"/>
          <w:szCs w:val="32"/>
          <w14:textFill>
            <w14:solidFill>
              <w14:schemeClr w14:val="tx1"/>
            </w14:solidFill>
          </w14:textFill>
        </w:rPr>
        <w:t>。立足“实业兴区”，</w:t>
      </w:r>
      <w:r>
        <w:rPr>
          <w:rFonts w:ascii="Times New Roman" w:hAnsi="Times New Roman" w:eastAsia="仿宋_GB2312" w:cs="Times New Roman"/>
          <w:color w:val="000000" w:themeColor="text1"/>
          <w:sz w:val="32"/>
          <w:szCs w:val="32"/>
          <w14:textFill>
            <w14:solidFill>
              <w14:schemeClr w14:val="tx1"/>
            </w14:solidFill>
          </w14:textFill>
        </w:rPr>
        <w:t>坚持强龙头、补链条、聚集群和强创新、育品牌、拓市场，</w:t>
      </w:r>
      <w:r>
        <w:rPr>
          <w:rFonts w:hint="eastAsia" w:ascii="仿宋_GB2312" w:eastAsia="仿宋_GB2312"/>
          <w:color w:val="000000" w:themeColor="text1"/>
          <w:sz w:val="32"/>
          <w:szCs w:val="32"/>
          <w14:textFill>
            <w14:solidFill>
              <w14:schemeClr w14:val="tx1"/>
            </w14:solidFill>
          </w14:textFill>
        </w:rPr>
        <w:t>充分把握产业技术日新月异、产业变革加快演进、信息化与工业化深度融合机遇，提质发展传统汽车产业，培育发展新能源汽车、智能</w:t>
      </w:r>
      <w:r>
        <w:rPr>
          <w:rFonts w:hint="eastAsia" w:ascii="仿宋_GB2312" w:hAnsi="仿宋_GB2312" w:eastAsia="仿宋_GB2312"/>
          <w:color w:val="000000" w:themeColor="text1"/>
          <w:sz w:val="32"/>
          <w:szCs w:val="32"/>
          <w14:textFill>
            <w14:solidFill>
              <w14:schemeClr w14:val="tx1"/>
            </w14:solidFill>
          </w14:textFill>
        </w:rPr>
        <w:t>网联</w:t>
      </w:r>
      <w:r>
        <w:rPr>
          <w:rFonts w:hint="eastAsia" w:ascii="仿宋_GB2312" w:eastAsia="仿宋_GB2312"/>
          <w:color w:val="000000" w:themeColor="text1"/>
          <w:sz w:val="32"/>
          <w:szCs w:val="32"/>
          <w14:textFill>
            <w14:solidFill>
              <w14:schemeClr w14:val="tx1"/>
            </w14:solidFill>
          </w14:textFill>
        </w:rPr>
        <w:t>汽车以及汽车电子、光电显示、高端装备制造、智能轨道交通、新能源、新材料等战略性新兴产业，</w:t>
      </w:r>
      <w:r>
        <w:rPr>
          <w:rFonts w:hint="eastAsia" w:ascii="Times New Roman" w:hAnsi="Times New Roman" w:eastAsia="仿宋_GB2312" w:cs="Times New Roman"/>
          <w:color w:val="000000" w:themeColor="text1"/>
          <w:sz w:val="32"/>
          <w:szCs w:val="32"/>
          <w14:textFill>
            <w14:solidFill>
              <w14:schemeClr w14:val="tx1"/>
            </w14:solidFill>
          </w14:textFill>
        </w:rPr>
        <w:t>扎实构建“</w:t>
      </w:r>
      <w:r>
        <w:rPr>
          <w:rFonts w:ascii="Times New Roman" w:hAnsi="Times New Roman" w:eastAsia="仿宋_GB2312" w:cs="Times New Roman"/>
          <w:color w:val="000000" w:themeColor="text1"/>
          <w:sz w:val="32"/>
          <w:szCs w:val="32"/>
          <w14:textFill>
            <w14:solidFill>
              <w14:schemeClr w14:val="tx1"/>
            </w14:solidFill>
          </w14:textFill>
        </w:rPr>
        <w:t>工业树</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产业林</w:t>
      </w:r>
      <w:r>
        <w:rPr>
          <w:rFonts w:hint="eastAsia" w:ascii="Times New Roman" w:hAnsi="Times New Roman" w:eastAsia="仿宋_GB2312" w:cs="Times New Roman"/>
          <w:color w:val="000000" w:themeColor="text1"/>
          <w:sz w:val="32"/>
          <w:szCs w:val="32"/>
          <w14:textFill>
            <w14:solidFill>
              <w14:schemeClr w14:val="tx1"/>
            </w14:solidFill>
          </w14:textFill>
        </w:rPr>
        <w:t>”新生态，</w:t>
      </w:r>
      <w:r>
        <w:rPr>
          <w:rFonts w:hint="eastAsia" w:ascii="仿宋_GB2312" w:eastAsia="仿宋_GB2312"/>
          <w:color w:val="000000" w:themeColor="text1"/>
          <w:sz w:val="32"/>
          <w:szCs w:val="32"/>
          <w14:textFill>
            <w14:solidFill>
              <w14:schemeClr w14:val="tx1"/>
            </w14:solidFill>
          </w14:textFill>
        </w:rPr>
        <w:t>全面打造</w:t>
      </w:r>
      <w:r>
        <w:rPr>
          <w:rFonts w:ascii="Times New Roman" w:hAnsi="Times New Roman" w:eastAsia="仿宋_GB2312" w:cs="Times New Roman"/>
          <w:color w:val="000000" w:themeColor="text1"/>
          <w:sz w:val="32"/>
          <w:szCs w:val="32"/>
          <w14:textFill>
            <w14:solidFill>
              <w14:schemeClr w14:val="tx1"/>
            </w14:solidFill>
          </w14:textFill>
        </w:rPr>
        <w:t>制造业高级化、服务业现代化、要素配置精准化、园区管理科学化的</w:t>
      </w:r>
      <w:r>
        <w:rPr>
          <w:rFonts w:hint="eastAsia" w:ascii="仿宋_GB2312" w:eastAsia="仿宋_GB2312"/>
          <w:color w:val="000000" w:themeColor="text1"/>
          <w:sz w:val="32"/>
          <w:szCs w:val="32"/>
          <w14:textFill>
            <w14:solidFill>
              <w14:schemeClr w14:val="tx1"/>
            </w14:solidFill>
          </w14:textFill>
        </w:rPr>
        <w:t>柳州现代制造城核心区</w:t>
      </w:r>
      <w:r>
        <w:rPr>
          <w:rFonts w:hint="eastAsia" w:ascii="Times New Roman" w:hAnsi="Times New Roman" w:eastAsia="仿宋_GB2312" w:cs="Times New Roman"/>
          <w:color w:val="000000" w:themeColor="text1"/>
          <w:sz w:val="32"/>
          <w:szCs w:val="32"/>
          <w14:textFill>
            <w14:solidFill>
              <w14:schemeClr w14:val="tx1"/>
            </w14:solidFill>
          </w14:textFill>
        </w:rPr>
        <w:t>，成就</w:t>
      </w:r>
      <w:r>
        <w:rPr>
          <w:rFonts w:ascii="Times New Roman" w:hAnsi="Times New Roman" w:eastAsia="仿宋_GB2312" w:cs="Times New Roman"/>
          <w:color w:val="000000" w:themeColor="text1"/>
          <w:sz w:val="32"/>
          <w:szCs w:val="32"/>
          <w14:textFill>
            <w14:solidFill>
              <w14:schemeClr w14:val="tx1"/>
            </w14:solidFill>
          </w14:textFill>
        </w:rPr>
        <w:t>广西柳州汽车城升级版</w:t>
      </w:r>
      <w:r>
        <w:rPr>
          <w:rFonts w:hint="eastAsia" w:ascii="Times New Roman" w:hAnsi="Times New Roman" w:eastAsia="仿宋_GB2312" w:cs="Times New Roman"/>
          <w:color w:val="000000" w:themeColor="text1"/>
          <w:sz w:val="32"/>
          <w:szCs w:val="32"/>
          <w14:textFill>
            <w14:solidFill>
              <w14:schemeClr w14:val="tx1"/>
            </w14:solidFill>
          </w14:textFill>
        </w:rPr>
        <w:t>。</w:t>
      </w:r>
    </w:p>
    <w:p>
      <w:pPr>
        <w:tabs>
          <w:tab w:val="left" w:pos="0"/>
        </w:tabs>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创新驱动发展示范区和高质量发展先行区。</w:t>
      </w:r>
      <w:r>
        <w:rPr>
          <w:rFonts w:hint="eastAsia" w:ascii="仿宋" w:hAnsi="仿宋" w:eastAsia="仿宋" w:cs="仿宋"/>
          <w:color w:val="000000" w:themeColor="text1"/>
          <w:sz w:val="32"/>
          <w:szCs w:val="32"/>
          <w14:textFill>
            <w14:solidFill>
              <w14:schemeClr w14:val="tx1"/>
            </w14:solidFill>
          </w14:textFill>
        </w:rPr>
        <w:t>坚决落实国家对高新区在新时代赋予的新使命和新定位，努力成为广西科技创新制高点和高质量发展先行区。坚持推进科技与经济结合，强化新区高质量发展战略支撑。统筹推进科技体制改革、</w:t>
      </w:r>
      <w:r>
        <w:rPr>
          <w:rFonts w:hint="eastAsia" w:ascii="仿宋_GB2312" w:eastAsia="仿宋_GB2312"/>
          <w:color w:val="000000" w:themeColor="text1"/>
          <w:sz w:val="32"/>
          <w:szCs w:val="32"/>
          <w14:textFill>
            <w14:solidFill>
              <w14:schemeClr w14:val="tx1"/>
            </w14:solidFill>
          </w14:textFill>
        </w:rPr>
        <w:t>创新主体培育、重大平台打造、双创示范基地发展、创新型人才队伍建设，</w:t>
      </w:r>
      <w:r>
        <w:rPr>
          <w:rFonts w:hint="eastAsia" w:ascii="仿宋" w:hAnsi="仿宋" w:eastAsia="仿宋" w:cs="仿宋"/>
          <w:color w:val="000000" w:themeColor="text1"/>
          <w:sz w:val="32"/>
          <w:szCs w:val="32"/>
          <w14:textFill>
            <w14:solidFill>
              <w14:schemeClr w14:val="tx1"/>
            </w14:solidFill>
          </w14:textFill>
        </w:rPr>
        <w:t>深抓前端聚焦、中间协同、后端转化，促进科创资源高效整合、产学研协同创新、</w:t>
      </w:r>
      <w:r>
        <w:rPr>
          <w:rFonts w:hint="eastAsia" w:ascii="仿宋_GB2312" w:eastAsia="仿宋_GB2312"/>
          <w:color w:val="000000" w:themeColor="text1"/>
          <w:sz w:val="32"/>
          <w:szCs w:val="32"/>
          <w14:textFill>
            <w14:solidFill>
              <w14:schemeClr w14:val="tx1"/>
            </w14:solidFill>
          </w14:textFill>
        </w:rPr>
        <w:t>大中小企业融通创新</w:t>
      </w:r>
      <w:r>
        <w:rPr>
          <w:rFonts w:hint="eastAsia" w:ascii="仿宋" w:hAnsi="仿宋" w:eastAsia="仿宋" w:cs="仿宋"/>
          <w:color w:val="000000" w:themeColor="text1"/>
          <w:sz w:val="32"/>
          <w:szCs w:val="32"/>
          <w14:textFill>
            <w14:solidFill>
              <w14:schemeClr w14:val="tx1"/>
            </w14:solidFill>
          </w14:textFill>
        </w:rPr>
        <w:t>，形成具有柳东特色的科创新生态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在全市</w:t>
      </w:r>
      <w:r>
        <w:rPr>
          <w:rFonts w:hint="eastAsia" w:ascii="Times New Roman" w:hAnsi="Times New Roman" w:eastAsia="仿宋_GB2312" w:cs="Times New Roman"/>
          <w:color w:val="000000" w:themeColor="text1"/>
          <w:sz w:val="32"/>
          <w:szCs w:val="32"/>
          <w14:textFill>
            <w14:solidFill>
              <w14:schemeClr w14:val="tx1"/>
            </w14:solidFill>
          </w14:textFill>
        </w:rPr>
        <w:t>充分</w:t>
      </w:r>
      <w:r>
        <w:rPr>
          <w:rFonts w:ascii="Times New Roman" w:hAnsi="Times New Roman" w:eastAsia="仿宋_GB2312" w:cs="Times New Roman"/>
          <w:color w:val="000000" w:themeColor="text1"/>
          <w:sz w:val="32"/>
          <w:szCs w:val="32"/>
          <w14:textFill>
            <w14:solidFill>
              <w14:schemeClr w14:val="tx1"/>
            </w14:solidFill>
          </w14:textFill>
        </w:rPr>
        <w:t>发挥高质量发展排头兵</w:t>
      </w:r>
      <w:r>
        <w:rPr>
          <w:rFonts w:hint="eastAsia" w:ascii="Times New Roman" w:hAnsi="Times New Roman" w:eastAsia="仿宋_GB2312" w:cs="Times New Roman"/>
          <w:color w:val="000000" w:themeColor="text1"/>
          <w:sz w:val="32"/>
          <w:szCs w:val="32"/>
          <w14:textFill>
            <w14:solidFill>
              <w14:schemeClr w14:val="tx1"/>
            </w14:solidFill>
          </w14:textFill>
        </w:rPr>
        <w:t>示范</w:t>
      </w:r>
      <w:r>
        <w:rPr>
          <w:rFonts w:ascii="Times New Roman" w:hAnsi="Times New Roman" w:eastAsia="仿宋_GB2312" w:cs="Times New Roman"/>
          <w:color w:val="000000" w:themeColor="text1"/>
          <w:sz w:val="32"/>
          <w:szCs w:val="32"/>
          <w14:textFill>
            <w14:solidFill>
              <w14:schemeClr w14:val="tx1"/>
            </w14:solidFill>
          </w14:textFill>
        </w:rPr>
        <w:t>带动作用。</w:t>
      </w:r>
    </w:p>
    <w:p>
      <w:pPr>
        <w:ind w:firstLine="565" w:firstLineChars="176"/>
        <w:rPr>
          <w:rFonts w:ascii="仿宋_GB2312" w:eastAsia="仿宋_GB2312"/>
          <w:bCs/>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区域开放合作先行区。</w:t>
      </w:r>
      <w:r>
        <w:rPr>
          <w:rFonts w:hint="eastAsia" w:ascii="仿宋_GB2312" w:eastAsia="仿宋_GB2312"/>
          <w:bCs/>
          <w:color w:val="000000" w:themeColor="text1"/>
          <w:sz w:val="32"/>
          <w:szCs w:val="32"/>
          <w14:textFill>
            <w14:solidFill>
              <w14:schemeClr w14:val="tx1"/>
            </w14:solidFill>
          </w14:textFill>
        </w:rPr>
        <w:t>立足“开放强柳”，依托中国东盟合作区位及政策优势，以深化中国东盟产业和贸易合作、中欧国际科技合作为主线，主动融入全球产业链、创新链、价值链，聚力打造面向东盟的南方汽车出口基地、西部陆海新通道区域性战略节点和中欧</w:t>
      </w:r>
      <w:r>
        <w:rPr>
          <w:rFonts w:hint="eastAsia" w:ascii="仿宋_GB2312" w:hAnsi="仿宋_GB2312" w:eastAsia="仿宋_GB2312" w:cs="仿宋_GB2312"/>
          <w:color w:val="000000" w:themeColor="text1"/>
          <w:sz w:val="32"/>
          <w:szCs w:val="32"/>
          <w14:textFill>
            <w14:solidFill>
              <w14:schemeClr w14:val="tx1"/>
            </w14:solidFill>
          </w14:textFill>
        </w:rPr>
        <w:t>区域</w:t>
      </w:r>
      <w:r>
        <w:rPr>
          <w:rFonts w:hint="eastAsia" w:ascii="仿宋_GB2312" w:eastAsia="仿宋_GB2312"/>
          <w:bCs/>
          <w:color w:val="000000" w:themeColor="text1"/>
          <w:sz w:val="32"/>
          <w:szCs w:val="32"/>
          <w14:textFill>
            <w14:solidFill>
              <w14:schemeClr w14:val="tx1"/>
            </w14:solidFill>
          </w14:textFill>
        </w:rPr>
        <w:t>政策合作示范区。全面探索并实践中国－东盟、中欧深化合作新模式、新路径和新机制，成为汽车产业合作桥头堡、国际先进地区科技创新成果落地的重要承载地和桥梁，推动国际高端创新要素资源聚集和先进科技成果的转化，形成合作主题鲜明、参与主体多元、具有较大国内影响力的区域开放合作先行区。</w:t>
      </w:r>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产城融合山水新城区</w:t>
      </w:r>
      <w:r>
        <w:rPr>
          <w:rFonts w:hint="eastAsia" w:ascii="仿宋_GB2312" w:eastAsia="仿宋_GB2312"/>
          <w:color w:val="000000" w:themeColor="text1"/>
          <w:sz w:val="32"/>
          <w:szCs w:val="32"/>
          <w14:textFill>
            <w14:solidFill>
              <w14:schemeClr w14:val="tx1"/>
            </w14:solidFill>
          </w14:textFill>
        </w:rPr>
        <w:t>。立足滨水倚山优势，以国家产城融合示范区建设为主线，推动城区品质跃上更高台阶。着力推动新区开发建设与城市现代化、特色化发展无缝对接，高标准推进滨水景观廊道、山体公园和特色小镇、大型商业和文化街区等载体建设，强化高品质公共服务和文化休闲功能布局，塑造更具人文魅力、生态魅力、旅游魅力的新型城区。全面落实产城融合发展理念，合理布局生产空间、生活空间和生态空间，探索新型工业化与城镇化同步推进、协调发展的新路径，建设成为全国一流的产城融合山水新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8" w:name="_Toc19994"/>
      <w:bookmarkStart w:id="79" w:name="_Toc16168"/>
      <w:bookmarkStart w:id="80" w:name="_Toc25157"/>
      <w:bookmarkStart w:id="81" w:name="_Toc17831"/>
      <w:bookmarkStart w:id="82" w:name="_Toc108"/>
      <w:bookmarkStart w:id="83" w:name="_Toc26109"/>
      <w:r>
        <w:rPr>
          <w:rFonts w:hint="eastAsia" w:ascii="黑体" w:hAnsi="黑体" w:eastAsia="黑体" w:cs="Times New Roman"/>
          <w:b w:val="0"/>
          <w:color w:val="000000" w:themeColor="text1"/>
          <w14:textFill>
            <w14:solidFill>
              <w14:schemeClr w14:val="tx1"/>
            </w14:solidFill>
          </w14:textFill>
        </w:rPr>
        <w:t>第三节 二〇三五年远景目标</w:t>
      </w:r>
      <w:bookmarkEnd w:id="78"/>
      <w:bookmarkEnd w:id="79"/>
      <w:bookmarkEnd w:id="80"/>
      <w:bookmarkEnd w:id="81"/>
      <w:bookmarkEnd w:id="82"/>
      <w:bookmarkEnd w:id="83"/>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展望</w:t>
      </w:r>
      <w:r>
        <w:rPr>
          <w:rFonts w:ascii="Times New Roman" w:hAnsi="Times New Roman" w:eastAsia="仿宋_GB2312" w:cs="仿宋_GB2312"/>
          <w:color w:val="000000" w:themeColor="text1"/>
          <w:kern w:val="0"/>
          <w:sz w:val="32"/>
          <w:szCs w:val="32"/>
          <w14:textFill>
            <w14:solidFill>
              <w14:schemeClr w14:val="tx1"/>
            </w14:solidFill>
          </w14:textFill>
        </w:rPr>
        <w:t>2035</w:t>
      </w:r>
      <w:r>
        <w:rPr>
          <w:rFonts w:hint="eastAsia" w:ascii="Times New Roman" w:hAnsi="Times New Roman" w:eastAsia="仿宋_GB2312" w:cs="仿宋_GB2312"/>
          <w:color w:val="000000" w:themeColor="text1"/>
          <w:kern w:val="0"/>
          <w:sz w:val="32"/>
          <w:szCs w:val="32"/>
          <w14:textFill>
            <w14:solidFill>
              <w14:schemeClr w14:val="tx1"/>
            </w14:solidFill>
          </w14:textFill>
        </w:rPr>
        <w:t>年，柳东新区综合经济实力大幅跃升，经济总量、人均地区生产总值和城乡居民人均收入迈上新的大台阶，科技创新支撑能力显著增强，现代制造城和创新型城市核心承载区能级量级全面提升，率先实现新型工业化、信息化、城镇化、农业现代化。人民生活更有幸福感和获得感，市民素质和社会文明程度达到新高度，公共服务体系实现优质均衡布局，共建共治共享的社会治理格局更加完善，实现幼有善育、学有优教、劳有厚得、病有良医、老有颐养、住有宜居、弱有众扶。生态环境大幅提升，形成天蓝、湖清、山青、树绿的美好生态空间，环境治理体系与治理能力现代化水平处于自治区前列，形成人与自然和谐共生的生态格局。把柳东新区建设成为富有创新活力、产城充分融合、人文魅力彰显的国家一流高新区和现代化新型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84" w:name="_Toc22756"/>
      <w:bookmarkStart w:id="85" w:name="_Toc25300"/>
      <w:bookmarkStart w:id="86" w:name="_Toc14457"/>
      <w:bookmarkStart w:id="87" w:name="_Toc22002"/>
      <w:bookmarkStart w:id="88" w:name="_Toc10030"/>
      <w:bookmarkStart w:id="89" w:name="_Toc8950"/>
      <w:r>
        <w:rPr>
          <w:rFonts w:hint="eastAsia" w:ascii="黑体" w:hAnsi="黑体" w:eastAsia="黑体" w:cs="Times New Roman"/>
          <w:b w:val="0"/>
          <w:color w:val="000000" w:themeColor="text1"/>
          <w14:textFill>
            <w14:solidFill>
              <w14:schemeClr w14:val="tx1"/>
            </w14:solidFill>
          </w14:textFill>
        </w:rPr>
        <w:t>第四节 “十四五”发展目标</w:t>
      </w:r>
      <w:bookmarkEnd w:id="84"/>
      <w:bookmarkEnd w:id="85"/>
      <w:bookmarkEnd w:id="86"/>
      <w:bookmarkEnd w:id="87"/>
      <w:bookmarkEnd w:id="88"/>
      <w:bookmarkEnd w:id="89"/>
    </w:p>
    <w:p>
      <w:pPr>
        <w:spacing w:line="58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期间，加快推动新区高质量发展，建设广西柳州汽车城升级版，打造科技创新、产城融合、绿色生态的示范区。到“十四五”期末，新区经济发展效益显著提升，产业结构优化升级，高端产业进一步聚集，城市建设魅力彰显，民生福祉进一步增进，城市环境绿色宜人，社会治理安全有序。</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经济发展更有质量。</w:t>
      </w:r>
      <w:r>
        <w:rPr>
          <w:rFonts w:hint="eastAsia" w:ascii="仿宋_GB2312" w:hAnsi="仿宋_GB2312" w:eastAsia="仿宋_GB2312" w:cs="仿宋_GB2312"/>
          <w:color w:val="000000" w:themeColor="text1"/>
          <w:sz w:val="32"/>
          <w:szCs w:val="32"/>
          <w14:textFill>
            <w14:solidFill>
              <w14:schemeClr w14:val="tx1"/>
            </w14:solidFill>
          </w14:textFill>
        </w:rPr>
        <w:t>全面实施新区“1+3+5”现代产业布局，做大做强做优汽车产业，巩固支柱产业地位，培育壮大高端装备制造（含轨道交通装备）、电子光电、新材料三大战略性新兴产业，加快发展科技服务、智慧物流、商务会展、文化旅游、大数据等五大现代服务业，探索发展多个现代前沿产业，全方位促进新区产业高质量发展，力争“工业树”枝繁叶茂，“产业林”茁壮成长，产业核心竞争力显著增强, 以二、三产业为主导的城市经济扩容提质、繁荣发展。“十四五”期，新区地区生产总值预期年均增长9%以上。</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创新能力持续增强。</w:t>
      </w:r>
      <w:r>
        <w:rPr>
          <w:rFonts w:hint="eastAsia" w:ascii="仿宋_GB2312" w:hAnsi="仿宋_GB2312" w:eastAsia="仿宋_GB2312" w:cs="仿宋_GB2312"/>
          <w:color w:val="000000" w:themeColor="text1"/>
          <w:sz w:val="32"/>
          <w:szCs w:val="32"/>
          <w14:textFill>
            <w14:solidFill>
              <w14:schemeClr w14:val="tx1"/>
            </w14:solidFill>
          </w14:textFill>
        </w:rPr>
        <w:t>把科技自立自强作为新区发展的根本遵循，着力提升新区企业创新能力，促进更大范围、更广领域、更深层次的区域协同创新和各类主体融通创新，助力新区高质量发展。打造“双创”升级版，加快推进创新载体、平台服务、要素集聚功能等全面升级，创建一批国家级科技企业孵化器、众创空间等创新创业服务示范基地。到2025年，高新技术企业数量达到300家，建成自治区级及以上创新平台120家，每万人口高价值发明专利拥有量达到</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件。</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民生保障显著提高。</w:t>
      </w:r>
      <w:r>
        <w:rPr>
          <w:rFonts w:hint="eastAsia" w:ascii="仿宋_GB2312" w:hAnsi="仿宋_GB2312" w:eastAsia="仿宋_GB2312" w:cs="仿宋_GB2312"/>
          <w:color w:val="000000" w:themeColor="text1"/>
          <w:sz w:val="32"/>
          <w:szCs w:val="32"/>
          <w14:textFill>
            <w14:solidFill>
              <w14:schemeClr w14:val="tx1"/>
            </w14:solidFill>
          </w14:textFill>
        </w:rPr>
        <w:t>公共服务和社会保障体系更加健全，常住人口基本公共服务均等化实现全覆盖，人口集聚能力进一步加强。高标准规划建设一批重大民生工程，城市基础设施、生活消费配套更加完善，教育、医疗、住房、文化、体育等民生服务水平达到新高度。人民生活更为宽裕，中等收入群体比例明显提高，居民人均可支配收入增长6.5%。</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生态环境更加优美。</w:t>
      </w:r>
      <w:r>
        <w:rPr>
          <w:rFonts w:hint="eastAsia" w:ascii="仿宋_GB2312" w:hAnsi="仿宋_GB2312" w:eastAsia="仿宋_GB2312" w:cs="仿宋_GB2312"/>
          <w:color w:val="000000" w:themeColor="text1"/>
          <w:sz w:val="32"/>
          <w:szCs w:val="32"/>
          <w14:textFill>
            <w14:solidFill>
              <w14:schemeClr w14:val="tx1"/>
            </w14:solidFill>
          </w14:textFill>
        </w:rPr>
        <w:t>天更蓝、山更绿、水更清、城更美，绿色低碳生产生活方式更加深入人心。新区万元地区生产总值能耗、水耗总体下降，全面完成自治区、柳州市下达的节能减排目标任务。主要污染物排放总量显著减少，河流水体质量和空气质量百分百达标，生态环境质量明显提高。</w:t>
      </w:r>
    </w:p>
    <w:p>
      <w:pPr>
        <w:spacing w:beforeLines="50" w:afterLines="50" w:line="360" w:lineRule="auto"/>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现代社会治理格局基本形成。</w:t>
      </w:r>
      <w:r>
        <w:rPr>
          <w:rFonts w:hint="eastAsia" w:ascii="仿宋_GB2312" w:hAnsi="仿宋_GB2312" w:eastAsia="仿宋_GB2312" w:cs="仿宋_GB2312"/>
          <w:color w:val="000000" w:themeColor="text1"/>
          <w:sz w:val="32"/>
          <w:szCs w:val="32"/>
          <w14:textFill>
            <w14:solidFill>
              <w14:schemeClr w14:val="tx1"/>
            </w14:solidFill>
          </w14:textFill>
        </w:rPr>
        <w:t>新区行政效率和公信力显著提升，“放管服”改革步伐加快，营商环境显著提升。公共管理服务水平和社会治理能力大步提升，形成政府部门协调联动、行业组织自律管理、信用服务机构积极参与、社会舆论广泛监督的共同治理格局。促进市场主体依法诚信经营，维护市场正常秩序，营造“守信者处处受益、失信者处处受限”的社会信用环境。“平安柳东”建设取得新成效，突发公共事件应急处置能力显著增强。</w:t>
      </w:r>
    </w:p>
    <w:p>
      <w:pPr>
        <w:spacing w:beforeLines="50" w:afterLines="50" w:line="360" w:lineRule="auto"/>
        <w:jc w:val="center"/>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表2-1 “十四五”国民经济和社会发展规划调控指标体系表</w:t>
      </w:r>
    </w:p>
    <w:tbl>
      <w:tblPr>
        <w:tblStyle w:val="18"/>
        <w:tblpPr w:leftFromText="180" w:rightFromText="180" w:vertAnchor="text" w:horzAnchor="page" w:tblpXSpec="center" w:tblpY="112"/>
        <w:tblOverlap w:val="never"/>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568"/>
        <w:gridCol w:w="3378"/>
        <w:gridCol w:w="724"/>
        <w:gridCol w:w="860"/>
        <w:gridCol w:w="790"/>
        <w:gridCol w:w="76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7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2025年</w:t>
            </w:r>
          </w:p>
        </w:tc>
        <w:tc>
          <w:tcPr>
            <w:tcW w:w="790" w:type="dxa"/>
            <w:noWrap/>
            <w:tcMar>
              <w:top w:w="8" w:type="dxa"/>
              <w:left w:w="8" w:type="dxa"/>
              <w:right w:w="8" w:type="dxa"/>
            </w:tcMa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增长</w:t>
            </w:r>
          </w:p>
        </w:tc>
        <w:tc>
          <w:tcPr>
            <w:tcW w:w="767"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属性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发展</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7</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规上工业总产值</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全员劳动生产率增长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创新</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驱动</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园区企业研发投入强度</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每万人口高价值发明专利拥有量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市场监督局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人均技术合同交易额</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高新技术企业数量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省级及以上创新平台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省级及以上科技企业孵化器和众创空间数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\创业中心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财政科技支出与当年财政支出比例</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民生</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福祉</w:t>
            </w: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新区常住人口</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常住人口城镇化率</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居民人均可支配收入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九年义务教育巩固率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城镇调查失业率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&lt;</w:t>
            </w:r>
            <w:r>
              <w:rPr>
                <w:rFonts w:hint="eastAsia"/>
                <w:color w:val="000000" w:themeColor="text1"/>
                <w14:textFill>
                  <w14:solidFill>
                    <w14:schemeClr w14:val="tx1"/>
                  </w14:solidFill>
                </w14:textFill>
              </w:rPr>
              <w:t>5.5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新增劳动年龄人口平均受教育年限</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每千人口拥有3岁以下婴幼儿托位数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每千人口拥有执业（助理）医师数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城乡居民基本医疗保险参保率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98</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城乡居民基本养老保险参保率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保障性住房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万套</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绿色</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转型</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危险废物和产生量10吨以上的一般工业固体废物综合利用率（安全处置）</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城市生活垃圾无害化处理率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耕地保有量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\自规分局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新增建设用地面积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万公顷</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万元GDP能源消耗下降</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万元GDP用水量降低</w:t>
            </w:r>
          </w:p>
        </w:tc>
        <w:tc>
          <w:tcPr>
            <w:tcW w:w="724" w:type="dxa"/>
            <w:noWrap/>
            <w:tcMar>
              <w:top w:w="8" w:type="dxa"/>
              <w:left w:w="8" w:type="dxa"/>
              <w:right w:w="8" w:type="dxa"/>
            </w:tcMar>
            <w:vAlign w:val="center"/>
          </w:tcPr>
          <w:p>
            <w:pPr>
              <w:widowControl/>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吨/</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森林覆盖率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PM2.5</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微克/立方米</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城市人均公园绿地面积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平方米/人</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主要江河地表水质量－达到或好于Ⅲ类水体比例</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bl>
    <w:p>
      <w:pPr>
        <w:rPr>
          <w:color w:val="000000" w:themeColor="text1"/>
          <w14:textFill>
            <w14:solidFill>
              <w14:schemeClr w14:val="tx1"/>
            </w14:solidFill>
          </w14:textFill>
        </w:rPr>
      </w:pPr>
    </w:p>
    <w:p>
      <w:pPr>
        <w:pStyle w:val="4"/>
        <w:spacing w:before="240" w:after="0" w:line="240" w:lineRule="auto"/>
        <w:jc w:val="center"/>
        <w:rPr>
          <w:rFonts w:ascii="黑体" w:hAnsi="黑体" w:eastAsia="黑体" w:cs="Times New Roman"/>
          <w:b w:val="0"/>
          <w:color w:val="000000" w:themeColor="text1"/>
          <w14:textFill>
            <w14:solidFill>
              <w14:schemeClr w14:val="tx1"/>
            </w14:solidFill>
          </w14:textFill>
        </w:rPr>
      </w:pPr>
      <w:bookmarkStart w:id="90" w:name="_Toc29305"/>
      <w:bookmarkStart w:id="91" w:name="_Toc28799"/>
      <w:bookmarkStart w:id="92" w:name="_Toc1838"/>
      <w:bookmarkStart w:id="93" w:name="_Toc16421"/>
      <w:bookmarkStart w:id="94" w:name="_Toc21544"/>
      <w:bookmarkStart w:id="95" w:name="_Toc28861"/>
      <w:r>
        <w:rPr>
          <w:rFonts w:hint="eastAsia" w:ascii="黑体" w:hAnsi="黑体" w:eastAsia="黑体" w:cs="Times New Roman"/>
          <w:b w:val="0"/>
          <w:color w:val="000000" w:themeColor="text1"/>
          <w14:textFill>
            <w14:solidFill>
              <w14:schemeClr w14:val="tx1"/>
            </w14:solidFill>
          </w14:textFill>
        </w:rPr>
        <w:t>第五节 发展战略</w:t>
      </w:r>
      <w:bookmarkEnd w:id="90"/>
      <w:bookmarkEnd w:id="91"/>
      <w:bookmarkEnd w:id="92"/>
      <w:bookmarkEnd w:id="93"/>
      <w:bookmarkEnd w:id="94"/>
      <w:bookmarkEnd w:id="95"/>
    </w:p>
    <w:p>
      <w:pPr>
        <w:pStyle w:val="9"/>
        <w:spacing w:after="0" w:line="360" w:lineRule="auto"/>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党建统领，凝聚合力。</w:t>
      </w:r>
      <w:r>
        <w:rPr>
          <w:rFonts w:hint="eastAsia" w:ascii="仿宋_GB2312" w:hAnsi="仿宋_GB2312" w:eastAsia="仿宋_GB2312" w:cs="仿宋_GB2312"/>
          <w:color w:val="000000" w:themeColor="text1"/>
          <w:kern w:val="2"/>
          <w:sz w:val="32"/>
          <w:szCs w:val="32"/>
          <w14:textFill>
            <w14:solidFill>
              <w14:schemeClr w14:val="tx1"/>
            </w14:solidFill>
          </w14:textFill>
        </w:rPr>
        <w:t>坚持和完善党领导经济社会发展的体制机制，把握新发展阶段,贯彻新发展理念,构建新发展格局的能力和水平。贯彻新时代党的组织路线，建设一支高素质、敢担当、敢作为的新区干部队伍，不断增强创造力、凝聚力、战斗力，推动制度优势更好转化为治理效能。</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制造为本，创新引领。</w:t>
      </w:r>
      <w:r>
        <w:rPr>
          <w:rFonts w:hint="eastAsia" w:ascii="仿宋_GB2312" w:hAnsi="仿宋_GB2312" w:eastAsia="仿宋_GB2312" w:cs="仿宋_GB2312"/>
          <w:color w:val="000000" w:themeColor="text1"/>
          <w:kern w:val="2"/>
          <w:sz w:val="32"/>
          <w:szCs w:val="32"/>
          <w14:textFill>
            <w14:solidFill>
              <w14:schemeClr w14:val="tx1"/>
            </w14:solidFill>
          </w14:textFill>
        </w:rPr>
        <w:t>始终把制造业作为立区之本，充分激发创新“第一动力”，围绕产业链部署创新链，围绕创新链布局产业链，增强创新对实体经济的支撑牵引作用。促进“强链、稳链、补链”，做强做优汽车制造产业，提速发展战略性新兴产业，推动资源要素、产业政策与工作力量向先进制造和实体经济集聚。加快推进新型创新载体建设，积极深化产教研融合，支持制造业服务化，推动工业互联网、大数据、人工智能与实体经济深度融合，千方百计利用科技创新赋能新区产业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以城促产，城产互促。</w:t>
      </w:r>
      <w:r>
        <w:rPr>
          <w:rFonts w:hint="eastAsia" w:ascii="仿宋_GB2312" w:hAnsi="仿宋_GB2312" w:eastAsia="仿宋_GB2312" w:cs="仿宋_GB2312"/>
          <w:color w:val="000000" w:themeColor="text1"/>
          <w:kern w:val="2"/>
          <w:sz w:val="32"/>
          <w:szCs w:val="32"/>
          <w14:textFill>
            <w14:solidFill>
              <w14:schemeClr w14:val="tx1"/>
            </w14:solidFill>
          </w14:textFill>
        </w:rPr>
        <w:t>聚焦提升城区发展能级量级，加快推进国家新型城镇化综合试点和国家产城融合示范区建设，形成城产互促的良好发展格局。对标一流国家级新区，积极争取国家、自治区和市级重大政策、重大工程、重大项目，加快补齐服务业发展短板，强化综合配套服务功能，打造功能完善、职住平衡、富有活力的柳州城市新中心，迅速聚集人气，实现“以产引人”“以城留人”。加快推动新区核心区域基础设施向雒容、洛埠镇域延伸，完善城市组团功能，实现城乡一体化协调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开放引领，合作共赢。</w:t>
      </w:r>
      <w:r>
        <w:rPr>
          <w:rFonts w:hint="eastAsia" w:ascii="仿宋_GB2312" w:hAnsi="仿宋_GB2312" w:eastAsia="仿宋_GB2312" w:cs="仿宋_GB2312"/>
          <w:color w:val="000000" w:themeColor="text1"/>
          <w:kern w:val="2"/>
          <w:sz w:val="32"/>
          <w:szCs w:val="32"/>
          <w14:textFill>
            <w14:solidFill>
              <w14:schemeClr w14:val="tx1"/>
            </w14:solidFill>
          </w14:textFill>
        </w:rPr>
        <w:t>以更高水平开放促进高质量发展，在开放合作过程中拓展新发展空间。以开放合作平台建设为关键抓手，在有效深化粤桂黔高铁经济带跨区域合作，推动“南向”扩大开放、“东融”加快发展的同时，主动承接欧洲等地区高端产业和科技资源，积极参与“一带一路”国际合作，着力推动优质产能和装备走向国际大市场，在国内国际双循环相互促进中实现经济快速增长和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民生优先，共建共享。</w:t>
      </w:r>
      <w:r>
        <w:rPr>
          <w:rFonts w:hint="eastAsia" w:ascii="仿宋_GB2312" w:hAnsi="仿宋_GB2312" w:eastAsia="仿宋_GB2312" w:cs="仿宋_GB2312"/>
          <w:color w:val="000000" w:themeColor="text1"/>
          <w:kern w:val="2"/>
          <w:sz w:val="32"/>
          <w:szCs w:val="32"/>
          <w14:textFill>
            <w14:solidFill>
              <w14:schemeClr w14:val="tx1"/>
            </w14:solidFill>
          </w14:textFill>
        </w:rPr>
        <w:t>坚持“以人民为中心”的发展思想，强化公共财政对民生服务的支撑保障作用，完善城乡公共服务体系，让发展成果更多惠及广大人民群众。推动实现劳有所得、幼有所育、学有优教、体有所健、病有良医、住有宜居、老有颐养。鼓励社会各界有序参与社会建设社会治理，努力形成共建共享的良好局面。</w:t>
      </w:r>
    </w:p>
    <w:p>
      <w:pPr>
        <w:widowControl/>
        <w:ind w:firstLine="643" w:firstLineChars="200"/>
        <w:jc w:val="left"/>
        <w:rPr>
          <w:rFonts w:ascii="黑体" w:hAnsi="黑体" w:eastAsia="黑体" w:cs="Times New Roman"/>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绿色低碳，集约高效。</w:t>
      </w:r>
      <w:r>
        <w:rPr>
          <w:rFonts w:hint="eastAsia" w:ascii="仿宋_GB2312" w:hAnsi="仿宋_GB2312" w:eastAsia="仿宋_GB2312" w:cs="仿宋_GB2312"/>
          <w:color w:val="000000" w:themeColor="text1"/>
          <w:sz w:val="32"/>
          <w:szCs w:val="32"/>
          <w14:textFill>
            <w14:solidFill>
              <w14:schemeClr w14:val="tx1"/>
            </w14:solidFill>
          </w14:textFill>
        </w:rPr>
        <w:t>坚决贯彻“绿水青山就是金山银山”科学论断，实施“生态立区”发展战略，将生态文明建设贯彻到经济社会发展各项工作中。提高制造业生态效益，提升资源能源节约集约利用效率，实现制造业绿色转型。弘扬生态文明，推动形成绿色、低碳、循环生产方式和生活方式。打造生产空间集约高效、生活空间舒适宜居、生态空间山清水秀的“绿色柳东”，实现经济社会与生态环境协调发展、人与自然和谐共生。</w:t>
      </w:r>
    </w:p>
    <w:p>
      <w:pPr>
        <w:widowControl/>
        <w:jc w:val="left"/>
        <w:rPr>
          <w:rFonts w:ascii="黑体" w:hAnsi="黑体" w:eastAsia="黑体" w:cs="Times New Roman"/>
          <w:bCs/>
          <w:color w:val="000000" w:themeColor="text1"/>
          <w:kern w:val="44"/>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96" w:name="_Toc7544"/>
      <w:bookmarkStart w:id="97" w:name="_Toc32669"/>
      <w:bookmarkStart w:id="98" w:name="_Toc18006"/>
      <w:bookmarkStart w:id="99" w:name="_Toc5835"/>
      <w:bookmarkStart w:id="100" w:name="_Toc24246"/>
      <w:bookmarkStart w:id="101" w:name="_Toc31239"/>
      <w:r>
        <w:rPr>
          <w:rFonts w:hint="eastAsia" w:ascii="黑体" w:hAnsi="黑体" w:eastAsia="黑体" w:cs="Times New Roman"/>
          <w:b w:val="0"/>
          <w:color w:val="000000" w:themeColor="text1"/>
          <w:sz w:val="32"/>
          <w:szCs w:val="32"/>
          <w14:textFill>
            <w14:solidFill>
              <w14:schemeClr w14:val="tx1"/>
            </w14:solidFill>
          </w14:textFill>
        </w:rPr>
        <w:t>第三章 突出创新引领，打造柳州创新创业领航区</w:t>
      </w:r>
      <w:bookmarkEnd w:id="96"/>
      <w:bookmarkEnd w:id="97"/>
      <w:bookmarkEnd w:id="98"/>
      <w:bookmarkEnd w:id="99"/>
      <w:bookmarkEnd w:id="100"/>
      <w:bookmarkEnd w:id="101"/>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深入实施创新驱动战略，强化科技创新对新区高质量发展的核心支撑，全面落实国家创新型试点城市创建工作和国家高新区高质量发展意见，积极围绕产业链布局创新链，深化开放合作加快集聚高端创新要素资源，促进先进科技成果转化，成为面向东盟的区域性现代制造业科技创新中心的核心承载地。</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2" w:name="_Toc18294"/>
      <w:bookmarkStart w:id="103" w:name="_Toc9813"/>
      <w:bookmarkStart w:id="104" w:name="_Toc8491"/>
      <w:bookmarkStart w:id="105" w:name="_Toc18761"/>
      <w:bookmarkStart w:id="106" w:name="_Toc4679"/>
      <w:bookmarkStart w:id="107" w:name="_Toc22475"/>
      <w:r>
        <w:rPr>
          <w:rFonts w:hint="eastAsia" w:ascii="黑体" w:hAnsi="黑体" w:eastAsia="黑体" w:cs="Times New Roman"/>
          <w:b w:val="0"/>
          <w:color w:val="000000" w:themeColor="text1"/>
          <w14:textFill>
            <w14:solidFill>
              <w14:schemeClr w14:val="tx1"/>
            </w14:solidFill>
          </w14:textFill>
        </w:rPr>
        <w:t>第一节 增强技术创新能力</w:t>
      </w:r>
      <w:bookmarkEnd w:id="102"/>
      <w:bookmarkEnd w:id="103"/>
      <w:bookmarkEnd w:id="104"/>
      <w:bookmarkEnd w:id="105"/>
      <w:bookmarkEnd w:id="106"/>
      <w:bookmarkEnd w:id="10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一、强化企业创新主体地位</w:t>
      </w:r>
    </w:p>
    <w:p>
      <w:pPr>
        <w:pStyle w:val="9"/>
        <w:ind w:firstLine="566" w:firstLineChars="177"/>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建立创业项目市场化挖掘机制，</w:t>
      </w:r>
      <w:r>
        <w:rPr>
          <w:rFonts w:hint="eastAsia" w:ascii="仿宋_GB2312" w:hAnsi="仿宋" w:eastAsia="仿宋_GB2312" w:cs="仿宋_GB2312"/>
          <w:color w:val="000000" w:themeColor="text1"/>
          <w:sz w:val="32"/>
          <w:szCs w:val="32"/>
          <w14:textFill>
            <w14:solidFill>
              <w14:schemeClr w14:val="tx1"/>
            </w14:solidFill>
          </w14:textFill>
        </w:rPr>
        <w:t>完善创新示范企业培育体系</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实施科技型中小微企业培育计划，</w:t>
      </w:r>
      <w:r>
        <w:rPr>
          <w:rFonts w:hint="eastAsia" w:ascii="仿宋_GB2312" w:hAnsi="仿宋_GB2312" w:eastAsia="仿宋_GB2312"/>
          <w:color w:val="000000" w:themeColor="text1"/>
          <w:sz w:val="32"/>
          <w:szCs w:val="32"/>
          <w14:textFill>
            <w14:solidFill>
              <w14:schemeClr w14:val="tx1"/>
            </w14:solidFill>
          </w14:textFill>
        </w:rPr>
        <w:t>遴选扶持一批成长速度快、创新能力强、发展潜力大的优质科技型中小企业。</w:t>
      </w:r>
      <w:r>
        <w:rPr>
          <w:rFonts w:hint="eastAsia" w:ascii="仿宋_GB2312" w:hAnsi="仿宋" w:eastAsia="仿宋_GB2312" w:cs="仿宋_GB2312"/>
          <w:color w:val="000000" w:themeColor="text1"/>
          <w:sz w:val="32"/>
          <w:szCs w:val="32"/>
          <w14:textFill>
            <w14:solidFill>
              <w14:schemeClr w14:val="tx1"/>
            </w14:solidFill>
          </w14:textFill>
        </w:rPr>
        <w:t>加大对高新技术企业的个性化精准支持力度，</w:t>
      </w:r>
      <w:r>
        <w:rPr>
          <w:rFonts w:hint="eastAsia" w:ascii="仿宋_GB2312" w:hAnsi="仿宋" w:eastAsia="仿宋_GB2312"/>
          <w:color w:val="000000" w:themeColor="text1"/>
          <w:sz w:val="32"/>
          <w:szCs w:val="32"/>
          <w14:textFill>
            <w14:solidFill>
              <w14:schemeClr w14:val="tx1"/>
            </w14:solidFill>
          </w14:textFill>
        </w:rPr>
        <w:t>努力壮大国家高新技术企业队伍，</w:t>
      </w:r>
      <w:r>
        <w:rPr>
          <w:rFonts w:hint="eastAsia" w:ascii="仿宋_GB2312"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国家高新技术企业</w:t>
      </w:r>
      <w:r>
        <w:rPr>
          <w:rFonts w:hint="eastAsia" w:ascii="仿宋_GB2312" w:eastAsia="仿宋_GB2312"/>
          <w:color w:val="000000" w:themeColor="text1"/>
          <w:sz w:val="32"/>
          <w:szCs w:val="32"/>
          <w14:textFill>
            <w14:solidFill>
              <w14:schemeClr w14:val="tx1"/>
            </w14:solidFill>
          </w14:textFill>
        </w:rPr>
        <w:t>向规上企业迈进，</w:t>
      </w:r>
      <w:r>
        <w:rPr>
          <w:rFonts w:hint="eastAsia" w:ascii="仿宋_GB2312" w:hAnsi="仿宋" w:eastAsia="仿宋_GB2312" w:cs="仿宋_GB2312"/>
          <w:color w:val="000000" w:themeColor="text1"/>
          <w:sz w:val="32"/>
          <w:szCs w:val="32"/>
          <w14:textFill>
            <w14:solidFill>
              <w14:schemeClr w14:val="tx1"/>
            </w14:solidFill>
          </w14:textFill>
        </w:rPr>
        <w:t>培育引进一批具有知识产权的科技型“瞪羚”企业和专精特新“小巨人”企业。</w:t>
      </w:r>
      <w:r>
        <w:rPr>
          <w:rFonts w:hint="eastAsia" w:ascii="仿宋_GB2312" w:hAnsi="仿宋_GB2312" w:eastAsia="仿宋_GB2312"/>
          <w:color w:val="000000" w:themeColor="text1"/>
          <w:sz w:val="32"/>
          <w:szCs w:val="32"/>
          <w14:textFill>
            <w14:solidFill>
              <w14:schemeClr w14:val="tx1"/>
            </w14:solidFill>
          </w14:textFill>
        </w:rPr>
        <w:t>增强高新技术企业的创新引领和示范带动作用，鼓励重点</w:t>
      </w:r>
      <w:r>
        <w:rPr>
          <w:rFonts w:ascii="仿宋_GB2312" w:hAnsi="仿宋_GB2312" w:eastAsia="仿宋_GB2312"/>
          <w:color w:val="000000" w:themeColor="text1"/>
          <w:kern w:val="2"/>
          <w:sz w:val="32"/>
          <w:szCs w:val="32"/>
          <w14:textFill>
            <w14:solidFill>
              <w14:schemeClr w14:val="tx1"/>
            </w14:solidFill>
          </w14:textFill>
        </w:rPr>
        <w:t>企业加大创新研发力度</w:t>
      </w:r>
      <w:r>
        <w:rPr>
          <w:rFonts w:hint="eastAsia" w:ascii="仿宋_GB2312" w:hAnsi="仿宋_GB2312" w:eastAsia="仿宋_GB2312"/>
          <w:color w:val="000000" w:themeColor="text1"/>
          <w:sz w:val="32"/>
          <w:szCs w:val="32"/>
          <w14:textFill>
            <w14:solidFill>
              <w14:schemeClr w14:val="tx1"/>
            </w14:solidFill>
          </w14:textFill>
        </w:rPr>
        <w:t>，</w:t>
      </w:r>
      <w:r>
        <w:rPr>
          <w:rFonts w:ascii="仿宋_GB2312" w:hAnsi="仿宋_GB2312" w:eastAsia="仿宋_GB2312"/>
          <w:color w:val="000000" w:themeColor="text1"/>
          <w:kern w:val="2"/>
          <w:sz w:val="32"/>
          <w:szCs w:val="32"/>
          <w14:textFill>
            <w14:solidFill>
              <w14:schemeClr w14:val="tx1"/>
            </w14:solidFill>
          </w14:textFill>
        </w:rPr>
        <w:t>推行创新项目企业牵头制，针对企业技术需求编制项目指南，支持企业牵头组织实施产业导向类创新项目。</w:t>
      </w:r>
      <w:r>
        <w:rPr>
          <w:rFonts w:hint="eastAsia" w:ascii="仿宋_GB2312" w:eastAsia="仿宋_GB2312"/>
          <w:color w:val="000000" w:themeColor="text1"/>
          <w:sz w:val="32"/>
          <w:szCs w:val="32"/>
          <w14:textFill>
            <w14:solidFill>
              <w14:schemeClr w14:val="tx1"/>
            </w14:solidFill>
          </w14:textFill>
        </w:rPr>
        <w:t>到2025年，力争实现</w:t>
      </w:r>
      <w:r>
        <w:rPr>
          <w:rFonts w:hint="eastAsia" w:ascii="仿宋_GB2312" w:hAnsi="仿宋" w:eastAsia="仿宋_GB2312"/>
          <w:color w:val="000000" w:themeColor="text1"/>
          <w:sz w:val="32"/>
          <w:szCs w:val="32"/>
          <w14:textFill>
            <w14:solidFill>
              <w14:schemeClr w14:val="tx1"/>
            </w14:solidFill>
          </w14:textFill>
        </w:rPr>
        <w:t>国家高新技术企业总数</w:t>
      </w:r>
      <w:r>
        <w:rPr>
          <w:rFonts w:hint="eastAsia" w:ascii="仿宋_GB2312" w:eastAsia="仿宋_GB2312"/>
          <w:color w:val="000000" w:themeColor="text1"/>
          <w:sz w:val="32"/>
          <w:szCs w:val="32"/>
          <w14:textFill>
            <w14:solidFill>
              <w14:schemeClr w14:val="tx1"/>
            </w14:solidFill>
          </w14:textFill>
        </w:rPr>
        <w:t>达到300家。</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二、集聚重大技术创新平台</w:t>
      </w:r>
    </w:p>
    <w:p>
      <w:pPr>
        <w:pStyle w:val="9"/>
        <w:ind w:firstLine="566" w:firstLineChars="177"/>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kern w:val="2"/>
          <w:sz w:val="32"/>
          <w:szCs w:val="32"/>
          <w14:textFill>
            <w14:solidFill>
              <w14:schemeClr w14:val="tx1"/>
            </w14:solidFill>
          </w14:textFill>
        </w:rPr>
        <w:t>汽车及零部件、汽车电子、新材料等产业领域等</w:t>
      </w:r>
      <w:r>
        <w:rPr>
          <w:rFonts w:hint="eastAsia" w:ascii="仿宋_GB2312" w:eastAsia="仿宋_GB2312"/>
          <w:color w:val="000000" w:themeColor="text1"/>
          <w:sz w:val="32"/>
          <w:szCs w:val="32"/>
          <w14:textFill>
            <w14:solidFill>
              <w14:schemeClr w14:val="tx1"/>
            </w14:solidFill>
          </w14:textFill>
        </w:rPr>
        <w:t>新区支柱优势产业领域，</w:t>
      </w:r>
      <w:r>
        <w:rPr>
          <w:rFonts w:hint="eastAsia" w:ascii="仿宋_GB2312" w:hAnsi="仿宋_GB2312" w:eastAsia="仿宋_GB2312"/>
          <w:color w:val="000000" w:themeColor="text1"/>
          <w:kern w:val="2"/>
          <w:sz w:val="32"/>
          <w:szCs w:val="32"/>
          <w14:textFill>
            <w14:solidFill>
              <w14:schemeClr w14:val="tx1"/>
            </w14:solidFill>
          </w14:textFill>
        </w:rPr>
        <w:t>积极争取国家、自治区和市级资源，引进国家实验室，以及国内外知名高校、科研院所到新区落户。优先支持新区现有技术创新平台转建或创建国家</w:t>
      </w:r>
      <w:r>
        <w:rPr>
          <w:rFonts w:hint="eastAsia" w:ascii="仿宋_GB2312" w:hAnsi="仿宋_GB2312" w:eastAsia="仿宋_GB2312"/>
          <w:color w:val="000000" w:themeColor="text1"/>
          <w:sz w:val="32"/>
          <w:szCs w:val="32"/>
          <w14:textFill>
            <w14:solidFill>
              <w14:schemeClr w14:val="tx1"/>
            </w14:solidFill>
          </w14:textFill>
        </w:rPr>
        <w:t>企业技术中心、</w:t>
      </w:r>
      <w:r>
        <w:rPr>
          <w:rFonts w:hint="eastAsia" w:ascii="仿宋_GB2312" w:hAnsi="仿宋_GB2312" w:eastAsia="仿宋_GB2312"/>
          <w:color w:val="000000" w:themeColor="text1"/>
          <w:kern w:val="2"/>
          <w:sz w:val="32"/>
          <w:szCs w:val="32"/>
          <w14:textFill>
            <w14:solidFill>
              <w14:schemeClr w14:val="tx1"/>
            </w14:solidFill>
          </w14:textFill>
        </w:rPr>
        <w:t>国家技术创新中心、国家</w:t>
      </w:r>
      <w:r>
        <w:rPr>
          <w:rFonts w:hint="eastAsia" w:ascii="仿宋_GB2312" w:eastAsia="仿宋_GB2312"/>
          <w:color w:val="000000" w:themeColor="text1"/>
          <w:sz w:val="32"/>
          <w:szCs w:val="32"/>
          <w14:textFill>
            <w14:solidFill>
              <w14:schemeClr w14:val="tx1"/>
            </w14:solidFill>
          </w14:textFill>
        </w:rPr>
        <w:t>制造业创新中心</w:t>
      </w:r>
      <w:r>
        <w:rPr>
          <w:rFonts w:hint="eastAsia" w:ascii="仿宋_GB2312" w:hAnsi="仿宋_GB2312" w:eastAsia="仿宋_GB2312"/>
          <w:color w:val="000000" w:themeColor="text1"/>
          <w:kern w:val="2"/>
          <w:sz w:val="32"/>
          <w:szCs w:val="32"/>
          <w14:textFill>
            <w14:solidFill>
              <w14:schemeClr w14:val="tx1"/>
            </w14:solidFill>
          </w14:textFill>
        </w:rPr>
        <w:t>。支持</w:t>
      </w:r>
      <w:r>
        <w:rPr>
          <w:rFonts w:hint="eastAsia" w:ascii="仿宋_GB2312" w:hAnsi="仿宋_GB2312" w:eastAsia="仿宋_GB2312"/>
          <w:color w:val="000000" w:themeColor="text1"/>
          <w:kern w:val="2"/>
          <w:sz w:val="32"/>
          <w:szCs w:val="32"/>
          <w:lang w:val="zh-CN"/>
          <w14:textFill>
            <w14:solidFill>
              <w14:schemeClr w14:val="tx1"/>
            </w14:solidFill>
          </w14:textFill>
        </w:rPr>
        <w:t>柳州布局建设面向东盟的现代制造业科技创新中心，</w:t>
      </w:r>
      <w:r>
        <w:rPr>
          <w:rFonts w:ascii="仿宋_GB2312" w:hAnsi="仿宋_GB2312" w:eastAsia="仿宋_GB2312"/>
          <w:color w:val="000000" w:themeColor="text1"/>
          <w:kern w:val="2"/>
          <w:sz w:val="32"/>
          <w:szCs w:val="32"/>
          <w14:textFill>
            <w14:solidFill>
              <w14:schemeClr w14:val="tx1"/>
            </w14:solidFill>
          </w14:textFill>
        </w:rPr>
        <w:t>把</w:t>
      </w:r>
      <w:r>
        <w:rPr>
          <w:rFonts w:hint="eastAsia" w:ascii="仿宋_GB2312" w:hAnsi="仿宋_GB2312" w:eastAsia="仿宋_GB2312"/>
          <w:color w:val="000000" w:themeColor="text1"/>
          <w:kern w:val="2"/>
          <w:sz w:val="32"/>
          <w:szCs w:val="32"/>
          <w:lang w:val="zh-CN"/>
          <w14:textFill>
            <w14:solidFill>
              <w14:schemeClr w14:val="tx1"/>
            </w14:solidFill>
          </w14:textFill>
        </w:rPr>
        <w:t>柳东新区建设成为</w:t>
      </w:r>
      <w:r>
        <w:rPr>
          <w:rFonts w:hint="eastAsia" w:ascii="仿宋_GB2312" w:hAnsi="仿宋" w:eastAsia="仿宋_GB2312"/>
          <w:color w:val="000000" w:themeColor="text1"/>
          <w:sz w:val="32"/>
          <w:szCs w:val="32"/>
          <w14:textFill>
            <w14:solidFill>
              <w14:schemeClr w14:val="tx1"/>
            </w14:solidFill>
          </w14:textFill>
        </w:rPr>
        <w:t>科技创新中心的核心承载地</w:t>
      </w:r>
      <w:r>
        <w:rPr>
          <w:rFonts w:hint="eastAsia" w:ascii="仿宋_GB2312" w:hAnsi="仿宋_GB2312" w:eastAsia="仿宋_GB2312"/>
          <w:color w:val="000000" w:themeColor="text1"/>
          <w:kern w:val="2"/>
          <w:sz w:val="32"/>
          <w:szCs w:val="32"/>
          <w:lang w:val="zh-CN"/>
          <w14:textFill>
            <w14:solidFill>
              <w14:schemeClr w14:val="tx1"/>
            </w14:solidFill>
          </w14:textFill>
        </w:rPr>
        <w:t>。</w:t>
      </w:r>
      <w:r>
        <w:rPr>
          <w:rFonts w:hint="eastAsia" w:ascii="仿宋_GB2312" w:hAnsi="仿宋_GB2312" w:eastAsia="仿宋_GB2312"/>
          <w:color w:val="000000" w:themeColor="text1"/>
          <w:kern w:val="2"/>
          <w:sz w:val="32"/>
          <w:szCs w:val="32"/>
          <w14:textFill>
            <w14:solidFill>
              <w14:schemeClr w14:val="tx1"/>
            </w14:solidFill>
          </w14:textFill>
        </w:rPr>
        <w:t>积极支持</w:t>
      </w:r>
      <w:r>
        <w:rPr>
          <w:rFonts w:hint="eastAsia" w:ascii="仿宋_GB2312" w:hAnsi="仿宋_GB2312" w:eastAsia="仿宋_GB2312"/>
          <w:color w:val="000000" w:themeColor="text1"/>
          <w:sz w:val="32"/>
          <w:szCs w:val="32"/>
          <w14:textFill>
            <w14:solidFill>
              <w14:schemeClr w14:val="tx1"/>
            </w14:solidFill>
          </w14:textFill>
        </w:rPr>
        <w:t>有条件的企业积极创建企业研究院、工程技术研究中心</w:t>
      </w:r>
      <w:r>
        <w:rPr>
          <w:rFonts w:hint="eastAsia" w:ascii="仿宋_GB2312" w:eastAsia="仿宋_GB2312"/>
          <w:color w:val="000000" w:themeColor="text1"/>
          <w:sz w:val="32"/>
          <w:szCs w:val="32"/>
          <w14:textFill>
            <w14:solidFill>
              <w14:schemeClr w14:val="tx1"/>
            </w14:solidFill>
          </w14:textFill>
        </w:rPr>
        <w:t>、院士工作站</w:t>
      </w:r>
      <w:r>
        <w:rPr>
          <w:rFonts w:hint="eastAsia" w:ascii="仿宋_GB2312" w:hAnsi="仿宋_GB2312" w:eastAsia="仿宋_GB2312"/>
          <w:color w:val="000000" w:themeColor="text1"/>
          <w:sz w:val="32"/>
          <w:szCs w:val="32"/>
          <w14:textFill>
            <w14:solidFill>
              <w14:schemeClr w14:val="tx1"/>
            </w14:solidFill>
          </w14:textFill>
        </w:rPr>
        <w:t>和博士后工作站，鼓励</w:t>
      </w:r>
      <w:r>
        <w:rPr>
          <w:rFonts w:hint="eastAsia" w:ascii="仿宋_GB2312" w:hAnsi="仿宋_GB2312" w:eastAsia="仿宋_GB2312"/>
          <w:color w:val="000000" w:themeColor="text1"/>
          <w:kern w:val="2"/>
          <w:sz w:val="32"/>
          <w:szCs w:val="32"/>
          <w14:textFill>
            <w14:solidFill>
              <w14:schemeClr w14:val="tx1"/>
            </w14:solidFill>
          </w14:textFill>
        </w:rPr>
        <w:t>企业通过组建联合实验室、产业技术创新联盟</w:t>
      </w:r>
      <w:r>
        <w:rPr>
          <w:rFonts w:hint="eastAsia" w:ascii="仿宋_GB2312" w:eastAsia="仿宋_GB2312"/>
          <w:color w:val="000000" w:themeColor="text1"/>
          <w:sz w:val="32"/>
          <w:szCs w:val="32"/>
          <w14:textFill>
            <w14:solidFill>
              <w14:schemeClr w14:val="tx1"/>
            </w14:solidFill>
          </w14:textFill>
        </w:rPr>
        <w:t>等多种方式建设技术创新平台。加强规模以上工业企业、高新技术企业研发机构建设，对企业联合科研单位建设新型研发机构给予倾斜支持。到2025年，自治区级及以上重点实验室、工程实验室、工程技术研究中心、企业技术中心等各类创新平台达到120家以上。</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专栏3-1 重大技术创新平台布局</w:t>
            </w:r>
          </w:p>
          <w:p>
            <w:pPr>
              <w:adjustRightInd w:val="0"/>
              <w:ind w:firstLine="447" w:firstLineChars="213"/>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加快广西汽车研究院建设和发展，支持铟锡资源高效利用国家工程实验室、</w:t>
            </w:r>
            <w:r>
              <w:rPr>
                <w:rFonts w:cs="宋体" w:asciiTheme="minorEastAsia" w:hAnsiTheme="minorEastAsia"/>
                <w:color w:val="000000" w:themeColor="text1"/>
                <w:szCs w:val="21"/>
                <w14:textFill>
                  <w14:solidFill>
                    <w14:schemeClr w14:val="tx1"/>
                  </w14:solidFill>
                </w14:textFill>
              </w:rPr>
              <w:t>上海交大汽车先进制造技术实验室</w:t>
            </w:r>
            <w:r>
              <w:rPr>
                <w:rFonts w:hint="eastAsia" w:cs="宋体" w:asciiTheme="minorEastAsia" w:hAnsiTheme="minorEastAsia"/>
                <w:color w:val="000000" w:themeColor="text1"/>
                <w:szCs w:val="21"/>
                <w14:textFill>
                  <w14:solidFill>
                    <w14:schemeClr w14:val="tx1"/>
                  </w14:solidFill>
                </w14:textFill>
              </w:rPr>
              <w:t>、吉林大学智能网联车辆动力学实验室、</w:t>
            </w:r>
            <w:r>
              <w:rPr>
                <w:rFonts w:cs="宋体" w:asciiTheme="minorEastAsia" w:hAnsiTheme="minorEastAsia"/>
                <w:color w:val="000000" w:themeColor="text1"/>
                <w:szCs w:val="21"/>
                <w14:textFill>
                  <w14:solidFill>
                    <w14:schemeClr w14:val="tx1"/>
                  </w14:solidFill>
                </w14:textFill>
              </w:rPr>
              <w:t>广工大网络安全技术实验室</w:t>
            </w:r>
            <w:r>
              <w:rPr>
                <w:rFonts w:hint="eastAsia" w:cs="宋体" w:asciiTheme="minorEastAsia" w:hAnsiTheme="minorEastAsia"/>
                <w:color w:val="000000" w:themeColor="text1"/>
                <w:szCs w:val="21"/>
                <w14:textFill>
                  <w14:solidFill>
                    <w14:schemeClr w14:val="tx1"/>
                  </w14:solidFill>
                </w14:textFill>
              </w:rPr>
              <w:t>、国家进出口汽车检测重点实验室柳州分中心、湖大艾盛柳州汽车公共服务平台等平台发展，针对智能网联车辆、车身先进设计制造等领域，争取国家部委和自治区支持建设广西重点实验室等各类高端创新平台。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三、加强关键共性技术攻坚</w:t>
      </w:r>
    </w:p>
    <w:p>
      <w:pPr>
        <w:pStyle w:val="9"/>
        <w:ind w:firstLine="566" w:firstLineChars="177"/>
        <w:rPr>
          <w:rFonts w:ascii="仿宋_GB2312" w:hAnsi="仿宋_GB2312" w:eastAsia="仿宋_GB2312"/>
          <w:color w:val="000000" w:themeColor="text1"/>
          <w:kern w:val="2"/>
          <w:sz w:val="32"/>
          <w:szCs w:val="32"/>
          <w14:textFill>
            <w14:solidFill>
              <w14:schemeClr w14:val="tx1"/>
            </w14:solidFill>
          </w14:textFill>
        </w:rPr>
      </w:pPr>
      <w:r>
        <w:rPr>
          <w:rFonts w:hint="eastAsia" w:ascii="仿宋_GB2312" w:hAnsi="仿宋_GB2312" w:eastAsia="仿宋_GB2312"/>
          <w:color w:val="000000" w:themeColor="text1"/>
          <w:kern w:val="2"/>
          <w:sz w:val="32"/>
          <w:szCs w:val="32"/>
          <w14:textFill>
            <w14:solidFill>
              <w14:schemeClr w14:val="tx1"/>
            </w14:solidFill>
          </w14:textFill>
        </w:rPr>
        <w:t>有效统筹利用各类科技、产业、人才等专项资金，采取“一技一策”“一企一策”等方式，重点在先进制造业优势领域突破一批关键核心技术。重点推进新能源汽车、节能汽车、智能网联汽车及汽车前沿技术开发，推进汽车关键零部件攻关并向市外产业链延伸，推进数字化设计与网络协同制造等智能制造技术攻关；</w:t>
      </w:r>
      <w:r>
        <w:rPr>
          <w:rFonts w:ascii="仿宋_GB2312" w:hAnsi="仿宋_GB2312" w:eastAsia="仿宋_GB2312"/>
          <w:color w:val="000000" w:themeColor="text1"/>
          <w:kern w:val="2"/>
          <w:sz w:val="32"/>
          <w:szCs w:val="32"/>
          <w14:textFill>
            <w14:solidFill>
              <w14:schemeClr w14:val="tx1"/>
            </w14:solidFill>
          </w14:textFill>
        </w:rPr>
        <w:t>加速</w:t>
      </w:r>
      <w:r>
        <w:rPr>
          <w:rFonts w:hint="eastAsia" w:ascii="仿宋_GB2312" w:hAnsi="仿宋_GB2312" w:eastAsia="仿宋_GB2312"/>
          <w:color w:val="000000" w:themeColor="text1"/>
          <w:kern w:val="2"/>
          <w:sz w:val="32"/>
          <w:szCs w:val="32"/>
          <w14:textFill>
            <w14:solidFill>
              <w14:schemeClr w14:val="tx1"/>
            </w14:solidFill>
          </w14:textFill>
        </w:rPr>
        <w:t>驱动“</w:t>
      </w:r>
      <w:r>
        <w:rPr>
          <w:rFonts w:ascii="仿宋_GB2312" w:hAnsi="仿宋_GB2312" w:eastAsia="仿宋_GB2312"/>
          <w:color w:val="000000" w:themeColor="text1"/>
          <w:kern w:val="2"/>
          <w:sz w:val="32"/>
          <w:szCs w:val="32"/>
          <w14:textFill>
            <w14:solidFill>
              <w14:schemeClr w14:val="tx1"/>
            </w14:solidFill>
          </w14:textFill>
        </w:rPr>
        <w:t>两化融合</w:t>
      </w:r>
      <w:r>
        <w:rPr>
          <w:rFonts w:hint="eastAsia" w:ascii="仿宋_GB2312" w:hAnsi="仿宋_GB2312" w:eastAsia="仿宋_GB2312"/>
          <w:color w:val="000000" w:themeColor="text1"/>
          <w:kern w:val="2"/>
          <w:sz w:val="32"/>
          <w:szCs w:val="32"/>
          <w14:textFill>
            <w14:solidFill>
              <w14:schemeClr w14:val="tx1"/>
            </w14:solidFill>
          </w14:textFill>
        </w:rPr>
        <w:t>”，推动高端装备制造等领域的领域智能化和电动化研发，以及核心零部件产业化。支持大型骨干企业牵头组建产业共性技术研发基地，开展前沿先导技术研发和重大战略产品开发，</w:t>
      </w:r>
      <w:r>
        <w:rPr>
          <w:rFonts w:eastAsia="仿宋_GB2312"/>
          <w:color w:val="000000" w:themeColor="text1"/>
          <w:sz w:val="32"/>
          <w:szCs w:val="32"/>
          <w14:textFill>
            <w14:solidFill>
              <w14:schemeClr w14:val="tx1"/>
            </w14:solidFill>
          </w14:textFill>
        </w:rPr>
        <w:t>推动建设一批产业共性技术研发基地</w:t>
      </w:r>
      <w:r>
        <w:rPr>
          <w:rFonts w:hint="eastAsia" w:ascii="仿宋_GB2312" w:hAnsi="仿宋_GB2312" w:eastAsia="仿宋_GB2312"/>
          <w:color w:val="000000" w:themeColor="text1"/>
          <w:kern w:val="2"/>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积极与国内外高校、科研院所合作开展产业共性技术攻关，</w:t>
      </w:r>
      <w:r>
        <w:rPr>
          <w:rFonts w:hint="eastAsia" w:ascii="仿宋_GB2312" w:hAnsi="仿宋_GB2312" w:eastAsia="仿宋_GB2312"/>
          <w:color w:val="000000" w:themeColor="text1"/>
          <w:kern w:val="2"/>
          <w:sz w:val="32"/>
          <w:szCs w:val="32"/>
          <w14:textFill>
            <w14:solidFill>
              <w14:schemeClr w14:val="tx1"/>
            </w14:solidFill>
          </w14:textFill>
        </w:rPr>
        <w:t>加强市区联动，支持企业申请国家部委和自治区级</w:t>
      </w:r>
      <w:r>
        <w:rPr>
          <w:rFonts w:hint="eastAsia" w:ascii="仿宋_GB2312" w:hAnsi="Dotum" w:eastAsia="仿宋_GB2312" w:cs="Arial Unicode MS"/>
          <w:bCs/>
          <w:color w:val="000000" w:themeColor="text1"/>
          <w:sz w:val="32"/>
          <w:szCs w:val="32"/>
          <w14:textFill>
            <w14:solidFill>
              <w14:schemeClr w14:val="tx1"/>
            </w14:solidFill>
          </w14:textFill>
        </w:rPr>
        <w:t>重点研发计划和重大</w:t>
      </w:r>
      <w:r>
        <w:rPr>
          <w:rFonts w:hint="eastAsia" w:ascii="仿宋_GB2312" w:hAnsi="仿宋_GB2312" w:eastAsia="仿宋_GB2312"/>
          <w:color w:val="000000" w:themeColor="text1"/>
          <w:kern w:val="2"/>
          <w:sz w:val="32"/>
          <w:szCs w:val="32"/>
          <w14:textFill>
            <w14:solidFill>
              <w14:schemeClr w14:val="tx1"/>
            </w14:solidFill>
          </w14:textFill>
        </w:rPr>
        <w:t>科技专项。</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8" w:name="_Toc13362"/>
      <w:bookmarkStart w:id="109" w:name="_Toc1457"/>
      <w:bookmarkStart w:id="110" w:name="_Toc7777"/>
      <w:bookmarkStart w:id="111" w:name="_Toc19056"/>
      <w:bookmarkStart w:id="112" w:name="_Toc4927"/>
      <w:bookmarkStart w:id="113" w:name="_Toc21288"/>
      <w:r>
        <w:rPr>
          <w:rFonts w:hint="eastAsia" w:ascii="黑体" w:hAnsi="黑体" w:eastAsia="黑体" w:cs="Times New Roman"/>
          <w:b w:val="0"/>
          <w:color w:val="000000" w:themeColor="text1"/>
          <w14:textFill>
            <w14:solidFill>
              <w14:schemeClr w14:val="tx1"/>
            </w14:solidFill>
          </w14:textFill>
        </w:rPr>
        <w:t>第二节 促进科技成果转化</w:t>
      </w:r>
      <w:bookmarkEnd w:id="108"/>
      <w:bookmarkEnd w:id="109"/>
      <w:bookmarkEnd w:id="110"/>
      <w:bookmarkEnd w:id="111"/>
      <w:bookmarkEnd w:id="112"/>
      <w:bookmarkEnd w:id="113"/>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一、推动创新创业载体量质齐升</w:t>
      </w:r>
    </w:p>
    <w:p>
      <w:pPr>
        <w:pStyle w:val="9"/>
        <w:ind w:firstLine="627" w:firstLineChars="196"/>
        <w:rPr>
          <w:color w:val="000000" w:themeColor="text1"/>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高标准规划建设</w:t>
      </w:r>
      <w:r>
        <w:rPr>
          <w:rFonts w:hint="eastAsia" w:ascii="仿宋_GB2312" w:eastAsia="仿宋_GB2312"/>
          <w:color w:val="000000" w:themeColor="text1"/>
          <w:sz w:val="32"/>
          <w:szCs w:val="32"/>
          <w14:textFill>
            <w14:solidFill>
              <w14:schemeClr w14:val="tx1"/>
            </w14:solidFill>
          </w14:textFill>
        </w:rPr>
        <w:t>“滨江</w:t>
      </w:r>
      <w:r>
        <w:rPr>
          <w:rFonts w:hint="eastAsia" w:ascii="仿宋_GB2312" w:hAnsi="仿宋_GB2312" w:eastAsia="仿宋_GB2312"/>
          <w:color w:val="000000" w:themeColor="text1"/>
          <w:sz w:val="32"/>
          <w:szCs w:val="32"/>
          <w14:textFill>
            <w14:solidFill>
              <w14:schemeClr w14:val="tx1"/>
            </w14:solidFill>
          </w14:textFill>
        </w:rPr>
        <w:t>智谷</w:t>
      </w:r>
      <w:r>
        <w:rPr>
          <w:rFonts w:hint="eastAsia" w:ascii="仿宋_GB2312" w:eastAsia="仿宋_GB2312"/>
          <w:color w:val="000000" w:themeColor="text1"/>
          <w:sz w:val="32"/>
          <w:szCs w:val="32"/>
          <w14:textFill>
            <w14:solidFill>
              <w14:schemeClr w14:val="tx1"/>
            </w14:solidFill>
          </w14:textFill>
        </w:rPr>
        <w:t>”、科技园</w:t>
      </w:r>
      <w:r>
        <w:rPr>
          <w:rFonts w:hint="eastAsia" w:ascii="仿宋_GB2312" w:hAnsi="仿宋_GB2312" w:eastAsia="仿宋_GB2312"/>
          <w:color w:val="000000" w:themeColor="text1"/>
          <w:sz w:val="32"/>
          <w:szCs w:val="32"/>
          <w14:textFill>
            <w14:solidFill>
              <w14:schemeClr w14:val="tx1"/>
            </w14:solidFill>
          </w14:textFill>
        </w:rPr>
        <w:t>，打造</w:t>
      </w:r>
      <w:r>
        <w:rPr>
          <w:rFonts w:hint="eastAsia" w:ascii="仿宋" w:hAnsi="仿宋" w:eastAsia="仿宋" w:cs="仿宋"/>
          <w:color w:val="000000" w:themeColor="text1"/>
          <w:sz w:val="32"/>
          <w:szCs w:val="32"/>
          <w14:textFill>
            <w14:solidFill>
              <w14:schemeClr w14:val="tx1"/>
            </w14:solidFill>
          </w14:textFill>
        </w:rPr>
        <w:t>创新资源集聚、生态环境优美、</w:t>
      </w:r>
      <w:r>
        <w:rPr>
          <w:rFonts w:hint="eastAsia" w:ascii="仿宋_GB2312" w:hAnsi="仿宋_GB2312" w:eastAsia="仿宋_GB2312"/>
          <w:color w:val="000000" w:themeColor="text1"/>
          <w:sz w:val="32"/>
          <w:szCs w:val="32"/>
          <w14:textFill>
            <w14:solidFill>
              <w14:schemeClr w14:val="tx1"/>
            </w14:solidFill>
          </w14:textFill>
        </w:rPr>
        <w:t>储备新区发展后劲的创新创业高地。</w:t>
      </w:r>
      <w:r>
        <w:rPr>
          <w:rFonts w:hint="eastAsia" w:ascii="仿宋_GB2312" w:eastAsia="仿宋_GB2312"/>
          <w:color w:val="000000" w:themeColor="text1"/>
          <w:sz w:val="32"/>
          <w:szCs w:val="32"/>
          <w14:textFill>
            <w14:solidFill>
              <w14:schemeClr w14:val="tx1"/>
            </w14:solidFill>
          </w14:textFill>
        </w:rPr>
        <w:t>积极争取国家和自治区对新区“双创”示范基地的支持，大力提升自治区级以上“双创”示范基地的数量和质量。</w:t>
      </w:r>
      <w:r>
        <w:rPr>
          <w:rFonts w:hint="eastAsia" w:ascii="仿宋_GB2312" w:hAnsi="仿宋_GB2312" w:eastAsia="仿宋_GB2312"/>
          <w:bCs/>
          <w:color w:val="000000" w:themeColor="text1"/>
          <w:sz w:val="32"/>
          <w:szCs w:val="32"/>
          <w14:textFill>
            <w14:solidFill>
              <w14:schemeClr w14:val="tx1"/>
            </w14:solidFill>
          </w14:textFill>
        </w:rPr>
        <w:t>推进现有孵化器提质升级，支持柳州高新技术创业服务中心打造专业化创业服务平台，完善“众创空间（创业苗圃）－孵化器－加速器－专业产业园区”科技创业孵化链条。鼓励龙头企业、高校和科研院所建设一批平台型高质量众创空间。</w:t>
      </w:r>
      <w:r>
        <w:rPr>
          <w:rFonts w:hint="eastAsia" w:ascii="仿宋_GB2312" w:hAnsi="仿宋_GB2312" w:eastAsia="仿宋_GB2312"/>
          <w:color w:val="000000" w:themeColor="text1"/>
          <w:sz w:val="32"/>
          <w:szCs w:val="32"/>
          <w14:textFill>
            <w14:solidFill>
              <w14:schemeClr w14:val="tx1"/>
            </w14:solidFill>
          </w14:textFill>
        </w:rPr>
        <w:t>到2025年</w:t>
      </w:r>
      <w:r>
        <w:rPr>
          <w:rFonts w:ascii="仿宋_GB2312" w:hAnsi="仿宋_GB2312"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建成各类“双创</w:t>
      </w:r>
      <w:r>
        <w:rPr>
          <w:rFonts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载体40家以上，其中国家级、自治区级18家以上</w:t>
      </w:r>
      <w:r>
        <w:rPr>
          <w:rFonts w:hint="eastAsia" w:ascii="仿宋_GB2312" w:hAnsi="仿宋_GB2312" w:eastAsia="仿宋_GB2312" w:cs="Times New Roman"/>
          <w:color w:val="000000" w:themeColor="text1"/>
          <w:sz w:val="32"/>
          <w:szCs w:val="32"/>
          <w14:textFill>
            <w14:solidFill>
              <w14:schemeClr w14:val="tx1"/>
            </w14:solidFill>
          </w14:textFill>
        </w:rPr>
        <w:t>。</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专栏3-2 创新创业载体培育工程</w:t>
            </w:r>
          </w:p>
          <w:p>
            <w:pPr>
              <w:adjustRightInd w:val="0"/>
              <w:ind w:firstLine="411" w:firstLineChars="196"/>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加快规划建设“滨江智谷”；加快建设国家创新创业示范基地；支持国家信息中心大数据</w:t>
            </w:r>
            <w:r>
              <w:rPr>
                <w:rFonts w:cs="宋体" w:asciiTheme="minorEastAsia" w:hAnsiTheme="minorEastAsia"/>
                <w:color w:val="000000" w:themeColor="text1"/>
                <w:szCs w:val="21"/>
                <w14:textFill>
                  <w14:solidFill>
                    <w14:schemeClr w14:val="tx1"/>
                  </w14:solidFill>
                </w14:textFill>
              </w:rPr>
              <w:t>工业应用（柳州）</w:t>
            </w:r>
            <w:r>
              <w:rPr>
                <w:rFonts w:hint="eastAsia" w:cs="宋体" w:asciiTheme="minorEastAsia" w:hAnsiTheme="minorEastAsia"/>
                <w:color w:val="000000" w:themeColor="text1"/>
                <w:szCs w:val="21"/>
                <w14:textFill>
                  <w14:solidFill>
                    <w14:schemeClr w14:val="tx1"/>
                  </w14:solidFill>
                </w14:textFill>
              </w:rPr>
              <w:t>基地、广西智能汽车生态科技孵化器、上海漕河泾柳东创新创业园、猪八戒网柳东数字经济产业园、柳州市海内外高端人才创业创新示范基地、柳州短视频直播基地、广西互联网教育产业园、柳州772数字文化创意产业园、机器人产业集群培育基地等加快发展。</w:t>
            </w:r>
          </w:p>
          <w:p>
            <w:pPr>
              <w:jc w:val="center"/>
              <w:rPr>
                <w:color w:val="000000" w:themeColor="text1"/>
                <w14:textFill>
                  <w14:solidFill>
                    <w14:schemeClr w14:val="tx1"/>
                  </w14:solidFill>
                </w14:textFill>
              </w:rPr>
            </w:pPr>
          </w:p>
        </w:tc>
      </w:tr>
    </w:tbl>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二、搭建优质公共技术服务平台</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lang w:eastAsia="zh-CN"/>
          <w14:textFill>
            <w14:solidFill>
              <w14:schemeClr w14:val="tx1"/>
            </w14:solidFill>
          </w14:textFill>
        </w:rPr>
        <w:t>紧抓</w:t>
      </w:r>
      <w:r>
        <w:rPr>
          <w:rFonts w:hint="eastAsia" w:ascii="仿宋_GB2312" w:hAnsi="仿宋" w:eastAsia="仿宋_GB2312"/>
          <w:color w:val="000000" w:themeColor="text1"/>
          <w:sz w:val="32"/>
          <w:szCs w:val="32"/>
          <w14:textFill>
            <w14:solidFill>
              <w14:schemeClr w14:val="tx1"/>
            </w14:solidFill>
          </w14:textFill>
        </w:rPr>
        <w:t>柳州</w:t>
      </w:r>
      <w:r>
        <w:rPr>
          <w:rFonts w:hint="eastAsia" w:ascii="仿宋_GB2312" w:hAnsi="仿宋" w:eastAsia="仿宋_GB2312"/>
          <w:color w:val="000000" w:themeColor="text1"/>
          <w:sz w:val="32"/>
          <w:szCs w:val="32"/>
          <w:lang w:eastAsia="zh-CN"/>
          <w14:textFill>
            <w14:solidFill>
              <w14:schemeClr w14:val="tx1"/>
            </w14:solidFill>
          </w14:textFill>
        </w:rPr>
        <w:t>国家</w:t>
      </w:r>
      <w:r>
        <w:rPr>
          <w:rFonts w:hint="eastAsia" w:ascii="仿宋_GB2312" w:hAnsi="仿宋" w:eastAsia="仿宋_GB2312"/>
          <w:color w:val="000000" w:themeColor="text1"/>
          <w:sz w:val="32"/>
          <w:szCs w:val="32"/>
          <w14:textFill>
            <w14:solidFill>
              <w14:schemeClr w14:val="tx1"/>
            </w14:solidFill>
          </w14:textFill>
        </w:rPr>
        <w:t>高新区高标准开发建设</w:t>
      </w:r>
      <w:r>
        <w:rPr>
          <w:rFonts w:hint="eastAsia" w:ascii="仿宋_GB2312" w:hAnsi="仿宋" w:eastAsia="仿宋_GB2312"/>
          <w:color w:val="000000" w:themeColor="text1"/>
          <w:sz w:val="32"/>
          <w:szCs w:val="32"/>
          <w:lang w:eastAsia="zh-CN"/>
          <w14:textFill>
            <w14:solidFill>
              <w14:schemeClr w14:val="tx1"/>
            </w14:solidFill>
          </w14:textFill>
        </w:rPr>
        <w:t>的良好</w:t>
      </w:r>
      <w:r>
        <w:rPr>
          <w:rFonts w:hint="eastAsia" w:ascii="仿宋_GB2312" w:hAnsi="仿宋" w:eastAsia="仿宋_GB2312"/>
          <w:color w:val="000000" w:themeColor="text1"/>
          <w:sz w:val="32"/>
          <w:szCs w:val="32"/>
          <w14:textFill>
            <w14:solidFill>
              <w14:schemeClr w14:val="tx1"/>
            </w14:solidFill>
          </w14:textFill>
        </w:rPr>
        <w:t>契机，围绕新区产业特点，以龙头企业自建、政企共建等方式，建设一批面向企业的汽车、装备制造研发设计、试验验证、检验检测等公共技术服务平台，重点加快建设新能源汽车检测中心等技术平台。加快推动国家汽车质量检验中心二期项目工程，进一步完善智能网联及无人驾驶汽车、汽车主动安全、汽车实车碰撞等试验能力。</w:t>
      </w:r>
      <w:r>
        <w:rPr>
          <w:rFonts w:hint="eastAsia" w:ascii="仿宋_GB2312" w:hAnsi="仿宋" w:eastAsia="仿宋_GB2312"/>
          <w:bCs/>
          <w:color w:val="000000" w:themeColor="text1"/>
          <w:sz w:val="32"/>
          <w:szCs w:val="32"/>
          <w14:textFill>
            <w14:solidFill>
              <w14:schemeClr w14:val="tx1"/>
            </w14:solidFill>
          </w14:textFill>
        </w:rPr>
        <w:t>推进上海交大汽车先进制造技术实验室智能制造示范基地、吉林大学智能网联车辆动力学实验室建设，为企业与国内外高校、科研院所开展合作提供专业化服务。</w:t>
      </w:r>
      <w:r>
        <w:rPr>
          <w:rFonts w:hint="eastAsia" w:ascii="仿宋_GB2312" w:hAnsi="仿宋" w:eastAsia="仿宋_GB2312"/>
          <w:color w:val="000000" w:themeColor="text1"/>
          <w:sz w:val="32"/>
          <w:szCs w:val="32"/>
          <w14:textFill>
            <w14:solidFill>
              <w14:schemeClr w14:val="tx1"/>
            </w14:solidFill>
          </w14:textFill>
        </w:rPr>
        <w:t>推动发展工业设计、知识产权、电子商务、创业孵化、信息服务等公共服务平台，形成完善的公共技术服务平台体系。</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专栏3-3 科技创新服务平台建设重点</w:t>
            </w:r>
          </w:p>
          <w:p>
            <w:pPr>
              <w:adjustRightInd w:val="0"/>
              <w:ind w:firstLine="411" w:firstLineChars="196"/>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加快建设国家汽车质量检验中心（广西）二期、汽车测试场等一批项目。</w:t>
            </w:r>
          </w:p>
        </w:tc>
      </w:tr>
    </w:tbl>
    <w:p>
      <w:pPr>
        <w:pStyle w:val="5"/>
        <w:spacing w:before="0" w:after="0" w:line="240" w:lineRule="auto"/>
        <w:ind w:firstLine="627" w:firstLineChars="196"/>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三、健全成果转化市场服务体系</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坚持政府引导、市场主导原则，持续完善技术产业化、知识产权、科技金融等创新服务，推动</w:t>
      </w:r>
      <w:r>
        <w:rPr>
          <w:rFonts w:hint="eastAsia" w:ascii="仿宋_GB2312" w:hAnsi="仿宋" w:eastAsia="仿宋_GB2312"/>
          <w:color w:val="000000" w:themeColor="text1"/>
          <w:sz w:val="32"/>
          <w:szCs w:val="32"/>
          <w:lang w:eastAsia="zh-CN"/>
          <w14:textFill>
            <w14:solidFill>
              <w14:schemeClr w14:val="tx1"/>
            </w14:solidFill>
          </w14:textFill>
        </w:rPr>
        <w:t>柳州国家高新区</w:t>
      </w:r>
      <w:r>
        <w:rPr>
          <w:rFonts w:hint="eastAsia" w:ascii="仿宋_GB2312" w:hAnsi="仿宋" w:eastAsia="仿宋_GB2312"/>
          <w:color w:val="000000" w:themeColor="text1"/>
          <w:sz w:val="32"/>
          <w:szCs w:val="32"/>
          <w14:textFill>
            <w14:solidFill>
              <w14:schemeClr w14:val="tx1"/>
            </w14:solidFill>
          </w14:textFill>
        </w:rPr>
        <w:t>创建国家科技成果转移转化示范区，建立高效的科技创新成果转化服务体系。健全技术转移机制，建设完善科技大市场，加快引进和培育专业性技术转移服务机构，打造区域科技成果交易中心。支持东城集团与国内大型国企、战略投资者、高校院所和创投机构共建重大科技成果产业化落地促进平台。</w:t>
      </w:r>
      <w:r>
        <w:rPr>
          <w:rFonts w:hint="eastAsia" w:eastAsia="仿宋_GB2312"/>
          <w:color w:val="000000" w:themeColor="text1"/>
          <w:sz w:val="32"/>
          <w:szCs w:val="32"/>
          <w14:textFill>
            <w14:solidFill>
              <w14:schemeClr w14:val="tx1"/>
            </w14:solidFill>
          </w14:textFill>
        </w:rPr>
        <w:t>积极申报自治区专利导航项目，筹备成立知识产权联盟以及打造专利池等创新举措，</w:t>
      </w:r>
      <w:r>
        <w:rPr>
          <w:rFonts w:hint="eastAsia" w:ascii="仿宋_GB2312" w:hAnsi="仿宋" w:eastAsia="仿宋_GB2312"/>
          <w:color w:val="000000" w:themeColor="text1"/>
          <w:sz w:val="32"/>
          <w:szCs w:val="32"/>
          <w14:textFill>
            <w14:solidFill>
              <w14:schemeClr w14:val="tx1"/>
            </w14:solidFill>
          </w14:textFill>
        </w:rPr>
        <w:t>积极引进国内外知名知识产权专业服务机构、专业运营机构，提供优质知识产权服务。开展科技和金融结合、投贷联动、金融科技应用等试点，探索设立科技支行等科技金融专营机构，通过科技小额贷款、专利质押融资、股权质押融资、产业引导基金、科技保险等渠道，不断完善科技金融服务体系。“十四五”期内，新区科技服务业营业收入争取实现年均增长10％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14" w:name="_Toc23575"/>
      <w:bookmarkStart w:id="115" w:name="_Toc9952"/>
      <w:bookmarkStart w:id="116" w:name="_Toc22572"/>
      <w:bookmarkStart w:id="117" w:name="_Toc20585"/>
      <w:bookmarkStart w:id="118" w:name="_Toc1931"/>
      <w:bookmarkStart w:id="119" w:name="_Toc25295"/>
      <w:r>
        <w:rPr>
          <w:rFonts w:hint="eastAsia" w:ascii="黑体" w:hAnsi="黑体" w:eastAsia="黑体" w:cs="Times New Roman"/>
          <w:b w:val="0"/>
          <w:color w:val="000000" w:themeColor="text1"/>
          <w14:textFill>
            <w14:solidFill>
              <w14:schemeClr w14:val="tx1"/>
            </w14:solidFill>
          </w14:textFill>
        </w:rPr>
        <w:t>第三节 完善创新创业环境</w:t>
      </w:r>
      <w:bookmarkEnd w:id="114"/>
      <w:bookmarkEnd w:id="115"/>
      <w:bookmarkEnd w:id="116"/>
      <w:bookmarkEnd w:id="117"/>
      <w:bookmarkEnd w:id="118"/>
      <w:bookmarkEnd w:id="119"/>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一、深化科技体制机制改革创新</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力促柳州国家高新区高质量发展，建立高新技术成果产出、转化和产业化机制，攻克一批支撑产业和区域发展的关键核心技术，形成一批自主可控、国际领先的产品，培育一批具有国际竞争力的创新型企业和产业集群，推动柳州国家高新区科技创新综合实力在自治区排名持续保持首位。积极与自治区和国家有关部门对接，争取在国家高新区复制推广自贸试验区和国家自主创新示范区相关试点政策。深化科技创新和职业教育体制机制改革，争取部区市合作共建机制，打造国内一流的产教融合示范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二、健全科技创新政策支撑体系</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持续加大政府财政科技投入，将科技支出作为每年预算保障的重点，确保财政科技支出只增不减。加快推进财政科技投入体制机制改革，综合运用无偿资助、后补助、政府采购、风险补偿、股权投资等多种投入方式，增强财政资金的杠杆效应。扩大科技创新券适用范围，支持高校、科研院所科技人员个人申领使用科技创新券，服务企业科技成果转移转化。完善政府采购企业创新产品和服务政策，探索推行政府首购、订购和“三首”（首台套、首批次、首版次）的应用示范政策。</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三、营造创新创业良好氛围</w:t>
      </w:r>
    </w:p>
    <w:p>
      <w:pPr>
        <w:pStyle w:val="9"/>
        <w:spacing w:after="0"/>
        <w:ind w:firstLine="640" w:firstLineChars="200"/>
        <w:rPr>
          <w:rFonts w:ascii="仿宋_GB2312" w:eastAsia="仿宋_GB2312"/>
          <w:bCs/>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推动国家“双创”示范基地建设，加大知识产权保护力度，严厉打击侵犯知识产权的不法行为，为新区企业知识产权保护和涉外知识产权维权援助保驾护航。加强对新区标志性创新平台、重大科技项目的舆论宣传，广泛凝聚社会共识，推动形成争创一流国家级高新区的良好态势。积极组织和承办各类国家级、自治区级创新创业大赛，激发“草根”创业创新潜力，促进新业态、新模式发展，构建产业上下游融合生态圈。推动青年就业见习计划、青年创业创新行动，宣传创业文化，培育企业家精神，营造诚实守信、鼓励探索、宽容失败的良好创新氛围，形成大众创业、万众创新的生动局面。</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20" w:name="_Toc22771"/>
      <w:bookmarkStart w:id="121" w:name="_Toc30323"/>
      <w:bookmarkStart w:id="122" w:name="_Toc4673"/>
      <w:bookmarkStart w:id="123" w:name="_Toc27319"/>
      <w:bookmarkStart w:id="124" w:name="_Toc313"/>
      <w:bookmarkStart w:id="125" w:name="_Toc7883"/>
      <w:r>
        <w:rPr>
          <w:rFonts w:hint="eastAsia" w:ascii="黑体" w:hAnsi="黑体" w:eastAsia="黑体" w:cs="Times New Roman"/>
          <w:b w:val="0"/>
          <w:color w:val="000000" w:themeColor="text1"/>
          <w14:textFill>
            <w14:solidFill>
              <w14:schemeClr w14:val="tx1"/>
            </w14:solidFill>
          </w14:textFill>
        </w:rPr>
        <w:t>第四节 汇聚创新创业人才</w:t>
      </w:r>
      <w:bookmarkEnd w:id="120"/>
      <w:bookmarkEnd w:id="121"/>
      <w:bookmarkEnd w:id="122"/>
      <w:bookmarkEnd w:id="123"/>
      <w:bookmarkEnd w:id="124"/>
      <w:bookmarkEnd w:id="125"/>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一、加大高层次人才引培力度</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突出“高精尖缺”导向，建立重点产业急需紧缺人才目录，搭建急需紧缺人才对接平台，以需求为导向定向精准引才。以加快发展现代服务业为抓手，增强园区产业配套和综合服务能力，提高劳动力的根植性和产业对高端人才的吸附力，实现“以产引人”。依托柳州海创基地，通过邀请来访、</w:t>
      </w:r>
      <w:r>
        <w:rPr>
          <w:rFonts w:hint="eastAsia" w:ascii="仿宋_GB2312" w:hAnsi="仿宋" w:eastAsia="仿宋_GB2312"/>
          <w:color w:val="000000" w:themeColor="text1"/>
          <w:sz w:val="32"/>
          <w:szCs w:val="32"/>
          <w:lang w:eastAsia="zh-CN"/>
          <w14:textFill>
            <w14:solidFill>
              <w14:schemeClr w14:val="tx1"/>
            </w14:solidFill>
          </w14:textFill>
        </w:rPr>
        <w:t>举办</w:t>
      </w:r>
      <w:r>
        <w:rPr>
          <w:rFonts w:hint="eastAsia" w:ascii="仿宋_GB2312" w:hAnsi="仿宋" w:eastAsia="仿宋_GB2312"/>
          <w:color w:val="000000" w:themeColor="text1"/>
          <w:sz w:val="32"/>
          <w:szCs w:val="32"/>
          <w14:textFill>
            <w14:solidFill>
              <w14:schemeClr w14:val="tx1"/>
            </w14:solidFill>
          </w14:textFill>
        </w:rPr>
        <w:t>高端论坛、项目合作等方式，积极拓展国际人才交流与合作，对接潜在合作国内外专家。加强与国内知名院校、知名高新企业之间的合作，加强与海外同学会、海外商会、海外高校院所等机构之间的联络，充分利用中国－东盟（柳州）汽车工业博览会、创新创业大赛、创客大赛、“互联网+”大学生创新创业大赛等平台集聚创新创业要素，创新市场化引才机制，不断拓宽国际国内人才招揽渠道。通过顾问指导、挂职、兼职、技术咨询、退休特聘等多种形式，多管齐下加大柔性引才力度。</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二、壮大工匠型技能人才队伍</w:t>
      </w:r>
    </w:p>
    <w:p>
      <w:pPr>
        <w:pStyle w:val="9"/>
        <w:spacing w:after="0"/>
        <w:ind w:firstLine="643" w:firstLineChars="201"/>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汽车等重点产业领域，培育引进一批一流工程师人才，做强新区产业发展的中坚力量。积极推动职教园区拓展区规划建设，充分利用职教园区人才储备优势，引导学生在柳东新区就业创业，鼓励企业利用新区职业教育培训资源，推进校企合作，支持高职院校与新区主导产业关联学科建设，培养造就一大批面向生产一线的技术技能人才。联合各方力量探索规划建设“中欧工匠学院”，推动</w:t>
      </w:r>
      <w:r>
        <w:rPr>
          <w:rFonts w:hint="eastAsia" w:ascii="仿宋_GB2312" w:hAnsi="仿宋_GB2312" w:eastAsia="仿宋_GB2312" w:cs="仿宋_GB2312"/>
          <w:color w:val="000000" w:themeColor="text1"/>
          <w:sz w:val="32"/>
          <w:szCs w:val="32"/>
          <w14:textFill>
            <w14:solidFill>
              <w14:schemeClr w14:val="tx1"/>
            </w14:solidFill>
          </w14:textFill>
        </w:rPr>
        <w:t>企业与地方院校共同开发教学资源和培训项目。</w:t>
      </w:r>
      <w:r>
        <w:rPr>
          <w:rFonts w:hint="eastAsia" w:ascii="仿宋_GB2312" w:hAnsi="宋体" w:eastAsia="仿宋_GB2312" w:cs="仿宋_GB2312"/>
          <w:color w:val="000000" w:themeColor="text1"/>
          <w:sz w:val="32"/>
          <w:szCs w:val="32"/>
          <w14:textFill>
            <w14:solidFill>
              <w14:schemeClr w14:val="tx1"/>
            </w14:solidFill>
          </w14:textFill>
        </w:rPr>
        <w:t>加强技能大师工作室、技师工作站、高技能人才培训基地等</w:t>
      </w:r>
      <w:r>
        <w:rPr>
          <w:rFonts w:hint="eastAsia" w:ascii="仿宋_GB2312" w:hAnsi="宋体" w:eastAsia="仿宋_GB2312"/>
          <w:color w:val="000000" w:themeColor="text1"/>
          <w:sz w:val="32"/>
          <w:szCs w:val="32"/>
          <w14:textFill>
            <w14:solidFill>
              <w14:schemeClr w14:val="tx1"/>
            </w14:solidFill>
          </w14:textFill>
        </w:rPr>
        <w:t>工匠基地建设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积极推进“工匠精神”深入企业、深入生产一线，培育</w:t>
      </w:r>
      <w:r>
        <w:rPr>
          <w:rFonts w:hint="eastAsia" w:ascii="仿宋_GB2312" w:hAnsi="仿宋_GB2312" w:eastAsia="仿宋_GB2312" w:cs="仿宋_GB2312"/>
          <w:color w:val="000000" w:themeColor="text1"/>
          <w:sz w:val="32"/>
          <w:szCs w:val="32"/>
          <w14:textFill>
            <w14:solidFill>
              <w14:schemeClr w14:val="tx1"/>
            </w14:solidFill>
          </w14:textFill>
        </w:rPr>
        <w:t>集聚</w:t>
      </w:r>
      <w:r>
        <w:rPr>
          <w:rFonts w:hint="eastAsia" w:ascii="仿宋_GB2312" w:hAnsi="仿宋" w:eastAsia="仿宋_GB2312"/>
          <w:color w:val="000000" w:themeColor="text1"/>
          <w:sz w:val="32"/>
          <w:szCs w:val="32"/>
          <w14:textFill>
            <w14:solidFill>
              <w14:schemeClr w14:val="tx1"/>
            </w14:solidFill>
          </w14:textFill>
        </w:rPr>
        <w:t>一批技术专业、勇于创新、追求卓越的优秀工匠型技能人才。</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三、构建完善的人才服务体系</w:t>
      </w:r>
    </w:p>
    <w:p>
      <w:pPr>
        <w:pStyle w:val="9"/>
        <w:spacing w:after="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不断完善新区综合服务功能，打造众创空间、孵化器等高品质创新载体，整合资源，汇聚高端人才，完善创新服务体系。强化人才服务配套工作，整合人力资源服务机构、创业孵化组织、金融机构等组织力量，加快建设人才创新创业综合服务平台，提供一站式、多元化、全链条的人才服务，打通人才流动通道。实施分层分类的人才服务工程，为重点人才提供量身定制的创新创业服务。积极为各类优秀人才提供更加优质高效的户籍办理、公共服务、项目对接、商事登记等绿色通道。做好优秀人才的住房保障工作，完善人才公寓服务管理，实施“配售、配租、补贴”等三位一体的人才住房政策，完善配套设施，营造富有吸引力的人才宜居环境。</w:t>
      </w:r>
    </w:p>
    <w:p>
      <w:pPr>
        <w:widowControl/>
        <w:jc w:val="left"/>
        <w:rPr>
          <w:rFonts w:ascii="黑体" w:hAnsi="黑体" w:eastAsia="黑体" w:cs="宋体"/>
          <w:bCs/>
          <w:color w:val="000000" w:themeColor="text1"/>
          <w:kern w:val="36"/>
          <w:sz w:val="32"/>
          <w:szCs w:val="32"/>
          <w14:textFill>
            <w14:solidFill>
              <w14:schemeClr w14:val="tx1"/>
            </w14:solidFill>
          </w14:textFill>
        </w:rPr>
      </w:pPr>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26" w:name="_Toc12906"/>
      <w:bookmarkStart w:id="127" w:name="_Toc22901"/>
      <w:bookmarkStart w:id="128" w:name="_Toc17628"/>
      <w:bookmarkStart w:id="129" w:name="_Toc10082"/>
      <w:bookmarkStart w:id="130" w:name="_Toc26606"/>
      <w:bookmarkStart w:id="131" w:name="_Toc12597"/>
      <w:r>
        <w:rPr>
          <w:rFonts w:hint="eastAsia" w:ascii="黑体" w:hAnsi="黑体" w:eastAsia="黑体" w:cs="Times New Roman"/>
          <w:b w:val="0"/>
          <w:color w:val="000000" w:themeColor="text1"/>
          <w:sz w:val="32"/>
          <w:szCs w:val="32"/>
          <w14:textFill>
            <w14:solidFill>
              <w14:schemeClr w14:val="tx1"/>
            </w14:solidFill>
          </w14:textFill>
        </w:rPr>
        <w:t>第四章 聚力高质量发展，打造升级版广西柳州汽车城</w:t>
      </w:r>
      <w:bookmarkEnd w:id="126"/>
      <w:bookmarkEnd w:id="127"/>
      <w:bookmarkEnd w:id="128"/>
      <w:bookmarkEnd w:id="129"/>
      <w:bookmarkEnd w:id="130"/>
      <w:bookmarkEnd w:id="131"/>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抓住新一轮技术革命和产业变革的历史机遇，凝心聚力抓产业，真抓实干培育发展新动能，坚定发展实体经济，推进产业基础高级化、产业链现代化，提高经济效益和核心竞争力，全面打造“1+3+5”的现代产业体系，</w:t>
      </w:r>
      <w:r>
        <w:rPr>
          <w:rFonts w:ascii="仿宋_GB2312" w:eastAsia="仿宋_GB2312"/>
          <w:color w:val="000000" w:themeColor="text1"/>
          <w:sz w:val="32"/>
          <w14:textFill>
            <w14:solidFill>
              <w14:schemeClr w14:val="tx1"/>
            </w14:solidFill>
          </w14:textFill>
        </w:rPr>
        <w:t>加快形成</w:t>
      </w:r>
      <w:r>
        <w:rPr>
          <w:rFonts w:hint="eastAsia" w:ascii="仿宋_GB2312" w:hAnsi="仿宋_GB2312" w:eastAsia="仿宋_GB2312" w:cs="仿宋_GB2312"/>
          <w:color w:val="000000" w:themeColor="text1"/>
          <w:sz w:val="32"/>
          <w14:textFill>
            <w14:solidFill>
              <w14:schemeClr w14:val="tx1"/>
            </w14:solidFill>
          </w14:textFill>
        </w:rPr>
        <w:t>“一主多专”的</w:t>
      </w:r>
      <w:r>
        <w:rPr>
          <w:rFonts w:ascii="仿宋_GB2312" w:eastAsia="仿宋_GB2312"/>
          <w:color w:val="000000" w:themeColor="text1"/>
          <w:sz w:val="32"/>
          <w14:textFill>
            <w14:solidFill>
              <w14:schemeClr w14:val="tx1"/>
            </w14:solidFill>
          </w14:textFill>
        </w:rPr>
        <w:t>产业多元化发展格局和新的经济增长极</w:t>
      </w:r>
      <w:r>
        <w:rPr>
          <w:rFonts w:hint="eastAsia" w:ascii="仿宋_GB2312" w:eastAsia="仿宋_GB2312"/>
          <w:color w:val="000000" w:themeColor="text1"/>
          <w:sz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立足广西建设西部制造强区，立足柳州构筑现代制造城核心区，立足新区打造广西柳州汽车城升级版。</w:t>
      </w:r>
    </w:p>
    <w:p>
      <w:pPr>
        <w:ind w:firstLine="420" w:firstLineChars="200"/>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2" w:name="_Toc19287"/>
      <w:bookmarkStart w:id="133" w:name="_Toc13183"/>
      <w:bookmarkStart w:id="134" w:name="_Toc2716"/>
      <w:bookmarkStart w:id="135" w:name="_Toc1085"/>
      <w:bookmarkStart w:id="136" w:name="_Toc3162"/>
      <w:bookmarkStart w:id="137" w:name="_Toc13061"/>
      <w:r>
        <w:rPr>
          <w:rFonts w:hint="eastAsia" w:ascii="黑体" w:hAnsi="黑体" w:eastAsia="黑体" w:cs="Times New Roman"/>
          <w:b w:val="0"/>
          <w:color w:val="000000" w:themeColor="text1"/>
          <w14:textFill>
            <w14:solidFill>
              <w14:schemeClr w14:val="tx1"/>
            </w14:solidFill>
          </w14:textFill>
        </w:rPr>
        <w:t xml:space="preserve">第一节 </w:t>
      </w:r>
      <w:bookmarkEnd w:id="132"/>
      <w:bookmarkEnd w:id="133"/>
      <w:bookmarkEnd w:id="134"/>
      <w:bookmarkEnd w:id="135"/>
      <w:r>
        <w:rPr>
          <w:rFonts w:hint="eastAsia" w:ascii="黑体" w:hAnsi="黑体" w:eastAsia="黑体" w:cs="Times New Roman"/>
          <w:b w:val="0"/>
          <w:color w:val="000000" w:themeColor="text1"/>
          <w14:textFill>
            <w14:solidFill>
              <w14:schemeClr w14:val="tx1"/>
            </w14:solidFill>
          </w14:textFill>
        </w:rPr>
        <w:t>全速驱动汽车产业跨越升级</w:t>
      </w:r>
      <w:bookmarkEnd w:id="136"/>
      <w:bookmarkEnd w:id="137"/>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一、构建融合创新发展新格局</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建设升级版广西柳州汽车城，聚焦汽车核心技术和未来发展新趋势，发挥四大整车企业的龙头带动作用，全面推进“新四化”的产品布局，构建“高端研发、高质制造、高端服务”新型汽车产业生态体系、打造国内一流、国际先进的汽车产业集群，实现从规模速度型向质量效益型转变。立足</w:t>
      </w:r>
      <w:r>
        <w:rPr>
          <w:rFonts w:ascii="Times New Roman" w:hAnsi="Times New Roman" w:eastAsia="仿宋_GB2312" w:cs="Times New Roman"/>
          <w:color w:val="000000" w:themeColor="text1"/>
          <w:sz w:val="32"/>
          <w:szCs w:val="32"/>
          <w14:textFill>
            <w14:solidFill>
              <w14:schemeClr w14:val="tx1"/>
            </w14:solidFill>
          </w14:textFill>
        </w:rPr>
        <w:t>国六标准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低碳智联</w:t>
      </w:r>
      <w:r>
        <w:rPr>
          <w:rFonts w:hint="eastAsia" w:ascii="Times New Roman" w:hAnsi="Times New Roman" w:eastAsia="仿宋_GB2312" w:cs="Times New Roman"/>
          <w:color w:val="000000" w:themeColor="text1"/>
          <w:sz w:val="32"/>
          <w:szCs w:val="32"/>
          <w14:textFill>
            <w14:solidFill>
              <w14:schemeClr w14:val="tx1"/>
            </w14:solidFill>
          </w14:textFill>
        </w:rPr>
        <w:t>、新能源等领域，</w:t>
      </w:r>
      <w:r>
        <w:rPr>
          <w:rFonts w:hint="eastAsia" w:eastAsia="仿宋_GB2312"/>
          <w:color w:val="000000" w:themeColor="text1"/>
          <w:sz w:val="32"/>
          <w:szCs w:val="32"/>
          <w14:textFill>
            <w14:solidFill>
              <w14:schemeClr w14:val="tx1"/>
            </w14:solidFill>
          </w14:textFill>
        </w:rPr>
        <w:t>持续推动汽车产业做大做强做优，推动汽车制造企业服务化加速发展，促进汽车跨界融合、创新发展和品牌化发展，形成新能源汽车、智能网联汽车和先进节能汽车梯次、融合发展新格局。</w:t>
      </w:r>
      <w:r>
        <w:rPr>
          <w:rFonts w:hint="eastAsia" w:eastAsia="仿宋_GB2312"/>
          <w:color w:val="000000" w:themeColor="text1"/>
          <w:sz w:val="32"/>
          <w:szCs w:val="32"/>
          <w:lang w:eastAsia="zh-CN"/>
          <w14:textFill>
            <w14:solidFill>
              <w14:schemeClr w14:val="tx1"/>
            </w14:solidFill>
          </w14:textFill>
        </w:rPr>
        <w:t>力</w:t>
      </w:r>
      <w:r>
        <w:rPr>
          <w:rFonts w:hint="eastAsia" w:eastAsia="仿宋_GB2312"/>
          <w:color w:val="000000" w:themeColor="text1"/>
          <w:sz w:val="32"/>
          <w:szCs w:val="32"/>
          <w14:textFill>
            <w14:solidFill>
              <w14:schemeClr w14:val="tx1"/>
            </w14:solidFill>
          </w14:textFill>
        </w:rPr>
        <w:t>争到2025年，汽车工业总产值突破1200亿元。</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二、推动汽车产品迭代升级</w:t>
      </w:r>
    </w:p>
    <w:p>
      <w:pPr>
        <w:numPr>
          <w:ilvl w:val="255"/>
          <w:numId w:val="0"/>
        </w:numPr>
        <w:ind w:firstLine="640" w:firstLineChars="200"/>
        <w:rPr>
          <w:rFonts w:ascii="仿宋_GB2312"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巩固提升乘用车发展优势，增强商用、专用车品牌竞争力、生命力，依托上汽通用五菱宝骏基地、东风柳汽乘用车及商用车基地、广西汽车集团专用车生产基地、一汽解放柳州新基地等四大整车基地的产业基础，</w:t>
      </w:r>
      <w:r>
        <w:rPr>
          <w:rFonts w:hint="eastAsia" w:ascii="仿宋_GB2312" w:eastAsia="仿宋_GB2312"/>
          <w:color w:val="000000" w:themeColor="text1"/>
          <w:sz w:val="32"/>
          <w:szCs w:val="32"/>
          <w14:textFill>
            <w14:solidFill>
              <w14:schemeClr w14:val="tx1"/>
            </w14:solidFill>
          </w14:textFill>
        </w:rPr>
        <w:t>不断丰富完善普通</w:t>
      </w:r>
      <w:r>
        <w:rPr>
          <w:rFonts w:hint="eastAsia" w:eastAsia="仿宋_GB2312"/>
          <w:color w:val="000000" w:themeColor="text1"/>
          <w:sz w:val="32"/>
          <w:szCs w:val="32"/>
          <w14:textFill>
            <w14:solidFill>
              <w14:schemeClr w14:val="tx1"/>
            </w14:solidFill>
          </w14:textFill>
        </w:rPr>
        <w:t>燃油、新能源和混合动力平台汽车</w:t>
      </w:r>
      <w:r>
        <w:rPr>
          <w:rFonts w:hint="eastAsia" w:ascii="仿宋_GB2312" w:eastAsia="仿宋_GB2312"/>
          <w:color w:val="000000" w:themeColor="text1"/>
          <w:sz w:val="32"/>
          <w:szCs w:val="32"/>
          <w14:textFill>
            <w14:solidFill>
              <w14:schemeClr w14:val="tx1"/>
            </w14:solidFill>
          </w14:textFill>
        </w:rPr>
        <w:t>产品线，加快乘用车、商用车、特种车新车型研发，拓展</w:t>
      </w:r>
      <w:r>
        <w:rPr>
          <w:rFonts w:hint="eastAsia" w:eastAsia="仿宋_GB2312"/>
          <w:color w:val="000000" w:themeColor="text1"/>
          <w:sz w:val="32"/>
          <w:szCs w:val="32"/>
          <w14:textFill>
            <w14:solidFill>
              <w14:schemeClr w14:val="tx1"/>
            </w14:solidFill>
          </w14:textFill>
        </w:rPr>
        <w:t>房车、观光车、改装车为重点的旅游交通车辆和装备，促进品牌产品迭代升级，</w:t>
      </w:r>
      <w:r>
        <w:rPr>
          <w:rFonts w:hint="eastAsia" w:ascii="仿宋_GB2312" w:eastAsia="仿宋_GB2312"/>
          <w:color w:val="000000" w:themeColor="text1"/>
          <w:sz w:val="32"/>
          <w:szCs w:val="32"/>
          <w14:textFill>
            <w14:solidFill>
              <w14:schemeClr w14:val="tx1"/>
            </w14:solidFill>
          </w14:textFill>
        </w:rPr>
        <w:t>实现整车产品价值向中高端迈进。</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三、重点发展新能源汽车</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坚定不移持续巩固新能源汽车在新区“十四五”产业发展格局中的核心地位，全面夯实产业基础，聚力补链、延链、强链提升发展优势，提速构建新能源汽车产业发展新生态。重点聚焦“新四化”和“三电”等关键领域，围绕纯电动汽车、插电式混合动力（含增程式）汽车、燃料电池汽车等主要品类布局整车技术创新链，研发新一代模块化高性能整车平台，攻关纯电动汽车底盘一体化设计、多能源动力系统集成技术，突破整车智能能量管理控制、轻量化、低摩阻等共性节能技术，提升电池管理、充电连接、结构设计等安全技术水平，以整车集成技术的持续创新全面提高新能源汽车整车综合性能，实现新区新能源汽车品牌认可度、产品美誉度及影响力显著增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四、构建汽车全产业链生态圈</w:t>
      </w:r>
    </w:p>
    <w:p>
      <w:pPr>
        <w:numPr>
          <w:ilvl w:val="255"/>
          <w:numId w:val="0"/>
        </w:numPr>
        <w:ind w:firstLine="640" w:firstLineChars="200"/>
        <w:rPr>
          <w:rFonts w:ascii="仿宋_GB2312" w:hAnsi="仿宋_GB2312" w:eastAsia="仿宋_GB2312" w:cs="仿宋_GB2312"/>
          <w:i/>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做优本地配套和国产替代，提升核心部件生产和技术优势，保障产业链衔接紧密。围绕整车基地优化零部件产业布局，加快建设商用车、专用车零部件产业园，突破汽车电子以及轻量化零部件、高端制造等产业链短板，发挥汽车产业供应集群效应，全面打造电动化、智能网联化零部件供应体系。持续推进汽车整车及零部件产业集群建设，培育具有国际国内竞争力的零部件企业，实现汽车零部件综合配套率达到60%以上，形成从零部件到整车的全产业链生态体系。围绕产业链具体推进补短板、强弱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推动涡轮增压等节能型发动机自主研发和生产，重点发展活塞、曲轴、燃油喷射系统、喷油器、涡轮增压器、电控装置等高技术含量、高附加值的发动机零部件。支持发展离合器、传动轴，变速器总成、驱动桥、空气悬架、方向机等传动系统、悬架系统和转向系统，配套发展空调、座椅、内饰、仪表板总成、安全气囊及其控制模块、轮毂以及适合轻量化车身使用的材料、型材和链接件等车身附件及安全系统部件。重点支持上汽变速器、联合电子、耐世特、玲珑轮胎等一批优质零部件企业加快发展，推进兆丰汽车零部件及配件制造等项目建设投产。对接新能源汽车制造与使用需求，打造动力电池产业园，</w:t>
      </w:r>
      <w:r>
        <w:rPr>
          <w:rFonts w:hint="eastAsia" w:ascii="仿宋_GB2312" w:hAnsi="仿宋_GB2312" w:eastAsia="仿宋_GB2312" w:cs="仿宋_GB2312"/>
          <w:color w:val="000000" w:themeColor="text1"/>
          <w:sz w:val="32"/>
          <w14:textFill>
            <w14:solidFill>
              <w14:schemeClr w14:val="tx1"/>
            </w14:solidFill>
          </w14:textFill>
        </w:rPr>
        <w:t>统筹推进新能源动力电池、电池材料研发生产和电池梯次利用技术开发应用；</w:t>
      </w:r>
      <w:r>
        <w:rPr>
          <w:rFonts w:hint="eastAsia" w:ascii="仿宋_GB2312" w:hAnsi="仿宋_GB2312" w:eastAsia="仿宋_GB2312" w:cs="仿宋_GB2312"/>
          <w:color w:val="000000" w:themeColor="text1"/>
          <w:sz w:val="32"/>
          <w:szCs w:val="32"/>
          <w14:textFill>
            <w14:solidFill>
              <w14:schemeClr w14:val="tx1"/>
            </w14:solidFill>
          </w14:textFill>
        </w:rPr>
        <w:t>加快国轩高科动力电池生产基地建设，形成新能源动力电池制造领先优势；着力推动新能源充电桩研发制造与应用，发展高比能锂离子电池，支持燃料（氢能）电池研发和布局。完善驱动电机与电力电子技术供给体系，探索新一代车用电机驱动系统解决方案。</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五、抓好前沿领域攻关破局</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持续突破高效节能型发动机系统、高效自动变速器、整车及零部件轻量化、尾气排放处理装置等汽车节能关键技术，加大节能环保汽车推广应用力度；</w:t>
      </w:r>
      <w:r>
        <w:rPr>
          <w:rFonts w:hint="eastAsia" w:eastAsia="仿宋_GB2312"/>
          <w:color w:val="000000" w:themeColor="text1"/>
          <w:sz w:val="32"/>
          <w:szCs w:val="32"/>
          <w14:textFill>
            <w14:solidFill>
              <w14:schemeClr w14:val="tx1"/>
            </w14:solidFill>
          </w14:textFill>
        </w:rPr>
        <w:t>积极布局智能网联汽车，鼓励汽车整车及相关企业协同推进智能网联汽车技术研发，建设基于环境感知、智能决策、协同控制、与北斗等高精度定位兼容的国家智能网联汽车示范区；深入创建国家车联网先导区，推动相关硬件生产和软件研发体系发展。</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六、创新汽车推广应用服务模式</w:t>
      </w:r>
    </w:p>
    <w:p>
      <w:pPr>
        <w:numPr>
          <w:ilvl w:val="255"/>
          <w:numId w:val="0"/>
        </w:num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协同</w:t>
      </w:r>
      <w:r>
        <w:rPr>
          <w:rFonts w:ascii="Times New Roman" w:hAnsi="Times New Roman" w:eastAsia="仿宋_GB2312" w:cs="Times New Roman"/>
          <w:color w:val="000000" w:themeColor="text1"/>
          <w:sz w:val="32"/>
          <w:szCs w:val="32"/>
          <w14:textFill>
            <w14:solidFill>
              <w14:schemeClr w14:val="tx1"/>
            </w14:solidFill>
          </w14:textFill>
        </w:rPr>
        <w:t>培育</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上汽通用五菱</w:t>
      </w:r>
      <w:r>
        <w:rPr>
          <w:rFonts w:ascii="Times New Roman" w:hAnsi="Times New Roman" w:eastAsia="仿宋_GB2312" w:cs="Times New Roman"/>
          <w:color w:val="000000" w:themeColor="text1"/>
          <w:sz w:val="32"/>
          <w:szCs w:val="32"/>
          <w14:textFill>
            <w14:solidFill>
              <w14:schemeClr w14:val="tx1"/>
            </w14:solidFill>
          </w14:textFill>
        </w:rPr>
        <w:t>、风行等出行服务平台，创新业务模式，</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推广“</w:t>
      </w:r>
      <w:r>
        <w:rPr>
          <w:rFonts w:ascii="Times New Roman" w:hAnsi="Times New Roman" w:eastAsia="仿宋_GB2312" w:cs="Times New Roman"/>
          <w:color w:val="000000" w:themeColor="text1"/>
          <w:sz w:val="32"/>
          <w:szCs w:val="32"/>
          <w14:textFill>
            <w14:solidFill>
              <w14:schemeClr w14:val="tx1"/>
            </w14:solidFill>
          </w14:textFill>
        </w:rPr>
        <w:t>WarmCar共享汽车</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”服务模式，</w:t>
      </w:r>
      <w:r>
        <w:rPr>
          <w:rFonts w:hint="eastAsia" w:ascii="Times New Roman" w:hAnsi="Times New Roman" w:eastAsia="仿宋_GB2312" w:cs="Times New Roman"/>
          <w:color w:val="000000" w:themeColor="text1"/>
          <w:sz w:val="32"/>
          <w:szCs w:val="32"/>
          <w14:textFill>
            <w14:solidFill>
              <w14:schemeClr w14:val="tx1"/>
            </w14:solidFill>
          </w14:textFill>
        </w:rPr>
        <w:t>合力</w:t>
      </w:r>
      <w:r>
        <w:rPr>
          <w:rFonts w:ascii="Times New Roman" w:hAnsi="Times New Roman" w:eastAsia="仿宋_GB2312" w:cs="Times New Roman"/>
          <w:color w:val="000000" w:themeColor="text1"/>
          <w:sz w:val="32"/>
          <w:szCs w:val="32"/>
          <w14:textFill>
            <w14:solidFill>
              <w14:schemeClr w14:val="tx1"/>
            </w14:solidFill>
          </w14:textFill>
        </w:rPr>
        <w:t>推动新能源汽车在广西出租车、网约车等领域的推广</w:t>
      </w:r>
      <w:r>
        <w:rPr>
          <w:rFonts w:hint="eastAsia" w:ascii="Times New Roman" w:hAnsi="Times New Roman" w:eastAsia="仿宋_GB2312"/>
          <w:color w:val="000000" w:themeColor="text1"/>
          <w:sz w:val="32"/>
          <w:szCs w:val="32"/>
          <w14:textFill>
            <w14:solidFill>
              <w14:schemeClr w14:val="tx1"/>
            </w14:solidFill>
          </w14:textFill>
        </w:rPr>
        <w:t>，延展</w:t>
      </w:r>
      <w:r>
        <w:rPr>
          <w:rFonts w:ascii="Times New Roman" w:hAnsi="Times New Roman" w:eastAsia="仿宋_GB2312" w:cs="Times New Roman"/>
          <w:color w:val="000000" w:themeColor="text1"/>
          <w:sz w:val="32"/>
          <w:szCs w:val="32"/>
          <w14:textFill>
            <w14:solidFill>
              <w14:schemeClr w14:val="tx1"/>
            </w14:solidFill>
          </w14:textFill>
        </w:rPr>
        <w:t>新能源汽车推广应用</w:t>
      </w:r>
      <w:r>
        <w:rPr>
          <w:rFonts w:hint="eastAsia" w:ascii="Times New Roman" w:hAnsi="Times New Roman" w:eastAsia="仿宋_GB2312"/>
          <w:color w:val="000000" w:themeColor="text1"/>
          <w:sz w:val="32"/>
          <w:szCs w:val="32"/>
          <w14:textFill>
            <w14:solidFill>
              <w14:schemeClr w14:val="tx1"/>
            </w14:solidFill>
          </w14:textFill>
        </w:rPr>
        <w:t>的“</w:t>
      </w:r>
      <w:r>
        <w:rPr>
          <w:rFonts w:ascii="Times New Roman" w:hAnsi="Times New Roman" w:eastAsia="仿宋_GB2312" w:cs="Times New Roman"/>
          <w:color w:val="000000" w:themeColor="text1"/>
          <w:sz w:val="32"/>
          <w:szCs w:val="32"/>
          <w14:textFill>
            <w14:solidFill>
              <w14:schemeClr w14:val="tx1"/>
            </w14:solidFill>
          </w14:textFill>
        </w:rPr>
        <w:t>柳州模式</w:t>
      </w:r>
      <w:r>
        <w:rPr>
          <w:rFonts w:hint="eastAsia" w:ascii="Times New Roman" w:hAnsi="Times New Roman"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抓好品牌推广</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市场开拓</w:t>
      </w:r>
      <w:r>
        <w:rPr>
          <w:rFonts w:hint="eastAsia" w:ascii="Times New Roman" w:hAnsi="Times New Roman" w:eastAsia="仿宋_GB2312" w:cs="Times New Roman"/>
          <w:color w:val="000000" w:themeColor="text1"/>
          <w:sz w:val="32"/>
          <w:szCs w:val="32"/>
          <w14:textFill>
            <w14:solidFill>
              <w14:schemeClr w14:val="tx1"/>
            </w14:solidFill>
          </w14:textFill>
        </w:rPr>
        <w:t>，延伸</w:t>
      </w:r>
      <w:r>
        <w:rPr>
          <w:rFonts w:ascii="Times New Roman" w:hAnsi="Times New Roman" w:eastAsia="仿宋_GB2312" w:cs="Times New Roman"/>
          <w:color w:val="000000" w:themeColor="text1"/>
          <w:sz w:val="32"/>
          <w:szCs w:val="32"/>
          <w14:textFill>
            <w14:solidFill>
              <w14:schemeClr w14:val="tx1"/>
            </w14:solidFill>
          </w14:textFill>
        </w:rPr>
        <w:t>产业价值链。</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before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专栏4-1 汽车产业建设重点</w:t>
            </w:r>
          </w:p>
          <w:p>
            <w:pPr>
              <w:widowControl/>
              <w:spacing w:beforeLines="50" w:afterLines="50"/>
              <w:ind w:firstLine="420" w:firstLineChars="200"/>
              <w:jc w:val="left"/>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上通五新宝骏品牌产品中期改款项目、上通五E平台中期改款产品项目、上通五大E平台产品项目、上通五CN220Car传统轿车产品项目、温州瑞明年产200万件铝合金铸件项目（二、三期）、柳州瑞明年产1500万件汽车铝铸件固定资产投资项目（一期）、柳州宏和年产平衡悬架总成6万套/轮毂总成20万套及铸件200万件项目、青岛博泰年产3万吨商用车底盘高性能铸件及EPP商用车卧铺总成项目、合肥建元汽车半轴等锻件零部件生产线建设项目、临海奇升年产200万根氟硅胶管项目、柳州日高整体退城入园项目等新开工项目；广西汽车集团新能源整车项目、上通五五菱品牌乘用车/商用车中期改款产品项目、广西汽车集团改装车转型升级项目、东风柳汽研发试验场新基建建设项目、上通五SGMW出行服务平台项目、上通五混合动力（PHEV/HEV）产品开发项目、东风柳汽混动开发项目、东风柳汽乘龙/风行品牌升级项目、东风柳汽M4产品项目、东风柳汽M6产品项目、东风柳汽零部件产业园、柳州爱柯迪汽车轻量化零部件建设项目、一汽解放柳州分公司退城进园项目、上通五CN202C/W/K产品群项目、上通五新宝骏品牌车型动力组合升级开发项目、东风柳汽低碳智联新重型商用车协同创新研发项目、东风柳汽高效能集成化氢燃料电池商用车协同开发项目、柳州顺菱车门系统与仪表板支架智能工厂项目、柳州启顺汽车零部件生产基地建设项目、柳州兆丰汽车零部件及配件制造项目等续建及期内竣工项目；</w:t>
            </w:r>
            <w:r>
              <w:rPr>
                <w:rFonts w:ascii="宋体" w:hAnsi="宋体" w:eastAsia="宋体" w:cs="宋体"/>
                <w:color w:val="000000" w:themeColor="text1"/>
                <w:kern w:val="0"/>
                <w:szCs w:val="21"/>
                <w14:textFill>
                  <w14:solidFill>
                    <w14:schemeClr w14:val="tx1"/>
                  </w14:solidFill>
                </w14:textFill>
              </w:rPr>
              <w:t>上通五2.0T发动机项目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上通五前驱6AT自动变速器项目</w:t>
            </w:r>
            <w:r>
              <w:rPr>
                <w:rFonts w:hint="eastAsia" w:ascii="宋体" w:hAnsi="宋体" w:eastAsia="宋体" w:cs="宋体"/>
                <w:color w:val="000000" w:themeColor="text1"/>
                <w:kern w:val="0"/>
                <w:szCs w:val="21"/>
                <w14:textFill>
                  <w14:solidFill>
                    <w14:schemeClr w14:val="tx1"/>
                  </w14:solidFill>
                </w14:textFill>
              </w:rPr>
              <w:t>、柳州</w:t>
            </w:r>
            <w:r>
              <w:rPr>
                <w:rFonts w:ascii="宋体" w:hAnsi="宋体" w:eastAsia="宋体" w:cs="宋体"/>
                <w:color w:val="000000" w:themeColor="text1"/>
                <w:kern w:val="0"/>
                <w:szCs w:val="21"/>
                <w14:textFill>
                  <w14:solidFill>
                    <w14:schemeClr w14:val="tx1"/>
                  </w14:solidFill>
                </w14:textFill>
              </w:rPr>
              <w:t>红光汽车用手刹操纵机构总成</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踏板支架</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冲焊件总成项目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东风柳汽商用车基地智能化改造升级项目</w:t>
            </w:r>
            <w:r>
              <w:rPr>
                <w:rFonts w:hint="eastAsia" w:ascii="宋体" w:hAnsi="宋体" w:eastAsia="宋体" w:cs="宋体"/>
                <w:color w:val="000000" w:themeColor="text1"/>
                <w:kern w:val="0"/>
                <w:szCs w:val="21"/>
                <w14:textFill>
                  <w14:solidFill>
                    <w14:schemeClr w14:val="tx1"/>
                  </w14:solidFill>
                </w14:textFill>
              </w:rPr>
              <w:t>、柳州曙光微型车桥生产线项目、柳州益昕汽车零部件配套项目、柳州协统汽车饰件生产基地项目、广西汽车集团陆上旅游交通装备综合产品开发及产能建设项目等前期项目。</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8" w:name="_Toc1122"/>
      <w:bookmarkStart w:id="139" w:name="_Toc20860"/>
      <w:bookmarkStart w:id="140" w:name="_Toc8525"/>
      <w:bookmarkStart w:id="141" w:name="_Toc26870"/>
      <w:bookmarkStart w:id="142" w:name="_Toc21089"/>
      <w:bookmarkStart w:id="143" w:name="_Toc32188"/>
      <w:r>
        <w:rPr>
          <w:rFonts w:hint="eastAsia" w:ascii="黑体" w:hAnsi="黑体" w:eastAsia="黑体" w:cs="Times New Roman"/>
          <w:b w:val="0"/>
          <w:color w:val="000000" w:themeColor="text1"/>
          <w14:textFill>
            <w14:solidFill>
              <w14:schemeClr w14:val="tx1"/>
            </w14:solidFill>
          </w14:textFill>
        </w:rPr>
        <w:t>第二节 培育壮大三大战略性新兴产业</w:t>
      </w:r>
      <w:bookmarkEnd w:id="138"/>
      <w:bookmarkEnd w:id="139"/>
      <w:bookmarkEnd w:id="140"/>
      <w:bookmarkEnd w:id="141"/>
      <w:bookmarkEnd w:id="142"/>
      <w:bookmarkEnd w:id="14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一、积极拓展高端装备制造业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以轨道交通、智能装备、机器人、工程装备等领域为重点，依托产业园、大型骨干企业，完善产业链条，拓展产业领域，突破关键核心技术，不断推动高端装备产业规模化、高端化、智能化、服务化发展。</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全面打造走向国际的轨道交通产业基地。</w:t>
      </w:r>
      <w:r>
        <w:rPr>
          <w:rFonts w:hint="eastAsia" w:eastAsia="仿宋_GB2312"/>
          <w:color w:val="000000" w:themeColor="text1"/>
          <w:sz w:val="32"/>
          <w:szCs w:val="32"/>
          <w14:textFill>
            <w14:solidFill>
              <w14:schemeClr w14:val="tx1"/>
            </w14:solidFill>
          </w14:textFill>
        </w:rPr>
        <w:t xml:space="preserve">按照“需求牵引、项目带动、配套提升、集群发展”的思路，突出智能化轨道交通专用设备、关键系统及部件配套特色，打造轨道交通装备协作智造基地。加快柳州智能交通产业园建设，加强与中国中车合作，通过引进一批轨道交通产业链配套企业，加快发展牵引及控制系统、制动系统、车内电器、信息化和综合监控等机电系统设备，加速城市轨道交通产业规模化发展，构建从整车生产到零部件配套和维修服务的全产业链，成为面向国内国际的轨道交通南方生产基地。以跨坐式单轨车辆制造检修和线路建设维保为立足点，重点发展跨坐式单轨车辆和线路专有产品。围绕轨道交通整车制造需求，依托新区产业基础，创新发展变频空调、新型车辆座椅等技术先进、可靠性高、实用性强的轨道交通车辆内部装备。支持开展轨道交通工程机械及部件关键技术研发，重点发展综合作业车、小曲线轨道交通用施工维护设备，接触网多功能检修作业车，桥梁及隧道状态检测维修车等。 </w:t>
      </w:r>
    </w:p>
    <w:p>
      <w:pPr>
        <w:ind w:firstLine="643" w:firstLineChars="200"/>
        <w:rPr>
          <w:rFonts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14:textFill>
            <w14:solidFill>
              <w14:schemeClr w14:val="tx1"/>
            </w14:solidFill>
          </w14:textFill>
        </w:rPr>
        <w:t>加快壮大“柳东智造”装备产业集群。</w:t>
      </w:r>
      <w:r>
        <w:rPr>
          <w:rFonts w:ascii="仿宋_GB2312" w:eastAsia="仿宋_GB2312"/>
          <w:color w:val="000000" w:themeColor="text1"/>
          <w:sz w:val="32"/>
          <w14:textFill>
            <w14:solidFill>
              <w14:schemeClr w14:val="tx1"/>
            </w14:solidFill>
          </w14:textFill>
        </w:rPr>
        <w:t>推动高端装备产业园规划落地和优质项目布局，引领我市支柱产业转型升级。</w:t>
      </w:r>
      <w:r>
        <w:rPr>
          <w:rFonts w:hint="eastAsia" w:eastAsia="仿宋_GB2312"/>
          <w:color w:val="000000" w:themeColor="text1"/>
          <w:sz w:val="32"/>
          <w:szCs w:val="32"/>
          <w14:textFill>
            <w14:solidFill>
              <w14:schemeClr w14:val="tx1"/>
            </w14:solidFill>
          </w14:textFill>
        </w:rPr>
        <w:t>整合内外创新资源要素，着力突破工业视觉检测、机器人协同装配等共性技术，重点发展具有自主知识产权的焊接机器人、喷涂机器人、搬运机器人、装配机器人、上下料机器人、专用机器人、康复辅助机器人等，着力引进一批机器人等装备项目及相关的智能化改造提升服务团队落户新区，开展机器人本体和关键零部件的研发制造，以及系统集成等环节。加快久日机械大型工程机械生产线等项目建设，发展工程主机为带动，以钎具钻具和零部件为配套，工程技术解决方案为支撑的工程装备制造与运维服务体系。培育发展游乐园设备、户外运动装备等文化旅游装备。发挥中德工业城市联盟、国际科技园协会等机构资源优势，以中德（柳州）工业园等载体，积极吸引德国及欧洲智能装备企业，发展智能装备领域，重点开发数控机床、加工中心等工业母机和重大成套装备。推广智能制造、工业互联网的应用，培育具备整体设计能力和解决方案提供能力的系统集成企业，支持企业智能化、数字化改造，推动有条件的企业建设智能生产线、数字车间和无人工厂，推出一批智能制造应用示范项目。争取到2025年，高端装备制造业总产值突破200亿元。</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二、跨越式发展电子光电产业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精耕细作新一代电子信息技术产业。</w:t>
      </w:r>
      <w:r>
        <w:rPr>
          <w:rFonts w:hint="eastAsia" w:eastAsia="仿宋_GB2312"/>
          <w:color w:val="000000" w:themeColor="text1"/>
          <w:sz w:val="32"/>
          <w:szCs w:val="32"/>
          <w14:textFill>
            <w14:solidFill>
              <w14:schemeClr w14:val="tx1"/>
            </w14:solidFill>
          </w14:textFill>
        </w:rPr>
        <w:t>围绕新一代电子信息技术产业，实施重点突破与产业协同战略，聚</w:t>
      </w:r>
      <w:r>
        <w:rPr>
          <w:rFonts w:hint="eastAsia" w:ascii="仿宋_GB2312" w:eastAsia="仿宋_GB2312"/>
          <w:color w:val="000000" w:themeColor="text1"/>
          <w:sz w:val="32"/>
          <w:szCs w:val="32"/>
          <w14:textFill>
            <w14:solidFill>
              <w14:schemeClr w14:val="tx1"/>
            </w14:solidFill>
          </w14:textFill>
        </w:rPr>
        <w:t>焦</w:t>
      </w:r>
      <w:r>
        <w:rPr>
          <w:rFonts w:hint="eastAsia" w:eastAsia="仿宋_GB2312"/>
          <w:color w:val="000000" w:themeColor="text1"/>
          <w:sz w:val="32"/>
          <w:szCs w:val="32"/>
          <w14:textFill>
            <w14:solidFill>
              <w14:schemeClr w14:val="tx1"/>
            </w14:solidFill>
          </w14:textFill>
        </w:rPr>
        <w:t>汽车电子、</w:t>
      </w:r>
      <w:r>
        <w:rPr>
          <w:rFonts w:hint="eastAsia" w:ascii="仿宋_GB2312" w:eastAsia="仿宋_GB2312"/>
          <w:color w:val="000000" w:themeColor="text1"/>
          <w:sz w:val="32"/>
          <w:szCs w:val="32"/>
          <w14:textFill>
            <w14:solidFill>
              <w14:schemeClr w14:val="tx1"/>
            </w14:solidFill>
          </w14:textFill>
        </w:rPr>
        <w:t>5G</w:t>
      </w:r>
      <w:r>
        <w:rPr>
          <w:rFonts w:hint="eastAsia" w:eastAsia="仿宋_GB2312"/>
          <w:color w:val="000000" w:themeColor="text1"/>
          <w:sz w:val="32"/>
          <w:szCs w:val="32"/>
          <w14:textFill>
            <w14:solidFill>
              <w14:schemeClr w14:val="tx1"/>
            </w14:solidFill>
          </w14:textFill>
        </w:rPr>
        <w:t>、集成电路</w:t>
      </w:r>
      <w:r>
        <w:rPr>
          <w:rFonts w:hint="eastAsia" w:ascii="仿宋_GB2312"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物联网、高</w:t>
      </w:r>
      <w:r>
        <w:rPr>
          <w:rFonts w:hint="eastAsia" w:ascii="仿宋_GB2312" w:hAnsi="仿宋_GB2312" w:eastAsia="仿宋_GB2312" w:cs="仿宋_GB2312"/>
          <w:color w:val="000000" w:themeColor="text1"/>
          <w:sz w:val="32"/>
          <w:szCs w:val="32"/>
          <w14:textFill>
            <w14:solidFill>
              <w14:schemeClr w14:val="tx1"/>
            </w14:solidFill>
          </w14:textFill>
        </w:rPr>
        <w:t>端软件等领域，</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1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2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围绕产业链上下游开展精准招商。依托</w:t>
      </w:r>
      <w:r>
        <w:rPr>
          <w:rFonts w:hint="eastAsia" w:eastAsia="仿宋_GB2312"/>
          <w:color w:val="000000" w:themeColor="text1"/>
          <w:sz w:val="32"/>
          <w:szCs w:val="32"/>
          <w14:textFill>
            <w14:solidFill>
              <w14:schemeClr w14:val="tx1"/>
            </w14:solidFill>
          </w14:textFill>
        </w:rPr>
        <w:t>联合电子、耐世特等</w:t>
      </w:r>
      <w:r>
        <w:rPr>
          <w:rFonts w:hint="eastAsia" w:ascii="仿宋_GB2312" w:hAnsi="仿宋_GB2312" w:eastAsia="仿宋_GB2312" w:cs="仿宋_GB2312"/>
          <w:color w:val="000000" w:themeColor="text1"/>
          <w:sz w:val="32"/>
          <w:szCs w:val="32"/>
          <w14:textFill>
            <w14:solidFill>
              <w14:schemeClr w14:val="tx1"/>
            </w14:solidFill>
          </w14:textFill>
        </w:rPr>
        <w:t>龙头企业，重点引进产业链上下游优质企业，大力发展车身电子、发动机控制器、变速箱控制器、电池管理系统、电力驱动控制系统、电控系统等汽车电子产品。鼓励发展基于5G等下一代通信网络的卫星导航终端通信设备、应用系统集成，拓展在公共交通管理、汽车导航、城市管理等领域的应用。加快建设信炜科技集成电路产业园，加强与科研机构和高校合作，培育发展指纹芯片、3D摄像头、生物</w:t>
      </w:r>
      <w:r>
        <w:rPr>
          <w:rFonts w:hint="eastAsia" w:eastAsia="仿宋_GB2312"/>
          <w:color w:val="000000" w:themeColor="text1"/>
          <w:sz w:val="32"/>
          <w:szCs w:val="32"/>
          <w14:textFill>
            <w14:solidFill>
              <w14:schemeClr w14:val="tx1"/>
            </w14:solidFill>
          </w14:textFill>
        </w:rPr>
        <w:t>传感芯片及系统、基于人工智能的识别系统、机器视觉硬件等产品的研发、设计和制造。积极开展智慧物联产品等智慧城市、智慧交通、人工智能相关软件和产品研发，促进物联网、高端软件产业和城市交通、制造业、材料、能源、生物等其他领域的深度融合。</w:t>
      </w:r>
    </w:p>
    <w:p>
      <w:pPr>
        <w:ind w:firstLine="643" w:firstLineChars="200"/>
        <w:rPr>
          <w:rFonts w:ascii="仿宋_GB2312"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创引发展光电显示产业。</w:t>
      </w:r>
      <w:r>
        <w:rPr>
          <w:rFonts w:hint="eastAsia" w:eastAsia="仿宋_GB2312"/>
          <w:color w:val="000000" w:themeColor="text1"/>
          <w:sz w:val="32"/>
          <w:szCs w:val="32"/>
          <w14:textFill>
            <w14:solidFill>
              <w14:schemeClr w14:val="tx1"/>
            </w14:solidFill>
          </w14:textFill>
        </w:rPr>
        <w:t>大力招大引强，积极发展以光电元器件、光电显示、激光、光伏发电等为代表的光电产业集群。推动新区光电产业重点招商项目纳入国家窗口指导范畴，积极引进光电显示产业链上下游企业，完善液晶显示面板、背光源产品、驱</w:t>
      </w:r>
      <w:r>
        <w:rPr>
          <w:rFonts w:hint="eastAsia" w:ascii="仿宋_GB2312" w:eastAsia="仿宋_GB2312"/>
          <w:color w:val="000000" w:themeColor="text1"/>
          <w:sz w:val="32"/>
          <w:szCs w:val="32"/>
          <w14:textFill>
            <w14:solidFill>
              <w14:schemeClr w14:val="tx1"/>
            </w14:solidFill>
          </w14:textFill>
        </w:rPr>
        <w:t>动IC、</w:t>
      </w:r>
      <w:r>
        <w:rPr>
          <w:rFonts w:hint="eastAsia" w:eastAsia="仿宋_GB2312"/>
          <w:color w:val="000000" w:themeColor="text1"/>
          <w:sz w:val="32"/>
          <w:szCs w:val="32"/>
          <w14:textFill>
            <w14:solidFill>
              <w14:schemeClr w14:val="tx1"/>
            </w14:solidFill>
          </w14:textFill>
        </w:rPr>
        <w:t>压力传感器、光电材料等产业链环节。支持晶联光电等企业做大做强，提高电子材料和器件配套能力，积极发展电子纸、有机发光材料、靶材、偏光片和新型电子元器件等光电材料、光电部件领域。研究布局前瞻性显示技术，加强技术储备，探索新型显示与</w:t>
      </w:r>
      <w:r>
        <w:rPr>
          <w:rFonts w:hint="eastAsia" w:ascii="仿宋_GB2312" w:eastAsia="仿宋_GB2312"/>
          <w:color w:val="000000" w:themeColor="text1"/>
          <w:sz w:val="32"/>
          <w:szCs w:val="32"/>
          <w14:textFill>
            <w14:solidFill>
              <w14:schemeClr w14:val="tx1"/>
            </w14:solidFill>
          </w14:textFill>
        </w:rPr>
        <w:t>5G、工</w:t>
      </w:r>
      <w:r>
        <w:rPr>
          <w:rFonts w:hint="eastAsia" w:eastAsia="仿宋_GB2312"/>
          <w:color w:val="000000" w:themeColor="text1"/>
          <w:sz w:val="32"/>
          <w:szCs w:val="32"/>
          <w14:textFill>
            <w14:solidFill>
              <w14:schemeClr w14:val="tx1"/>
            </w14:solidFill>
          </w14:textFill>
        </w:rPr>
        <w:t>业互联网、人工智能等新一代信息技术的创新融合。</w:t>
      </w:r>
      <w:r>
        <w:rPr>
          <w:rFonts w:hint="eastAsia" w:ascii="仿宋_GB2312" w:eastAsia="仿宋_GB2312"/>
          <w:color w:val="000000" w:themeColor="text1"/>
          <w:sz w:val="32"/>
          <w:szCs w:val="32"/>
          <w14:textFill>
            <w14:solidFill>
              <w14:schemeClr w14:val="tx1"/>
            </w14:solidFill>
          </w14:textFill>
        </w:rPr>
        <w:t>争取到2025年，电子光电产业工业总产值突破120亿元</w:t>
      </w:r>
      <w:r>
        <w:rPr>
          <w:rFonts w:hint="eastAsia" w:eastAsia="仿宋_GB2312"/>
          <w:color w:val="000000" w:themeColor="text1"/>
          <w:sz w:val="32"/>
          <w:szCs w:val="32"/>
          <w14:textFill>
            <w14:solidFill>
              <w14:schemeClr w14:val="tx1"/>
            </w14:solidFill>
          </w14:textFill>
        </w:rPr>
        <w:t>。</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三、推动新材料产业上新台阶</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聚焦汽车绿色化、轻量化等领域发展需求，重点发展新能源材料、电子材料及其他新型材料，</w:t>
      </w:r>
      <w:r>
        <w:rPr>
          <w:rFonts w:eastAsia="仿宋_GB2312"/>
          <w:color w:val="000000" w:themeColor="text1"/>
          <w:sz w:val="32"/>
          <w:szCs w:val="32"/>
          <w14:textFill>
            <w14:solidFill>
              <w14:schemeClr w14:val="tx1"/>
            </w14:solidFill>
          </w14:textFill>
        </w:rPr>
        <w:t>打造新材料产业园</w:t>
      </w:r>
      <w:r>
        <w:rPr>
          <w:rFonts w:hint="eastAsia" w:eastAsia="仿宋_GB2312"/>
          <w:color w:val="000000" w:themeColor="text1"/>
          <w:sz w:val="32"/>
          <w:szCs w:val="32"/>
          <w14:textFill>
            <w14:solidFill>
              <w14:schemeClr w14:val="tx1"/>
            </w14:solidFill>
          </w14:textFill>
        </w:rPr>
        <w:t>。</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积极发展新能源材料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结合新能源汽车产业发展需求，</w:t>
      </w:r>
      <w:r>
        <w:rPr>
          <w:rFonts w:eastAsia="仿宋_GB2312"/>
          <w:color w:val="000000" w:themeColor="text1"/>
          <w:sz w:val="32"/>
          <w:szCs w:val="32"/>
          <w14:textFill>
            <w14:solidFill>
              <w14:schemeClr w14:val="tx1"/>
            </w14:solidFill>
          </w14:textFill>
        </w:rPr>
        <w:t>实施桂柳化工搬迁改造</w:t>
      </w:r>
      <w:r>
        <w:rPr>
          <w:rFonts w:hint="eastAsia" w:eastAsia="仿宋_GB2312"/>
          <w:color w:val="000000" w:themeColor="text1"/>
          <w:sz w:val="32"/>
          <w:szCs w:val="32"/>
          <w14:textFill>
            <w14:solidFill>
              <w14:schemeClr w14:val="tx1"/>
            </w14:solidFill>
          </w14:textFill>
        </w:rPr>
        <w:t>项目，做大做精锰酸锂等电池新材料，重点发展高能量密度及长循环寿命电池正负极材料、耐高温低电阻隔膜、大容量超级电容等锂离子电池关键材料。</w:t>
      </w:r>
      <w:r>
        <w:rPr>
          <w:rFonts w:eastAsia="仿宋_GB2312"/>
          <w:color w:val="000000" w:themeColor="text1"/>
          <w:sz w:val="32"/>
          <w:szCs w:val="32"/>
          <w14:textFill>
            <w14:solidFill>
              <w14:schemeClr w14:val="tx1"/>
            </w14:solidFill>
          </w14:textFill>
        </w:rPr>
        <w:t>聚焦超级快充动力电池、耐磨轮胎、防腐涂装等领域，整合上海交大、湖大艾盛等科技平台和</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企业资源，深化产业链合作和跨区域合作，加快构建产业新优势。</w:t>
      </w:r>
    </w:p>
    <w:p>
      <w:pPr>
        <w:ind w:firstLine="643" w:firstLineChars="200"/>
        <w:rPr>
          <w:rFonts w:hint="eastAsia"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推动电子信息材料发展</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聚焦汽车电子等电子信息产业发展需求，大力发展平板显示材料、半导体照明材料、微电子材料、光电子材料及光通信材料等领域，支持高性能显示材料、高端电子封装材料等研制。</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积极发展其他新型材料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加快发展面向新能源汽车、轨道交通等行业领域的高端金属材料，加快发展新型环保高性能涂料、防水材料、防火材料，引进先进陶瓷、特种玻璃、镀膜产品等新型无机非金属材料项目。围绕主机厂，加快一阳科技铝深加工、鼎铭精密电子金属异型材生产线</w:t>
      </w:r>
      <w:r>
        <w:rPr>
          <w:rFonts w:eastAsia="仿宋_GB2312"/>
          <w:color w:val="000000" w:themeColor="text1"/>
          <w:sz w:val="32"/>
          <w:szCs w:val="32"/>
          <w14:textFill>
            <w14:solidFill>
              <w14:schemeClr w14:val="tx1"/>
            </w14:solidFill>
          </w14:textFill>
        </w:rPr>
        <w:t>、温州瑞明</w:t>
      </w:r>
      <w:r>
        <w:rPr>
          <w:rFonts w:hint="eastAsia" w:eastAsia="仿宋_GB2312"/>
          <w:color w:val="000000" w:themeColor="text1"/>
          <w:sz w:val="32"/>
          <w:szCs w:val="32"/>
          <w14:textFill>
            <w14:solidFill>
              <w14:schemeClr w14:val="tx1"/>
            </w14:solidFill>
          </w14:textFill>
        </w:rPr>
        <w:t>铝合金铸件以及</w:t>
      </w:r>
      <w:r>
        <w:rPr>
          <w:rFonts w:eastAsia="仿宋_GB2312"/>
          <w:color w:val="000000" w:themeColor="text1"/>
          <w:sz w:val="32"/>
          <w:szCs w:val="32"/>
          <w14:textFill>
            <w14:solidFill>
              <w14:schemeClr w14:val="tx1"/>
            </w14:solidFill>
          </w14:textFill>
        </w:rPr>
        <w:t>艾盛创制、上汽变速器、爱柯迪等企业</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项目</w:t>
      </w:r>
      <w:r>
        <w:rPr>
          <w:rFonts w:hint="eastAsia" w:eastAsia="仿宋_GB2312"/>
          <w:color w:val="000000" w:themeColor="text1"/>
          <w:sz w:val="32"/>
          <w:szCs w:val="32"/>
          <w14:textFill>
            <w14:solidFill>
              <w14:schemeClr w14:val="tx1"/>
            </w14:solidFill>
          </w14:textFill>
        </w:rPr>
        <w:t>建设，推动新材料产业规模化发展，打造西南地区领先的汽车零部件铝深加工产业。</w:t>
      </w:r>
    </w:p>
    <w:p>
      <w:pPr>
        <w:pStyle w:val="2"/>
        <w:ind w:firstLine="420"/>
        <w:rPr>
          <w:color w:val="000000" w:themeColor="text1"/>
          <w14:textFill>
            <w14:solidFill>
              <w14:schemeClr w14:val="tx1"/>
            </w14:solidFill>
          </w14:textFill>
        </w:rPr>
      </w:pP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before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专栏4-2 三大战略性新兴产业建设重点</w:t>
            </w:r>
          </w:p>
          <w:p>
            <w:pPr>
              <w:widowControl/>
              <w:spacing w:beforeLines="50"/>
              <w:ind w:firstLine="422" w:firstLineChars="200"/>
              <w:jc w:val="left"/>
              <w:rPr>
                <w:rFonts w:ascii="宋体" w:hAnsi="宋体" w:eastAsia="宋体" w:cs="宋体"/>
                <w:color w:val="000000" w:themeColor="text1"/>
                <w:kern w:val="0"/>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高端装备制造产业：</w:t>
            </w:r>
            <w:r>
              <w:rPr>
                <w:rFonts w:hint="eastAsia" w:ascii="宋体" w:hAnsi="宋体" w:eastAsia="宋体" w:cs="宋体"/>
                <w:color w:val="000000" w:themeColor="text1"/>
                <w:kern w:val="0"/>
                <w:szCs w:val="21"/>
                <w14:textFill>
                  <w14:solidFill>
                    <w14:schemeClr w14:val="tx1"/>
                  </w14:solidFill>
                </w14:textFill>
              </w:rPr>
              <w:t>重点建设深圳华迈兴微磁微粒微流控芯片微型化学发光免疫分析仪生产项目、</w:t>
            </w:r>
            <w:r>
              <w:rPr>
                <w:rFonts w:ascii="宋体" w:hAnsi="宋体" w:eastAsia="宋体" w:cs="宋体"/>
                <w:color w:val="000000" w:themeColor="text1"/>
                <w:kern w:val="0"/>
                <w:szCs w:val="21"/>
                <w14:textFill>
                  <w14:solidFill>
                    <w14:schemeClr w14:val="tx1"/>
                  </w14:solidFill>
                </w14:textFill>
              </w:rPr>
              <w:t>宏德大功率/大能量全光纤皮秒和飞秒超快脉冲激光器</w:t>
            </w:r>
            <w:r>
              <w:rPr>
                <w:rFonts w:hint="eastAsia" w:ascii="宋体" w:hAnsi="宋体" w:eastAsia="宋体" w:cs="宋体"/>
                <w:color w:val="000000" w:themeColor="text1"/>
                <w:kern w:val="0"/>
                <w:szCs w:val="21"/>
                <w14:textFill>
                  <w14:solidFill>
                    <w14:schemeClr w14:val="tx1"/>
                  </w14:solidFill>
                </w14:textFill>
              </w:rPr>
              <w:t>项目、深圳长朗3D打印智能制造产业基地、电力开关厂高低压开关柜/箱式变电站/全封闭全绝缘气体环网柜/智能电力监控系统/节能环保型电力变压器项目、一阳科技年产100台智能装备项目、久日机械年产2万台套大型工程机械结构件新产品生产线项目、长沙云高智能停车设备配套精加工生产基地、博泰柳州智能网联产业智造基地智能制造工厂等项目。配套实施</w:t>
            </w:r>
            <w:r>
              <w:rPr>
                <w:rFonts w:ascii="宋体" w:hAnsi="宋体" w:eastAsia="宋体" w:cs="宋体"/>
                <w:color w:val="000000" w:themeColor="text1"/>
                <w:kern w:val="0"/>
                <w:szCs w:val="21"/>
                <w14:textFill>
                  <w14:solidFill>
                    <w14:schemeClr w14:val="tx1"/>
                  </w14:solidFill>
                </w14:textFill>
              </w:rPr>
              <w:t>无刷电机转向管柱产线智能化改造</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塔式起重机标准节生产关键技术开发及应用</w:t>
            </w:r>
            <w:r>
              <w:rPr>
                <w:rFonts w:hint="eastAsia" w:ascii="宋体" w:hAnsi="宋体" w:eastAsia="宋体" w:cs="宋体"/>
                <w:color w:val="000000" w:themeColor="text1"/>
                <w:kern w:val="0"/>
                <w:szCs w:val="21"/>
                <w14:textFill>
                  <w14:solidFill>
                    <w14:schemeClr w14:val="tx1"/>
                  </w14:solidFill>
                </w14:textFill>
              </w:rPr>
              <w:t>等</w:t>
            </w:r>
            <w:r>
              <w:rPr>
                <w:rFonts w:ascii="宋体" w:hAnsi="宋体" w:eastAsia="宋体" w:cs="宋体"/>
                <w:color w:val="000000" w:themeColor="text1"/>
                <w:kern w:val="0"/>
                <w:szCs w:val="21"/>
                <w14:textFill>
                  <w14:solidFill>
                    <w14:schemeClr w14:val="tx1"/>
                  </w14:solidFill>
                </w14:textFill>
              </w:rPr>
              <w:t>项目</w:t>
            </w:r>
            <w:r>
              <w:rPr>
                <w:rFonts w:hint="eastAsia" w:ascii="宋体" w:hAnsi="宋体" w:eastAsia="宋体" w:cs="宋体"/>
                <w:color w:val="000000" w:themeColor="text1"/>
                <w:kern w:val="0"/>
                <w:szCs w:val="21"/>
                <w14:textFill>
                  <w14:solidFill>
                    <w14:schemeClr w14:val="tx1"/>
                  </w14:solidFill>
                </w14:textFill>
              </w:rPr>
              <w:t>。围绕智能轨道交通产业重点建设全国铁路计量检测公共服务平台及轨道交通检测技术研究中心、轨道交通机电设备实时监控自动化及保护系统、柳州煜乾轨道交通钢绞线、广西昊桥模块化钢构产品生产基地、南京瑞发轨道交通配件生产基地、柳州金力盛轨道交通内饰配件生产基地、广西金桂盛轨道交通内饰配件生产基地、柳州轨道交通导电生产基地等项目。</w:t>
            </w:r>
          </w:p>
          <w:p>
            <w:pPr>
              <w:pStyle w:val="2"/>
              <w:ind w:firstLine="422"/>
              <w:rPr>
                <w:color w:val="000000" w:themeColor="text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电子光电产业：</w:t>
            </w:r>
            <w:r>
              <w:rPr>
                <w:rFonts w:hint="eastAsia" w:ascii="宋体" w:hAnsi="宋体" w:eastAsia="宋体" w:cs="宋体"/>
                <w:color w:val="000000" w:themeColor="text1"/>
                <w:kern w:val="0"/>
                <w:szCs w:val="21"/>
                <w14:textFill>
                  <w14:solidFill>
                    <w14:schemeClr w14:val="tx1"/>
                  </w14:solidFill>
                </w14:textFill>
              </w:rPr>
              <w:t>推动实施上通五“智能网联”建设项目、柳州澳多年产100万套汽车电子零部件项目、浙江大华柳州研发基地、有方科技物联网产业基地、博泰柳州智能网联产业智造基地、联合汽车电子三期等项目。大力引进光电行业头部企业，打造柳东新区电子光电产业园，加快广西晶联光电超高密度细晶ITO靶材研制、柳州天星光电科技有限公司模组等项目落地实施。</w:t>
            </w:r>
          </w:p>
          <w:p>
            <w:pPr>
              <w:widowControl/>
              <w:spacing w:before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新材料产业：</w:t>
            </w:r>
            <w:r>
              <w:rPr>
                <w:rFonts w:hint="eastAsia" w:ascii="宋体" w:hAnsi="宋体" w:eastAsia="宋体" w:cs="宋体"/>
                <w:color w:val="000000" w:themeColor="text1"/>
                <w:kern w:val="0"/>
                <w:szCs w:val="21"/>
                <w14:textFill>
                  <w14:solidFill>
                    <w14:schemeClr w14:val="tx1"/>
                  </w14:solidFill>
                </w14:textFill>
              </w:rPr>
              <w:t>打造柳东新区连丰片新材料产业园，重点建设桂柳化工锰酸锂电池材料、温州瑞明年产200万件铝合金铸件项目（二、三期）、一阳科技年产100万台套铝铸件项目、广西永烨精密电子金属异</w:t>
            </w:r>
            <w:r>
              <w:rPr>
                <w:rFonts w:hint="eastAsia" w:cs="宋体" w:asciiTheme="minorEastAsia" w:hAnsiTheme="minorEastAsia"/>
                <w:color w:val="000000" w:themeColor="text1"/>
                <w:szCs w:val="21"/>
                <w14:textFill>
                  <w14:solidFill>
                    <w14:schemeClr w14:val="tx1"/>
                  </w14:solidFill>
                </w14:textFill>
              </w:rPr>
              <w:t>型材生产线</w:t>
            </w:r>
            <w:r>
              <w:rPr>
                <w:rFonts w:hint="eastAsia" w:ascii="宋体" w:hAnsi="宋体" w:eastAsia="宋体" w:cs="宋体"/>
                <w:color w:val="000000" w:themeColor="text1"/>
                <w:kern w:val="0"/>
                <w:szCs w:val="21"/>
                <w14:textFill>
                  <w14:solidFill>
                    <w14:schemeClr w14:val="tx1"/>
                  </w14:solidFill>
                </w14:textFill>
              </w:rPr>
              <w:t>等一批项目</w:t>
            </w:r>
            <w:r>
              <w:rPr>
                <w:rFonts w:hint="eastAsia" w:cs="宋体" w:asciiTheme="minorEastAsia" w:hAnsiTheme="minorEastAsia"/>
                <w:color w:val="000000" w:themeColor="text1"/>
                <w:szCs w:val="21"/>
                <w14:textFill>
                  <w14:solidFill>
                    <w14:schemeClr w14:val="tx1"/>
                  </w14:solidFill>
                </w14:textFill>
              </w:rPr>
              <w:t>。</w:t>
            </w:r>
          </w:p>
          <w:p>
            <w:pPr>
              <w:pStyle w:val="2"/>
              <w:ind w:firstLine="420"/>
              <w:rPr>
                <w:color w:val="000000" w:themeColor="text1"/>
                <w14:textFill>
                  <w14:solidFill>
                    <w14:schemeClr w14:val="tx1"/>
                  </w14:solidFill>
                </w14:textFill>
              </w:rPr>
            </w:pP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44" w:name="_Toc29903"/>
      <w:bookmarkStart w:id="145" w:name="_Toc19723"/>
      <w:bookmarkStart w:id="146" w:name="_Toc10077"/>
      <w:bookmarkStart w:id="147" w:name="_Toc12341"/>
      <w:bookmarkStart w:id="148" w:name="_Toc10383"/>
      <w:bookmarkStart w:id="149" w:name="_Toc16195"/>
      <w:r>
        <w:rPr>
          <w:rFonts w:hint="eastAsia" w:ascii="黑体" w:hAnsi="黑体" w:eastAsia="黑体" w:cs="Times New Roman"/>
          <w:b w:val="0"/>
          <w:color w:val="000000" w:themeColor="text1"/>
          <w14:textFill>
            <w14:solidFill>
              <w14:schemeClr w14:val="tx1"/>
            </w14:solidFill>
          </w14:textFill>
        </w:rPr>
        <w:t>第三节 推动现代服务业集聚发展</w:t>
      </w:r>
      <w:bookmarkEnd w:id="144"/>
      <w:bookmarkEnd w:id="145"/>
      <w:bookmarkEnd w:id="146"/>
      <w:bookmarkEnd w:id="147"/>
      <w:bookmarkEnd w:id="148"/>
      <w:bookmarkEnd w:id="14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一、强势发展科技服务业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动科技服务业快速发展，加大上规入统企业培育，重点发展研发服务、检测服务、产教融合等领域。加快建设集科技创新、科技孵化、政产学研平台、科技中介服务为一体的“柳州市科技创新创业示范基地”，充分发挥广西汽车研究院、龙湖东片区科技研发基地、上海交大</w:t>
      </w:r>
      <w:r>
        <w:rPr>
          <w:rFonts w:hint="eastAsia" w:eastAsia="仿宋_GB2312"/>
          <w:color w:val="000000" w:themeColor="text1"/>
          <w:sz w:val="32"/>
          <w:szCs w:val="32"/>
          <w14:textFill>
            <w14:solidFill>
              <w14:schemeClr w14:val="tx1"/>
            </w14:solidFill>
          </w14:textFill>
        </w:rPr>
        <w:t>汽车先进制造技术实验室、广工大网络安全技术实验室、</w:t>
      </w:r>
      <w:r>
        <w:rPr>
          <w:rFonts w:hint="eastAsia" w:ascii="仿宋_GB2312" w:hAnsi="仿宋_GB2312" w:eastAsia="仿宋_GB2312" w:cs="仿宋_GB2312"/>
          <w:color w:val="000000" w:themeColor="text1"/>
          <w:sz w:val="32"/>
          <w:szCs w:val="32"/>
          <w14:textFill>
            <w14:solidFill>
              <w14:schemeClr w14:val="tx1"/>
            </w14:solidFill>
          </w14:textFill>
        </w:rPr>
        <w:t>湖大艾盛车身实验室等载体功能，培育形成一批国家级、自治区级研发平台。以政产学研合作的模式引进或共建一批高新技术实验室、科研平台和成果转化中心。提升汽车检验检测服务能力，推动国家汽车质监检验中心（柳州）二期等项目建设，打造国内一流的汽车检验检测技术公共服务平台，整合检验检测能力，搭建柳州汽车产业“智能检测+信息共享”体系。开发利用柳州职教园区存量资源，建设若干产教融合示范点，推进产教融合协同育人，努力培养高素质创新人才和技术技能人才，为产业提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二、创先发展智慧物流业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把握广西“五网”建设大会战发展机遇，加快推进新区“物流网”建设进度，全面布局物流网点，完善“水公铁”多式联运体系，实现物流港货物运输无缝衔接，降低物流成本，提高物流效益。促进传统物流服务业向全流程或多环节供应链服务转型升，促进大数据、物联网、云计算、区块链等技术与供应链深度融合。重点以柳州官塘港、柳州雒容铁路商品汽车发运基地、国家公路运输枢纽柳东物流中心等为基础，推动建设</w:t>
      </w:r>
      <w:r>
        <w:rPr>
          <w:rFonts w:eastAsia="仿宋_GB2312"/>
          <w:color w:val="000000" w:themeColor="text1"/>
          <w:sz w:val="32"/>
          <w:szCs w:val="32"/>
          <w14:textFill>
            <w14:solidFill>
              <w14:schemeClr w14:val="tx1"/>
            </w14:solidFill>
          </w14:textFill>
        </w:rPr>
        <w:t>官塘物流港</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水公铁</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多式联运示范物流基地</w:t>
      </w:r>
      <w:r>
        <w:rPr>
          <w:rFonts w:hint="eastAsia" w:eastAsia="仿宋_GB2312"/>
          <w:color w:val="000000" w:themeColor="text1"/>
          <w:sz w:val="32"/>
          <w:szCs w:val="32"/>
          <w14:textFill>
            <w14:solidFill>
              <w14:schemeClr w14:val="tx1"/>
            </w14:solidFill>
          </w14:textFill>
        </w:rPr>
        <w:t>，构建数字化高效快捷的工业物流体系，打造川渝黔粤通道铁水联运重要节点、西南地区重要的多式联运物流配送基地、柳州市工业产品集散地；推动雒容整车发运及停车设施等项目建设，加快现有设施专业化改造升级、集约发展；发挥柳州保税物流中心的优势，推动形成开放型物流体系。大力发展电商服务，依托保税物流中心、冷链物流园建设，与苏宁易购桂北电商产业园、柳州医药物流园等联动，实现快速分拨、联通全国、保税进口，打造区域型电子商务物流集散地。对接落实高铁东站选址，建设高铁服务圈，加快建设铁路物流基础设施，争创新区商贸物流枢纽新优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三、统筹发展商务会展业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完善现代商贸流通体系。</w:t>
      </w:r>
      <w:r>
        <w:rPr>
          <w:rFonts w:hint="eastAsia" w:eastAsia="仿宋_GB2312"/>
          <w:color w:val="000000" w:themeColor="text1"/>
          <w:sz w:val="32"/>
          <w:szCs w:val="32"/>
          <w14:textFill>
            <w14:solidFill>
              <w14:schemeClr w14:val="tx1"/>
            </w14:solidFill>
          </w14:textFill>
        </w:rPr>
        <w:t>加快培育现代专业交易市场，促进产业与市场联动发展。</w:t>
      </w:r>
      <w:r>
        <w:rPr>
          <w:rFonts w:hint="eastAsia" w:ascii="仿宋_GB2312" w:hAnsi="仿宋_GB2312" w:eastAsia="仿宋_GB2312" w:cs="仿宋"/>
          <w:color w:val="000000" w:themeColor="text1"/>
          <w:sz w:val="32"/>
          <w:szCs w:val="32"/>
          <w14:textFill>
            <w14:solidFill>
              <w14:schemeClr w14:val="tx1"/>
            </w14:solidFill>
          </w14:textFill>
        </w:rPr>
        <w:t>提速建设柳州东盟汽车贸易中心，加快建设新区汽车后市场，为汽车商贸流通企业提供稳定、高品质的展览、展示、商贸平台和发展机遇。</w:t>
      </w:r>
      <w:r>
        <w:rPr>
          <w:rFonts w:hint="eastAsia" w:eastAsia="仿宋_GB2312"/>
          <w:color w:val="000000" w:themeColor="text1"/>
          <w:sz w:val="32"/>
          <w:szCs w:val="32"/>
          <w14:textFill>
            <w14:solidFill>
              <w14:schemeClr w14:val="tx1"/>
            </w14:solidFill>
          </w14:textFill>
        </w:rPr>
        <w:t>打造综合农贸批发市场、综合性建材市场和综合性休闲市场，</w:t>
      </w:r>
      <w:r>
        <w:rPr>
          <w:rFonts w:hint="eastAsia" w:ascii="仿宋_GB2312" w:hAnsi="仿宋_GB2312" w:eastAsia="仿宋_GB2312" w:cs="仿宋"/>
          <w:color w:val="000000" w:themeColor="text1"/>
          <w:sz w:val="32"/>
          <w:szCs w:val="32"/>
          <w14:textFill>
            <w14:solidFill>
              <w14:schemeClr w14:val="tx1"/>
            </w14:solidFill>
          </w14:textFill>
        </w:rPr>
        <w:t>升级改造老旧市场，布局冷链物流配套设施，</w:t>
      </w:r>
      <w:r>
        <w:rPr>
          <w:rFonts w:hint="eastAsia" w:eastAsia="仿宋_GB2312"/>
          <w:color w:val="000000" w:themeColor="text1"/>
          <w:sz w:val="32"/>
          <w:szCs w:val="32"/>
          <w14:textFill>
            <w14:solidFill>
              <w14:schemeClr w14:val="tx1"/>
            </w14:solidFill>
          </w14:textFill>
        </w:rPr>
        <w:t>利用大数据、区块链、互联网等新技术，推动交易模式和服务功能创新，</w:t>
      </w:r>
      <w:r>
        <w:rPr>
          <w:rFonts w:hint="eastAsia" w:ascii="仿宋_GB2312" w:hAnsi="仿宋_GB2312" w:eastAsia="仿宋_GB2312" w:cs="仿宋"/>
          <w:color w:val="000000" w:themeColor="text1"/>
          <w:sz w:val="32"/>
          <w:szCs w:val="32"/>
          <w14:textFill>
            <w14:solidFill>
              <w14:schemeClr w14:val="tx1"/>
            </w14:solidFill>
          </w14:textFill>
        </w:rPr>
        <w:t>构建柳东大商贸格局。</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促进城市消费服务升级。</w:t>
      </w:r>
      <w:r>
        <w:rPr>
          <w:rFonts w:hint="eastAsia" w:eastAsia="仿宋_GB2312"/>
          <w:color w:val="000000" w:themeColor="text1"/>
          <w:sz w:val="32"/>
          <w:szCs w:val="32"/>
          <w14:textFill>
            <w14:solidFill>
              <w14:schemeClr w14:val="tx1"/>
            </w14:solidFill>
          </w14:textFill>
        </w:rPr>
        <w:t>完善配套保障需求升级，构建多元融合、吸引力强、现代化水平高、特色突出的多层次商业</w:t>
      </w:r>
      <w:r>
        <w:rPr>
          <w:rFonts w:hint="eastAsia" w:ascii="仿宋_GB2312" w:hAnsi="仿宋_GB2312" w:eastAsia="仿宋_GB2312"/>
          <w:color w:val="000000" w:themeColor="text1"/>
          <w:sz w:val="32"/>
          <w:szCs w:val="32"/>
          <w14:textFill>
            <w14:solidFill>
              <w14:schemeClr w14:val="tx1"/>
            </w14:solidFill>
          </w14:textFill>
        </w:rPr>
        <w:t>服务体系。持续实施《柳东新区商业网点发展规划（2019-2035）》，重点打造1个市级商业中心、1个片区级</w:t>
      </w:r>
      <w:r>
        <w:rPr>
          <w:rFonts w:hint="eastAsia" w:eastAsia="仿宋_GB2312"/>
          <w:color w:val="000000" w:themeColor="text1"/>
          <w:sz w:val="32"/>
          <w:szCs w:val="32"/>
          <w14:textFill>
            <w14:solidFill>
              <w14:schemeClr w14:val="tx1"/>
            </w14:solidFill>
          </w14:textFill>
        </w:rPr>
        <w:t>商业中</w:t>
      </w:r>
      <w:r>
        <w:rPr>
          <w:rFonts w:hint="eastAsia" w:ascii="仿宋_GB2312" w:hAnsi="仿宋_GB2312" w:eastAsia="仿宋_GB2312"/>
          <w:color w:val="000000" w:themeColor="text1"/>
          <w:sz w:val="32"/>
          <w:szCs w:val="32"/>
          <w14:textFill>
            <w14:solidFill>
              <w14:schemeClr w14:val="tx1"/>
            </w14:solidFill>
          </w14:textFill>
        </w:rPr>
        <w:t>心、30个社区（街道）级商业节点、1条特色商业街，以及各类专业市场和社区级商业、综合市场、百货超市等为补充的立体商业网点体系。加大基础商业设施建设，积极推进友邻汇项目建设及招商，致力建设“15</w:t>
      </w:r>
      <w:r>
        <w:rPr>
          <w:rFonts w:hint="eastAsia" w:eastAsia="仿宋_GB2312"/>
          <w:color w:val="000000" w:themeColor="text1"/>
          <w:sz w:val="32"/>
          <w:szCs w:val="32"/>
          <w14:textFill>
            <w14:solidFill>
              <w14:schemeClr w14:val="tx1"/>
            </w14:solidFill>
          </w14:textFill>
        </w:rPr>
        <w:t>分钟生活圈”，推动新区农贸市场、肉菜市场超市化升级，在满足居民需求基础上提升购物体验感。全面打造大型商业综合体，高水平开发建设龙湖</w:t>
      </w:r>
      <w:r>
        <w:rPr>
          <w:rFonts w:hint="eastAsia" w:ascii="仿宋_GB2312" w:hAnsi="仿宋_GB2312" w:eastAsia="仿宋_GB2312"/>
          <w:color w:val="000000" w:themeColor="text1"/>
          <w:sz w:val="32"/>
          <w:szCs w:val="32"/>
          <w14:textFill>
            <w14:solidFill>
              <w14:schemeClr w14:val="tx1"/>
            </w14:solidFill>
          </w14:textFill>
        </w:rPr>
        <w:t>CBD、</w:t>
      </w:r>
      <w:r>
        <w:rPr>
          <w:rFonts w:hint="eastAsia" w:eastAsia="仿宋_GB2312"/>
          <w:color w:val="000000" w:themeColor="text1"/>
          <w:sz w:val="32"/>
          <w:szCs w:val="32"/>
          <w14:textFill>
            <w14:solidFill>
              <w14:schemeClr w14:val="tx1"/>
            </w14:solidFill>
          </w14:textFill>
        </w:rPr>
        <w:t>万象汇、红星爱琴海购物公园、卡乐天地商业一条街等项目，引进新业种、新业态和新商户，鼓励发展“网红经济”“夜间经济”，丰富多元化消费业态，全面提升商业服务业发展品质，打造独具魅力的生活休闲和消费购物环境。</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增强会展服务聚引效应。</w:t>
      </w:r>
      <w:r>
        <w:rPr>
          <w:rFonts w:hint="eastAsia" w:eastAsia="仿宋_GB2312"/>
          <w:color w:val="000000" w:themeColor="text1"/>
          <w:sz w:val="32"/>
          <w:szCs w:val="32"/>
          <w14:textFill>
            <w14:solidFill>
              <w14:schemeClr w14:val="tx1"/>
            </w14:solidFill>
          </w14:textFill>
        </w:rPr>
        <w:t>依托会展中心的场馆资源，持续完善会展中心周边交通、配套商业、商务、商旅等设施，引进国际知名会展企业、会展组织和会展人才，引导会展业集聚发展，提升国际会展中心引擎效应。重点打造具有高品质、专业性的会展品牌，聚焦新经济产业，以“中国－东盟汽车工业博览会”为龙头，培育具有发展潜力的轨道交通、智能装备等专业会展品牌，壮大农产品、家居建材、汽车销售、旅游装备等消费性会展品牌，增强品牌效应，将新区打造成为区域性会展、会议、论坛举办的首选地，服务柳来河经济带、珠江－西江经济带和粤桂黔高铁经济带产业和创新交流与合作。以会展中心运营为带动，推动全市会展业统筹规划、有序引导、协调管理。</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四、融合发展文化体育旅游业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积极推动</w:t>
      </w:r>
      <w:r>
        <w:rPr>
          <w:rFonts w:hint="eastAsia" w:ascii="仿宋_GB2312" w:hAnsi="仿宋_GB2312" w:eastAsia="仿宋_GB2312"/>
          <w:color w:val="000000" w:themeColor="text1"/>
          <w:sz w:val="32"/>
          <w:szCs w:val="32"/>
          <w14:textFill>
            <w14:solidFill>
              <w14:schemeClr w14:val="tx1"/>
            </w14:solidFill>
          </w14:textFill>
        </w:rPr>
        <w:t>柳州</w:t>
      </w:r>
      <w:r>
        <w:rPr>
          <w:rFonts w:hint="eastAsia" w:ascii="仿宋_GB2312" w:hAnsi="仿宋_GB2312" w:eastAsia="仿宋_GB2312"/>
          <w:color w:val="000000" w:themeColor="text1"/>
          <w:sz w:val="32"/>
          <w:szCs w:val="32"/>
          <w:lang w:eastAsia="zh-CN"/>
          <w14:textFill>
            <w14:solidFill>
              <w14:schemeClr w14:val="tx1"/>
            </w14:solidFill>
          </w14:textFill>
        </w:rPr>
        <w:t>市</w:t>
      </w:r>
      <w:r>
        <w:rPr>
          <w:rFonts w:hint="eastAsia" w:ascii="仿宋_GB2312" w:hAnsi="仿宋_GB2312" w:eastAsia="仿宋_GB2312"/>
          <w:color w:val="000000" w:themeColor="text1"/>
          <w:sz w:val="32"/>
          <w:szCs w:val="32"/>
          <w14:textFill>
            <w14:solidFill>
              <w14:schemeClr w14:val="tx1"/>
            </w14:solidFill>
          </w14:textFill>
        </w:rPr>
        <w:t>全域</w:t>
      </w:r>
      <w:r>
        <w:rPr>
          <w:rFonts w:hint="eastAsia" w:ascii="仿宋_GB2312" w:hAnsi="仿宋_GB2312" w:eastAsia="仿宋_GB2312"/>
          <w:color w:val="000000" w:themeColor="text1"/>
          <w:sz w:val="32"/>
          <w:szCs w:val="32"/>
          <w:lang w:eastAsia="zh-CN"/>
          <w14:textFill>
            <w14:solidFill>
              <w14:schemeClr w14:val="tx1"/>
            </w14:solidFill>
          </w14:textFill>
        </w:rPr>
        <w:t>旅游发展，</w:t>
      </w:r>
      <w:r>
        <w:rPr>
          <w:rFonts w:hint="eastAsia" w:ascii="仿宋_GB2312" w:hAns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sz w:val="32"/>
          <w:szCs w:val="32"/>
          <w:lang w:eastAsia="zh-CN"/>
          <w14:textFill>
            <w14:solidFill>
              <w14:schemeClr w14:val="tx1"/>
            </w14:solidFill>
          </w14:textFill>
        </w:rPr>
        <w:t>新区</w:t>
      </w:r>
      <w:r>
        <w:rPr>
          <w:rFonts w:hint="eastAsia" w:ascii="仿宋_GB2312" w:hAnsi="仿宋_GB2312" w:eastAsia="仿宋_GB2312"/>
          <w:color w:val="000000" w:themeColor="text1"/>
          <w:sz w:val="32"/>
          <w:szCs w:val="32"/>
          <w14:textFill>
            <w14:solidFill>
              <w14:schemeClr w14:val="tx1"/>
            </w14:solidFill>
          </w14:textFill>
        </w:rPr>
        <w:t>四个4A景区等重点项目，在设施配套、产品创新、模式改革、服务升级和市场推广等方面加大力度，打造以工业旅游、科技体验、观光休闲为特色的广西文旅打卡地。推动新区汽车制造、科技创新与文旅产业联动发展，</w:t>
      </w:r>
      <w:r>
        <w:rPr>
          <w:rFonts w:hint="eastAsia" w:ascii="仿宋_GB2312" w:hAnsi="仿宋_GB2312" w:eastAsia="仿宋_GB2312"/>
          <w:color w:val="000000" w:themeColor="text1"/>
          <w:sz w:val="32"/>
          <w:szCs w:val="32"/>
          <w:lang w:eastAsia="zh-CN"/>
          <w14:textFill>
            <w14:solidFill>
              <w14:schemeClr w14:val="tx1"/>
            </w14:solidFill>
          </w14:textFill>
        </w:rPr>
        <w:t>推进</w:t>
      </w:r>
      <w:r>
        <w:rPr>
          <w:rFonts w:hint="eastAsia" w:ascii="仿宋_GB2312" w:hAnsi="仿宋_GB2312" w:eastAsia="仿宋_GB2312"/>
          <w:color w:val="000000" w:themeColor="text1"/>
          <w:sz w:val="32"/>
          <w:szCs w:val="32"/>
          <w14:textFill>
            <w14:solidFill>
              <w14:schemeClr w14:val="tx1"/>
            </w14:solidFill>
          </w14:textFill>
        </w:rPr>
        <w:t>“共享汽车+旅游出行”</w:t>
      </w:r>
      <w:r>
        <w:rPr>
          <w:rFonts w:hint="eastAsia" w:ascii="仿宋_GB2312" w:hAnsi="仿宋_GB2312" w:eastAsia="仿宋_GB2312"/>
          <w:color w:val="000000" w:themeColor="text1"/>
          <w:sz w:val="32"/>
          <w:szCs w:val="32"/>
          <w:lang w:eastAsia="zh-CN"/>
          <w14:textFill>
            <w14:solidFill>
              <w14:schemeClr w14:val="tx1"/>
            </w14:solidFill>
          </w14:textFill>
        </w:rPr>
        <w:t>旅游模式</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谋划打造新区汽车文旅系列项目，建设主题酒店、汽车电影院、房车营地等设施，</w:t>
      </w:r>
      <w:r>
        <w:rPr>
          <w:rFonts w:hint="eastAsia" w:ascii="仿宋_GB2312" w:hAnsi="仿宋_GB2312" w:eastAsia="仿宋_GB2312"/>
          <w:color w:val="000000" w:themeColor="text1"/>
          <w:sz w:val="32"/>
          <w:szCs w:val="32"/>
          <w14:textFill>
            <w14:solidFill>
              <w14:schemeClr w14:val="tx1"/>
            </w14:solidFill>
          </w14:textFill>
        </w:rPr>
        <w:t>促进汽车城文化传播。依托新区文化广场、会展中心、卡乐星球、文化艺术中心、体育中心等场馆资源，举办丰富多彩的文体活动，活跃文化生态。依托柳州 772 数字文化创意产业园，推出系列富有汽车城特色的文创产品。</w:t>
      </w:r>
      <w:r>
        <w:rPr>
          <w:rFonts w:hint="eastAsia" w:ascii="仿宋_GB2312" w:hAnsi="仿宋_GB2312" w:eastAsia="仿宋_GB2312" w:cs="仿宋_GB2312"/>
          <w:color w:val="000000" w:themeColor="text1"/>
          <w:sz w:val="32"/>
          <w:szCs w:val="32"/>
          <w14:textFill>
            <w14:solidFill>
              <w14:schemeClr w14:val="tx1"/>
            </w14:solidFill>
          </w14:textFill>
        </w:rPr>
        <w:t>加快建设柳州体育综合体项目，</w:t>
      </w:r>
      <w:r>
        <w:rPr>
          <w:rFonts w:hint="eastAsia" w:ascii="仿宋_GB2312" w:hAnsi="仿宋_GB2312" w:eastAsia="仿宋_GB2312" w:cs="仿宋"/>
          <w:color w:val="000000" w:themeColor="text1"/>
          <w:sz w:val="32"/>
          <w:szCs w:val="32"/>
          <w14:textFill>
            <w14:solidFill>
              <w14:schemeClr w14:val="tx1"/>
            </w14:solidFill>
          </w14:textFill>
        </w:rPr>
        <w:t>充实丰富会展片区功能，打造城市新名</w:t>
      </w:r>
      <w:r>
        <w:rPr>
          <w:rFonts w:hint="eastAsia" w:ascii="仿宋_GB2312" w:hAnsi="仿宋_GB2312" w:eastAsia="仿宋_GB2312"/>
          <w:color w:val="000000" w:themeColor="text1"/>
          <w:sz w:val="32"/>
          <w:szCs w:val="32"/>
          <w14:textFill>
            <w14:solidFill>
              <w14:schemeClr w14:val="tx1"/>
            </w14:solidFill>
          </w14:textFill>
        </w:rPr>
        <w:t>片，促进文体产业集聚</w:t>
      </w:r>
      <w:r>
        <w:rPr>
          <w:rFonts w:hint="eastAsia" w:ascii="仿宋_GB2312" w:hAnsi="仿宋_GB2312" w:eastAsia="仿宋_GB2312" w:cs="仿宋_GB2312"/>
          <w:color w:val="000000" w:themeColor="text1"/>
          <w:sz w:val="32"/>
          <w:szCs w:val="32"/>
          <w14:textFill>
            <w14:solidFill>
              <w14:schemeClr w14:val="tx1"/>
            </w14:solidFill>
          </w14:textFill>
        </w:rPr>
        <w:t>。推动</w:t>
      </w:r>
      <w:r>
        <w:rPr>
          <w:rFonts w:hint="eastAsia" w:ascii="仿宋_GB2312" w:hAnsi="仿宋_GB2312" w:eastAsia="仿宋_GB2312"/>
          <w:color w:val="000000" w:themeColor="text1"/>
          <w:sz w:val="32"/>
          <w:szCs w:val="32"/>
          <w14:textFill>
            <w14:solidFill>
              <w14:schemeClr w14:val="tx1"/>
            </w14:solidFill>
          </w14:textFill>
        </w:rPr>
        <w:t>雒容特色小镇、洛埠特色小镇、马步水库文化旅游度假区（</w:t>
      </w:r>
      <w:r>
        <w:rPr>
          <w:rFonts w:ascii="仿宋_GB2312" w:hAnsi="仿宋_GB2312" w:eastAsia="仿宋_GB2312"/>
          <w:color w:val="000000" w:themeColor="text1"/>
          <w:sz w:val="32"/>
          <w:szCs w:val="32"/>
          <w14:textFill>
            <w14:solidFill>
              <w14:schemeClr w14:val="tx1"/>
            </w14:solidFill>
          </w14:textFill>
        </w:rPr>
        <w:t>下金田乡村振兴</w:t>
      </w:r>
      <w:r>
        <w:rPr>
          <w:rFonts w:hint="eastAsia" w:ascii="仿宋_GB2312" w:hAnsi="仿宋_GB2312" w:eastAsia="仿宋_GB2312"/>
          <w:color w:val="000000" w:themeColor="text1"/>
          <w:sz w:val="32"/>
          <w:szCs w:val="32"/>
          <w14:textFill>
            <w14:solidFill>
              <w14:schemeClr w14:val="tx1"/>
            </w14:solidFill>
          </w14:textFill>
        </w:rPr>
        <w:t>项目）、</w:t>
      </w:r>
      <w:r>
        <w:rPr>
          <w:rFonts w:hint="eastAsia" w:ascii="仿宋_GB2312" w:hAnsi="仿宋_GB2312" w:eastAsia="仿宋_GB2312" w:cs="仿宋_GB2312"/>
          <w:color w:val="000000" w:themeColor="text1"/>
          <w:sz w:val="32"/>
          <w:szCs w:val="32"/>
          <w14:textFill>
            <w14:solidFill>
              <w14:schemeClr w14:val="tx1"/>
            </w14:solidFill>
          </w14:textFill>
        </w:rPr>
        <w:t>三门江油茶示范区</w:t>
      </w:r>
      <w:r>
        <w:rPr>
          <w:rFonts w:hint="eastAsia" w:ascii="仿宋_GB2312" w:hAnsi="仿宋_GB2312" w:eastAsia="仿宋_GB2312"/>
          <w:color w:val="000000" w:themeColor="text1"/>
          <w:sz w:val="32"/>
          <w:szCs w:val="32"/>
          <w14:textFill>
            <w14:solidFill>
              <w14:schemeClr w14:val="tx1"/>
            </w14:solidFill>
          </w14:textFill>
        </w:rPr>
        <w:t>等项目建</w:t>
      </w:r>
      <w:r>
        <w:rPr>
          <w:rFonts w:hint="eastAsia" w:ascii="仿宋_GB2312" w:hAnsi="黑体" w:eastAsia="仿宋_GB2312"/>
          <w:color w:val="000000" w:themeColor="text1"/>
          <w:sz w:val="32"/>
          <w:szCs w:val="32"/>
          <w14:textFill>
            <w14:solidFill>
              <w14:schemeClr w14:val="tx1"/>
            </w14:solidFill>
          </w14:textFill>
        </w:rPr>
        <w:t>设，</w:t>
      </w:r>
      <w:r>
        <w:rPr>
          <w:rFonts w:hint="eastAsia" w:ascii="仿宋_GB2312" w:hAnsi="仿宋_GB2312" w:eastAsia="仿宋_GB2312" w:cs="仿宋_GB2312"/>
          <w:color w:val="000000" w:themeColor="text1"/>
          <w:sz w:val="32"/>
          <w:szCs w:val="32"/>
          <w14:textFill>
            <w14:solidFill>
              <w14:schemeClr w14:val="tx1"/>
            </w14:solidFill>
          </w14:textFill>
        </w:rPr>
        <w:t>打造一批休闲观光农业项目，发展全域旅游和乡村旅游。加强与鹿寨、桂林沟通合作，发展柳州东线旅游，对阳朔旅游市场进行有效补充与合理衔接，形成“古今山水观桂林，汽车文化看柳东”的联动营销效应。</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五、引领发展大数据产业</w:t>
      </w:r>
    </w:p>
    <w:p>
      <w:pPr>
        <w:ind w:firstLine="640" w:firstLineChars="200"/>
        <w:rPr>
          <w:rFonts w:ascii="仿宋_GB2312" w:eastAsia="仿宋_GB2312"/>
          <w:color w:val="000000" w:themeColor="text1"/>
          <w:sz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立足产业数字化、数字产业化，精心谋划、科学布局大数据产业，扎实打造数字产业示范园区和大数据中心，以整合全市汽车行业数据资源为突破口，挖掘大数据价值，开发大数据产品，推动在人工智能、物联网等技术中的应用。抢占柳州建设广西首个工业互联网城市的有利先机，在汽车、机械等新区优势行业领域，推进实体经济与互联网、大数据、人工智能深度融合，精心打造一批智能工厂、数字化车间。加快自治区工业互联网标识解析二级节点建设，推动工业互联网平台建设及应用升级，不断扩大企业和工业设备联网上云上平台规模，有效整合产品设计、生产工艺、设备运行、运营管理等数据资源，汇聚设计能力、生产能力、软件资源、知识模型等资源，推动智能制造发展，构建大中小企业融通发展格局，打造广西工业互联网示范园区。持续完善广工大网络安全实验室、</w:t>
      </w:r>
      <w:r>
        <w:rPr>
          <w:rFonts w:ascii="仿宋_GB2312" w:eastAsia="仿宋_GB2312"/>
          <w:color w:val="000000" w:themeColor="text1"/>
          <w:sz w:val="32"/>
          <w14:textFill>
            <w14:solidFill>
              <w14:schemeClr w14:val="tx1"/>
            </w14:solidFill>
          </w14:textFill>
        </w:rPr>
        <w:t>柳州数字文化创意产业园</w:t>
      </w:r>
      <w:r>
        <w:rPr>
          <w:rFonts w:hint="eastAsia" w:ascii="仿宋_GB2312" w:eastAsia="仿宋_GB2312"/>
          <w:color w:val="000000" w:themeColor="text1"/>
          <w:sz w:val="32"/>
          <w14:textFill>
            <w14:solidFill>
              <w14:schemeClr w14:val="tx1"/>
            </w14:solidFill>
          </w14:textFill>
        </w:rPr>
        <w:t>、</w:t>
      </w:r>
      <w:r>
        <w:rPr>
          <w:rFonts w:ascii="仿宋_GB2312" w:eastAsia="仿宋_GB2312"/>
          <w:color w:val="000000" w:themeColor="text1"/>
          <w:sz w:val="32"/>
          <w14:textFill>
            <w14:solidFill>
              <w14:schemeClr w14:val="tx1"/>
            </w14:solidFill>
          </w14:textFill>
        </w:rPr>
        <w:t>广西互联网教育产业园</w:t>
      </w:r>
      <w:r>
        <w:rPr>
          <w:rFonts w:hint="eastAsia" w:ascii="仿宋_GB2312" w:eastAsia="仿宋_GB2312"/>
          <w:color w:val="000000" w:themeColor="text1"/>
          <w:sz w:val="32"/>
          <w14:textFill>
            <w14:solidFill>
              <w14:schemeClr w14:val="tx1"/>
            </w14:solidFill>
          </w14:textFill>
        </w:rPr>
        <w:t>等专业平台建设，支持东城集团围绕智慧城市运营业务，打造智慧应用产业化创新载体，构建数字经济核心产业集群，打造“数字广西”柳东样板。</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专栏4-3 现代服务业建设重点</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科技服务：</w:t>
            </w:r>
            <w:r>
              <w:rPr>
                <w:rFonts w:hint="eastAsia"/>
                <w:color w:val="000000" w:themeColor="text1"/>
                <w14:textFill>
                  <w14:solidFill>
                    <w14:schemeClr w14:val="tx1"/>
                  </w14:solidFill>
                </w14:textFill>
              </w:rPr>
              <w:t>重点建设国家级汽车质监检验中心（柳州）二期、</w:t>
            </w:r>
            <w:r>
              <w:rPr>
                <w:rFonts w:hint="eastAsia" w:ascii="宋体" w:hAnsi="宋体" w:eastAsia="宋体" w:cs="宋体"/>
                <w:color w:val="000000" w:themeColor="text1"/>
                <w:szCs w:val="21"/>
                <w14:textFill>
                  <w14:solidFill>
                    <w14:schemeClr w14:val="tx1"/>
                  </w14:solidFill>
                </w14:textFill>
              </w:rPr>
              <w:t>全国铁路计量检测公共服务平台及轨道交通检测技术研究中心项目、</w:t>
            </w:r>
            <w:r>
              <w:rPr>
                <w:rFonts w:hint="eastAsia" w:cs="宋体" w:asciiTheme="minorEastAsia" w:hAnsiTheme="minorEastAsia"/>
                <w:color w:val="000000" w:themeColor="text1"/>
                <w:szCs w:val="21"/>
                <w14:textFill>
                  <w14:solidFill>
                    <w14:schemeClr w14:val="tx1"/>
                  </w14:solidFill>
                </w14:textFill>
              </w:rPr>
              <w:t>上通五“智能网联”项目、柳州市科技创新创业示范基地（一期）、上海漕河泾柳东创新创业园、国检中心改扩建三期项目等项目。</w:t>
            </w:r>
          </w:p>
          <w:p>
            <w:pPr>
              <w:pStyle w:val="9"/>
              <w:spacing w:beforeLines="50"/>
              <w:ind w:firstLine="422" w:firstLineChars="200"/>
              <w:rPr>
                <w:rFonts w:cs="宋体" w:asciiTheme="minorEastAsia" w:hAnsiTheme="minorEastAsia"/>
                <w:color w:val="000000" w:themeColor="text1"/>
                <w14:textFill>
                  <w14:solidFill>
                    <w14:schemeClr w14:val="tx1"/>
                  </w14:solidFill>
                </w14:textFill>
              </w:rPr>
            </w:pPr>
            <w:r>
              <w:rPr>
                <w:rFonts w:hint="eastAsia" w:cs="宋体" w:asciiTheme="minorEastAsia" w:hAnsiTheme="minorEastAsia"/>
                <w:b/>
                <w:color w:val="000000" w:themeColor="text1"/>
                <w14:textFill>
                  <w14:solidFill>
                    <w14:schemeClr w14:val="tx1"/>
                  </w14:solidFill>
                </w14:textFill>
              </w:rPr>
              <w:t>智慧物流服务：</w:t>
            </w:r>
            <w:r>
              <w:rPr>
                <w:rFonts w:hint="eastAsia" w:cs="宋体" w:asciiTheme="minorEastAsia" w:hAnsiTheme="minorEastAsia"/>
                <w:color w:val="000000" w:themeColor="text1"/>
                <w14:textFill>
                  <w14:solidFill>
                    <w14:schemeClr w14:val="tx1"/>
                  </w14:solidFill>
                </w14:textFill>
              </w:rPr>
              <w:t>重点建设柳州国家公路枢纽柳东物流中心、柳东新区汽车物流中心、柳东车辆制造基地智能物流项目、智慧医药供应链体系建设、东城汽车后市场产业服务园（东城汽车后市场（一期）项目）、保税区仓储物流中心、柳州市东城花岭物流中心等项目。</w:t>
            </w:r>
          </w:p>
          <w:p>
            <w:pPr>
              <w:pStyle w:val="9"/>
              <w:spacing w:beforeLines="50" w:after="0"/>
              <w:ind w:firstLine="422" w:firstLineChars="200"/>
              <w:rPr>
                <w:rFonts w:cs="宋体" w:asciiTheme="minorEastAsia" w:hAnsiTheme="minorEastAsia"/>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商务会展服务：</w:t>
            </w:r>
            <w:r>
              <w:rPr>
                <w:rFonts w:hint="eastAsia"/>
                <w:color w:val="000000" w:themeColor="text1"/>
                <w14:textFill>
                  <w14:solidFill>
                    <w14:schemeClr w14:val="tx1"/>
                  </w14:solidFill>
                </w14:textFill>
              </w:rPr>
              <w:t>重点建设</w:t>
            </w:r>
            <w:r>
              <w:rPr>
                <w:rFonts w:hint="eastAsia" w:cs="宋体" w:asciiTheme="minorEastAsia" w:hAnsiTheme="minorEastAsia"/>
                <w:color w:val="000000" w:themeColor="text1"/>
                <w14:textFill>
                  <w14:solidFill>
                    <w14:schemeClr w14:val="tx1"/>
                  </w14:solidFill>
                </w14:textFill>
              </w:rPr>
              <w:t>苏宁易购广西桂北智慧电商产业园（一期）、</w:t>
            </w:r>
            <w:r>
              <w:rPr>
                <w:rFonts w:hint="eastAsia" w:cs="宋体" w:asciiTheme="minorEastAsia" w:hAnsiTheme="minorEastAsia"/>
                <w:color w:val="000000" w:themeColor="text1"/>
                <w:szCs w:val="21"/>
                <w14:textFill>
                  <w14:solidFill>
                    <w14:schemeClr w14:val="tx1"/>
                  </w14:solidFill>
                </w14:textFill>
              </w:rPr>
              <w:t>会展特色商业区、</w:t>
            </w:r>
            <w:r>
              <w:rPr>
                <w:rFonts w:hint="eastAsia"/>
                <w:color w:val="000000" w:themeColor="text1"/>
                <w14:textFill>
                  <w14:solidFill>
                    <w14:schemeClr w14:val="tx1"/>
                  </w14:solidFill>
                </w14:textFill>
              </w:rPr>
              <w:t>龙湖CBD商业圈、万象综合体、爱琴海项目、体验园东北部主题酒店、科技园商业综合体（A地块）、三门江友邻汇、龙湖友邻汇、南寨友邻汇、上通五友邻汇、九岭西岸友邻汇、</w:t>
            </w:r>
            <w:r>
              <w:rPr>
                <w:rFonts w:hint="eastAsia" w:cs="宋体" w:asciiTheme="minorEastAsia" w:hAnsiTheme="minorEastAsia"/>
                <w:color w:val="000000" w:themeColor="text1"/>
                <w:szCs w:val="21"/>
                <w14:textFill>
                  <w14:solidFill>
                    <w14:schemeClr w14:val="tx1"/>
                  </w14:solidFill>
                </w14:textFill>
              </w:rPr>
              <w:t>连锁药店扩展项目、职教园南部共享区邻里中心 （悦汇城）、园博园北部城镇化配套项目二期、九子岭西北部城镇化配套项目、龙湖西CBD商业开发项目、东方锦绣等项目。</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文化旅游服务：</w:t>
            </w:r>
            <w:r>
              <w:rPr>
                <w:rFonts w:hint="eastAsia"/>
                <w:color w:val="000000" w:themeColor="text1"/>
                <w14:textFill>
                  <w14:solidFill>
                    <w14:schemeClr w14:val="tx1"/>
                  </w14:solidFill>
                </w14:textFill>
              </w:rPr>
              <w:t>重点建设柳东新区雪世界项目、三门江林场马步分场场部功能提升改造暨森林康养旅游示范项目；推进柳州体育健康城、马步水库乡村旅游示范区、柳州国际汽车文化旅游度假区、雒容特色小镇项目、洛埠特色小镇等项目规划实施。</w:t>
            </w:r>
          </w:p>
          <w:p>
            <w:pPr>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大数据服务：</w:t>
            </w:r>
            <w:r>
              <w:rPr>
                <w:rFonts w:hint="eastAsia" w:cs="宋体" w:asciiTheme="minorEastAsia" w:hAnsiTheme="minorEastAsia"/>
                <w:color w:val="000000" w:themeColor="text1"/>
                <w:szCs w:val="21"/>
                <w14:textFill>
                  <w14:solidFill>
                    <w14:schemeClr w14:val="tx1"/>
                  </w14:solidFill>
                </w14:textFill>
              </w:rPr>
              <w:t>重点建设“数字柳东”</w:t>
            </w:r>
            <w:r>
              <w:rPr>
                <w:rFonts w:hint="eastAsia"/>
                <w:color w:val="000000" w:themeColor="text1"/>
                <w:kern w:val="0"/>
                <w14:textFill>
                  <w14:solidFill>
                    <w14:schemeClr w14:val="tx1"/>
                  </w14:solidFill>
                </w14:textFill>
              </w:rPr>
              <w:t>智慧城市、工业互联网标识解析二级节点、国家信息中心大数据工业应用柳州基地、数字产业示范园区、广工大网络安全实验室、互联网教育产业园、数字文化创意产业园、猪八戒网柳州基地等。</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50" w:name="_Toc27779"/>
      <w:bookmarkStart w:id="151" w:name="_Toc14782"/>
      <w:bookmarkStart w:id="152" w:name="_Toc21729"/>
      <w:bookmarkStart w:id="153" w:name="_Toc18481"/>
      <w:bookmarkStart w:id="154" w:name="_Toc14000"/>
      <w:bookmarkStart w:id="155" w:name="_Toc27003"/>
      <w:r>
        <w:rPr>
          <w:rFonts w:hint="eastAsia" w:ascii="黑体" w:hAnsi="黑体" w:eastAsia="黑体" w:cs="Times New Roman"/>
          <w:b w:val="0"/>
          <w:color w:val="000000" w:themeColor="text1"/>
          <w14:textFill>
            <w14:solidFill>
              <w14:schemeClr w14:val="tx1"/>
            </w14:solidFill>
          </w14:textFill>
        </w:rPr>
        <w:t>第四节 积极布局培育前沿性产业</w:t>
      </w:r>
      <w:bookmarkEnd w:id="150"/>
      <w:bookmarkEnd w:id="151"/>
      <w:bookmarkEnd w:id="152"/>
      <w:bookmarkEnd w:id="153"/>
      <w:bookmarkEnd w:id="154"/>
      <w:bookmarkEnd w:id="15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一、前瞻布局产业金融核心区</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积极引导、培育优质金融机构入驻，发展以地区总部、后台服务、金融租赁为主的产业金融，打造供应链金融产业聚集地，创建辐射东盟的区域性产业金融中心和</w:t>
      </w:r>
      <w:r>
        <w:rPr>
          <w:rFonts w:ascii="Times New Roman" w:hAnsi="Times New Roman" w:eastAsia="仿宋_GB2312" w:cs="Times New Roman"/>
          <w:color w:val="000000" w:themeColor="text1"/>
          <w:sz w:val="32"/>
          <w:szCs w:val="32"/>
          <w14:textFill>
            <w14:solidFill>
              <w14:schemeClr w14:val="tx1"/>
            </w14:solidFill>
          </w14:textFill>
        </w:rPr>
        <w:t>绿色金融示范区</w:t>
      </w:r>
      <w:r>
        <w:rPr>
          <w:rFonts w:hint="eastAsia" w:eastAsia="仿宋_GB2312"/>
          <w:color w:val="000000" w:themeColor="text1"/>
          <w:sz w:val="32"/>
          <w:szCs w:val="32"/>
          <w14:textFill>
            <w14:solidFill>
              <w14:schemeClr w14:val="tx1"/>
            </w14:solidFill>
          </w14:textFill>
        </w:rPr>
        <w:t>。重点建设中央商务区金融聚集区，鼓励知名银行、证券公司、保险公司、信托投资公司和基金管理公司等金融机构在新区设立服务网点、搭建金融服务平台，充分利用神州顺利办等平台提供金融服务，开展评估、担保、融资租赁、商业保险和金融信息等多元化服务。以资源聚集和金融创新为抓手，建成多层次、多元化的市场体系和金融综合服务体系，积极发展数字金融和云金融等，提升金融服务对产业转型升级的支撑能力。着力构建多层次科创融资体系，借鉴深圳等城市的经验，发展天使投资、创业投资、股权投资等，加大对不同成长期科技型企业的支持力度，推动科技型小额贷款公司、科技企业融资担保公司联盟式发展，助力中小微企业成长。加快本地产业基金发展，充分导入自治区、柳州市产业基金，提升新区金融服务的杠杆作用。探索建设柳东新区主题基金园区，引进和培育私募证券基金、私募商品（期货）基金、对冲基金、量化投资基金及私募股权基金，打造柳州面向东盟的基金业务交流平台、基金发行服务平台、股权交易平台以及实体经济金融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二、加快发展生命健康产业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紧扣生命科学纵深发展、生物技术与信息技术融合的主题，围绕柳州市加快打造大健康和文化旅游装备制造基地的目标，以满足人们日益增长的健康需求为导向，大力发展医疗器械、生物医药、健康服务等重点行业，推动产业发展与民生幸福联动升级。培育发展医疗器械领域，重点关注数字化移动健康设备、健康管理设备、康复辅助器具等领域。支持生物医药领域发展，谋划中意（柳州）未来科技城生物医药辐射区建设，引进意大利等医疗产业资源，发展基因工程药物、疫苗、生物诊断试剂、健康食品等。积极发展新型健康服务领域，创新发展干细胞治疗、肿瘤免疫治疗、基因检测、健康管理、康养等领域高端技术、新型服务、新兴业态。</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专栏4-4 新兴前沿产业建设重点</w:t>
            </w:r>
          </w:p>
          <w:p>
            <w:pPr>
              <w:pStyle w:val="9"/>
              <w:spacing w:before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金融业：</w:t>
            </w:r>
            <w:r>
              <w:rPr>
                <w:rFonts w:hint="eastAsia" w:cs="宋体" w:asciiTheme="minorEastAsia" w:hAnsiTheme="minorEastAsia"/>
                <w:color w:val="000000" w:themeColor="text1"/>
                <w:szCs w:val="21"/>
                <w14:textFill>
                  <w14:solidFill>
                    <w14:schemeClr w14:val="tx1"/>
                  </w14:solidFill>
                </w14:textFill>
              </w:rPr>
              <w:t>推动建设中央商务区金融聚集区、柳东新区主题基金园区、科技金融联合实验室等项目；开展核心区产业金融中心前期。</w:t>
            </w:r>
          </w:p>
          <w:p>
            <w:pPr>
              <w:pStyle w:val="9"/>
              <w:spacing w:after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生命健康产业：</w:t>
            </w:r>
            <w:r>
              <w:rPr>
                <w:rFonts w:hint="eastAsia"/>
                <w:color w:val="000000" w:themeColor="text1"/>
                <w14:textFill>
                  <w14:solidFill>
                    <w14:schemeClr w14:val="tx1"/>
                  </w14:solidFill>
                </w14:textFill>
              </w:rPr>
              <w:t>推动中源协和柳东新区细胞与基因产业基地、</w:t>
            </w:r>
            <w:r>
              <w:rPr>
                <w:rFonts w:hint="eastAsia" w:cs="宋体" w:asciiTheme="minorEastAsia" w:hAnsiTheme="minorEastAsia"/>
                <w:color w:val="000000" w:themeColor="text1"/>
                <w:szCs w:val="21"/>
                <w14:textFill>
                  <w14:solidFill>
                    <w14:schemeClr w14:val="tx1"/>
                  </w14:solidFill>
                </w14:textFill>
              </w:rPr>
              <w:t>银丰细胞组织实验室项目建设；谋划建设</w:t>
            </w:r>
            <w:r>
              <w:rPr>
                <w:rFonts w:hint="eastAsia"/>
                <w:color w:val="000000" w:themeColor="text1"/>
                <w14:textFill>
                  <w14:solidFill>
                    <w14:schemeClr w14:val="tx1"/>
                  </w14:solidFill>
                </w14:textFill>
              </w:rPr>
              <w:t>中意生物医药辐射区；开展中源协和柳东新区细胞与基因产业基地项目前期工作。</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56" w:name="_Toc8126"/>
      <w:bookmarkStart w:id="157" w:name="_Toc29769"/>
      <w:bookmarkStart w:id="158" w:name="_Toc31272"/>
      <w:bookmarkStart w:id="159" w:name="_Toc8319"/>
      <w:bookmarkStart w:id="160" w:name="_Toc25511"/>
      <w:bookmarkStart w:id="161" w:name="_Toc23568"/>
      <w:r>
        <w:rPr>
          <w:rFonts w:hint="eastAsia" w:ascii="黑体" w:hAnsi="黑体" w:eastAsia="黑体" w:cs="Times New Roman"/>
          <w:b w:val="0"/>
          <w:color w:val="000000" w:themeColor="text1"/>
          <w14:textFill>
            <w14:solidFill>
              <w14:schemeClr w14:val="tx1"/>
            </w14:solidFill>
          </w14:textFill>
        </w:rPr>
        <w:t>第五节 推动产业转型和高质</w:t>
      </w:r>
      <w:r>
        <w:rPr>
          <w:rFonts w:hint="eastAsia" w:ascii="黑体" w:hAnsi="黑体" w:eastAsia="黑体" w:cs="Times New Roman"/>
          <w:b w:val="0"/>
          <w:color w:val="000000" w:themeColor="text1"/>
          <w:lang w:eastAsia="zh-CN"/>
          <w14:textFill>
            <w14:solidFill>
              <w14:schemeClr w14:val="tx1"/>
            </w14:solidFill>
          </w14:textFill>
        </w:rPr>
        <w:t>量</w:t>
      </w:r>
      <w:bookmarkStart w:id="707" w:name="_GoBack"/>
      <w:bookmarkEnd w:id="707"/>
      <w:r>
        <w:rPr>
          <w:rFonts w:hint="eastAsia" w:ascii="黑体" w:hAnsi="黑体" w:eastAsia="黑体" w:cs="Times New Roman"/>
          <w:b w:val="0"/>
          <w:color w:val="000000" w:themeColor="text1"/>
          <w14:textFill>
            <w14:solidFill>
              <w14:schemeClr w14:val="tx1"/>
            </w14:solidFill>
          </w14:textFill>
        </w:rPr>
        <w:t>发展</w:t>
      </w:r>
      <w:bookmarkEnd w:id="156"/>
      <w:bookmarkEnd w:id="157"/>
      <w:bookmarkEnd w:id="158"/>
      <w:bookmarkEnd w:id="159"/>
      <w:bookmarkEnd w:id="160"/>
      <w:bookmarkEnd w:id="1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一、拓展招商模式引进优质项目</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以构建完整产业链为导向，推动精准招商。围绕“1+3+5”产业体系，加大国际、国内龙头企业、知名高科技公司等产业引领型企业引进力度。鼓励产业园区、创新载体等功能区，以股权招商，推动一批独角兽企业、瞪羚企业、高科技上市企业、隐形冠军企业等优质企业以较低成本落地，通过拓展融资渠道、提供政策辅导等多种形式支持中小微企业发展。倡导并购招商模式，通过设立产业并购引导基金、加大奖励等方式，支持龙头企业、上市公司并购国内外关键核心技术企业，将并购的项目引回新区发展。创新新区招商体制模式。实现企业化招商，企业化运营，激发</w:t>
      </w:r>
      <w:r>
        <w:rPr>
          <w:rFonts w:hint="eastAsia" w:ascii="仿宋_GB2312" w:eastAsia="仿宋_GB2312"/>
          <w:color w:val="000000" w:themeColor="text1"/>
          <w:sz w:val="32"/>
          <w:szCs w:val="32"/>
          <w:lang w:eastAsia="zh-CN"/>
          <w14:textFill>
            <w14:solidFill>
              <w14:schemeClr w14:val="tx1"/>
            </w14:solidFill>
          </w14:textFill>
        </w:rPr>
        <w:t>招商</w:t>
      </w:r>
      <w:r>
        <w:rPr>
          <w:rFonts w:hint="eastAsia" w:ascii="仿宋_GB2312" w:eastAsia="仿宋_GB2312"/>
          <w:color w:val="000000" w:themeColor="text1"/>
          <w:sz w:val="32"/>
          <w:szCs w:val="32"/>
          <w14:textFill>
            <w14:solidFill>
              <w14:schemeClr w14:val="tx1"/>
            </w14:solidFill>
          </w14:textFill>
        </w:rPr>
        <w:t>工作</w:t>
      </w:r>
      <w:r>
        <w:rPr>
          <w:rFonts w:hint="eastAsia" w:ascii="仿宋_GB2312" w:eastAsia="仿宋_GB2312"/>
          <w:color w:val="000000" w:themeColor="text1"/>
          <w:sz w:val="32"/>
          <w:szCs w:val="32"/>
          <w:lang w:eastAsia="zh-CN"/>
          <w14:textFill>
            <w14:solidFill>
              <w14:schemeClr w14:val="tx1"/>
            </w14:solidFill>
          </w14:textFill>
        </w:rPr>
        <w:t>动力</w:t>
      </w:r>
      <w:r>
        <w:rPr>
          <w:rFonts w:hint="eastAsia" w:ascii="仿宋_GB2312" w:eastAsia="仿宋_GB2312"/>
          <w:color w:val="000000" w:themeColor="text1"/>
          <w:sz w:val="32"/>
          <w:szCs w:val="32"/>
          <w14:textFill>
            <w14:solidFill>
              <w14:schemeClr w14:val="tx1"/>
            </w14:solidFill>
          </w14:textFill>
        </w:rPr>
        <w:t>，提高招商引资实效。积极在国内国外经济发达和创新活跃的城市设立异地孵化器或海外孵化器，以股权为纽带，支持创新创业，推动在新区实现产业化。</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二、持续实施六大升级行动</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对标高质量发展要求，把握现代经济发展特征和规律，立足新区基础条件和发展实际，以项目带动、招商拉动、智能推动、创新驱动、人才流动、开放互动为核心抓手，持续实施项目带动升级行动、智造推动升级行动、创新提质升级行动、质量品牌升级行动、人才兴区升级行动、开放合作升级行动等“六大升级行动”，着力调结构、补短板、强支撑，持续推进产业生态构建和发展要素集聚，全面实现新区发展动能转换、产业转型升级，以高质量发展开创新区现代产业体系发展新格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专栏4-5 实施六大升级行动</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项目带动升级行动。</w:t>
            </w:r>
            <w:r>
              <w:rPr>
                <w:rFonts w:hint="eastAsia" w:cs="宋体" w:asciiTheme="minorEastAsia" w:hAnsiTheme="minorEastAsia"/>
                <w:color w:val="000000" w:themeColor="text1"/>
                <w:szCs w:val="21"/>
                <w14:textFill>
                  <w14:solidFill>
                    <w14:schemeClr w14:val="tx1"/>
                  </w14:solidFill>
                </w14:textFill>
              </w:rPr>
              <w:t>立足新区“1+3+5”产业领域，主动谋划，每年引进一批市场前景好、科技含量高、带动效应强的大项目、好项目，持续充实完善高质量发展项目库，积极引进一批带动性强、“高、精、专”的产业链配套“小巨人”项目。每年从高质量工业、科技、基础设施、民生、招商引资、党建人才等六个领域，确定六个十大高质量发展重点项目，作为新区年度高质量发展标志性工程。</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智造推动升级行动。</w:t>
            </w:r>
            <w:r>
              <w:rPr>
                <w:rFonts w:hint="eastAsia" w:cs="宋体" w:asciiTheme="minorEastAsia" w:hAnsiTheme="minorEastAsia"/>
                <w:color w:val="000000" w:themeColor="text1"/>
                <w:szCs w:val="21"/>
                <w14:textFill>
                  <w14:solidFill>
                    <w14:schemeClr w14:val="tx1"/>
                  </w14:solidFill>
                </w14:textFill>
              </w:rPr>
              <w:t>推进智能制造，重点推进龙头企业工业机器人智能工厂示范应用，带动配套企业推动设备互联、数据集成、智能管控，促进生产过程的精准化、柔性化、敏捷化。重点推进智能制造示范项目，打造数字化车间和智能工厂。加强两化融合对标、贯标，引导企业系统进行技术创新和管理变革。深入推进企业“两化融合”提升工程，借助柳东新区智能制造服务站，开展专家与企业面对面会诊活动，为企业提供智能制造发展规划路线图和编制、“两化融合”和智能制造评估、工业软件和系统开发等服务。</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创新提质升级行动。</w:t>
            </w:r>
            <w:r>
              <w:rPr>
                <w:rFonts w:hint="eastAsia" w:cs="宋体" w:asciiTheme="minorEastAsia" w:hAnsiTheme="minorEastAsia"/>
                <w:color w:val="000000" w:themeColor="text1"/>
                <w:szCs w:val="21"/>
                <w14:textFill>
                  <w14:solidFill>
                    <w14:schemeClr w14:val="tx1"/>
                  </w14:solidFill>
                </w14:textFill>
              </w:rPr>
              <w:t xml:space="preserve">加速核心企业的创新效应，实施大型企业研发机构全覆盖行动，支持工业骨干企业创建区级以上企业技术中心、重点实验室、工程中心、工程技术实验室，组建重点制造业创新中心等新型研发机构。支持大型骨干企业建设研究院，开展前沿先导技术研发和重大战略产品开发。积极与高校院所合作，引进高端创新团队。支持以企业为主导建立产业技术创新战略联盟。 </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质量品牌升级行动。</w:t>
            </w:r>
            <w:r>
              <w:rPr>
                <w:rFonts w:hint="eastAsia" w:cs="宋体" w:asciiTheme="minorEastAsia" w:hAnsiTheme="minorEastAsia"/>
                <w:color w:val="000000" w:themeColor="text1"/>
                <w:szCs w:val="21"/>
                <w14:textFill>
                  <w14:solidFill>
                    <w14:schemeClr w14:val="tx1"/>
                  </w14:solidFill>
                </w14:textFill>
              </w:rPr>
              <w:t>以品牌为核心，实施以“质量+商标”为核心的品牌战略，大力推广先进质量管理理念和现代质量管理方法，加快企业质量信用体系和品牌培育体系建设。深入实施标准化建设，投身柳州 “百城千业万企对标达标提升专项行动”，引导和支持行业龙头企业参与标准的制订修订，提升申报名牌产品数量。打造“柳东品牌”发布平台，不定期举办新产品新技术发布会，加大品牌宣传力度。到2025年，力争实现自治区级以上名牌企业数70家以上。</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人才兴区升级行动。</w:t>
            </w:r>
            <w:r>
              <w:rPr>
                <w:rFonts w:hint="eastAsia" w:cs="宋体" w:asciiTheme="minorEastAsia" w:hAnsiTheme="minorEastAsia"/>
                <w:color w:val="000000" w:themeColor="text1"/>
                <w:szCs w:val="21"/>
                <w14:textFill>
                  <w14:solidFill>
                    <w14:schemeClr w14:val="tx1"/>
                  </w14:solidFill>
                </w14:textFill>
              </w:rPr>
              <w:t>充分利用新区职业教育资源，推进校企合作，培养造就一批面向生产一线的技术技能人才。发挥院士工作站、博士工作站、高校研究院所、企业技术中心等人才高地作用，建立新区高端人才专家顾问库，为新区建设发展建言献策。着重开展企业家培育工作，鼓励有带动力、创新力、资源聚合力的企业家在新区深耕企业发展。着力打造人力资源服务平台，以服务创新、制度创新、战略创新为产业筑巢引凤。</w:t>
            </w:r>
          </w:p>
          <w:p>
            <w:pPr>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开放合作升级行动。</w:t>
            </w:r>
            <w:r>
              <w:rPr>
                <w:rFonts w:hint="eastAsia" w:cs="宋体" w:asciiTheme="minorEastAsia" w:hAnsiTheme="minorEastAsia"/>
                <w:color w:val="000000" w:themeColor="text1"/>
                <w:szCs w:val="21"/>
                <w14:textFill>
                  <w14:solidFill>
                    <w14:schemeClr w14:val="tx1"/>
                  </w14:solidFill>
                </w14:textFill>
              </w:rPr>
              <w:t>依托国际会展中心平台，深入拓展中国－东盟（柳州）汽车工业博览会等影响力深厚的平台功能；与粤桂黔高铁经济带沿线地区，开展长期合作，实现互惠共赢；依托中意（柳州）未来科技城等，创造国际合作新环境。支持企业不断拓展海外业务、提高产品国际竞争力，持续加快“柳东制造”国际化步伐。</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三、创新产业链服务模式</w:t>
      </w:r>
    </w:p>
    <w:p>
      <w:pPr>
        <w:ind w:firstLine="640" w:firstLineChars="200"/>
        <w:rPr>
          <w:color w:val="000000" w:themeColor="text1"/>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聚焦新区支柱产业，精准化推进“强链、补链、连链、延链”，保障产业链安全，提升产业链水平。制定支柱产业的产业链图谱，建立柳东产业地图，加强对产业链重点企业的监测和服务，找准产业链关键、薄弱、缺失环节，重点引进一批产业链上有实力企业和关键环节重大项目落户。以集群治理新模式完善产业链配套水平，探索建立“政府引导，市场主导”产业链发展的市场化机制，引导社会资本和政府合作发展产业链服务公司等新型产业服务组织，依托产业链图谱进行精准招商。</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62" w:name="_Toc30097"/>
      <w:bookmarkStart w:id="163" w:name="_Toc19143"/>
      <w:bookmarkStart w:id="164" w:name="_Toc1813"/>
      <w:bookmarkStart w:id="165" w:name="_Toc20911"/>
      <w:bookmarkStart w:id="166" w:name="_Toc30707"/>
      <w:bookmarkStart w:id="167" w:name="_Toc4996"/>
      <w:r>
        <w:rPr>
          <w:rFonts w:hint="eastAsia" w:ascii="黑体" w:hAnsi="黑体" w:eastAsia="黑体" w:cs="Times New Roman"/>
          <w:b w:val="0"/>
          <w:color w:val="000000" w:themeColor="text1"/>
          <w14:textFill>
            <w14:solidFill>
              <w14:schemeClr w14:val="tx1"/>
            </w14:solidFill>
          </w14:textFill>
        </w:rPr>
        <w:t>第六节 统筹“三片四园七区”布局</w:t>
      </w:r>
      <w:bookmarkEnd w:id="162"/>
      <w:bookmarkEnd w:id="163"/>
      <w:bookmarkEnd w:id="164"/>
      <w:bookmarkEnd w:id="165"/>
      <w:bookmarkEnd w:id="166"/>
      <w:bookmarkEnd w:id="16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一、打造高品质产业空间</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大土地整备力度，推进土地利用与科技创新、产业发展、生活服务、生态保护结合，为推动新区产业高质量发展提升空间保障。加强连片产业用地整备，积极推进雒容工业园东区搬迁，加大新区土地收储和整备力度。创新产业用地供应与管理方式，逐步完善已征未用土地管理方式，解决历史遗留问题；鼓励以联合申请、先租后让方式申请产业用地，探索长期租赁、弹性年期出让等新型产业用地供应方式，提高产业用地配置效率。允许制造业的工业物业产权在取得合法产权后按幢、层等固定界限，能独立使用的不动产为基本单元分割，用于引进相关产业链合作伙伴的产业项目。增加高品质产业载体供应，以整备出的连片产业用地为基础，依托专业的产业园区运营机构，鼓励建设特色园中园、特色小微企业孵化园等，打造一批“产业主题+产业定制+产业服务+智慧管理+配套服务”的现代产业园。增加平价产业用房供应，积极发挥东城集团等国企拥有的园区资源优势，提供</w:t>
      </w:r>
      <w:r>
        <w:rPr>
          <w:rFonts w:ascii="仿宋_GB2312" w:eastAsia="仿宋_GB2312"/>
          <w:color w:val="000000" w:themeColor="text1"/>
          <w:sz w:val="32"/>
          <w:szCs w:val="32"/>
          <w14:textFill>
            <w14:solidFill>
              <w14:schemeClr w14:val="tx1"/>
            </w14:solidFill>
          </w14:textFill>
        </w:rPr>
        <w:t>一批</w:t>
      </w:r>
      <w:r>
        <w:rPr>
          <w:rFonts w:hint="eastAsia" w:ascii="仿宋_GB2312" w:eastAsia="仿宋_GB2312"/>
          <w:color w:val="000000" w:themeColor="text1"/>
          <w:sz w:val="32"/>
          <w:szCs w:val="32"/>
          <w14:textFill>
            <w14:solidFill>
              <w14:schemeClr w14:val="tx1"/>
            </w14:solidFill>
          </w14:textFill>
        </w:rPr>
        <w:t>低成本</w:t>
      </w:r>
      <w:r>
        <w:rPr>
          <w:rFonts w:ascii="仿宋_GB2312" w:eastAsia="仿宋_GB2312"/>
          <w:color w:val="000000" w:themeColor="text1"/>
          <w:sz w:val="32"/>
          <w:szCs w:val="32"/>
          <w14:textFill>
            <w14:solidFill>
              <w14:schemeClr w14:val="tx1"/>
            </w14:solidFill>
          </w14:textFill>
        </w:rPr>
        <w:t>、高质量的</w:t>
      </w:r>
      <w:r>
        <w:rPr>
          <w:rFonts w:hint="eastAsia" w:ascii="仿宋_GB2312" w:eastAsia="仿宋_GB2312"/>
          <w:color w:val="000000" w:themeColor="text1"/>
          <w:sz w:val="32"/>
          <w:szCs w:val="32"/>
          <w14:textFill>
            <w14:solidFill>
              <w14:schemeClr w14:val="tx1"/>
            </w14:solidFill>
          </w14:textFill>
        </w:rPr>
        <w:t>创新载体和</w:t>
      </w:r>
      <w:r>
        <w:rPr>
          <w:rFonts w:ascii="仿宋_GB2312" w:eastAsia="仿宋_GB2312"/>
          <w:color w:val="000000" w:themeColor="text1"/>
          <w:sz w:val="32"/>
          <w:szCs w:val="32"/>
          <w14:textFill>
            <w14:solidFill>
              <w14:schemeClr w14:val="tx1"/>
            </w14:solidFill>
          </w14:textFill>
        </w:rPr>
        <w:t>产业</w:t>
      </w:r>
      <w:r>
        <w:rPr>
          <w:rFonts w:hint="eastAsia" w:ascii="仿宋_GB2312" w:eastAsia="仿宋_GB2312"/>
          <w:color w:val="000000" w:themeColor="text1"/>
          <w:sz w:val="32"/>
          <w:szCs w:val="32"/>
          <w14:textFill>
            <w14:solidFill>
              <w14:schemeClr w14:val="tx1"/>
            </w14:solidFill>
          </w14:textFill>
        </w:rPr>
        <w:t>载体，发挥产业用房市场稳定器作用。</w:t>
      </w:r>
      <w:r>
        <w:rPr>
          <w:rFonts w:hint="eastAsia" w:eastAsia="仿宋_GB2312"/>
          <w:color w:val="000000" w:themeColor="text1"/>
          <w:sz w:val="32"/>
          <w:szCs w:val="32"/>
          <w14:textFill>
            <w14:solidFill>
              <w14:schemeClr w14:val="tx1"/>
            </w14:solidFill>
          </w14:textFill>
        </w:rPr>
        <w:t>至</w:t>
      </w:r>
      <w:r>
        <w:rPr>
          <w:rFonts w:hint="eastAsia" w:ascii="仿宋_GB2312" w:eastAsia="仿宋_GB2312"/>
          <w:color w:val="000000" w:themeColor="text1"/>
          <w:sz w:val="32"/>
          <w:szCs w:val="32"/>
          <w14:textFill>
            <w14:solidFill>
              <w14:schemeClr w14:val="tx1"/>
            </w14:solidFill>
          </w14:textFill>
        </w:rPr>
        <w:t>2025</w:t>
      </w:r>
      <w:r>
        <w:rPr>
          <w:rFonts w:hint="eastAsia" w:eastAsia="仿宋_GB2312"/>
          <w:color w:val="000000" w:themeColor="text1"/>
          <w:sz w:val="32"/>
          <w:szCs w:val="32"/>
          <w14:textFill>
            <w14:solidFill>
              <w14:schemeClr w14:val="tx1"/>
            </w14:solidFill>
          </w14:textFill>
        </w:rPr>
        <w:t>年，新区“三片四园七区”构架全面建成，从技术研发、创业孵化、市场培育、行业环境、融资支持等多方面为新区高质量发展提供强有力的空间保障。</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二、明确三大城镇功能片</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城市生态绿廊镶接而成的基础功能片，着力发展科教服务片、产业聚集片和城镇升级片三大功能片区。发展滨江科教服务片，以工业和产学研服务融合发展为引领，依托科教、会展、高端商住、物流等生活生产配套，完善产学研联动的产业创新服务体系，为新区发展提供智力支持；以滨江智谷为启动区，谋划建设中意（柳州）未来科技城，打造成战略性新兴产业的国际化载体、</w:t>
      </w:r>
      <w:r>
        <w:rPr>
          <w:rFonts w:hint="eastAsia" w:eastAsia="仿宋_GB2312"/>
          <w:color w:val="000000" w:themeColor="text1"/>
          <w:sz w:val="32"/>
          <w:szCs w:val="32"/>
          <w:lang w:eastAsia="zh-CN"/>
          <w14:textFill>
            <w14:solidFill>
              <w14:schemeClr w14:val="tx1"/>
            </w14:solidFill>
          </w14:textFill>
        </w:rPr>
        <w:t>“一带一路”倡议</w:t>
      </w:r>
      <w:r>
        <w:rPr>
          <w:rFonts w:hint="eastAsia" w:eastAsia="仿宋_GB2312"/>
          <w:color w:val="000000" w:themeColor="text1"/>
          <w:sz w:val="32"/>
          <w:szCs w:val="32"/>
          <w14:textFill>
            <w14:solidFill>
              <w14:schemeClr w14:val="tx1"/>
            </w14:solidFill>
          </w14:textFill>
        </w:rPr>
        <w:t>的重要示范区、中欧区域合作的示范项目。发展中部产业聚集片，重点依托北部产城拓展区、汽车产业发展区和重大物流片区，以工业高质量发展升级行动为支撑，结合新区</w:t>
      </w:r>
      <w:r>
        <w:rPr>
          <w:rFonts w:hint="eastAsia" w:ascii="仿宋_GB2312" w:eastAsia="仿宋_GB2312"/>
          <w:color w:val="000000" w:themeColor="text1"/>
          <w:sz w:val="32"/>
          <w:szCs w:val="32"/>
          <w14:textFill>
            <w14:solidFill>
              <w14:schemeClr w14:val="tx1"/>
            </w14:solidFill>
          </w14:textFill>
        </w:rPr>
        <w:t>“1+3+5”产业发</w:t>
      </w:r>
      <w:r>
        <w:rPr>
          <w:rFonts w:hint="eastAsia" w:eastAsia="仿宋_GB2312"/>
          <w:color w:val="000000" w:themeColor="text1"/>
          <w:sz w:val="32"/>
          <w:szCs w:val="32"/>
          <w14:textFill>
            <w14:solidFill>
              <w14:schemeClr w14:val="tx1"/>
            </w14:solidFill>
          </w14:textFill>
        </w:rPr>
        <w:t>展方向，合理规划主题产业园区，引导产业集聚发展。发展雒容商贸城镇升级片，以雒容镇为核心，带动南北区域联动发展，以特色小镇与产业新城融合发展为基础，焕发雒容老镇新貌、力促商贸服务业升级、注入制造业新动能，成为商贸服务功能完善，宜居宜业的城市新片区。</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三、发展四大生产性服务园</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发展科教创业园、保税物流园、金融科创园、高新孵化园四大生产性服务园，成为新区产业转型助力区和产业发展新高地。发展科教创业园，以产业在产品、服务与生产的应用创新为核心，推动成果产业化、产业集聚化，建成立足柳东、面向柳州、辐射西南、东融大湾区、连接东盟和欧盟的产业创新高地、开放合作高地、产教融合示范区。发展保税物流园，大力发展保税仓储、保税流通增值服务、国际采购和分销、保税检测和维修、进出口贸易和转口贸易等功能，并积极争取政策支持，发展零部件进出口、跨境电商、生鲜农产品冷链物流、“保税+实体新零售”等新型保税业态，打造新区乃至全市对外开放新格局。发展金融科创园，以柳州建设面向东盟的金融开放门户为契机，着力构建科技、金融有机统一、互动发展，先进技术产业和高效金融资本流动相辅相成的金融科技生态圈，有效支撑新区建设面向东盟的产业金融中心。发展高新孵化园，完善科技成果转化服务体系，推动创新成果商品化、产业化，支持科技企业创新、创业和成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四、建设七大产业集聚区</w:t>
      </w:r>
    </w:p>
    <w:p>
      <w:pPr>
        <w:ind w:firstLine="640" w:firstLineChars="200"/>
        <w:rPr>
          <w:color w:val="000000" w:themeColor="text1"/>
          <w14:textFill>
            <w14:solidFill>
              <w14:schemeClr w14:val="tx1"/>
            </w14:solidFill>
          </w14:textFill>
        </w:rPr>
      </w:pPr>
      <w:r>
        <w:rPr>
          <w:rFonts w:hint="eastAsia" w:eastAsia="仿宋_GB2312"/>
          <w:color w:val="000000" w:themeColor="text1"/>
          <w:sz w:val="32"/>
          <w:szCs w:val="32"/>
          <w14:textFill>
            <w14:solidFill>
              <w14:schemeClr w14:val="tx1"/>
            </w14:solidFill>
          </w14:textFill>
        </w:rPr>
        <w:t>以未来产业发展方向为引领，培育发展汽车综合产业区、新能源汽车产业区（智能汽车产业区）、智能交通产业区、电子光电产业区、装备制造产业区、新材料产业区、新一代信息技术产业区等七大产业集聚，成为新区制造业承载高地。围绕产业主题，重点完善以</w:t>
      </w:r>
      <w:r>
        <w:rPr>
          <w:rFonts w:hint="eastAsia" w:ascii="仿宋_GB2312" w:eastAsia="仿宋_GB2312"/>
          <w:color w:val="000000" w:themeColor="text1"/>
          <w:sz w:val="32"/>
          <w:szCs w:val="32"/>
          <w14:textFill>
            <w14:solidFill>
              <w14:schemeClr w14:val="tx1"/>
            </w14:solidFill>
          </w14:textFill>
        </w:rPr>
        <w:t>5G为基础的智慧园区基础设施，健全</w:t>
      </w:r>
      <w:r>
        <w:rPr>
          <w:rFonts w:hint="eastAsia" w:eastAsia="仿宋_GB2312"/>
          <w:color w:val="000000" w:themeColor="text1"/>
          <w:sz w:val="32"/>
          <w:szCs w:val="32"/>
          <w14:textFill>
            <w14:solidFill>
              <w14:schemeClr w14:val="tx1"/>
            </w14:solidFill>
          </w14:textFill>
        </w:rPr>
        <w:t>专业技术平台、商务服务平台、信息共享平台等服务功能，吸引行业龙头企业入驻，带动上、下游企业集聚。强化各集聚区的空间管控，制定专项规划，明确主导产业和各区功能体系，确定企业入驻标准，有序推进招商引资。对不同类型功能区采取差别化土地开发策略，引导经济、社会、产业和生态等进一步集聚和优化布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专栏4-6 “三片四园七区”建设重点与布局</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科教服务片：</w:t>
            </w:r>
            <w:r>
              <w:rPr>
                <w:rFonts w:hint="eastAsia"/>
                <w:color w:val="000000" w:themeColor="text1"/>
                <w14:textFill>
                  <w14:solidFill>
                    <w14:schemeClr w14:val="tx1"/>
                  </w14:solidFill>
                </w14:textFill>
              </w:rPr>
              <w:t>重点建设保税物流园、科教创业园等生产性服务园。</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产业聚集片：</w:t>
            </w:r>
            <w:r>
              <w:rPr>
                <w:rFonts w:hint="eastAsia"/>
                <w:color w:val="000000" w:themeColor="text1"/>
                <w14:textFill>
                  <w14:solidFill>
                    <w14:schemeClr w14:val="tx1"/>
                  </w14:solidFill>
                </w14:textFill>
              </w:rPr>
              <w:t>重点建设金融科创园、高新孵化园等生产性服务园，以及汽车综合产业区、新能源汽车产业区（智能汽车产业区）、智能交通产业区、电子光电产业区、装备制造产业区、新一代信息技术产业区等产业集聚区，E区标准厂房。</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城镇升级片：</w:t>
            </w:r>
            <w:r>
              <w:rPr>
                <w:rFonts w:hint="eastAsia"/>
                <w:color w:val="000000" w:themeColor="text1"/>
                <w14:textFill>
                  <w14:solidFill>
                    <w14:schemeClr w14:val="tx1"/>
                  </w14:solidFill>
                </w14:textFill>
              </w:rPr>
              <w:t>重点建设新材料产业集聚区、中山街商业服务片区。</w:t>
            </w:r>
          </w:p>
          <w:p>
            <w:pPr>
              <w:spacing w:after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中意（柳州）未来科技城：</w:t>
            </w:r>
            <w:r>
              <w:rPr>
                <w:rFonts w:hint="eastAsia" w:cs="宋体" w:asciiTheme="minorEastAsia" w:hAnsiTheme="minorEastAsia"/>
                <w:color w:val="000000" w:themeColor="text1"/>
                <w:szCs w:val="21"/>
                <w14:textFill>
                  <w14:solidFill>
                    <w14:schemeClr w14:val="tx1"/>
                  </w14:solidFill>
                </w14:textFill>
              </w:rPr>
              <w:t>谋划构建“一核心六辐射区”的国际合作园区。核心区以“滨江智谷”为起步区，辐射区结合柳东新区现有不同区域的产业基础、发展定位和区域规划，按照高端制造、先进汽车、工业设计、教育合作、生物医药、信息技术等产业方向。分别在柳东新区中欧片与秀水片区、官塘片区、中欧职教园等地，打造中意智能制造示范区、中意（欧）先进汽车制造辐射区、中意（欧）新一代信息技术辐射区、中意生物医药辐射区、中意工业设计辐射区、中意文旅教育辐射区等六大辐射区。</w:t>
            </w:r>
          </w:p>
          <w:p>
            <w:pPr>
              <w:rPr>
                <w:color w:val="000000" w:themeColor="text1"/>
                <w14:textFill>
                  <w14:solidFill>
                    <w14:schemeClr w14:val="tx1"/>
                  </w14:solidFill>
                </w14:textFill>
              </w:rPr>
            </w:pPr>
          </w:p>
        </w:tc>
      </w:tr>
    </w:tbl>
    <w:p>
      <w:pPr>
        <w:ind w:firstLine="420" w:firstLineChars="200"/>
        <w:rPr>
          <w:color w:val="000000" w:themeColor="text1"/>
          <w14:textFill>
            <w14:solidFill>
              <w14:schemeClr w14:val="tx1"/>
            </w14:solidFill>
          </w14:textFill>
        </w:rPr>
      </w:pPr>
    </w:p>
    <w:p>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35270" cy="4827905"/>
            <wp:effectExtent l="0" t="0" r="1778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cstate="print"/>
                    <a:srcRect/>
                    <a:stretch>
                      <a:fillRect/>
                    </a:stretch>
                  </pic:blipFill>
                  <pic:spPr>
                    <a:xfrm>
                      <a:off x="0" y="0"/>
                      <a:ext cx="5335270" cy="4827905"/>
                    </a:xfrm>
                    <a:prstGeom prst="rect">
                      <a:avLst/>
                    </a:prstGeom>
                    <a:noFill/>
                    <a:ln w="9525">
                      <a:noFill/>
                      <a:miter lim="800000"/>
                      <a:headEnd/>
                      <a:tailEnd/>
                    </a:ln>
                  </pic:spPr>
                </pic:pic>
              </a:graphicData>
            </a:graphic>
          </wp:inline>
        </w:drawing>
      </w:r>
    </w:p>
    <w:p>
      <w:pPr>
        <w:pStyle w:val="9"/>
        <w:widowControl/>
        <w:snapToGrid w:val="0"/>
        <w:spacing w:beforeLines="50" w:afterLines="50"/>
        <w:jc w:val="center"/>
        <w:rPr>
          <w:rFonts w:ascii="黑体" w:hAnsi="黑体" w:eastAsia="黑体" w:cs="宋体"/>
          <w:bCs/>
          <w:color w:val="000000" w:themeColor="text1"/>
          <w:kern w:val="36"/>
          <w:sz w:val="32"/>
          <w:szCs w:val="32"/>
          <w14:textFill>
            <w14:solidFill>
              <w14:schemeClr w14:val="tx1"/>
            </w14:solidFill>
          </w14:textFill>
        </w:rPr>
      </w:pPr>
      <w:bookmarkStart w:id="168" w:name="_Toc18372"/>
      <w:r>
        <w:rPr>
          <w:rFonts w:hint="eastAsia" w:ascii="黑体" w:hAnsi="黑体" w:eastAsia="黑体" w:cs="黑体"/>
          <w:color w:val="000000" w:themeColor="text1"/>
          <w:sz w:val="28"/>
          <w:szCs w:val="28"/>
          <w14:textFill>
            <w14:solidFill>
              <w14:schemeClr w14:val="tx1"/>
            </w14:solidFill>
          </w14:textFill>
        </w:rPr>
        <w:t>图4-1 柳东新区产业发展布局图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168"/>
      <w:bookmarkStart w:id="169" w:name="_Toc23454"/>
      <w:bookmarkStart w:id="170" w:name="_Toc6369"/>
      <w:bookmarkStart w:id="171" w:name="_Toc18194"/>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72" w:name="_Toc23068"/>
      <w:bookmarkStart w:id="173" w:name="_Toc3437"/>
      <w:bookmarkStart w:id="174" w:name="_Toc5863"/>
      <w:bookmarkStart w:id="175" w:name="_Toc31728"/>
      <w:bookmarkStart w:id="176" w:name="_Toc5163"/>
      <w:bookmarkStart w:id="177" w:name="_Toc24704"/>
      <w:bookmarkStart w:id="178" w:name="_Toc16960"/>
      <w:bookmarkStart w:id="179" w:name="_Toc14887"/>
      <w:bookmarkStart w:id="180" w:name="_Toc3299"/>
      <w:bookmarkStart w:id="181" w:name="_Toc75341673"/>
      <w:bookmarkStart w:id="182" w:name="_Toc24758"/>
      <w:bookmarkStart w:id="183" w:name="_Toc10283"/>
      <w:bookmarkStart w:id="184" w:name="_Toc21825"/>
      <w:bookmarkStart w:id="185" w:name="_Toc1394"/>
      <w:bookmarkStart w:id="186" w:name="_Toc2995"/>
      <w:bookmarkStart w:id="187" w:name="_Toc1176"/>
      <w:bookmarkStart w:id="188" w:name="_Toc10802"/>
      <w:bookmarkStart w:id="189" w:name="_Toc17656"/>
      <w:bookmarkStart w:id="190" w:name="_Toc3944"/>
      <w:bookmarkStart w:id="191" w:name="_Toc20592"/>
      <w:bookmarkStart w:id="192" w:name="_Toc7700"/>
      <w:r>
        <w:rPr>
          <w:rFonts w:hint="eastAsia" w:ascii="黑体" w:hAnsi="黑体" w:eastAsia="黑体" w:cs="Times New Roman"/>
          <w:b w:val="0"/>
          <w:color w:val="000000" w:themeColor="text1"/>
          <w:sz w:val="32"/>
          <w:szCs w:val="32"/>
          <w14:textFill>
            <w14:solidFill>
              <w14:schemeClr w14:val="tx1"/>
            </w14:solidFill>
          </w14:textFill>
        </w:rPr>
        <w:t>第五章 加快产城融合，实现新区品质全面提升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bookmarkStart w:id="193" w:name="_Toc30761"/>
      <w:r>
        <w:rPr>
          <w:rFonts w:hint="eastAsia" w:ascii="仿宋_GB2312" w:hAnsi="仿宋" w:eastAsia="仿宋_GB2312"/>
          <w:color w:val="000000" w:themeColor="text1"/>
          <w:sz w:val="32"/>
          <w:szCs w:val="32"/>
          <w14:textFill>
            <w14:solidFill>
              <w14:schemeClr w14:val="tx1"/>
            </w14:solidFill>
          </w14:textFill>
        </w:rPr>
        <w:t>全面融入</w:t>
      </w:r>
      <w:r>
        <w:rPr>
          <w:rFonts w:hint="eastAsia" w:ascii="仿宋_GB2312" w:hAnsi="仿宋" w:eastAsia="仿宋_GB2312"/>
          <w:color w:val="000000" w:themeColor="text1"/>
          <w:sz w:val="32"/>
          <w:szCs w:val="32"/>
          <w:lang w:eastAsia="zh-CN"/>
          <w14:textFill>
            <w14:solidFill>
              <w14:schemeClr w14:val="tx1"/>
            </w14:solidFill>
          </w14:textFill>
        </w:rPr>
        <w:t>广西壮族</w:t>
      </w:r>
      <w:r>
        <w:rPr>
          <w:rFonts w:hint="eastAsia" w:ascii="仿宋_GB2312" w:hAnsi="仿宋" w:eastAsia="仿宋_GB2312"/>
          <w:color w:val="000000" w:themeColor="text1"/>
          <w:sz w:val="32"/>
          <w:szCs w:val="32"/>
          <w14:textFill>
            <w14:solidFill>
              <w14:schemeClr w14:val="tx1"/>
            </w14:solidFill>
          </w14:textFill>
        </w:rPr>
        <w:t>自治区、柳州市</w:t>
      </w:r>
      <w:r>
        <w:rPr>
          <w:rFonts w:ascii="仿宋_GB2312" w:hAnsi="仿宋" w:eastAsia="仿宋_GB2312"/>
          <w:color w:val="000000" w:themeColor="text1"/>
          <w:sz w:val="32"/>
          <w:szCs w:val="32"/>
          <w14:textFill>
            <w14:solidFill>
              <w14:schemeClr w14:val="tx1"/>
            </w14:solidFill>
          </w14:textFill>
        </w:rPr>
        <w:t>新型城镇化规划（2021—2035年）</w:t>
      </w:r>
      <w:r>
        <w:rPr>
          <w:rFonts w:hint="eastAsia" w:ascii="仿宋_GB2312" w:hAnsi="仿宋" w:eastAsia="仿宋_GB2312"/>
          <w:color w:val="000000" w:themeColor="text1"/>
          <w:sz w:val="32"/>
          <w:szCs w:val="32"/>
          <w14:textFill>
            <w14:solidFill>
              <w14:schemeClr w14:val="tx1"/>
            </w14:solidFill>
          </w14:textFill>
        </w:rPr>
        <w:t>等重大规划布局，围绕建设</w:t>
      </w:r>
      <w:r>
        <w:rPr>
          <w:rFonts w:ascii="仿宋_GB2312" w:hAnsi="仿宋" w:eastAsia="仿宋_GB2312"/>
          <w:color w:val="000000" w:themeColor="text1"/>
          <w:sz w:val="32"/>
          <w:szCs w:val="32"/>
          <w14:textFill>
            <w14:solidFill>
              <w14:schemeClr w14:val="tx1"/>
            </w14:solidFill>
          </w14:textFill>
        </w:rPr>
        <w:t>西南领先、全国一流的产城融合示范区</w:t>
      </w:r>
      <w:r>
        <w:rPr>
          <w:rFonts w:hint="eastAsia" w:ascii="仿宋_GB2312" w:hAnsi="仿宋" w:eastAsia="仿宋_GB2312"/>
          <w:color w:val="000000" w:themeColor="text1"/>
          <w:sz w:val="32"/>
          <w:szCs w:val="32"/>
          <w14:textFill>
            <w14:solidFill>
              <w14:schemeClr w14:val="tx1"/>
            </w14:solidFill>
          </w14:textFill>
        </w:rPr>
        <w:t>，谋划新区新时期空间发展新思路，着力</w:t>
      </w:r>
      <w:r>
        <w:rPr>
          <w:rFonts w:ascii="仿宋_GB2312" w:hAnsi="仿宋" w:eastAsia="仿宋_GB2312"/>
          <w:color w:val="000000" w:themeColor="text1"/>
          <w:sz w:val="32"/>
          <w:szCs w:val="32"/>
          <w14:textFill>
            <w14:solidFill>
              <w14:schemeClr w14:val="tx1"/>
            </w14:solidFill>
          </w14:textFill>
        </w:rPr>
        <w:t>提高国土空间利用效率</w:t>
      </w:r>
      <w:r>
        <w:rPr>
          <w:rFonts w:hint="eastAsia" w:ascii="仿宋_GB2312" w:hAnsi="仿宋" w:eastAsia="仿宋_GB2312"/>
          <w:color w:val="000000" w:themeColor="text1"/>
          <w:sz w:val="32"/>
          <w:szCs w:val="32"/>
          <w14:textFill>
            <w14:solidFill>
              <w14:schemeClr w14:val="tx1"/>
            </w14:solidFill>
          </w14:textFill>
        </w:rPr>
        <w:t>强化综合</w:t>
      </w:r>
      <w:r>
        <w:rPr>
          <w:rFonts w:ascii="仿宋_GB2312" w:hAnsi="仿宋" w:eastAsia="仿宋_GB2312"/>
          <w:color w:val="000000" w:themeColor="text1"/>
          <w:sz w:val="32"/>
          <w:szCs w:val="32"/>
          <w14:textFill>
            <w14:solidFill>
              <w14:schemeClr w14:val="tx1"/>
            </w14:solidFill>
          </w14:textFill>
        </w:rPr>
        <w:t>承载力，</w:t>
      </w:r>
      <w:r>
        <w:rPr>
          <w:rFonts w:hint="eastAsia" w:ascii="仿宋_GB2312" w:hAnsi="仿宋" w:eastAsia="仿宋_GB2312"/>
          <w:color w:val="000000" w:themeColor="text1"/>
          <w:sz w:val="32"/>
          <w:szCs w:val="32"/>
          <w14:textFill>
            <w14:solidFill>
              <w14:schemeClr w14:val="tx1"/>
            </w14:solidFill>
          </w14:textFill>
        </w:rPr>
        <w:t>推进</w:t>
      </w:r>
      <w:r>
        <w:rPr>
          <w:rFonts w:ascii="仿宋_GB2312" w:hAnsi="仿宋" w:eastAsia="仿宋_GB2312"/>
          <w:color w:val="000000" w:themeColor="text1"/>
          <w:sz w:val="32"/>
          <w:szCs w:val="32"/>
          <w14:textFill>
            <w14:solidFill>
              <w14:schemeClr w14:val="tx1"/>
            </w14:solidFill>
          </w14:textFill>
        </w:rPr>
        <w:t>城市基础设施</w:t>
      </w:r>
      <w:r>
        <w:rPr>
          <w:rFonts w:hint="eastAsia" w:ascii="仿宋_GB2312" w:hAnsi="仿宋" w:eastAsia="仿宋_GB2312"/>
          <w:color w:val="000000" w:themeColor="text1"/>
          <w:sz w:val="32"/>
          <w:szCs w:val="32"/>
          <w14:textFill>
            <w14:solidFill>
              <w14:schemeClr w14:val="tx1"/>
            </w14:solidFill>
          </w14:textFill>
        </w:rPr>
        <w:t>建设</w:t>
      </w:r>
      <w:r>
        <w:rPr>
          <w:rFonts w:ascii="仿宋_GB2312" w:hAnsi="仿宋" w:eastAsia="仿宋_GB2312"/>
          <w:color w:val="000000" w:themeColor="text1"/>
          <w:sz w:val="32"/>
          <w:szCs w:val="32"/>
          <w14:textFill>
            <w14:solidFill>
              <w14:schemeClr w14:val="tx1"/>
            </w14:solidFill>
          </w14:textFill>
        </w:rPr>
        <w:t>，加快完善商业配套设施，提升公共服务能力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人口集聚能力</w:t>
      </w:r>
      <w:r>
        <w:rPr>
          <w:rFonts w:hint="eastAsia" w:ascii="仿宋_GB2312" w:hAnsi="仿宋" w:eastAsia="仿宋_GB2312"/>
          <w:color w:val="000000" w:themeColor="text1"/>
          <w:sz w:val="32"/>
          <w:szCs w:val="32"/>
          <w14:textFill>
            <w14:solidFill>
              <w14:schemeClr w14:val="tx1"/>
            </w14:solidFill>
          </w14:textFill>
        </w:rPr>
        <w:t>，全面升级城市功能</w:t>
      </w:r>
      <w:r>
        <w:rPr>
          <w:rFonts w:ascii="仿宋_GB2312" w:hAnsi="仿宋" w:eastAsia="仿宋_GB2312"/>
          <w:color w:val="000000" w:themeColor="text1"/>
          <w:sz w:val="32"/>
          <w:szCs w:val="32"/>
          <w14:textFill>
            <w14:solidFill>
              <w14:schemeClr w14:val="tx1"/>
            </w14:solidFill>
          </w14:textFill>
        </w:rPr>
        <w:t>品质</w:t>
      </w:r>
      <w:r>
        <w:rPr>
          <w:rFonts w:hint="eastAsia" w:ascii="仿宋_GB2312" w:hAnsi="仿宋" w:eastAsia="仿宋_GB2312"/>
          <w:color w:val="000000" w:themeColor="text1"/>
          <w:sz w:val="32"/>
          <w:szCs w:val="32"/>
          <w14:textFill>
            <w14:solidFill>
              <w14:schemeClr w14:val="tx1"/>
            </w14:solidFill>
          </w14:textFill>
        </w:rPr>
        <w:t>，促进产城融合和城乡</w:t>
      </w:r>
      <w:r>
        <w:rPr>
          <w:rFonts w:ascii="仿宋_GB2312" w:hAnsi="仿宋" w:eastAsia="仿宋_GB2312"/>
          <w:color w:val="000000" w:themeColor="text1"/>
          <w:sz w:val="32"/>
          <w:szCs w:val="32"/>
          <w14:textFill>
            <w14:solidFill>
              <w14:schemeClr w14:val="tx1"/>
            </w14:solidFill>
          </w14:textFill>
        </w:rPr>
        <w:t>协调发展，</w:t>
      </w:r>
      <w:r>
        <w:rPr>
          <w:rFonts w:hint="eastAsia" w:ascii="仿宋_GB2312" w:hAnsi="仿宋" w:eastAsia="仿宋_GB2312"/>
          <w:color w:val="000000" w:themeColor="text1"/>
          <w:sz w:val="32"/>
          <w:szCs w:val="32"/>
          <w14:textFill>
            <w14:solidFill>
              <w14:schemeClr w14:val="tx1"/>
            </w14:solidFill>
          </w14:textFill>
        </w:rPr>
        <w:t>筑造西江经济带龙头城市先锋样板城区。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94" w:name="_Toc18491"/>
      <w:bookmarkStart w:id="195" w:name="_Toc8831"/>
      <w:bookmarkStart w:id="196" w:name="_Toc13305"/>
      <w:bookmarkStart w:id="197" w:name="_Toc22507"/>
      <w:bookmarkStart w:id="198" w:name="_Toc17922"/>
      <w:bookmarkStart w:id="199" w:name="_Toc16516"/>
      <w:bookmarkStart w:id="200" w:name="_Toc27348"/>
      <w:bookmarkStart w:id="201" w:name="_Toc15325"/>
      <w:bookmarkStart w:id="202" w:name="_Toc16962"/>
      <w:bookmarkStart w:id="203" w:name="_Toc22911"/>
      <w:bookmarkStart w:id="204" w:name="_Toc28829"/>
      <w:bookmarkStart w:id="205" w:name="_Toc2225"/>
      <w:bookmarkStart w:id="206" w:name="_Toc26449"/>
      <w:bookmarkStart w:id="207" w:name="_Toc13524"/>
      <w:bookmarkStart w:id="208" w:name="_Toc15657"/>
      <w:bookmarkStart w:id="209" w:name="_Toc27217"/>
      <w:bookmarkStart w:id="210" w:name="_Toc27395"/>
      <w:bookmarkStart w:id="211" w:name="_Toc16377"/>
      <w:bookmarkStart w:id="212" w:name="_Toc24799"/>
      <w:bookmarkStart w:id="213" w:name="_Toc4288"/>
      <w:bookmarkStart w:id="214" w:name="_Toc26052"/>
      <w:bookmarkStart w:id="215" w:name="_Toc4032"/>
      <w:bookmarkStart w:id="216" w:name="_Toc17081"/>
      <w:bookmarkStart w:id="217" w:name="_Toc75341674"/>
      <w:r>
        <w:rPr>
          <w:rFonts w:hint="eastAsia" w:ascii="黑体" w:hAnsi="黑体" w:eastAsia="黑体" w:cs="Times New Roman"/>
          <w:b w:val="0"/>
          <w:color w:val="000000" w:themeColor="text1"/>
          <w14:textFill>
            <w14:solidFill>
              <w14:schemeClr w14:val="tx1"/>
            </w14:solidFill>
          </w14:textFill>
        </w:rPr>
        <w:t xml:space="preserve">第一节 </w:t>
      </w:r>
      <w:bookmarkEnd w:id="193"/>
      <w:r>
        <w:rPr>
          <w:rFonts w:hint="eastAsia" w:ascii="黑体" w:hAnsi="黑体" w:eastAsia="黑体" w:cs="Times New Roman"/>
          <w:b w:val="0"/>
          <w:color w:val="000000" w:themeColor="text1"/>
          <w14:textFill>
            <w14:solidFill>
              <w14:schemeClr w14:val="tx1"/>
            </w14:solidFill>
          </w14:textFill>
        </w:rPr>
        <w:t>全域统筹提升新区发展新高度</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一、构建面向未来的柳州东部中心</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协同全市推进“一主三新”都市核心区建设，结合新区北部土地功能调整，重构新区面向未来的</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轴、</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多节点”空间格局。</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高标准打造“三轴”：</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以新柳大道以及南北向主干道为城市发展主轴，以官塘大道为城市次要发展轴，着力完善基础设施和服务功能，推动商务服务和产业经济沿轴线集聚发展，完善公共服务配套，提升沿线城市功能和景观，营造现代</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城区风貌和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新型产业发展环境。</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高品质建设</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一核”为龙湖中心商务区，打造集行政、文化、商务、商业、金融、会展、休闲、娱乐等功能于一体的城市新中心，成为引领柳州东拓发展的核心引擎；“</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两副”为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依托雒容镇建成区和高铁</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柳州</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东站，</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局办公</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、文化娱乐、科技展览、酒店宾馆等功能，打造服务功能</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复合</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、景观文化交融的区域综合交通中心、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城市东部门户和城市经济发展新极点；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副中心布局生活服务和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商务商贸设施，主要为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北部片区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居住及</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产业集聚区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进行配套</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服务；</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高水平构建“</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三片”：</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着力推动</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龙湖</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中心片、北环片、雒容片区发展，形成三大综合性产城融合区域。</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因地制宜打造“多节点”：</w:t>
      </w:r>
      <w:r>
        <w:rPr>
          <w:rFonts w:hint="eastAsia" w:ascii="仿宋_GB2312" w:hAnsi="仿宋" w:eastAsia="仿宋_GB2312"/>
          <w:color w:val="000000" w:themeColor="text1"/>
          <w:sz w:val="32"/>
          <w:szCs w:val="32"/>
          <w:lang w:val="en-US" w:eastAsia="zh-CN"/>
          <w14:textFill>
            <w14:solidFill>
              <w14:schemeClr w14:val="tx1"/>
            </w14:solidFill>
          </w14:textFill>
        </w:rPr>
        <w:t>突出</w:t>
      </w:r>
      <w:r>
        <w:rPr>
          <w:rFonts w:ascii="仿宋_GB2312" w:hAnsi="仿宋" w:eastAsia="仿宋_GB2312"/>
          <w:color w:val="000000" w:themeColor="text1"/>
          <w:sz w:val="32"/>
          <w:szCs w:val="32"/>
          <w14:textFill>
            <w14:solidFill>
              <w14:schemeClr w14:val="tx1"/>
            </w14:solidFill>
          </w14:textFill>
        </w:rPr>
        <w:t>具有</w:t>
      </w:r>
      <w:r>
        <w:rPr>
          <w:rFonts w:hint="eastAsia" w:ascii="仿宋_GB2312" w:hAnsi="仿宋" w:eastAsia="仿宋_GB2312"/>
          <w:color w:val="000000" w:themeColor="text1"/>
          <w:sz w:val="32"/>
          <w:szCs w:val="32"/>
          <w14:textFill>
            <w14:solidFill>
              <w14:schemeClr w14:val="tx1"/>
            </w14:solidFill>
          </w14:textFill>
        </w:rPr>
        <w:t>产业</w:t>
      </w:r>
      <w:r>
        <w:rPr>
          <w:rFonts w:ascii="仿宋_GB2312" w:hAnsi="仿宋" w:eastAsia="仿宋_GB2312"/>
          <w:color w:val="000000" w:themeColor="text1"/>
          <w:sz w:val="32"/>
          <w:szCs w:val="32"/>
          <w14:textFill>
            <w14:solidFill>
              <w14:schemeClr w14:val="tx1"/>
            </w14:solidFill>
          </w14:textFill>
        </w:rPr>
        <w:t>、生</w:t>
      </w:r>
      <w:r>
        <w:rPr>
          <w:rFonts w:hint="eastAsia" w:ascii="仿宋_GB2312" w:hAnsi="仿宋" w:eastAsia="仿宋_GB2312"/>
          <w:color w:val="000000" w:themeColor="text1"/>
          <w:sz w:val="32"/>
          <w:szCs w:val="32"/>
          <w:lang w:eastAsia="zh-CN"/>
          <w14:textFill>
            <w14:solidFill>
              <w14:schemeClr w14:val="tx1"/>
            </w14:solidFill>
          </w14:textFill>
        </w:rPr>
        <w:t>活</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lang w:eastAsia="zh-CN"/>
          <w14:textFill>
            <w14:solidFill>
              <w14:schemeClr w14:val="tx1"/>
            </w14:solidFill>
          </w14:textFill>
        </w:rPr>
        <w:t>文化、生态</w:t>
      </w:r>
      <w:r>
        <w:rPr>
          <w:rFonts w:ascii="仿宋_GB2312" w:hAnsi="仿宋" w:eastAsia="仿宋_GB2312"/>
          <w:color w:val="000000" w:themeColor="text1"/>
          <w:sz w:val="32"/>
          <w:szCs w:val="32"/>
          <w14:textFill>
            <w14:solidFill>
              <w14:schemeClr w14:val="tx1"/>
            </w14:solidFill>
          </w14:textFill>
        </w:rPr>
        <w:t>等</w:t>
      </w:r>
      <w:r>
        <w:rPr>
          <w:rFonts w:hint="eastAsia" w:ascii="仿宋_GB2312" w:hAnsi="仿宋" w:eastAsia="仿宋_GB2312"/>
          <w:color w:val="000000" w:themeColor="text1"/>
          <w:sz w:val="32"/>
          <w:szCs w:val="32"/>
          <w14:textFill>
            <w14:solidFill>
              <w14:schemeClr w14:val="tx1"/>
            </w14:solidFill>
          </w14:textFill>
        </w:rPr>
        <w:t>特色</w:t>
      </w:r>
      <w:r>
        <w:rPr>
          <w:rFonts w:hint="eastAsia" w:ascii="仿宋_GB2312" w:hAnsi="仿宋" w:eastAsia="仿宋_GB2312"/>
          <w:color w:val="000000" w:themeColor="text1"/>
          <w:sz w:val="32"/>
          <w:szCs w:val="32"/>
          <w:lang w:eastAsia="zh-CN"/>
          <w14:textFill>
            <w14:solidFill>
              <w14:schemeClr w14:val="tx1"/>
            </w14:solidFill>
          </w14:textFill>
        </w:rPr>
        <w:t>明显的</w:t>
      </w:r>
      <w:r>
        <w:rPr>
          <w:rFonts w:hint="eastAsia" w:ascii="仿宋_GB2312" w:hAnsi="仿宋" w:eastAsia="仿宋_GB2312"/>
          <w:color w:val="000000" w:themeColor="text1"/>
          <w:sz w:val="32"/>
          <w:szCs w:val="32"/>
          <w14:textFill>
            <w14:solidFill>
              <w14:schemeClr w14:val="tx1"/>
            </w14:solidFill>
          </w14:textFill>
        </w:rPr>
        <w:t>片区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打造多个空间</w:t>
      </w:r>
      <w:r>
        <w:rPr>
          <w:rFonts w:ascii="仿宋_GB2312" w:hAnsi="仿宋" w:eastAsia="仿宋_GB2312"/>
          <w:color w:val="000000" w:themeColor="text1"/>
          <w:sz w:val="32"/>
          <w:szCs w:val="32"/>
          <w14:textFill>
            <w14:solidFill>
              <w14:schemeClr w14:val="tx1"/>
            </w14:solidFill>
          </w14:textFill>
        </w:rPr>
        <w:t>布局</w:t>
      </w:r>
      <w:r>
        <w:rPr>
          <w:rFonts w:hint="eastAsia" w:ascii="仿宋_GB2312" w:hAnsi="仿宋" w:eastAsia="仿宋_GB2312"/>
          <w:color w:val="000000" w:themeColor="text1"/>
          <w:sz w:val="32"/>
          <w:szCs w:val="32"/>
          <w:lang w:eastAsia="zh-CN"/>
          <w14:textFill>
            <w14:solidFill>
              <w14:schemeClr w14:val="tx1"/>
            </w14:solidFill>
          </w14:textFill>
        </w:rPr>
        <w:t>合理</w:t>
      </w:r>
      <w:r>
        <w:rPr>
          <w:rFonts w:hint="eastAsia" w:ascii="仿宋_GB2312" w:hAnsi="仿宋" w:eastAsia="仿宋_GB2312"/>
          <w:color w:val="000000" w:themeColor="text1"/>
          <w:sz w:val="32"/>
          <w:szCs w:val="32"/>
          <w14:textFill>
            <w14:solidFill>
              <w14:schemeClr w14:val="tx1"/>
            </w14:solidFill>
          </w14:textFill>
        </w:rPr>
        <w:t>的城市</w:t>
      </w:r>
      <w:r>
        <w:rPr>
          <w:rFonts w:ascii="仿宋_GB2312" w:hAnsi="仿宋" w:eastAsia="仿宋_GB2312"/>
          <w:color w:val="000000" w:themeColor="text1"/>
          <w:sz w:val="32"/>
          <w:szCs w:val="32"/>
          <w14:textFill>
            <w14:solidFill>
              <w14:schemeClr w14:val="tx1"/>
            </w14:solidFill>
          </w14:textFill>
        </w:rPr>
        <w:t>发展节点</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重点推进</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“滨江智谷”、三门江大桥东岸门户区建设，推动花岭片区、会展中心及周边片区、秀水北片区和职教园东侧片区等控制性详细规划的调整，重构片区发展定位和功能，实现新区协调均衡发展。</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启动新区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东扩发展规划研究，推动</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新区城市</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向江口、导江方向发展，加快</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片区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路网等基础设施建设。</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拓展柳东新区发展空间</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l2br w:val="nil"/>
              <w:tr2bl w:val="nil"/>
            </w:tcBorders>
          </w:tcPr>
          <w:p>
            <w:pPr>
              <w:pStyle w:val="9"/>
              <w:spacing w:beforeLines="50" w:afterLines="50" w:line="360" w:lineRule="auto"/>
              <w:jc w:val="center"/>
              <w:rPr>
                <w:rFonts w:ascii="宋体" w:hAnsi="宋体"/>
                <w:b/>
                <w:color w:val="000000" w:themeColor="text1"/>
                <w:sz w:val="44"/>
                <w14:textFill>
                  <w14:solidFill>
                    <w14:schemeClr w14:val="tx1"/>
                  </w14:solidFill>
                </w14:textFill>
              </w:rPr>
            </w:pPr>
            <w:r>
              <w:rPr>
                <w:rFonts w:hint="eastAsia" w:ascii="宋体" w:hAnsi="宋体"/>
                <w:b/>
                <w:color w:val="000000" w:themeColor="text1"/>
                <w14:textFill>
                  <w14:solidFill>
                    <w14:schemeClr w14:val="tx1"/>
                  </w14:solidFill>
                </w14:textFill>
              </w:rPr>
              <w:t>专栏5-1 “多节点”建设重点</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滨江智谷:</w:t>
            </w:r>
            <w:r>
              <w:rPr>
                <w:rFonts w:hint="eastAsia" w:asciiTheme="minorEastAsia" w:hAnsiTheme="minorEastAsia" w:cstheme="minorEastAsia"/>
                <w:color w:val="000000" w:themeColor="text1"/>
                <w14:textFill>
                  <w14:solidFill>
                    <w14:schemeClr w14:val="tx1"/>
                  </w14:solidFill>
                </w14:textFill>
              </w:rPr>
              <w:t>完善市政基础、人居项目、生态环境、公共服务等设施建设，增强资源集聚能力，建成立足柳东、面向柳州、辐射西南、东融大湾区、连接东盟—欧盟的科创综合体；</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三门江大桥东岸门户区域:</w:t>
            </w:r>
            <w:r>
              <w:rPr>
                <w:rFonts w:hint="eastAsia" w:asciiTheme="minorEastAsia" w:hAnsiTheme="minorEastAsia" w:cstheme="minorEastAsia"/>
                <w:color w:val="000000" w:themeColor="text1"/>
                <w14:textFill>
                  <w14:solidFill>
                    <w14:schemeClr w14:val="tx1"/>
                  </w14:solidFill>
                </w14:textFill>
              </w:rPr>
              <w:t>大力进行环境美化，促进品质提升，完善居住、商务、休闲等多元化功能，打造新区商务新地标；</w:t>
            </w:r>
          </w:p>
          <w:p>
            <w:pPr>
              <w:pStyle w:val="9"/>
              <w:adjustRightInd w:val="0"/>
              <w:spacing w:after="0"/>
              <w:ind w:firstLine="422" w:firstLineChars="200"/>
              <w:rPr>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秀水北片区:</w:t>
            </w:r>
            <w:r>
              <w:rPr>
                <w:rFonts w:hint="eastAsia" w:asciiTheme="minorEastAsia" w:hAnsiTheme="minorEastAsia" w:cstheme="minorEastAsia"/>
                <w:color w:val="000000" w:themeColor="text1"/>
                <w14:textFill>
                  <w14:solidFill>
                    <w14:schemeClr w14:val="tx1"/>
                  </w14:solidFill>
                </w14:textFill>
              </w:rPr>
              <w:t>调整为集中成连片的产业用地为产业发展提供空间，巩固柳东新区的产业链；加快北部片区生活配套和邻里中心建设，打造便民生活圈。</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二、强化空间治理和空间管控</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坚持生态环境保护优先，在国土空间分区规划中落实“三区三线”刚性约束，严守全市划定的生态保护红线和永久基本农田控制线，科学、高效、集约利用城镇开发建设空间。统筹建设空间和山水林田湖草非建设空间，协调差异，探索全域全要素的国土空间规划分区划定方法及管制规则。配合全市推进“三线一单”编制工作，构建新区“三线一单”生态环境管控体系，以在保护中开发，在开发中保护为原则，</w:t>
      </w:r>
      <w:r>
        <w:rPr>
          <w:rFonts w:ascii="Times New Roman" w:hAnsi="Times New Roman" w:eastAsia="仿宋"/>
          <w:color w:val="000000" w:themeColor="text1"/>
          <w:sz w:val="32"/>
          <w:szCs w:val="32"/>
          <w14:textFill>
            <w14:solidFill>
              <w14:schemeClr w14:val="tx1"/>
            </w14:solidFill>
          </w14:textFill>
        </w:rPr>
        <w:t>筑牢生态安全屏障和筑牢水环境安全屏障</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对历史建筑与历史风貌区划定紫线，全面保护区内重点保护建筑、空间、肌理、环境和非物质文化遗产。加快雒容镇行政区域界线、洛埠街道撤镇设街后的行政区域调整。拉大城市框架，加快城市发展的规划、开发、建设。</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三、高效集约利用好土地资源</w:t>
      </w:r>
    </w:p>
    <w:p>
      <w:pPr>
        <w:pStyle w:val="29"/>
        <w:ind w:firstLine="64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快土地整备、收储和连片老旧工业区的改造升级，积极推动桂中监狱五期等国有土地调整处置工作，确保各片区主、次道路配套路网有序布局，以及一汽解放、国轩高科等重大项目建设发展需求，积极推动雒容工业园东区搬迁工作，做好曙光大道延长线土地收储工作。完善已征未用土地管理方式，</w:t>
      </w:r>
      <w:r>
        <w:rPr>
          <w:rFonts w:hint="eastAsia" w:ascii="仿宋_GB2312" w:hAnsi="仿宋" w:eastAsia="仿宋_GB2312"/>
          <w:color w:val="000000" w:themeColor="text1"/>
          <w:sz w:val="32"/>
          <w:szCs w:val="32"/>
          <w14:textFill>
            <w14:solidFill>
              <w14:schemeClr w14:val="tx1"/>
            </w14:solidFill>
          </w14:textFill>
        </w:rPr>
        <w:t>对低效利用土地采取征收、收购、委托收购、协议收购等多种手段，纳入土地储备。积极探索</w:t>
      </w:r>
      <w:r>
        <w:rPr>
          <w:rFonts w:hint="eastAsia" w:ascii="仿宋_GB2312" w:eastAsia="仿宋_GB2312"/>
          <w:color w:val="000000" w:themeColor="text1"/>
          <w:sz w:val="32"/>
          <w:szCs w:val="32"/>
          <w14:textFill>
            <w14:solidFill>
              <w14:schemeClr w14:val="tx1"/>
            </w14:solidFill>
          </w14:textFill>
        </w:rPr>
        <w:t>预征地管理难题、林地交地及监管问题，加快土地报批周期。引导分散式、作坊式工业生产空间入园集中发展，提升工业用地产出效率和</w:t>
      </w:r>
      <w:r>
        <w:rPr>
          <w:rFonts w:hint="eastAsia" w:ascii="仿宋_GB2312" w:hAnsi="Calibri" w:eastAsia="仿宋_GB2312" w:cs="Times New Roman"/>
          <w:color w:val="000000" w:themeColor="text1"/>
          <w:sz w:val="32"/>
          <w:szCs w:val="32"/>
          <w14:textFill>
            <w14:solidFill>
              <w14:schemeClr w14:val="tx1"/>
            </w14:solidFill>
          </w14:textFill>
        </w:rPr>
        <w:t>工业园区地均产出效益。以优化农业空间为抓手，提高粮食生产功能区和重要农产品生产保护区等的生产效率和产出水平。</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四、提高城区承载力推动人口聚集</w:t>
      </w:r>
    </w:p>
    <w:p>
      <w:pPr>
        <w:pStyle w:val="29"/>
        <w:ind w:firstLine="64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建立经济发展与扩大就业联动机制，完善就业创业政策体系，不断提升新区综合承载力，广泛吸引人口落户。加快推动科技服务、现代物流、会展经济、文旅休闲、新型消费等现代服务业快速发展，通过增加就业带动人气集聚，为新区繁荣发展奠定基础。提升创业带动就业能力，加强就业政策与产业、财税、金融等政策的衔接。依托新区国家级“双创”基地等平台，着力构筑“双创”生态链，不断完善“创业苗圃+孵化器+加速器”孵化体系，吸引更多的中小微型企业入驻新区，推动校地合作共建产教融合共享空间，推进立体孵化扶持创业企业梯度发展，带动不同层次的人才在新区集聚。全面放开落户限制，大力推进农业转移人口自由便捷落户，着力提高农业转移人口就业率。积极改善人居环境，进一步提升新区整体城市形象，紧盯市民最关心的实际问题，大力完善就业、就学、教育、卫生等公共服务，努力建设一批知名的学校和综合性医院、品牌专科医院，对周边区域形成良好的辐射吸引力，吸引河池、来宾</w:t>
      </w:r>
      <w:r>
        <w:rPr>
          <w:rFonts w:hint="eastAsia" w:ascii="仿宋_GB2312" w:eastAsia="仿宋_GB2312"/>
          <w:color w:val="000000" w:themeColor="text1"/>
          <w:sz w:val="32"/>
          <w:szCs w:val="32"/>
          <w:lang w:eastAsia="zh-CN"/>
          <w14:textFill>
            <w14:solidFill>
              <w14:schemeClr w14:val="tx1"/>
            </w14:solidFill>
          </w14:textFill>
        </w:rPr>
        <w:t>以及周边</w:t>
      </w:r>
      <w:r>
        <w:rPr>
          <w:rFonts w:hint="eastAsia" w:ascii="仿宋_GB2312" w:eastAsia="仿宋_GB2312"/>
          <w:color w:val="000000" w:themeColor="text1"/>
          <w:sz w:val="32"/>
          <w:szCs w:val="32"/>
          <w14:textFill>
            <w14:solidFill>
              <w14:schemeClr w14:val="tx1"/>
            </w14:solidFill>
          </w14:textFill>
        </w:rPr>
        <w:t>地</w:t>
      </w:r>
      <w:r>
        <w:rPr>
          <w:rFonts w:hint="eastAsia" w:ascii="仿宋_GB2312" w:eastAsia="仿宋_GB2312"/>
          <w:color w:val="000000" w:themeColor="text1"/>
          <w:sz w:val="32"/>
          <w:szCs w:val="32"/>
          <w:lang w:eastAsia="zh-CN"/>
          <w14:textFill>
            <w14:solidFill>
              <w14:schemeClr w14:val="tx1"/>
            </w14:solidFill>
          </w14:textFill>
        </w:rPr>
        <w:t>区</w:t>
      </w:r>
      <w:r>
        <w:rPr>
          <w:rFonts w:hint="eastAsia" w:ascii="仿宋_GB2312" w:eastAsia="仿宋_GB2312"/>
          <w:color w:val="000000" w:themeColor="text1"/>
          <w:sz w:val="32"/>
          <w:szCs w:val="32"/>
          <w14:textFill>
            <w14:solidFill>
              <w14:schemeClr w14:val="tx1"/>
            </w14:solidFill>
          </w14:textFill>
        </w:rPr>
        <w:t>更多的人</w:t>
      </w:r>
      <w:r>
        <w:rPr>
          <w:rFonts w:hint="eastAsia" w:ascii="仿宋_GB2312" w:eastAsia="仿宋_GB2312"/>
          <w:color w:val="000000" w:themeColor="text1"/>
          <w:sz w:val="32"/>
          <w:szCs w:val="32"/>
          <w:lang w:eastAsia="zh-CN"/>
          <w14:textFill>
            <w14:solidFill>
              <w14:schemeClr w14:val="tx1"/>
            </w14:solidFill>
          </w14:textFill>
        </w:rPr>
        <w:t>口</w:t>
      </w:r>
      <w:r>
        <w:rPr>
          <w:rFonts w:hint="eastAsia" w:ascii="仿宋_GB2312" w:eastAsia="仿宋_GB2312"/>
          <w:color w:val="000000" w:themeColor="text1"/>
          <w:sz w:val="32"/>
          <w:szCs w:val="32"/>
          <w14:textFill>
            <w14:solidFill>
              <w14:schemeClr w14:val="tx1"/>
            </w14:solidFill>
          </w14:textFill>
        </w:rPr>
        <w:t>到新区就医就学和安家立业。到2025年，新区常住人口预期达30万人，常住人口城镇化率预期达75%。</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18" w:name="_Toc17880"/>
      <w:bookmarkStart w:id="219" w:name="_Toc12979"/>
      <w:bookmarkStart w:id="220" w:name="_Toc75341675"/>
      <w:bookmarkStart w:id="221" w:name="_Toc14610"/>
      <w:bookmarkStart w:id="222" w:name="_Toc11737"/>
      <w:bookmarkStart w:id="223" w:name="_Toc17331"/>
      <w:bookmarkStart w:id="224" w:name="_Toc3571"/>
      <w:bookmarkStart w:id="225" w:name="_Toc1503"/>
      <w:bookmarkStart w:id="226" w:name="_Toc10514"/>
      <w:bookmarkStart w:id="227" w:name="_Toc21031"/>
      <w:bookmarkStart w:id="228" w:name="_Toc25289"/>
      <w:bookmarkStart w:id="229" w:name="_Toc2740"/>
      <w:bookmarkStart w:id="230" w:name="_Toc16988"/>
      <w:bookmarkStart w:id="231" w:name="_Toc1226"/>
      <w:bookmarkStart w:id="232" w:name="_Toc28687"/>
      <w:bookmarkStart w:id="233" w:name="_Toc16806"/>
      <w:bookmarkStart w:id="234" w:name="_Toc20368"/>
      <w:bookmarkStart w:id="235" w:name="_Toc5148"/>
      <w:bookmarkStart w:id="236" w:name="_Toc15143"/>
      <w:bookmarkStart w:id="237" w:name="_Toc7887"/>
      <w:bookmarkStart w:id="238" w:name="_Toc11083"/>
      <w:bookmarkStart w:id="239" w:name="_Toc3263"/>
      <w:bookmarkStart w:id="240" w:name="_Toc22276"/>
      <w:bookmarkStart w:id="241" w:name="_Toc3767"/>
      <w:bookmarkStart w:id="242" w:name="_Toc5631"/>
      <w:r>
        <w:rPr>
          <w:rFonts w:hint="eastAsia" w:ascii="黑体" w:hAnsi="黑体" w:eastAsia="黑体" w:cs="Times New Roman"/>
          <w:b w:val="0"/>
          <w:color w:val="000000" w:themeColor="text1"/>
          <w14:textFill>
            <w14:solidFill>
              <w14:schemeClr w14:val="tx1"/>
            </w14:solidFill>
          </w14:textFill>
        </w:rPr>
        <w:t>第二节 完善基础设施塑造城市新品质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一、推进智慧城市应用基础建设</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加快“大基础、大数据、大支撑、大门户”建设，横向打通行业信息孤岛，</w:t>
      </w:r>
      <w:r>
        <w:rPr>
          <w:rFonts w:hint="eastAsia" w:ascii="仿宋_GB2312" w:hAnsi="Calibri" w:eastAsia="仿宋_GB2312" w:cs="Times New Roman"/>
          <w:color w:val="000000" w:themeColor="text1"/>
          <w:sz w:val="32"/>
          <w:szCs w:val="32"/>
          <w14:textFill>
            <w14:solidFill>
              <w14:schemeClr w14:val="tx1"/>
            </w14:solidFill>
          </w14:textFill>
        </w:rPr>
        <w:t>建设数字柳东，</w:t>
      </w:r>
      <w:r>
        <w:rPr>
          <w:rFonts w:hint="eastAsia" w:ascii="仿宋_GB2312" w:hAnsi="仿宋" w:eastAsia="仿宋_GB2312"/>
          <w:color w:val="000000" w:themeColor="text1"/>
          <w:sz w:val="32"/>
          <w:szCs w:val="32"/>
          <w14:textFill>
            <w14:solidFill>
              <w14:schemeClr w14:val="tx1"/>
            </w14:solidFill>
          </w14:textFill>
        </w:rPr>
        <w:t>打造国家产城融合的智慧城市样板。超前布局信息通信基础设施，加强光纤城域网、云计算、5G和物联网等新基建设施建设，重点</w:t>
      </w:r>
      <w:r>
        <w:rPr>
          <w:rFonts w:hint="eastAsia" w:ascii="仿宋_GB2312" w:hAnsi="Calibri" w:eastAsia="仿宋_GB2312" w:cs="Times New Roman"/>
          <w:color w:val="000000" w:themeColor="text1"/>
          <w:sz w:val="32"/>
          <w:szCs w:val="32"/>
          <w14:textFill>
            <w14:solidFill>
              <w14:schemeClr w14:val="tx1"/>
            </w14:solidFill>
          </w14:textFill>
        </w:rPr>
        <w:t>构建绿色可靠的云基础设施，支撑车联网先导区应用。统筹推进重大信息平台建设，加快柳东城市大数据共享交换平台、柳东新区时空信息云平台等核心项目的建设和使用，推进业务数据化、数据地理化、现实模型化和数据业务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专栏5-2 信息化智能化基础设施建设重点</w:t>
            </w:r>
          </w:p>
          <w:p>
            <w:pPr>
              <w:ind w:firstLine="422" w:firstLineChars="200"/>
              <w:jc w:val="center"/>
              <w:rPr>
                <w:rFonts w:cs="宋体" w:asciiTheme="minorEastAsia" w:hAnsiTheme="minorEastAsia"/>
                <w:b/>
                <w:color w:val="000000" w:themeColor="text1"/>
                <w:szCs w:val="21"/>
                <w14:textFill>
                  <w14:solidFill>
                    <w14:schemeClr w14:val="tx1"/>
                  </w14:solidFill>
                </w14:textFill>
              </w:rPr>
            </w:pP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国家信息中心大数据</w:t>
            </w:r>
            <w:r>
              <w:rPr>
                <w:rFonts w:hint="eastAsia"/>
                <w:b/>
                <w:bCs/>
                <w:color w:val="000000" w:themeColor="text1"/>
                <w14:textFill>
                  <w14:solidFill>
                    <w14:schemeClr w14:val="tx1"/>
                  </w14:solidFill>
                </w14:textFill>
              </w:rPr>
              <w:t>工业应用柳州</w:t>
            </w:r>
            <w:r>
              <w:rPr>
                <w:b/>
                <w:bCs/>
                <w:color w:val="000000" w:themeColor="text1"/>
                <w14:textFill>
                  <w14:solidFill>
                    <w14:schemeClr w14:val="tx1"/>
                  </w14:solidFill>
                </w14:textFill>
              </w:rPr>
              <w:t>基地建设</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建设“1基地、1公司、2平台、1研究院、1基金”，将柳州建设成为全国一流的大数据应用中心。</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智慧城市基础建设：</w:t>
            </w:r>
            <w:r>
              <w:rPr>
                <w:rFonts w:hint="eastAsia"/>
                <w:color w:val="000000" w:themeColor="text1"/>
                <w14:textFill>
                  <w14:solidFill>
                    <w14:schemeClr w14:val="tx1"/>
                  </w14:solidFill>
                </w14:textFill>
              </w:rPr>
              <w:t>柳东新区科技大厦、柳东新区智慧城市运营指挥中心</w:t>
            </w:r>
            <w:r>
              <w:rPr>
                <w:rFonts w:hint="eastAsia" w:ascii="仿宋_GB2312" w:hAnsi="仿宋_GB2312" w:eastAsia="仿宋_GB2312" w:cs="仿宋_GB2312"/>
                <w:color w:val="000000" w:themeColor="text1"/>
                <w14:textFill>
                  <w14:solidFill>
                    <w14:schemeClr w14:val="tx1"/>
                  </w14:solidFill>
                </w14:textFill>
              </w:rPr>
              <w:t>（IOC)</w:t>
            </w:r>
            <w:r>
              <w:rPr>
                <w:rFonts w:hint="eastAsia"/>
                <w:color w:val="000000" w:themeColor="text1"/>
                <w14:textFill>
                  <w14:solidFill>
                    <w14:schemeClr w14:val="tx1"/>
                  </w14:solidFill>
                </w14:textFill>
              </w:rPr>
              <w:t>、柳州联通通信枢纽局房新建工程项目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柳东新区城市大数据（一期）项目</w:t>
            </w:r>
            <w:r>
              <w:rPr>
                <w:rFonts w:hint="eastAsia"/>
                <w:color w:val="000000" w:themeColor="text1"/>
                <w14:textFill>
                  <w14:solidFill>
                    <w14:schemeClr w14:val="tx1"/>
                  </w14:solidFill>
                </w14:textFill>
              </w:rPr>
              <w:t>：制定柳东新区大数据平台标准规范体系，构建完善的、可统一管理和应用的信息资源体系，建立融合开放的大数据服务支撑体系，打造面向政府、企业、社会公众全客群的运营服务体系。</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车联网先导区：</w:t>
            </w:r>
            <w:r>
              <w:rPr>
                <w:rFonts w:hint="eastAsia" w:asciiTheme="minorEastAsia" w:hAnsiTheme="minorEastAsia" w:cstheme="minorEastAsia"/>
                <w:color w:val="000000" w:themeColor="text1"/>
                <w14:textFill>
                  <w14:solidFill>
                    <w14:schemeClr w14:val="tx1"/>
                  </w14:solidFill>
                </w14:textFill>
              </w:rPr>
              <w:t>在城市内部署C-V2X基础云平台，建设5G基站800个，先导环境内5G网络全覆盖；部署C-V2X基础路侧设备不少于1600个，覆盖路段长度650公里，覆盖路口不少于535个，完善柳州市的车联网基础通信设施。</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智慧交通平台：</w:t>
            </w:r>
            <w:r>
              <w:rPr>
                <w:color w:val="000000" w:themeColor="text1"/>
                <w14:textFill>
                  <w14:solidFill>
                    <w14:schemeClr w14:val="tx1"/>
                  </w14:solidFill>
                </w14:textFill>
              </w:rPr>
              <w:t>在原有柳东新区道路交通信息化建设的基础上，新建覆盖柳东新区智慧交通的前端感知系统、后端搭建智慧交通管理平台以及监控中心建设，根据新区道路、民众出行、产业发展、仓储物流的特点，建设新区智慧交通应用模块。</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时空云平台：</w:t>
            </w:r>
            <w:r>
              <w:rPr>
                <w:color w:val="000000" w:themeColor="text1"/>
                <w14:textFill>
                  <w14:solidFill>
                    <w14:schemeClr w14:val="tx1"/>
                  </w14:solidFill>
                </w14:textFill>
              </w:rPr>
              <w:t>建设目标为统一管理、维护和共享柳东新区基础地理信息、三维模型数据和专题地理信息等，促进和发展柳东新区各行业部门、企业的专题地理空间应用系统，为“智慧柳东”建设过程中各智慧行业应用提供地理信息支撑。</w:t>
            </w:r>
          </w:p>
        </w:tc>
      </w:tr>
    </w:tbl>
    <w:p>
      <w:pPr>
        <w:pStyle w:val="5"/>
        <w:numPr>
          <w:ilvl w:val="0"/>
          <w:numId w:val="3"/>
        </w:numPr>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构建枢纽型交通基础设施</w:t>
      </w:r>
    </w:p>
    <w:p>
      <w:pPr>
        <w:pStyle w:val="30"/>
        <w:numPr>
          <w:ilvl w:val="255"/>
          <w:numId w:val="0"/>
        </w:num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全力配合柳州市推动铁路、高速公路、机场、港口等交通基础设施建设，形成立体化综合交通枢纽体系，</w:t>
      </w:r>
      <w:r>
        <w:rPr>
          <w:rFonts w:hint="eastAsia" w:ascii="仿宋_GB2312" w:hAnsi="仿宋" w:eastAsia="仿宋_GB2312"/>
          <w:color w:val="000000" w:themeColor="text1"/>
          <w:sz w:val="32"/>
          <w:szCs w:val="32"/>
          <w14:textFill>
            <w14:solidFill>
              <w14:schemeClr w14:val="tx1"/>
            </w14:solidFill>
          </w14:textFill>
        </w:rPr>
        <w:t>强化柳东新区东进、西联、北上</w:t>
      </w:r>
      <w:r>
        <w:rPr>
          <w:rFonts w:hint="eastAsia" w:ascii="仿宋_GB2312" w:hAnsi="仿宋" w:eastAsia="仿宋_GB2312"/>
          <w:color w:val="000000" w:themeColor="text1"/>
          <w:sz w:val="32"/>
          <w:szCs w:val="32"/>
          <w:lang w:eastAsia="zh-CN"/>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南下</w:t>
      </w:r>
      <w:r>
        <w:rPr>
          <w:rFonts w:hint="eastAsia" w:ascii="仿宋_GB2312" w:hAnsi="Calibri" w:eastAsia="仿宋_GB2312" w:cs="Times New Roman"/>
          <w:color w:val="000000" w:themeColor="text1"/>
          <w:sz w:val="32"/>
          <w:szCs w:val="32"/>
          <w14:textFill>
            <w14:solidFill>
              <w14:schemeClr w14:val="tx1"/>
            </w14:solidFill>
          </w14:textFill>
        </w:rPr>
        <w:t>通道功能</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突出东部门户功能，</w:t>
      </w:r>
      <w:r>
        <w:rPr>
          <w:rFonts w:hint="eastAsia" w:ascii="仿宋_GB2312" w:hAnsi="仿宋" w:eastAsia="仿宋_GB2312"/>
          <w:color w:val="000000" w:themeColor="text1"/>
          <w:sz w:val="32"/>
          <w:szCs w:val="32"/>
          <w14:textFill>
            <w14:solidFill>
              <w14:schemeClr w14:val="tx1"/>
            </w14:solidFill>
          </w14:textFill>
        </w:rPr>
        <w:t>畅通连接粤</w:t>
      </w:r>
      <w:r>
        <w:rPr>
          <w:rFonts w:hint="eastAsia" w:ascii="仿宋_GB2312" w:hAnsi="Calibri" w:eastAsia="仿宋_GB2312" w:cs="Times New Roman"/>
          <w:color w:val="000000" w:themeColor="text1"/>
          <w:sz w:val="32"/>
          <w:szCs w:val="32"/>
          <w14:textFill>
            <w14:solidFill>
              <w14:schemeClr w14:val="tx1"/>
            </w14:solidFill>
          </w14:textFill>
        </w:rPr>
        <w:t>港澳大湾区的交通服务。加快新区综合客运枢纽、高铁柳州东站、铁路专用线改造等项目前期工作，推动相关项目规划建设在“十四五”期内取得新突破。支持柳州至贺州城际铁路、柳广铁路规划建设。积极推进城市轨道1号线建设，提前布局接驳公交线路、站点，配合加快推动轨道交通二期前期工作。协同推动柳州至桂林、南宁的衔接高速通道建设，配合城市绕城高速、“一环五横五纵”市域国省干线公路建设，增设新区境内高速公路出入口。提升官塘大道道路等级，推动北环高速外扩建设，提升新区对外通道能力。“十四五”新区规划续建、新建、改造主干路46.8公里。着力推进建设雒容至导江二级公路（马步水库段）、鹿寨北站至柳东新区公路等一、二级干线公路，优化中欧片区、滨江片区、南部片区、雒容东部片区等路网系统，“十四五”规划建设新区路网196公里。大力推动官塘公铁水多式联运基地建设，推进官塘码头作业区（二期）建设，提升码头吞吐能力，推进港区铁路专用线建设，畅通进出港道路。配合推动柳州通用机场规划建设，加强与白莲机场的交通连接。</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专栏5-3  交通基础设施建设重点</w:t>
            </w:r>
          </w:p>
          <w:p>
            <w:pPr>
              <w:widowControl/>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轨道交通：</w:t>
            </w:r>
            <w:r>
              <w:rPr>
                <w:rFonts w:hint="eastAsia" w:cs="宋体" w:asciiTheme="minorEastAsia" w:hAnsiTheme="minorEastAsia"/>
                <w:bCs/>
                <w:color w:val="000000" w:themeColor="text1"/>
                <w:szCs w:val="21"/>
                <w14:textFill>
                  <w14:solidFill>
                    <w14:schemeClr w14:val="tx1"/>
                  </w14:solidFill>
                </w14:textFill>
              </w:rPr>
              <w:t>新区高铁站、柳州东综合客运枢纽、城市转轨一号线新区建设项目、官塘作业区铁路专用线、官塘公铁水多式联运项目；柳州智能交通产业园；</w:t>
            </w:r>
          </w:p>
          <w:p>
            <w:pPr>
              <w:widowControl/>
              <w:numPr>
                <w:ilvl w:val="255"/>
                <w:numId w:val="0"/>
              </w:numPr>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高速公路、一、二级干线公路：</w:t>
            </w:r>
            <w:r>
              <w:rPr>
                <w:rFonts w:hint="eastAsia" w:cs="宋体" w:asciiTheme="minorEastAsia" w:hAnsiTheme="minorEastAsia"/>
                <w:bCs/>
                <w:color w:val="000000" w:themeColor="text1"/>
                <w:szCs w:val="21"/>
                <w14:textFill>
                  <w14:solidFill>
                    <w14:schemeClr w14:val="tx1"/>
                  </w14:solidFill>
                </w14:textFill>
              </w:rPr>
              <w:t>高阳收费站（官塘收费站）、雒容至导江二级公路（马步水库段）、雒容至东泉公路续建工程等</w:t>
            </w:r>
            <w:r>
              <w:rPr>
                <w:rFonts w:hint="eastAsia" w:cs="宋体" w:asciiTheme="minorEastAsia" w:hAnsiTheme="minorEastAsia"/>
                <w:b/>
                <w:color w:val="000000" w:themeColor="text1"/>
                <w:szCs w:val="21"/>
                <w14:textFill>
                  <w14:solidFill>
                    <w14:schemeClr w14:val="tx1"/>
                  </w14:solidFill>
                </w14:textFill>
              </w:rPr>
              <w:t>续建和期内竣工项目</w:t>
            </w:r>
            <w:r>
              <w:rPr>
                <w:rFonts w:hint="eastAsia" w:cs="宋体" w:asciiTheme="minorEastAsia" w:hAnsiTheme="minorEastAsia"/>
                <w:bCs/>
                <w:color w:val="000000" w:themeColor="text1"/>
                <w:szCs w:val="21"/>
                <w14:textFill>
                  <w14:solidFill>
                    <w14:schemeClr w14:val="tx1"/>
                  </w14:solidFill>
                </w14:textFill>
              </w:rPr>
              <w:t>；柳东新区北环高速外扩、鹿寨北站至柳东新区公路、鹿寨城北至柳东新区公路工程、马步水库景区环湖公路等前期项目。</w:t>
            </w:r>
          </w:p>
          <w:p>
            <w:pPr>
              <w:widowControl/>
              <w:ind w:firstLine="422" w:firstLineChars="200"/>
              <w:jc w:val="left"/>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城市和片区路网</w:t>
            </w:r>
          </w:p>
          <w:p>
            <w:pPr>
              <w:widowControl/>
              <w:ind w:firstLine="42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源塘路、月塘路、鑫塘路、高望路、高阳路、会展路改造工程、东升路改造工程、新福路（学林路至九子岭大道段）、春华路（原称江滨横十一路）、港南纵一路（官塘大道至港南横一路段）、湘桂铁路柳东新区范围K508+893平交道口改立交项目、博园大道北段上跨湘桂铁路工程、中欧纵一路上跨北环高速公路桥梁工程、中欧纵十一路上跨北环高速公路桥梁工程、盘江路（泉南高速以北段）、旺嘉路、柳州市柳东新区连运路东延线北一巷、北二巷工程、清江大道（原古镇路）下穿湘桂铁路工程、高岩路下穿泉南高速工程（原称象岩南路南段下穿泉南高速工程）、何家屯路上跨泉南高速公路桥梁工程、古镇路下穿湘桂铁路等新建项目；南寨路、南寨路、新竹路、荷塘路、学达路、大岭路、新柳大道－大岭路南二巷、星湖路、仁悦路、龙兴路、核心区支路四、繁容路、平湖路、学文路西二巷、东埠路东一巷、东埠路东二巷、南庆支三路、南庆支二路、九庆路、南庆支一路、锦江路、江泰路、欣乐路、车园横六路西段、车园横二路西延长线、车园纵十路、宝骏基地至雒容火车站转运成品车专用通道工程、博园大道、满贡路、满榄路、秀水横四路、秀水横六路、孟村路、竹车路、官塘大道（中欧横一路—秀水横一路段）、秀水三路、福城大道、木棉路、秀水二路、清江大道、古镇路、曙光大道延长线、盘江路（泉南高速以南段，高岩东一路至高岩东五路，原纵一路北段）、何家屯路（接导江二级路）、新区与鹿寨县毗邻区域路网工程纵十九路（新柳大道至横九路段）、柳东新区与鹿寨县毗邻区域路网工程纵二十路（新柳大道至横九路段）、新区与鹿寨县毗邻区域路网工程横九路（新柳大道至纵十二路段）、高岩路（原雒容南片洛清大道）、连运路东延长线工程、核心区支路十九、学文路西一巷、核心区支路二十三、智和路（犀牛塘路—文苑路）、环山路东一巷、环山路东二巷、博园大道北段（官塘大道—洛埠收费站）、景苑路、新福路、石冲路、丽园路、润东路（九子岭支一路）、润东路（九子岭一路至新柳大道段）、平地路、安和路北段、安泰路（纬六路—官塘大道）、港南纵二路、龙岭大道上跨北环高速公路桥梁工程、桂龙路北段、秀竹路、官塘大道北段等续建和竣工项目；新柳大道改扩建工程（三门江立交桥－会展西路段）、三门江门户区路网、龙江一路、龙江二路、龙江三路、龙江四路、龙江五路、龙江六路、龙江七路、雅乐路、景新路、莫道江一路、莫道江二路、莫道江三路（文苑路—龙江四路）、莫道江四路、港北横一路、港北纵三路、港北纵四路、港南横一路、车园纵九路、车园纵八路、车园北路西段、车园横六路北二巷西段、车园纵十二路、车园横五路西段、车园纵十一路、良木路、先锋路、秀水一路、秀水二路、福城大道、上东路、博园大道、竹车路北一巷、博园大道、高岩路（新柳大道—曙光大道段）、桂龙路（新柳大道—曙光大道段）、鸿裕路（新柳大道至高岩北二路段）、鸿阳路（新柳大道至盘高路段）、雒容镇洛清江西岸滨江路下穿泉南高速工程、雒容镇洛清江东岸滨江路下穿泉南高速工程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三、高标准建设城市综合服务设施</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以年度十大重点基础设施项目为抓手，高标准推进新区基础设施建设，加快补齐短板。着力推进新区</w:t>
      </w:r>
      <w:r>
        <w:rPr>
          <w:rFonts w:hint="eastAsia" w:ascii="Times New Roman" w:hAnsi="Times New Roman" w:eastAsia="仿宋_GB2312"/>
          <w:color w:val="000000" w:themeColor="text1"/>
          <w:sz w:val="32"/>
          <w:szCs w:val="32"/>
          <w14:textFill>
            <w14:solidFill>
              <w14:schemeClr w14:val="tx1"/>
            </w14:solidFill>
          </w14:textFill>
        </w:rPr>
        <w:t>文化广场、新区市民服务中心等周边环境提升和设施配套完善，提升城市文化品质和服务形象。加快柳东工人文化宫、图书馆新馆、柳州体育健康城等设施建设。</w:t>
      </w:r>
      <w:r>
        <w:rPr>
          <w:rFonts w:hint="eastAsia" w:ascii="仿宋_GB2312" w:hAnsi="Calibri" w:eastAsia="仿宋_GB2312" w:cs="Times New Roman"/>
          <w:color w:val="000000" w:themeColor="text1"/>
          <w:sz w:val="32"/>
          <w:szCs w:val="32"/>
          <w:lang w:val="zh-CN"/>
          <w14:textFill>
            <w14:solidFill>
              <w14:schemeClr w14:val="tx1"/>
            </w14:solidFill>
          </w14:textFill>
        </w:rPr>
        <w:t>以龙湖CBD商业圈等项目为龙头，打造新柳大道办公商务商业带，谋划构建新区商务商业聚集发展新主轴。</w:t>
      </w:r>
      <w:r>
        <w:rPr>
          <w:rFonts w:hint="eastAsia" w:ascii="仿宋_GB2312" w:hAnsi="Calibri" w:eastAsia="仿宋_GB2312" w:cs="Times New Roman"/>
          <w:color w:val="000000" w:themeColor="text1"/>
          <w:sz w:val="32"/>
          <w:szCs w:val="32"/>
          <w14:textFill>
            <w14:solidFill>
              <w14:schemeClr w14:val="tx1"/>
            </w14:solidFill>
          </w14:textFill>
        </w:rPr>
        <w:t>围绕“十五分钟”生活圈优化教育、医疗、文化体育设施布局，完善</w:t>
      </w:r>
      <w:r>
        <w:rPr>
          <w:rFonts w:hint="eastAsia" w:ascii="Times New Roman" w:hAnsi="Times New Roman" w:eastAsia="仿宋_GB2312"/>
          <w:color w:val="000000" w:themeColor="text1"/>
          <w:sz w:val="32"/>
          <w:szCs w:val="32"/>
          <w14:textFill>
            <w14:solidFill>
              <w14:schemeClr w14:val="tx1"/>
            </w14:solidFill>
          </w14:textFill>
        </w:rPr>
        <w:t>居民区友邻汇配套项目的规划建设，优化经营模式，丰富商业业态，提供“全生活一站式”生活配套以及社区公共服务，</w:t>
      </w:r>
      <w:r>
        <w:rPr>
          <w:rFonts w:hint="eastAsia" w:ascii="仿宋_GB2312" w:hAnsi="Calibri" w:eastAsia="仿宋_GB2312" w:cs="Times New Roman"/>
          <w:color w:val="000000" w:themeColor="text1"/>
          <w:sz w:val="32"/>
          <w:szCs w:val="32"/>
          <w14:textFill>
            <w14:solidFill>
              <w14:schemeClr w14:val="tx1"/>
            </w14:solidFill>
          </w14:textFill>
        </w:rPr>
        <w:t>提升城市服务能级和生活品质。</w:t>
      </w:r>
      <w:r>
        <w:rPr>
          <w:rFonts w:hint="eastAsia" w:ascii="Times New Roman" w:hAnsi="Times New Roman" w:eastAsia="仿宋_GB2312"/>
          <w:color w:val="000000" w:themeColor="text1"/>
          <w:sz w:val="32"/>
          <w:szCs w:val="32"/>
          <w14:textFill>
            <w14:solidFill>
              <w14:schemeClr w14:val="tx1"/>
            </w14:solidFill>
          </w14:textFill>
        </w:rPr>
        <w:t>促进新区住宅小区、旅游景点、机团、企业、园区、商业广场、农贸市场及市政道路智能充电桩建设。着力推进新区“公交都市”建设，</w:t>
      </w:r>
      <w:r>
        <w:rPr>
          <w:rFonts w:ascii="仿宋_GB2312" w:eastAsia="仿宋_GB2312"/>
          <w:color w:val="000000" w:themeColor="text1"/>
          <w:sz w:val="32"/>
          <w:szCs w:val="32"/>
          <w14:textFill>
            <w14:solidFill>
              <w14:schemeClr w14:val="tx1"/>
            </w14:solidFill>
          </w14:textFill>
        </w:rPr>
        <w:t>以公共交通主导模式和公共交通引导城市发展</w:t>
      </w:r>
      <w:r>
        <w:rPr>
          <w:rFonts w:hint="eastAsia" w:ascii="仿宋_GB2312" w:eastAsia="仿宋_GB2312"/>
          <w:color w:val="000000" w:themeColor="text1"/>
          <w:sz w:val="32"/>
          <w:szCs w:val="32"/>
          <w14:textFill>
            <w14:solidFill>
              <w14:schemeClr w14:val="tx1"/>
            </w14:solidFill>
          </w14:textFill>
        </w:rPr>
        <w:t>，构建以公交换乘枢纽与公交快线站点为核心的“公交社区”。到2025年，新区公交出行分担率达到38%，建</w:t>
      </w:r>
      <w:r>
        <w:rPr>
          <w:rFonts w:ascii="仿宋_GB2312" w:eastAsia="仿宋_GB2312"/>
          <w:color w:val="000000" w:themeColor="text1"/>
          <w:sz w:val="32"/>
          <w:szCs w:val="32"/>
          <w14:textFill>
            <w14:solidFill>
              <w14:schemeClr w14:val="tx1"/>
            </w14:solidFill>
          </w14:textFill>
        </w:rPr>
        <w:t>成区公交站点</w:t>
      </w:r>
      <w:r>
        <w:rPr>
          <w:rFonts w:hint="eastAsia" w:ascii="仿宋_GB2312" w:eastAsia="仿宋_GB2312"/>
          <w:color w:val="000000" w:themeColor="text1"/>
          <w:sz w:val="32"/>
          <w:szCs w:val="32"/>
          <w14:textFill>
            <w14:solidFill>
              <w14:schemeClr w14:val="tx1"/>
            </w14:solidFill>
          </w14:textFill>
        </w:rPr>
        <w:t>500米</w:t>
      </w:r>
      <w:r>
        <w:rPr>
          <w:rFonts w:ascii="仿宋_GB2312" w:eastAsia="仿宋_GB2312"/>
          <w:color w:val="000000" w:themeColor="text1"/>
          <w:sz w:val="32"/>
          <w:szCs w:val="32"/>
          <w14:textFill>
            <w14:solidFill>
              <w14:schemeClr w14:val="tx1"/>
            </w14:solidFill>
          </w14:textFill>
        </w:rPr>
        <w:t>覆盖率达到</w:t>
      </w:r>
      <w:r>
        <w:rPr>
          <w:rFonts w:hint="eastAsia" w:ascii="仿宋_GB2312" w:eastAsia="仿宋_GB2312"/>
          <w:color w:val="000000" w:themeColor="text1"/>
          <w:sz w:val="32"/>
          <w:szCs w:val="32"/>
          <w14:textFill>
            <w14:solidFill>
              <w14:schemeClr w14:val="tx1"/>
            </w14:solidFill>
          </w14:textFill>
        </w:rPr>
        <w:t>100</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 xml:space="preserve">专栏5-4  </w:t>
            </w:r>
            <w:r>
              <w:rPr>
                <w:rFonts w:hint="eastAsia" w:ascii="黑体" w:hAnsi="黑体" w:eastAsia="黑体" w:cs="Times New Roman"/>
                <w:b/>
                <w:color w:val="000000" w:themeColor="text1"/>
                <w14:textFill>
                  <w14:solidFill>
                    <w14:schemeClr w14:val="tx1"/>
                  </w14:solidFill>
                </w14:textFill>
              </w:rPr>
              <w:t>城市综合服务设施</w:t>
            </w:r>
            <w:r>
              <w:rPr>
                <w:rFonts w:hint="eastAsia" w:cs="宋体" w:asciiTheme="minorEastAsia" w:hAnsiTheme="minorEastAsia"/>
                <w:b/>
                <w:color w:val="000000" w:themeColor="text1"/>
                <w:szCs w:val="21"/>
                <w14:textFill>
                  <w14:solidFill>
                    <w14:schemeClr w14:val="tx1"/>
                  </w14:solidFill>
                </w14:textFill>
              </w:rPr>
              <w:t>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人居配套建设项目：</w:t>
            </w:r>
            <w:r>
              <w:rPr>
                <w:rFonts w:hint="eastAsia"/>
                <w:color w:val="000000" w:themeColor="text1"/>
                <w14:textFill>
                  <w14:solidFill>
                    <w14:schemeClr w14:val="tx1"/>
                  </w14:solidFill>
                </w14:textFill>
              </w:rPr>
              <w:t>柳东新区宝骏城项目、东风柳汽生活配套（龙湖景苑、龙湖嘉园）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市政服务配套项目：</w:t>
            </w:r>
            <w:r>
              <w:rPr>
                <w:rFonts w:hint="eastAsia"/>
                <w:color w:val="000000" w:themeColor="text1"/>
                <w14:textFill>
                  <w14:solidFill>
                    <w14:schemeClr w14:val="tx1"/>
                  </w14:solidFill>
                </w14:textFill>
              </w:rPr>
              <w:t>龙湖广场地下停车场、雒容停保场、雒容广场北停车场、百花岭停车场；</w:t>
            </w:r>
            <w:r>
              <w:rPr>
                <w:rFonts w:hint="eastAsia" w:asciiTheme="minorEastAsia" w:hAnsiTheme="minorEastAsia" w:cstheme="minorEastAsia"/>
                <w:color w:val="000000" w:themeColor="text1"/>
                <w14:textFill>
                  <w14:solidFill>
                    <w14:schemeClr w14:val="tx1"/>
                  </w14:solidFill>
                </w14:textFill>
              </w:rPr>
              <w:t>2座城市垃圾中转站工程、19座</w:t>
            </w:r>
            <w:r>
              <w:rPr>
                <w:rFonts w:hint="eastAsia"/>
                <w:color w:val="000000" w:themeColor="text1"/>
                <w14:textFill>
                  <w14:solidFill>
                    <w14:schemeClr w14:val="tx1"/>
                  </w14:solidFill>
                </w14:textFill>
              </w:rPr>
              <w:t>城市智能型一类公共厕所工程。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生活配套商业项目：</w:t>
            </w:r>
            <w:r>
              <w:rPr>
                <w:color w:val="000000" w:themeColor="text1"/>
                <w14:textFill>
                  <w14:solidFill>
                    <w14:schemeClr w14:val="tx1"/>
                  </w14:solidFill>
                </w14:textFill>
              </w:rPr>
              <w:t>华润</w:t>
            </w:r>
            <w:r>
              <w:rPr>
                <w:rFonts w:hint="eastAsia"/>
                <w:color w:val="000000" w:themeColor="text1"/>
                <w14:textFill>
                  <w14:solidFill>
                    <w14:schemeClr w14:val="tx1"/>
                  </w14:solidFill>
                </w14:textFill>
              </w:rPr>
              <w:t>万象汇、红星爱琴海主题购物公园、九岭西岸友邻汇项目、龙湖友邻汇、南寨友邻汇、职教园南部共享区邻里中心 （悦汇城）、园博园北部城镇化配套项目二期、新区体验园东北侧地块主题酒店项目。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公共交通配套项目：</w:t>
            </w:r>
            <w:r>
              <w:rPr>
                <w:rFonts w:hint="eastAsia"/>
                <w:color w:val="000000" w:themeColor="text1"/>
                <w14:textFill>
                  <w14:solidFill>
                    <w14:schemeClr w14:val="tx1"/>
                  </w14:solidFill>
                </w14:textFill>
              </w:rPr>
              <w:t>洛埠首末站、正和城公交首末站、中欧片区首末站。</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商务配套项目：</w:t>
            </w:r>
            <w:r>
              <w:rPr>
                <w:rFonts w:hint="eastAsia"/>
                <w:color w:val="000000" w:themeColor="text1"/>
                <w14:textFill>
                  <w14:solidFill>
                    <w14:schemeClr w14:val="tx1"/>
                  </w14:solidFill>
                </w14:textFill>
              </w:rPr>
              <w:t>龙湖CBD商业圈、企业总部大楼、柳州国际会展中心、科技园等。</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四、推进高效安全公用事业供应</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提高电力安全保障能力，因地制宜建设分布式能源站与垃圾焚烧发电厂。加快建设雒容燃气站、官塘燃气站、燃气高中压管网155公里和相应调压柜（箱）以及城市燃气信息管理系统及配套的后方设施工程，扩大城市居民用气和公共设施用气，大力发展工业用天然气，到“十四五”期末，新区管道气化率达到 90%。统筹协调生活、生产和环境用水，着力推进柳东新区水厂扩建项目，扩建后供水规模达到 42 万吨/日，到2025年城市供水综合保证率达到≥99%。完善水源地环境整改工，推进河湖连通和引调水工程、农村饮水和农业灌溉节水提升工程建设，优化水资源配置格局，形成互补性输配网络。加强防汛设施建设，启动和推进新区洛清江段防洪体系建设，持续推动海绵城市建设，提高区域内雨水调蓄和净化等功能。</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专栏5-5  城市公用事业建设重点</w:t>
            </w:r>
          </w:p>
          <w:p>
            <w:pPr>
              <w:pStyle w:val="9"/>
              <w:ind w:firstLine="422" w:firstLineChars="200"/>
              <w:rPr>
                <w:rFonts w:asciiTheme="minorEastAsia" w:hAnsiTheme="minorEastAsia" w:cstheme="minor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能源供应：</w:t>
            </w:r>
            <w:r>
              <w:rPr>
                <w:rFonts w:hint="eastAsia"/>
                <w:color w:val="000000" w:themeColor="text1"/>
                <w14:textFill>
                  <w14:solidFill>
                    <w14:schemeClr w14:val="tx1"/>
                  </w14:solidFill>
                </w14:textFill>
              </w:rPr>
              <w:t>新区天然气利用工程，包括雒容燃气站（含城市天然气</w:t>
            </w:r>
            <w:r>
              <w:rPr>
                <w:rFonts w:hint="eastAsia" w:asciiTheme="minorEastAsia" w:hAnsiTheme="minorEastAsia" w:cstheme="minorEastAsia"/>
                <w:color w:val="000000" w:themeColor="text1"/>
                <w14:textFill>
                  <w14:solidFill>
                    <w14:schemeClr w14:val="tx1"/>
                  </w14:solidFill>
                </w14:textFill>
              </w:rPr>
              <w:t>接收门站1座，LNG气化站1座，天然气加气站2做）、官塘燃气站（高中压调压站1座）、燃气高中压管网155公里和相应调压柜（箱）以及城市燃气信息管理系统及配套的后方设施等。柳东新区电力应急抢修维护中心、雒容镇道路弱电整治下地项目；绿色智能电网建设项目、华润电力柳州柳东新区10万千瓦风电场项目等前期。</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给排水工程：</w:t>
            </w:r>
            <w:r>
              <w:rPr>
                <w:rFonts w:hint="eastAsia"/>
                <w:color w:val="000000" w:themeColor="text1"/>
                <w14:textFill>
                  <w14:solidFill>
                    <w14:schemeClr w14:val="tx1"/>
                  </w14:solidFill>
                </w14:textFill>
              </w:rPr>
              <w:t>新区水厂扩建工程项目。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243" w:name="_Toc20111"/>
      <w:bookmarkStart w:id="244" w:name="_Toc4154"/>
      <w:bookmarkStart w:id="245" w:name="_Toc31290"/>
      <w:bookmarkStart w:id="246" w:name="_Toc15030"/>
      <w:bookmarkStart w:id="247" w:name="_Toc13258"/>
      <w:bookmarkStart w:id="248" w:name="_Toc8663"/>
      <w:bookmarkStart w:id="249" w:name="_Toc30621"/>
      <w:bookmarkStart w:id="250" w:name="_Toc13563"/>
      <w:bookmarkStart w:id="251" w:name="_Toc17615"/>
      <w:bookmarkStart w:id="252" w:name="_Toc2532"/>
      <w:bookmarkStart w:id="253" w:name="_Toc8767"/>
      <w:bookmarkStart w:id="254" w:name="_Toc20283"/>
      <w:bookmarkStart w:id="255" w:name="_Toc26594"/>
      <w:bookmarkStart w:id="256" w:name="_Toc11753"/>
      <w:bookmarkStart w:id="257" w:name="_Toc28775"/>
      <w:bookmarkStart w:id="258" w:name="_Toc24324"/>
      <w:bookmarkStart w:id="259" w:name="_Toc21532"/>
      <w:bookmarkStart w:id="260" w:name="_Toc10189"/>
      <w:bookmarkStart w:id="261" w:name="_Toc33173333"/>
      <w:bookmarkStart w:id="262" w:name="_Toc964"/>
      <w:bookmarkStart w:id="263" w:name="_Toc26393137"/>
      <w:bookmarkStart w:id="264" w:name="_Toc75341676"/>
      <w:bookmarkStart w:id="265" w:name="_Toc264"/>
      <w:bookmarkStart w:id="266" w:name="_Toc5543"/>
      <w:bookmarkStart w:id="267" w:name="_Toc26159"/>
      <w:bookmarkStart w:id="268" w:name="_Toc6891"/>
      <w:bookmarkStart w:id="269" w:name="_Toc6648"/>
      <w:r>
        <w:rPr>
          <w:rFonts w:hint="eastAsia" w:ascii="黑体" w:hAnsi="黑体" w:eastAsia="黑体" w:cs="Times New Roman"/>
          <w:b w:val="0"/>
          <w:color w:val="000000" w:themeColor="text1"/>
          <w14:textFill>
            <w14:solidFill>
              <w14:schemeClr w14:val="tx1"/>
            </w14:solidFill>
          </w14:textFill>
        </w:rPr>
        <w:t>第三节 统筹构建城乡融合发展新格局</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一、推进城镇化高质量发展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进以人为核心的新型城镇化，稳步推进城市更新，推进城市生态修复和功能完善。提升新区街镇空间发展格局，扩大中心镇区覆盖范围。加快推进农业转移人口市民化，力争实现居住证制度覆盖新区城镇全部未落户常住人口。推进洛埠镇撤镇设街工作，确保街道经济发展和社会建设工作有序平稳。推动雒容镇行政区域调整，争取增设城市新社区，提高辖区公共服务能力。着力推进市容市貌提升，改善居民居住环境，增强城市社区社会管理和服务能力。积极推进特色小镇建设，重点建设雒容特色小镇、洛埠特色小镇，打造产业“特而强”、功能“聚而合”、形态“小而美”、机制“新而活”的特色小镇。推进经济发达镇行政管理体制改革，进一步激发经济发达镇发展内生动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专栏5-6  城镇化建设重点</w:t>
            </w:r>
          </w:p>
          <w:p>
            <w:pPr>
              <w:pStyle w:val="9"/>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雒容镇象岩路党建示范商业街道路改造工程</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对象岩路和政通路二巷两条道路进行改造，达到城市支路技术标准通。</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雒容镇基础设施升级改造项目</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包括道路标准提升、改造人行道1.5万平方米，线路总长度、新建屯通屯道路。建设5个屯级公共服务中心工程，配套建设文化娱乐室、篮球场、戏台、宣传长廊。</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雒容特色小镇项目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建设雒容古镇历史文化街区改造项目（一期），雒容镇中山街历史文化街区改造项目（二期）城墙遗址公园项目。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洛埠特色小镇项目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规划建设功能齐全的特色的宜居产业小城镇。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二、大力推进乡村振兴战略</w:t>
      </w:r>
    </w:p>
    <w:p>
      <w:pPr>
        <w:pStyle w:val="2"/>
        <w:ind w:firstLine="640"/>
        <w:rPr>
          <w:rFonts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强化以工补农、以城带乡，推动形成工农互促、城乡互补、协调发展、共同繁荣的新型工农城乡关系。统筹乡村振兴规划，将实现巩固拓展脱贫攻坚成果同乡村振兴有效衔接，积极落实广西乡村振兴产业发展基础设施公共服务能力提升三年行动方案（2021—2023 年），优化乡村生产、生活、生态空间，对乡村振兴重点帮扶县、重点项目进行倾斜支持。</w:t>
      </w:r>
      <w:r>
        <w:rPr>
          <w:rFonts w:hint="eastAsia" w:ascii="仿宋_GB2312"/>
          <w:color w:val="000000" w:themeColor="text1"/>
          <w:sz w:val="32"/>
          <w:szCs w:val="32"/>
          <w14:textFill>
            <w14:solidFill>
              <w14:schemeClr w14:val="tx1"/>
            </w14:solidFill>
          </w14:textFill>
        </w:rPr>
        <w:t>深化农业供给侧结构性改革，以推进农村产业融合发展为方向，构建新区现代农业体系，</w:t>
      </w:r>
      <w:r>
        <w:rPr>
          <w:rFonts w:hint="eastAsia" w:ascii="仿宋_GB2312" w:hAnsi="仿宋" w:cs="Times New Roman"/>
          <w:color w:val="000000" w:themeColor="text1"/>
          <w:sz w:val="32"/>
          <w:szCs w:val="32"/>
          <w14:textFill>
            <w14:solidFill>
              <w14:schemeClr w14:val="tx1"/>
            </w14:solidFill>
          </w14:textFill>
        </w:rPr>
        <w:t>促进现代都市型</w:t>
      </w:r>
      <w:r>
        <w:rPr>
          <w:rFonts w:hint="eastAsia" w:ascii="仿宋_GB2312" w:hAnsi="仿宋" w:cs="Times New Roman"/>
          <w:color w:val="000000" w:themeColor="text1"/>
          <w:sz w:val="32"/>
          <w:szCs w:val="32"/>
          <w:shd w:val="clear" w:color="auto" w:fill="FFFFFF"/>
          <w14:textFill>
            <w14:solidFill>
              <w14:schemeClr w14:val="tx1"/>
            </w14:solidFill>
          </w14:textFill>
        </w:rPr>
        <w:t>农业发展，大力推广高附加值农产品种植，探索发展家庭农场集群模式，吸引社会资本和专业机构投资运营，</w:t>
      </w:r>
      <w:r>
        <w:rPr>
          <w:rFonts w:hint="eastAsia" w:ascii="仿宋_GB2312"/>
          <w:color w:val="000000" w:themeColor="text1"/>
          <w:sz w:val="32"/>
          <w:szCs w:val="32"/>
          <w14:textFill>
            <w14:solidFill>
              <w14:schemeClr w14:val="tx1"/>
            </w14:solidFill>
          </w14:textFill>
        </w:rPr>
        <w:t>全面提升发展质量与效益。建设现代农业示范区，</w:t>
      </w:r>
      <w:r>
        <w:rPr>
          <w:rFonts w:hint="eastAsia" w:ascii="仿宋_GB2312" w:hAnsi="仿宋" w:cs="Times New Roman"/>
          <w:color w:val="000000" w:themeColor="text1"/>
          <w:sz w:val="32"/>
          <w:szCs w:val="32"/>
          <w14:textFill>
            <w14:solidFill>
              <w14:schemeClr w14:val="tx1"/>
            </w14:solidFill>
          </w14:textFill>
        </w:rPr>
        <w:t>完善三门江油茶产业示范区基础设施，建设油茶高产高效示范园，推进油茶精深加工增值。充分利用乡村人文资源、山水生态资源，打造乡村旅游精品工程。</w:t>
      </w:r>
      <w:r>
        <w:rPr>
          <w:rFonts w:hint="eastAsia" w:ascii="仿宋_GB2312"/>
          <w:color w:val="000000" w:themeColor="text1"/>
          <w:sz w:val="32"/>
          <w:szCs w:val="32"/>
          <w14:textFill>
            <w14:solidFill>
              <w14:schemeClr w14:val="tx1"/>
            </w14:solidFill>
          </w14:textFill>
        </w:rPr>
        <w:t>实施农业龙头企业成长计划，培育农业产业化龙头企业，农民专业合作社、家庭农场实现规范化发展。推动农村人才建设，支持各类人才返乡、下乡创业兴业。</w:t>
      </w:r>
      <w:r>
        <w:rPr>
          <w:rFonts w:hint="eastAsia" w:ascii="仿宋_GB2312" w:hAnsi="仿宋" w:cs="Times New Roman"/>
          <w:color w:val="000000" w:themeColor="text1"/>
          <w:sz w:val="32"/>
          <w:szCs w:val="32"/>
          <w14:textFill>
            <w14:solidFill>
              <w14:schemeClr w14:val="tx1"/>
            </w14:solidFill>
          </w14:textFill>
        </w:rPr>
        <w:t>积极推进“美丽柳州”乡村建设，</w:t>
      </w:r>
      <w:r>
        <w:rPr>
          <w:rFonts w:hint="eastAsia" w:ascii="仿宋_GB2312"/>
          <w:color w:val="000000" w:themeColor="text1"/>
          <w:sz w:val="32"/>
          <w:szCs w:val="32"/>
          <w14:textFill>
            <w14:solidFill>
              <w14:schemeClr w14:val="tx1"/>
            </w14:solidFill>
          </w14:textFill>
        </w:rPr>
        <w:t>持续改善农村人居环境，建设村容整洁、环境优美、民风和谐、生态宜居的秀美乡村。加快推动公共服务资源向农村倾斜，积极完善乡村教育和医疗体系建设，补齐农村民生短板，缩小城乡差距。以乡村公共文化服务建设为载体，推动乡村文化振兴，建设文明乡村。加快建立健全党委领导、政府负责、社会协同、公众参与、法治保障的现代乡村社会治理体制。加强乡镇政府能力建设，制定乡镇政府公共服务事项清单，打造乡镇政府基本公共服务平台。统筹山水林田湖草系统治理，推进乡村生态振兴，以马步水库、上金田屯和下金田屯为核心建设乡村振兴示范引领区，辐射雒容镇连丰村、竹桐村、龙岭村。着力打造上金田屯村庄改造工程，以乡村风貌提升行动为抓手，统筹兼顾产业发展、生态保护，连片打造、梯次推进、动态提升，留住独特的乡土味道和乡村风貌。</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专栏5-7  乡村振兴建设重点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上金田屯乡村风貌提升示范村（“美丽柳州”乡村建设综合示范村）项目建设工程：</w:t>
            </w:r>
            <w:r>
              <w:rPr>
                <w:rFonts w:hint="eastAsia"/>
                <w:color w:val="000000" w:themeColor="text1"/>
                <w14:textFill>
                  <w14:solidFill>
                    <w14:schemeClr w14:val="tx1"/>
                  </w14:solidFill>
                </w14:textFill>
              </w:rPr>
              <w:t>新建游客服务中心、入村公厕、入村牌坊2个、垃圾处理、生态停车场、村民综合服务中心（农家书屋、电商平台、村史馆）以及院落绿化、村庄内部道路铺装工程、配套设施、污水处理排放、弱电下地、景观提升等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雒容乡村风貌提升设施完善及村庄综合整治项目：</w:t>
            </w:r>
            <w:r>
              <w:rPr>
                <w:rFonts w:hint="eastAsia"/>
                <w:color w:val="000000" w:themeColor="text1"/>
                <w14:textFill>
                  <w14:solidFill>
                    <w14:schemeClr w14:val="tx1"/>
                  </w14:solidFill>
                </w14:textFill>
              </w:rPr>
              <w:t>包括雒容镇连丰村马步屯、新木良屯、老木良屯、回忆屯、甫口屯、塘边屯、等乡村风貌提升设施完善型项目。竹桐村樟山屯、六云屯、龙岭村龙团屯等村庄综合整治项目工程。下金田屯污水处理项目工程。竹车村老木头屯公共服务中心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镇村发展项目：</w:t>
            </w:r>
            <w:r>
              <w:rPr>
                <w:rFonts w:hint="eastAsia"/>
                <w:color w:val="000000" w:themeColor="text1"/>
                <w14:textFill>
                  <w14:solidFill>
                    <w14:schemeClr w14:val="tx1"/>
                  </w14:solidFill>
                </w14:textFill>
              </w:rPr>
              <w:t>雒柳路升级改造工程项目、东塘屯至鹿寨县思洛村麻哈屯道路工程、竹桐村底村屯至导江乡新建屯通屯道路、东塘50万变电站至桐林屯水泥路工程、竹桐村樟山屯至六云屯通屯水泥路工程、建设5个屯级公共服务中心工程、富容路改造工程、盘江路改造工程、广庆路（一巷至六巷）道路白改黑工程、桂龙路一巷道路白改黑工程、洛江小区道路白改黑工程、容庆路一巷及政通路一、三、四巷道路白改黑工程、洛埠镇零星工程2021年建设项目、雒容镇饮水安全提升改造、工程、雒容镇渠道整治工程、雒容镇污水治理工程、柳州市柳东新区雒容镇大穴岭公益性墓地建设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农村产业发展项目：</w:t>
            </w:r>
            <w:r>
              <w:rPr>
                <w:rFonts w:hint="eastAsia"/>
                <w:color w:val="000000" w:themeColor="text1"/>
                <w14:textFill>
                  <w14:solidFill>
                    <w14:schemeClr w14:val="tx1"/>
                  </w14:solidFill>
                </w14:textFill>
              </w:rPr>
              <w:t>雒容镇东塘村桂中监狱八队台湾麻竹竹笋种植项目、优质水果品牌创建项目、柳州市兴全肉食品有限责任公司拓展深加工项目、桂中监狱八队小龙虾养殖基地。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三、构建城乡一体化发展格局</w:t>
      </w:r>
    </w:p>
    <w:p>
      <w:pPr>
        <w:adjustRightInd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以新区核心区为中心构建城乡协调发展格局，完善中心城区综合服务功能，增强城镇对乡村的带动和辐射能力。以</w:t>
      </w:r>
      <w:r>
        <w:rPr>
          <w:rFonts w:hint="eastAsia" w:ascii="仿宋_GB2312" w:eastAsia="仿宋_GB2312"/>
          <w:color w:val="000000" w:themeColor="text1"/>
          <w:sz w:val="32"/>
          <w:szCs w:val="32"/>
          <w14:textFill>
            <w14:solidFill>
              <w14:schemeClr w14:val="tx1"/>
            </w14:solidFill>
          </w14:textFill>
        </w:rPr>
        <w:t>遵循“尊重自然，保持风貌”的原则下，在一定规划范围内保持新区原始生态环境。积极推进要素资源优化配置，促进各类要素在城乡之间自由流动。稳慎推进农村宅基地制度改革，促进农村宅基地集约节约利用。探索推进集体经营性建设用地入市制度。健全财政投入保障机制，保障农村建设资金需求。建立城乡教育、卫生医疗、文化体育等公共资源均衡配置机制，推动优质资源城乡共享。健全城乡公共文化服务体系，激活乡村文化发展潜力。推进新区农村公共基础设施管护体制改革试点方案全面落实，明确管护主体、管护责任，规范管护标准、落实管护经费、提升管护质量，推动城乡公共基础设施、基本公共服务普惠共享，促进城乡融合、服务一体。深化户籍制度改革，积极推动农业转移人口市民化，加大“人地钱挂钩”配套政策的激励力度。建立健全进城农民工随迁子女入学政策，积极保障符合条件的随迁子女在流入地接受高质量教育的权利。</w:t>
      </w:r>
    </w:p>
    <w:p>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br w:type="page"/>
      </w:r>
    </w:p>
    <w:p>
      <w:pPr>
        <w:pStyle w:val="2"/>
        <w:ind w:firstLine="420"/>
        <w:rPr>
          <w:color w:val="000000" w:themeColor="text1"/>
          <w14:textFill>
            <w14:solidFill>
              <w14:schemeClr w14:val="tx1"/>
            </w14:solidFill>
          </w14:textFill>
        </w:rPr>
      </w:pP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70" w:name="_Toc29488"/>
      <w:bookmarkStart w:id="271" w:name="_Toc10943"/>
      <w:bookmarkStart w:id="272" w:name="_Toc15881"/>
      <w:bookmarkStart w:id="273" w:name="_Toc19780"/>
      <w:bookmarkStart w:id="274" w:name="_Toc19224"/>
      <w:bookmarkStart w:id="275" w:name="_Toc8555"/>
      <w:bookmarkStart w:id="276" w:name="_Toc12209"/>
      <w:bookmarkStart w:id="277" w:name="_Toc75341677"/>
      <w:bookmarkStart w:id="278" w:name="_Toc17806"/>
      <w:bookmarkStart w:id="279" w:name="_Toc21248"/>
      <w:bookmarkStart w:id="280" w:name="_Toc25775"/>
      <w:bookmarkStart w:id="281" w:name="_Toc915"/>
      <w:bookmarkStart w:id="282" w:name="_Toc17477"/>
      <w:r>
        <w:rPr>
          <w:rFonts w:hint="eastAsia" w:ascii="黑体" w:hAnsi="黑体" w:eastAsia="黑体" w:cs="Times New Roman"/>
          <w:b w:val="0"/>
          <w:color w:val="000000" w:themeColor="text1"/>
          <w:sz w:val="32"/>
          <w:szCs w:val="32"/>
          <w14:textFill>
            <w14:solidFill>
              <w14:schemeClr w14:val="tx1"/>
            </w14:solidFill>
          </w14:textFill>
        </w:rPr>
        <w:t>第六章 深化改革开放，开拓区域协同发展新局面</w:t>
      </w:r>
      <w:bookmarkEnd w:id="270"/>
      <w:bookmarkEnd w:id="271"/>
      <w:bookmarkEnd w:id="272"/>
      <w:bookmarkEnd w:id="273"/>
      <w:bookmarkEnd w:id="274"/>
      <w:bookmarkEnd w:id="275"/>
      <w:bookmarkEnd w:id="276"/>
      <w:bookmarkEnd w:id="277"/>
      <w:bookmarkEnd w:id="278"/>
      <w:bookmarkEnd w:id="279"/>
      <w:bookmarkEnd w:id="280"/>
      <w:bookmarkEnd w:id="281"/>
      <w:bookmarkEnd w:id="282"/>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深入推进“放管服”、营商环境等关键领域改革，争创制度改革新优势。扎实服务柳州打造广西副中心城市，强化区域联动能力，积极开展产业分工协作，推动区域经济开放协同发展，</w:t>
      </w:r>
      <w:r>
        <w:rPr>
          <w:rFonts w:ascii="仿宋_GB2312" w:hAnsi="仿宋" w:eastAsia="仿宋_GB2312"/>
          <w:color w:val="000000" w:themeColor="text1"/>
          <w:sz w:val="32"/>
          <w:szCs w:val="32"/>
          <w14:textFill>
            <w14:solidFill>
              <w14:schemeClr w14:val="tx1"/>
            </w14:solidFill>
          </w14:textFill>
        </w:rPr>
        <w:t>构建国内国际双循环相互促进的发展格局</w:t>
      </w:r>
      <w:r>
        <w:rPr>
          <w:rFonts w:hint="eastAsia" w:ascii="仿宋_GB2312" w:hAnsi="仿宋" w:eastAsia="仿宋_GB2312"/>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83" w:name="_Toc75341678"/>
      <w:bookmarkStart w:id="284" w:name="_Toc28186"/>
      <w:bookmarkStart w:id="285" w:name="_Toc21475"/>
      <w:bookmarkStart w:id="286" w:name="_Toc27541"/>
      <w:bookmarkStart w:id="287" w:name="_Toc812"/>
      <w:bookmarkStart w:id="288" w:name="_Toc23709"/>
      <w:bookmarkStart w:id="289" w:name="_Toc21418"/>
      <w:bookmarkStart w:id="290" w:name="_Toc16459"/>
      <w:bookmarkStart w:id="291" w:name="_Toc3557"/>
      <w:bookmarkStart w:id="292" w:name="_Toc21803"/>
      <w:bookmarkStart w:id="293" w:name="_Toc11694"/>
      <w:bookmarkStart w:id="294" w:name="_Toc24541"/>
      <w:bookmarkStart w:id="295" w:name="_Toc13609"/>
      <w:r>
        <w:rPr>
          <w:rFonts w:hint="eastAsia" w:ascii="黑体" w:hAnsi="黑体" w:eastAsia="黑体" w:cs="Times New Roman"/>
          <w:b w:val="0"/>
          <w:color w:val="000000" w:themeColor="text1"/>
          <w14:textFill>
            <w14:solidFill>
              <w14:schemeClr w14:val="tx1"/>
            </w14:solidFill>
          </w14:textFill>
        </w:rPr>
        <w:t>第一节 争创新区改革发展新优势</w:t>
      </w:r>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一、进一步推动营商环境优化提升</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国家、自治区推进开放发展的政策措施，深入落实《优化营商环境条例》各项规定，对标对表国家营商环境评价体系，对照国际投资贸易通行规则，统筹抓好放宽市场准入、加强公正监管、优化政务服务、创新体制机制，积极营造国际化营商环境，提升新区投资便利化水平。全面落实柳州市《市场准入负面清单》实施方案，切实做好市场准入负面清单制度的实施工作。深入推进税务领域“放管服”改革，更好服务市场主体发展。完善分级分类企业服务机制，实行企业诉求闭环管理机制。对标国内先进城市，</w:t>
      </w:r>
      <w:r>
        <w:rPr>
          <w:rFonts w:hint="eastAsia" w:ascii="仿宋_GB2312" w:eastAsia="仿宋_GB2312"/>
          <w:color w:val="000000" w:themeColor="text1"/>
          <w:sz w:val="32"/>
          <w:szCs w:val="32"/>
          <w14:textFill>
            <w14:solidFill>
              <w14:schemeClr w14:val="tx1"/>
            </w14:solidFill>
          </w14:textFill>
        </w:rPr>
        <w:t>持续深化商事制度改革，深化“互联网+政务服务”改革，深化证照分离、区块链发票等技术应用，深化商标注册、专利申请等便利化改革，提高企业开办便利化，推行市场主体简易注销改革，提升市场主体退出便利度。进一步整合审批资源，优化再造审批流程，</w:t>
      </w:r>
      <w:r>
        <w:rPr>
          <w:rFonts w:hint="eastAsia" w:ascii="仿宋_GB2312" w:hAnsi="仿宋" w:eastAsia="仿宋_GB2312" w:cs="Dotum"/>
          <w:color w:val="000000" w:themeColor="text1"/>
          <w:sz w:val="32"/>
          <w:szCs w:val="32"/>
          <w14:textFill>
            <w14:solidFill>
              <w14:schemeClr w14:val="tx1"/>
            </w14:solidFill>
          </w14:textFill>
        </w:rPr>
        <w:t>探索企业承诺制，最大限度缩小企业投资核准范围。</w:t>
      </w:r>
      <w:r>
        <w:rPr>
          <w:rFonts w:hint="eastAsia" w:ascii="仿宋_GB2312" w:eastAsia="仿宋_GB2312"/>
          <w:color w:val="000000" w:themeColor="text1"/>
          <w:sz w:val="32"/>
          <w:szCs w:val="32"/>
          <w14:textFill>
            <w14:solidFill>
              <w14:schemeClr w14:val="tx1"/>
            </w14:solidFill>
          </w14:textFill>
        </w:rPr>
        <w:t>深化工程建设项目审批制度改革，完善新区“拿地即开工”审批模式实施方案，</w:t>
      </w:r>
      <w:r>
        <w:rPr>
          <w:rFonts w:hint="eastAsia" w:ascii="仿宋_GB2312" w:hAnsi="仿宋" w:eastAsia="仿宋_GB2312" w:cs="Dotum"/>
          <w:color w:val="000000" w:themeColor="text1"/>
          <w:sz w:val="32"/>
          <w:szCs w:val="32"/>
          <w14:textFill>
            <w14:solidFill>
              <w14:schemeClr w14:val="tx1"/>
            </w14:solidFill>
          </w14:textFill>
        </w:rPr>
        <w:t>探索开工项目实行先建后验的管理模式。规范政府购买服务流程机制，定期评估、排查、清理各类显性和隐性壁垒，在政府采购和招投标等方面平等对待各类所有制企业。</w:t>
      </w:r>
      <w:r>
        <w:rPr>
          <w:rFonts w:hint="eastAsia" w:ascii="仿宋_GB2312" w:hAnsi="仿宋" w:eastAsia="仿宋_GB2312" w:cs="Times New Roman"/>
          <w:color w:val="000000" w:themeColor="text1"/>
          <w:sz w:val="32"/>
          <w:szCs w:val="32"/>
          <w14:textFill>
            <w14:solidFill>
              <w14:schemeClr w14:val="tx1"/>
            </w14:solidFill>
          </w14:textFill>
        </w:rPr>
        <w:t>加大知识产权保护力度，率先建立健全证据披露、证据妨碍排除和优势证据规则。</w:t>
      </w:r>
      <w:r>
        <w:rPr>
          <w:rFonts w:hint="eastAsia" w:ascii="仿宋_GB2312" w:hAnsi="仿宋" w:eastAsia="仿宋_GB2312" w:cs="Dotum"/>
          <w:color w:val="000000" w:themeColor="text1"/>
          <w:sz w:val="32"/>
          <w:szCs w:val="32"/>
          <w14:textFill>
            <w14:solidFill>
              <w14:schemeClr w14:val="tx1"/>
            </w14:solidFill>
          </w14:textFill>
        </w:rPr>
        <w:t>加强和改进反不正当竞争执法，加大对商业贿赂、侵犯商业秘密等行为的打击力度。</w:t>
      </w:r>
      <w:r>
        <w:rPr>
          <w:rFonts w:hint="eastAsia" w:ascii="仿宋_GB2312" w:hAnsi="仿宋" w:eastAsia="仿宋_GB2312" w:cs="Times New Roman"/>
          <w:color w:val="000000" w:themeColor="text1"/>
          <w:sz w:val="32"/>
          <w:szCs w:val="32"/>
          <w14:textFill>
            <w14:solidFill>
              <w14:schemeClr w14:val="tx1"/>
            </w14:solidFill>
          </w14:textFill>
        </w:rPr>
        <w:t>实行更具弹性的审慎包容监管，探索对企业轻微过失容错机制，健全联合执法、柔性执法机制。</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二、推动要素市场化配置机制改革</w:t>
      </w:r>
    </w:p>
    <w:p>
      <w:pPr>
        <w:pStyle w:val="9"/>
        <w:ind w:firstLine="640" w:firstLineChars="200"/>
        <w:rPr>
          <w:rFonts w:ascii="仿宋_GB2312" w:hAnsi="仿宋" w:eastAsia="仿宋_GB2312" w:cs="Dotum"/>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利用产业用地，加强市场化配置，编制实施区域产业用地规划及分区规划。增强土地管理灵活性，推进新区建设用地空间功能复合优化，实施更细化的密度分区管控，探索允许商业和住宅用地的混合建设。探索商业用地与低效工业用地置换，推动新区企业、项目存量历史用地盘活利用。创新园区土地保障体制机制，探索推进工业项目“标准地”试点改革，实行工业用地弹性供应等新土地供应方式。探索推动人才跨单位、跨所有制有序流动，积极承接国家和经济发达地区到柳州挂职干部，探索实施激励干部担当作为的绩效考核、薪酬体制改革机制。支持和鼓励事业单位专业技术人员到企业挂职、兼职和离岗创业，鼓励用人单位建立首席技师、特级技师等岗位，建立技能人才聘期制和积分晋级制度。建设汽车城人才智力成果交易平台，利用平台促进人才共享，降低中小微企业人才使用成本，进一步释放区域人才智力资源与活力。完善政府性融资担保体系，增强支持小微企业融资担保能力。建立金融信用信息基础数据库，强化企业征信服务机构培育，不断完善小微企业征信服务体系。利用市场导向机制，优化激励政策措施，大力引导社会资本向新区高技术产业以及新业态、商业新模式投资倾斜。</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三、深化新区社会建设领域改革</w:t>
      </w:r>
    </w:p>
    <w:p>
      <w:pPr>
        <w:pStyle w:val="9"/>
        <w:ind w:firstLine="640" w:firstLineChars="200"/>
        <w:jc w:val="left"/>
        <w:rPr>
          <w:rFonts w:ascii="仿宋_GB2312" w:hAnsi="仿宋" w:eastAsia="仿宋_GB2312" w:cs="Dotum"/>
          <w:color w:val="000000" w:themeColor="text1"/>
          <w:sz w:val="32"/>
          <w:szCs w:val="32"/>
          <w14:textFill>
            <w14:solidFill>
              <w14:schemeClr w14:val="tx1"/>
            </w14:solidFill>
          </w14:textFill>
        </w:rPr>
      </w:pPr>
      <w:r>
        <w:rPr>
          <w:rFonts w:ascii="仿宋_GB2312" w:hAnsi="仿宋" w:eastAsia="仿宋_GB2312" w:cs="Dotum"/>
          <w:color w:val="000000" w:themeColor="text1"/>
          <w:sz w:val="32"/>
          <w:szCs w:val="32"/>
          <w14:textFill>
            <w14:solidFill>
              <w14:schemeClr w14:val="tx1"/>
            </w14:solidFill>
          </w14:textFill>
        </w:rPr>
        <w:t>提升新区社会治理体系和治理能力现代化水平</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贯彻落实经济发达镇行政管理体制改革的决策部署，全面推进新区经济发达镇行政管理体制改革的组织领导、统筹协调、整体推进和督促实施</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加快基层治理体制改革。构建以社区综合党委为核心、社区工作站、社区居委会、社区股份公司、驻社区单位、社会组织等共同参与的社区治理体系，推动专业化、社会化、一站式社区综合服务平台建设。探索推进社会组织登记管理、监督管理等体制改革，优化社会组织发展环境，拓展社会组织发展空间，激发社会组织发展活力。</w:t>
      </w:r>
      <w:r>
        <w:rPr>
          <w:rFonts w:hint="eastAsia" w:ascii="仿宋_GB2312" w:hAnsi="仿宋" w:eastAsia="仿宋_GB2312" w:cs="Dotum"/>
          <w:color w:val="000000" w:themeColor="text1"/>
          <w:sz w:val="32"/>
          <w:szCs w:val="32"/>
          <w14:textFill>
            <w14:solidFill>
              <w14:schemeClr w14:val="tx1"/>
            </w14:solidFill>
          </w14:textFill>
        </w:rPr>
        <w:t>促进</w:t>
      </w:r>
      <w:r>
        <w:rPr>
          <w:rFonts w:ascii="仿宋_GB2312" w:hAnsi="仿宋" w:eastAsia="仿宋_GB2312" w:cs="Dotum"/>
          <w:color w:val="000000" w:themeColor="text1"/>
          <w:sz w:val="32"/>
          <w:szCs w:val="32"/>
          <w14:textFill>
            <w14:solidFill>
              <w14:schemeClr w14:val="tx1"/>
            </w14:solidFill>
          </w14:textFill>
        </w:rPr>
        <w:t>政府购买服务形式支持社会力量参与公共</w:t>
      </w:r>
      <w:r>
        <w:rPr>
          <w:rFonts w:hint="eastAsia" w:ascii="仿宋_GB2312" w:hAnsi="仿宋" w:eastAsia="仿宋_GB2312" w:cs="Dotum"/>
          <w:color w:val="000000" w:themeColor="text1"/>
          <w:sz w:val="32"/>
          <w:szCs w:val="32"/>
          <w14:textFill>
            <w14:solidFill>
              <w14:schemeClr w14:val="tx1"/>
            </w14:solidFill>
          </w14:textFill>
        </w:rPr>
        <w:t>服务供给</w:t>
      </w:r>
      <w:r>
        <w:rPr>
          <w:rFonts w:ascii="仿宋_GB2312" w:hAnsi="仿宋" w:eastAsia="仿宋_GB2312" w:cs="Dotum"/>
          <w:color w:val="000000" w:themeColor="text1"/>
          <w:sz w:val="32"/>
          <w:szCs w:val="32"/>
          <w14:textFill>
            <w14:solidFill>
              <w14:schemeClr w14:val="tx1"/>
            </w14:solidFill>
          </w14:textFill>
        </w:rPr>
        <w:t>，创新公共</w:t>
      </w:r>
      <w:r>
        <w:rPr>
          <w:rFonts w:hint="eastAsia" w:ascii="仿宋_GB2312" w:hAnsi="仿宋" w:eastAsia="仿宋_GB2312" w:cs="Dotum"/>
          <w:color w:val="000000" w:themeColor="text1"/>
          <w:sz w:val="32"/>
          <w:szCs w:val="32"/>
          <w14:textFill>
            <w14:solidFill>
              <w14:schemeClr w14:val="tx1"/>
            </w14:solidFill>
          </w14:textFill>
        </w:rPr>
        <w:t>服务基础设施</w:t>
      </w:r>
      <w:r>
        <w:rPr>
          <w:rFonts w:ascii="仿宋_GB2312" w:hAnsi="仿宋" w:eastAsia="仿宋_GB2312" w:cs="Dotum"/>
          <w:color w:val="000000" w:themeColor="text1"/>
          <w:sz w:val="32"/>
          <w:szCs w:val="32"/>
          <w14:textFill>
            <w14:solidFill>
              <w14:schemeClr w14:val="tx1"/>
            </w14:solidFill>
          </w14:textFill>
        </w:rPr>
        <w:t>投资建设和管理运营新模式，</w:t>
      </w:r>
      <w:r>
        <w:rPr>
          <w:rFonts w:hint="eastAsia" w:ascii="仿宋_GB2312" w:hAnsi="仿宋" w:eastAsia="仿宋_GB2312" w:cs="Dotum"/>
          <w:color w:val="000000" w:themeColor="text1"/>
          <w:sz w:val="32"/>
          <w:szCs w:val="32"/>
          <w14:textFill>
            <w14:solidFill>
              <w14:schemeClr w14:val="tx1"/>
            </w14:solidFill>
          </w14:textFill>
        </w:rPr>
        <w:t>探索公共服务设施</w:t>
      </w:r>
      <w:r>
        <w:rPr>
          <w:rFonts w:ascii="仿宋_GB2312" w:hAnsi="仿宋" w:eastAsia="仿宋_GB2312" w:cs="Dotum"/>
          <w:color w:val="000000" w:themeColor="text1"/>
          <w:sz w:val="32"/>
          <w:szCs w:val="32"/>
          <w14:textFill>
            <w14:solidFill>
              <w14:schemeClr w14:val="tx1"/>
            </w14:solidFill>
          </w14:textFill>
        </w:rPr>
        <w:t>专业化社会化运营。推动一批农业转移人口市民化改革示范点建设，通过资源整合和政策创新，先行先试，推进乡镇转街道、村民转市民改革，</w:t>
      </w:r>
      <w:r>
        <w:rPr>
          <w:rFonts w:hint="eastAsia" w:ascii="仿宋_GB2312" w:hAnsi="仿宋" w:eastAsia="仿宋_GB2312" w:cs="Dotum"/>
          <w:color w:val="000000" w:themeColor="text1"/>
          <w:sz w:val="32"/>
          <w:szCs w:val="32"/>
          <w14:textFill>
            <w14:solidFill>
              <w14:schemeClr w14:val="tx1"/>
            </w14:solidFill>
          </w14:textFill>
        </w:rPr>
        <w:t>探索</w:t>
      </w:r>
      <w:r>
        <w:rPr>
          <w:rFonts w:ascii="仿宋_GB2312" w:hAnsi="仿宋" w:eastAsia="仿宋_GB2312" w:cs="Dotum"/>
          <w:color w:val="000000" w:themeColor="text1"/>
          <w:sz w:val="32"/>
          <w:szCs w:val="32"/>
          <w14:textFill>
            <w14:solidFill>
              <w14:schemeClr w14:val="tx1"/>
            </w14:solidFill>
          </w14:textFill>
        </w:rPr>
        <w:t>有效</w:t>
      </w:r>
      <w:r>
        <w:rPr>
          <w:rFonts w:hint="eastAsia" w:ascii="仿宋_GB2312" w:hAnsi="仿宋" w:eastAsia="仿宋_GB2312" w:cs="Dotum"/>
          <w:color w:val="000000" w:themeColor="text1"/>
          <w:sz w:val="32"/>
          <w:szCs w:val="32"/>
          <w14:textFill>
            <w14:solidFill>
              <w14:schemeClr w14:val="tx1"/>
            </w14:solidFill>
          </w14:textFill>
        </w:rPr>
        <w:t>的</w:t>
      </w:r>
      <w:r>
        <w:rPr>
          <w:rFonts w:ascii="仿宋_GB2312" w:hAnsi="仿宋" w:eastAsia="仿宋_GB2312" w:cs="Dotum"/>
          <w:color w:val="000000" w:themeColor="text1"/>
          <w:sz w:val="32"/>
          <w:szCs w:val="32"/>
          <w14:textFill>
            <w14:solidFill>
              <w14:schemeClr w14:val="tx1"/>
            </w14:solidFill>
          </w14:textFill>
        </w:rPr>
        <w:t>农业转移人口市民化成本分担机制</w:t>
      </w:r>
      <w:r>
        <w:rPr>
          <w:rFonts w:hint="eastAsia" w:ascii="仿宋_GB2312" w:hAnsi="仿宋" w:eastAsia="仿宋_GB2312" w:cs="Dotum"/>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96" w:name="_Toc25127"/>
      <w:bookmarkStart w:id="297" w:name="_Toc29459"/>
      <w:bookmarkStart w:id="298" w:name="_Toc30328"/>
      <w:bookmarkStart w:id="299" w:name="_Toc24473"/>
      <w:bookmarkStart w:id="300" w:name="_Toc18837"/>
      <w:bookmarkStart w:id="301" w:name="_Toc29933"/>
      <w:bookmarkStart w:id="302" w:name="_Toc12760"/>
      <w:bookmarkStart w:id="303" w:name="_Toc391"/>
      <w:bookmarkStart w:id="304" w:name="_Toc75341679"/>
      <w:bookmarkStart w:id="305" w:name="_Toc10581"/>
      <w:bookmarkStart w:id="306" w:name="_Toc18833"/>
      <w:bookmarkStart w:id="307" w:name="_Toc5416"/>
      <w:bookmarkStart w:id="308" w:name="_Toc23514"/>
      <w:r>
        <w:rPr>
          <w:rFonts w:hint="eastAsia" w:ascii="黑体" w:hAnsi="黑体" w:eastAsia="黑体" w:cs="Times New Roman"/>
          <w:b w:val="0"/>
          <w:color w:val="000000" w:themeColor="text1"/>
          <w14:textFill>
            <w14:solidFill>
              <w14:schemeClr w14:val="tx1"/>
            </w14:solidFill>
          </w14:textFill>
        </w:rPr>
        <w:t>第二节 打造开放合作的新平台</w:t>
      </w:r>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一、加强与邻区邻县及院校的合作</w:t>
      </w:r>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以加快推动柳州打造广西副中心城市为引领，充分发挥新区的产业优势，聚焦汽车整车、汽车电子、关键零部件等重点领域，积极与来宾、河池、桂林等周边城市产业分工协作，进行联合研发、协同生产，增强区域辐射带动能力，推进桂中柳来河都市圈经济发展。主动对接阳和新区、鱼峰区、柳南区、柳北区、鹿寨县等邻区邻县的产业、科技创新资源，实现重大科技基础设施的共享，深化协同发展。立足“滨江智谷”“大学生创新创业园”“新区创业中心”等平台，持续推动新区科技创新和成果转化，成为全市创新体系重要组成部分。积极建立与电子科技大学广西智能制造产业技术研究院、广西科技大学洛客设计学院、轻金属材料及成型技术研究院等高校和研究机构的合作，加强科技创新资源对接与产业创新合作，探索政校企合作建设实验室的模式，为新区重点产业领域科研攻关提供支持，增强产业创新能力。</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二、积极参与西部陆海新通道建设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支持柳州打造成为西部陆海新通道重要节点城市及物流枢纽，协同推进湘桂铁路、桂林－柳州高速公路改扩建工程，加快完善官塘多式联运基地、雒容商品车物流基地的规划建设，完善新区物流园区、货运场站、仓储配送中心等物流骨干网络节点，提升新区物流产业集聚力和区域辐射影响力。加快推进新区铁路、水运口岸建设，提升通关便利化和口岸智能化水平。大力发展柳东汽车贸易园等专业市场，引进国内外知名快递快运企业建设区域性分拨转运基地，</w:t>
      </w:r>
      <w:r>
        <w:rPr>
          <w:rFonts w:ascii="Times New Roman" w:hAnsi="Times New Roman" w:eastAsia="仿宋_GB2312" w:cs="Times New Roman"/>
          <w:color w:val="000000" w:themeColor="text1"/>
          <w:sz w:val="32"/>
          <w:szCs w:val="32"/>
          <w14:textFill>
            <w14:solidFill>
              <w14:schemeClr w14:val="tx1"/>
            </w14:solidFill>
          </w14:textFill>
        </w:rPr>
        <w:t>增强商贸流通辐射影响力</w:t>
      </w:r>
      <w:r>
        <w:rPr>
          <w:rFonts w:hint="eastAsia" w:ascii="Times New Roman" w:hAnsi="Times New Roman" w:eastAsia="仿宋_GB2312" w:cs="Times New Roman"/>
          <w:color w:val="000000" w:themeColor="text1"/>
          <w:sz w:val="32"/>
          <w:szCs w:val="32"/>
          <w14:textFill>
            <w14:solidFill>
              <w14:schemeClr w14:val="tx1"/>
            </w14:solidFill>
          </w14:textFill>
        </w:rPr>
        <w:t>，建设</w:t>
      </w:r>
      <w:r>
        <w:rPr>
          <w:rFonts w:hint="eastAsia" w:ascii="仿宋_GB2312" w:hAnsi="仿宋" w:eastAsia="仿宋_GB2312" w:cs="Times New Roman"/>
          <w:color w:val="000000" w:themeColor="text1"/>
          <w:sz w:val="32"/>
          <w:szCs w:val="32"/>
          <w14:textFill>
            <w14:solidFill>
              <w14:schemeClr w14:val="tx1"/>
            </w14:solidFill>
          </w14:textFill>
        </w:rPr>
        <w:t>西南地区物流集散地</w:t>
      </w:r>
      <w:r>
        <w:rPr>
          <w:rFonts w:hint="eastAsia" w:ascii="Times New Roman" w:hAnsi="Times New Roman" w:eastAsia="仿宋_GB2312" w:cs="Times New Roman"/>
          <w:color w:val="000000" w:themeColor="text1"/>
          <w:sz w:val="32"/>
          <w:szCs w:val="32"/>
          <w14:textFill>
            <w14:solidFill>
              <w14:schemeClr w14:val="tx1"/>
            </w14:solidFill>
          </w14:textFill>
        </w:rPr>
        <w:t>。依托产业基础，加强新区与国内川渝地区、粤港澳大湾区以及与东盟的产业合作，将</w:t>
      </w:r>
      <w:r>
        <w:rPr>
          <w:rFonts w:hint="eastAsia" w:ascii="仿宋_GB2312" w:hAnsi="仿宋" w:eastAsia="仿宋_GB2312" w:cs="Times New Roman"/>
          <w:color w:val="000000" w:themeColor="text1"/>
          <w:sz w:val="32"/>
          <w:szCs w:val="32"/>
          <w14:textFill>
            <w14:solidFill>
              <w14:schemeClr w14:val="tx1"/>
            </w14:solidFill>
          </w14:textFill>
        </w:rPr>
        <w:t>柳东新区打造成为西部陆海新通道枢纽城市的重要承载地。推动柳东新区建设面向东盟的产业金融中心，争取在新区设立金融资产交易平台，开展各类金融资产交易创新业务。积极争取建立区域性大宗商品及战略资源交易平台，推动白糖、木材、水果等特色大宗商品及铟矿石、特色工业品等战略资源或产品交易。</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三、建立对外开放合作新渠道</w:t>
      </w:r>
    </w:p>
    <w:p>
      <w:pPr>
        <w:adjustRightInd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积极参与</w:t>
      </w:r>
      <w:r>
        <w:rPr>
          <w:rFonts w:hint="eastAsia" w:ascii="仿宋_GB2312" w:hAnsi="仿宋_GB2312" w:eastAsia="仿宋_GB2312" w:cs="仿宋_GB2312"/>
          <w:color w:val="000000" w:themeColor="text1"/>
          <w:sz w:val="32"/>
          <w:szCs w:val="32"/>
          <w:lang w:eastAsia="zh-CN"/>
          <w14:textFill>
            <w14:solidFill>
              <w14:schemeClr w14:val="tx1"/>
            </w14:solidFill>
          </w14:textFill>
        </w:rPr>
        <w:t>“一带一路”</w:t>
      </w:r>
      <w:r>
        <w:rPr>
          <w:rFonts w:hint="eastAsia" w:ascii="仿宋_GB2312" w:hAnsi="仿宋_GB2312" w:eastAsia="仿宋_GB2312" w:cs="仿宋_GB2312"/>
          <w:color w:val="000000" w:themeColor="text1"/>
          <w:sz w:val="32"/>
          <w:szCs w:val="32"/>
          <w14:textFill>
            <w14:solidFill>
              <w14:schemeClr w14:val="tx1"/>
            </w14:solidFill>
          </w14:textFill>
        </w:rPr>
        <w:t>倡议，参与中新互联互通南向通道建设，依托国际会展中心，拓展中国—东盟（柳州）汽车工业博览会平台功能，扩大对东盟出口贸易规模，提升机电、轻工等产品市场占有率。立足粤桂黔高铁经济带合作试验区、中欧区域政策合作案例城市、中德（柳州）工业园建设主战场，积极推进中意（柳州）未来科技城、中德 （柳州）装备产业园等园区建设布局，打造中欧区域政策合作示范区。有效支撑</w:t>
      </w:r>
      <w:r>
        <w:rPr>
          <w:rFonts w:hint="eastAsia" w:ascii="仿宋_GB2312" w:hAnsi="仿宋_GB2312" w:eastAsia="仿宋_GB2312" w:cs="仿宋_GB2312"/>
          <w:color w:val="000000" w:themeColor="text1"/>
          <w:sz w:val="32"/>
          <w:szCs w:val="32"/>
          <w:lang w:val="zh-CN"/>
          <w14:textFill>
            <w14:solidFill>
              <w14:schemeClr w14:val="tx1"/>
            </w14:solidFill>
          </w14:textFill>
        </w:rPr>
        <w:t>柳州布局建设面向东盟的现代制造业科技创新中心，加快打造面向东盟更好服务“一带一路”的开放合作高地和国内国际双循环重要节点枢纽，为中西部广大地区加快科技创新发挥示范带动作用</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s="Dotum"/>
          <w:color w:val="000000" w:themeColor="text1"/>
          <w:kern w:val="0"/>
          <w:sz w:val="32"/>
          <w:szCs w:val="32"/>
          <w14:textFill>
            <w14:solidFill>
              <w14:schemeClr w14:val="tx1"/>
            </w14:solidFill>
          </w14:textFill>
        </w:rPr>
        <w:t>着力推动与西班牙加泰罗尼亚地区大学和研究署、格拉纳达创新技术联盟、格拉纳达生命健康产业园、意大利可再生能源与能效协会的战略合作协议落地，探索在柳州共建科技企业孵化器、中意可再生能源研究中心等项目。</w:t>
      </w:r>
      <w:r>
        <w:rPr>
          <w:rFonts w:hint="eastAsia" w:ascii="仿宋_GB2312" w:hAnsi="仿宋_GB2312" w:eastAsia="仿宋_GB2312" w:cs="仿宋_GB2312"/>
          <w:color w:val="000000" w:themeColor="text1"/>
          <w:sz w:val="32"/>
          <w:szCs w:val="32"/>
          <w14:textFill>
            <w14:solidFill>
              <w14:schemeClr w14:val="tx1"/>
            </w14:solidFill>
          </w14:textFill>
        </w:rPr>
        <w:t>搭建公水铁联运物流通道，优化柳州保税物流中心（B型）通关、加工、仓储、分装和跨境电商等综合服务，提升柳东新区外向型经济发展基础。争取自治区、柳州市的大力支持，探索申报建设柳州综合保税区。鼓励新区企业面向国际市场，大力实施产能合作和跨境贸易，实现供应渠道多元化、质量体系标准化、人才培育国际化，不断拓展海外业务，提高产品国际竞争力，加快“柳东制造”国际化步伐。</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四、全方位融入中欧区域政策合作</w:t>
      </w:r>
    </w:p>
    <w:p>
      <w:pPr>
        <w:ind w:firstLine="640" w:firstLineChars="200"/>
        <w:rPr>
          <w:rFonts w:ascii="仿宋_GB2312" w:hAnsi="仿宋" w:eastAsia="仿宋_GB2312" w:cs="Dotum"/>
          <w:color w:val="000000" w:themeColor="text1"/>
          <w:kern w:val="0"/>
          <w:sz w:val="32"/>
          <w:szCs w:val="32"/>
          <w14:textFill>
            <w14:solidFill>
              <w14:schemeClr w14:val="tx1"/>
            </w14:solidFill>
          </w14:textFill>
        </w:rPr>
      </w:pPr>
      <w:r>
        <w:rPr>
          <w:rFonts w:hint="eastAsia" w:ascii="仿宋_GB2312" w:hAnsi="仿宋" w:eastAsia="仿宋_GB2312" w:cs="Dotum"/>
          <w:color w:val="000000" w:themeColor="text1"/>
          <w:kern w:val="0"/>
          <w:sz w:val="32"/>
          <w:szCs w:val="32"/>
          <w14:textFill>
            <w14:solidFill>
              <w14:schemeClr w14:val="tx1"/>
            </w14:solidFill>
          </w14:textFill>
        </w:rPr>
        <w:t>利用欧盟国际城镇合作项目框架和机制，借鉴城市发展新理念，合作编制新区城市行动计划。进一步加强互动，推动欧盟政府机构、企业和科创机构回访，深化资源对接、促进优势互补。利用欧盟科创平台推动设立柳州离岸创新创业中心，形成新区和欧盟创新资源融合、互补、共赢的合作模式。</w:t>
      </w:r>
      <w:r>
        <w:rPr>
          <w:rFonts w:hint="eastAsia" w:ascii="仿宋_GB2312" w:hAnsi="仿宋" w:eastAsia="仿宋_GB2312" w:cs="Dotum"/>
          <w:color w:val="000000" w:themeColor="text1"/>
          <w:kern w:val="0"/>
          <w:sz w:val="32"/>
          <w:szCs w:val="32"/>
          <w:lang w:eastAsia="zh-CN"/>
          <w14:textFill>
            <w14:solidFill>
              <w14:schemeClr w14:val="tx1"/>
            </w14:solidFill>
          </w14:textFill>
        </w:rPr>
        <w:t>支持</w:t>
      </w:r>
      <w:r>
        <w:rPr>
          <w:rFonts w:hint="eastAsia" w:ascii="仿宋_GB2312" w:hAnsi="仿宋" w:eastAsia="仿宋_GB2312" w:cs="Dotum"/>
          <w:color w:val="000000" w:themeColor="text1"/>
          <w:kern w:val="0"/>
          <w:sz w:val="32"/>
          <w:szCs w:val="32"/>
          <w14:textFill>
            <w14:solidFill>
              <w14:schemeClr w14:val="tx1"/>
            </w14:solidFill>
          </w14:textFill>
        </w:rPr>
        <w:t>柳州市承办中欧（广西）产业合作论坛、中欧产业合作投资洽谈会等，擦亮城市国际影响力新名片。积极引进欧洲高水准教育资源，推动新区高校、职校教学发展水平提升。争取自治区、柳州市合力支持柳东新区建设中欧区域政策合作示范高地，赋以开放合作相关先行先试政策支持。</w:t>
      </w:r>
    </w:p>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309" w:name="_Toc30099"/>
      <w:bookmarkStart w:id="310" w:name="_Toc16760"/>
      <w:bookmarkStart w:id="311" w:name="_Toc4550"/>
      <w:bookmarkStart w:id="312" w:name="_Toc28138"/>
      <w:bookmarkStart w:id="313" w:name="_Toc18391"/>
      <w:bookmarkStart w:id="314" w:name="_Toc75341680"/>
      <w:bookmarkStart w:id="315" w:name="_Toc23812"/>
      <w:bookmarkStart w:id="316" w:name="_Toc20453"/>
      <w:bookmarkStart w:id="317" w:name="_Toc20665"/>
      <w:bookmarkStart w:id="318" w:name="_Toc18301"/>
      <w:bookmarkStart w:id="319" w:name="_Toc26059"/>
      <w:bookmarkStart w:id="320" w:name="_Toc18428"/>
      <w:bookmarkStart w:id="321" w:name="_Toc13654"/>
      <w:r>
        <w:rPr>
          <w:rFonts w:hint="eastAsia" w:ascii="黑体" w:hAnsi="黑体" w:eastAsia="黑体" w:cs="Times New Roman"/>
          <w:b w:val="0"/>
          <w:color w:val="000000" w:themeColor="text1"/>
          <w14:textFill>
            <w14:solidFill>
              <w14:schemeClr w14:val="tx1"/>
            </w14:solidFill>
          </w14:textFill>
        </w:rPr>
        <w:t>第三节 全面对接粤港澳大湾区</w:t>
      </w:r>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一、全方位对接粤港澳大湾区</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推动柳东新区成为粤港澳大湾区产业向西南地区转移的最佳门户和承接地、科技成果转化承接区以及港澳与内地深度合作的重要承载地。把握</w:t>
      </w:r>
      <w:r>
        <w:rPr>
          <w:rFonts w:hint="eastAsia" w:ascii="仿宋_GB2312" w:hAnsi="仿宋" w:eastAsia="仿宋_GB2312" w:cs="Times New Roman"/>
          <w:color w:val="000000" w:themeColor="text1"/>
          <w:sz w:val="32"/>
          <w:szCs w:val="32"/>
          <w:lang w:eastAsia="zh-CN"/>
          <w14:textFill>
            <w14:solidFill>
              <w14:schemeClr w14:val="tx1"/>
            </w14:solidFill>
          </w14:textFill>
        </w:rPr>
        <w:t>广西壮族自治区</w:t>
      </w:r>
      <w:r>
        <w:rPr>
          <w:rFonts w:hint="eastAsia" w:ascii="仿宋_GB2312" w:hAnsi="仿宋" w:eastAsia="仿宋_GB2312" w:cs="Times New Roman"/>
          <w:color w:val="000000" w:themeColor="text1"/>
          <w:sz w:val="32"/>
          <w:szCs w:val="32"/>
          <w14:textFill>
            <w14:solidFill>
              <w14:schemeClr w14:val="tx1"/>
            </w14:solidFill>
          </w14:textFill>
        </w:rPr>
        <w:t>构建“南向、北联、东融、西合”全方位开放发展新格局、抢抓西部陆海新通道建设机遇，以推动新区高质量发展为主线，在对接粤港澳大湾区国家战略中先行一步。加大基础设施互联互通，完善对接粤港澳大湾区的交通体系，推动与粤港澳大湾区产业进行补链式对接、联动式发展，精准对接新一代信息技术产业、先进装备制造业、新材料产业、新能源等产业，与大数据、大物流产业融合发展。加强与广州、深圳、佛山、东莞等城市进行产业平台对接，通过举办联合招商推介会，支持各类行业协会、商会参与经济带投资合作，构建产业合作新格局。</w:t>
      </w:r>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二、创新与粤港澳大湾区合作模式</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广“科技飞地”网络信息安全科技企业孵化器（广州站）经验，拓展推进“飞地经济”园区建设，积极引进粤港澳大湾区企业在柳东新区创建“飞地园区”“科创飞地”，通过联合出资、项目合作、资源互补、技术支持等方式，建立和完善“飞地园区”“科创飞地”产业合作模式。主动推动人才交流，加强干部培训，推动新区干部队伍到大湾区挂职锻炼机制，大力鼓励人才赴港澳交流学习。实施人才引进专项计划，建立新区与大湾区人才交流互动的“绿色通道”，推广与大湾区人才市场相衔接的人才管理机制，为新区高质量发展提供有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三、积极融入粤桂黔滇高铁经济示范带</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主动对接粤桂黔滇高铁经济示范带合作城市，共同推动促进经济带协同发展的相关重大政策，配合自治区、柳州市，争取设立国家级跨区域合作试验区。扎实推进粤桂黔滇高铁经济示范带试验区（柳州）广西园建设，重点抓好柳州汽车城组团和高铁商贸区组团主体区的建设，把握试验区（柳州）广西园管理机构获批挂牌契机，组建专职管理团队，进一步完善园区建设管理工作，推进体制机制创新。依托粤桂黔滇高铁经济带合作联席会、经济带高新区协同创新联盟等平台，建立与广东园、贵州园、云南园联动机制，强化产业项目对接和要素集聚，增进跨区域</w:t>
      </w:r>
      <w:r>
        <w:rPr>
          <w:rFonts w:hint="eastAsia" w:ascii="仿宋_GB2312" w:eastAsia="仿宋_GB2312"/>
          <w:snapToGrid w:val="0"/>
          <w:color w:val="000000" w:themeColor="text1"/>
          <w:spacing w:val="8"/>
          <w:kern w:val="0"/>
          <w:sz w:val="32"/>
          <w:szCs w:val="32"/>
          <w14:textFill>
            <w14:solidFill>
              <w14:schemeClr w14:val="tx1"/>
            </w14:solidFill>
          </w14:textFill>
        </w:rPr>
        <w:t>产业互补、贸易往来、科研创新、人才交流、金融服务、文化旅游等方面合作，实现互惠共赢</w:t>
      </w:r>
      <w:r>
        <w:rPr>
          <w:rFonts w:hint="eastAsia" w:ascii="仿宋_GB2312" w:hAnsi="仿宋" w:eastAsia="仿宋_GB2312" w:cs="Times New Roman"/>
          <w:color w:val="000000" w:themeColor="text1"/>
          <w:sz w:val="32"/>
          <w:szCs w:val="32"/>
          <w14:textFill>
            <w14:solidFill>
              <w14:schemeClr w14:val="tx1"/>
            </w14:solidFill>
          </w14:textFill>
        </w:rPr>
        <w:t>。</w:t>
      </w:r>
    </w:p>
    <w:p>
      <w:pPr>
        <w:pStyle w:val="27"/>
        <w:rPr>
          <w:rFonts w:ascii="仿宋_GB2312" w:eastAsia="仿宋_GB2312"/>
          <w:color w:val="000000" w:themeColor="text1"/>
          <w:sz w:val="32"/>
          <w:szCs w:val="32"/>
          <w14:textFill>
            <w14:solidFill>
              <w14:schemeClr w14:val="tx1"/>
            </w14:solidFill>
          </w14:textFill>
        </w:rPr>
      </w:pPr>
    </w:p>
    <w:p>
      <w:pPr>
        <w:ind w:firstLine="640" w:firstLineChars="200"/>
        <w:rPr>
          <w:rFonts w:ascii="黑体" w:hAnsi="黑体" w:eastAsia="黑体" w:cs="Times New Roman"/>
          <w:color w:val="000000" w:themeColor="text1"/>
          <w:kern w:val="44"/>
          <w:sz w:val="32"/>
          <w:szCs w:val="32"/>
          <w14:textFill>
            <w14:solidFill>
              <w14:schemeClr w14:val="tx1"/>
            </w14:solidFill>
          </w14:textFill>
        </w:rPr>
      </w:pPr>
      <w:bookmarkStart w:id="322" w:name="_Toc24301"/>
      <w:bookmarkStart w:id="323" w:name="_Toc24529"/>
      <w:bookmarkStart w:id="324" w:name="_Toc36124773"/>
      <w:bookmarkStart w:id="325" w:name="_Toc42856330"/>
      <w:r>
        <w:rPr>
          <w:rFonts w:hint="eastAsia" w:ascii="黑体" w:hAnsi="黑体" w:eastAsia="黑体" w:cs="Times New Roman"/>
          <w:color w:val="000000" w:themeColor="text1"/>
          <w:kern w:val="44"/>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326" w:name="_Toc18980"/>
      <w:bookmarkStart w:id="327" w:name="_Toc8137"/>
      <w:bookmarkStart w:id="328" w:name="_Toc17061"/>
      <w:bookmarkStart w:id="329" w:name="_Toc25859"/>
      <w:bookmarkStart w:id="330" w:name="_Toc29048"/>
      <w:bookmarkStart w:id="331" w:name="_Toc28376"/>
      <w:bookmarkStart w:id="332" w:name="_Toc24378"/>
      <w:bookmarkStart w:id="333" w:name="_Toc25094"/>
      <w:bookmarkStart w:id="334" w:name="_Toc75341681"/>
      <w:bookmarkStart w:id="335" w:name="_Toc23374"/>
      <w:bookmarkStart w:id="336" w:name="_Toc20828"/>
      <w:bookmarkStart w:id="337" w:name="_Toc18352"/>
      <w:bookmarkStart w:id="338" w:name="_Toc24361"/>
      <w:bookmarkStart w:id="339" w:name="_Toc12426"/>
      <w:bookmarkStart w:id="340" w:name="_Toc32126"/>
      <w:bookmarkStart w:id="341" w:name="_Toc19280"/>
      <w:bookmarkStart w:id="342" w:name="_Toc22038"/>
      <w:bookmarkStart w:id="343" w:name="_Toc24678"/>
      <w:bookmarkStart w:id="344" w:name="_Toc21466"/>
      <w:bookmarkStart w:id="345" w:name="_Toc449"/>
      <w:bookmarkStart w:id="346" w:name="_Toc15110"/>
      <w:bookmarkStart w:id="347" w:name="_Toc2634"/>
      <w:bookmarkStart w:id="348" w:name="_Toc13577"/>
      <w:bookmarkStart w:id="349" w:name="_Toc32259"/>
      <w:r>
        <w:rPr>
          <w:rFonts w:hint="eastAsia" w:ascii="黑体" w:hAnsi="黑体" w:eastAsia="黑体" w:cs="Times New Roman"/>
          <w:b w:val="0"/>
          <w:color w:val="000000" w:themeColor="text1"/>
          <w:sz w:val="32"/>
          <w:szCs w:val="32"/>
          <w14:textFill>
            <w14:solidFill>
              <w14:schemeClr w14:val="tx1"/>
            </w14:solidFill>
          </w14:textFill>
        </w:rPr>
        <w:t>第七章 共治共建共享，打造民生幸福和谐家园</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坚持依法治理、系统治理、智慧治理，强化城市公共安全保障能力。致力于增进人民群众福祉，</w:t>
      </w:r>
      <w:r>
        <w:rPr>
          <w:rFonts w:ascii="仿宋_GB2312" w:hAnsi="仿宋" w:eastAsia="仿宋_GB2312" w:cs="Times New Roman"/>
          <w:color w:val="000000" w:themeColor="text1"/>
          <w:sz w:val="32"/>
          <w:szCs w:val="32"/>
          <w14:textFill>
            <w14:solidFill>
              <w14:schemeClr w14:val="tx1"/>
            </w14:solidFill>
          </w14:textFill>
        </w:rPr>
        <w:t>健全基本公共服务体系，</w:t>
      </w:r>
      <w:r>
        <w:rPr>
          <w:rFonts w:hint="eastAsia" w:ascii="仿宋_GB2312" w:hAnsi="仿宋" w:eastAsia="仿宋_GB2312" w:cs="Times New Roman"/>
          <w:color w:val="000000" w:themeColor="text1"/>
          <w:sz w:val="32"/>
          <w:szCs w:val="32"/>
          <w14:textFill>
            <w14:solidFill>
              <w14:schemeClr w14:val="tx1"/>
            </w14:solidFill>
          </w14:textFill>
        </w:rPr>
        <w:t>筑牢织密民生保障底线，不断增强新区人民群众获得感、幸福感、安全感，促进人的全面发展和社会全面进步。</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50" w:name="_Toc15204"/>
      <w:bookmarkStart w:id="351" w:name="_Toc27918"/>
      <w:bookmarkStart w:id="352" w:name="_Toc2530"/>
      <w:bookmarkStart w:id="353" w:name="_Toc22487"/>
      <w:bookmarkStart w:id="354" w:name="_Toc4238"/>
      <w:bookmarkStart w:id="355" w:name="_Toc75341682"/>
      <w:bookmarkStart w:id="356" w:name="_Toc18886"/>
      <w:bookmarkStart w:id="357" w:name="_Toc23424"/>
      <w:bookmarkStart w:id="358" w:name="_Toc26793"/>
      <w:bookmarkStart w:id="359" w:name="_Toc13507"/>
      <w:bookmarkStart w:id="360" w:name="_Toc7187"/>
      <w:bookmarkStart w:id="361" w:name="_Toc18962"/>
      <w:r>
        <w:rPr>
          <w:rFonts w:hint="eastAsia" w:ascii="黑体" w:hAnsi="黑体" w:eastAsia="黑体" w:cs="Times New Roman"/>
          <w:b w:val="0"/>
          <w:color w:val="000000" w:themeColor="text1"/>
          <w14:textFill>
            <w14:solidFill>
              <w14:schemeClr w14:val="tx1"/>
            </w14:solidFill>
          </w14:textFill>
        </w:rPr>
        <w:t>第一节 社会治理共建共治共享</w:t>
      </w:r>
      <w:bookmarkEnd w:id="350"/>
      <w:bookmarkEnd w:id="351"/>
      <w:bookmarkEnd w:id="352"/>
      <w:bookmarkEnd w:id="353"/>
      <w:bookmarkEnd w:id="354"/>
      <w:bookmarkEnd w:id="355"/>
      <w:bookmarkEnd w:id="356"/>
      <w:bookmarkEnd w:id="357"/>
      <w:bookmarkEnd w:id="358"/>
      <w:bookmarkEnd w:id="359"/>
      <w:bookmarkEnd w:id="360"/>
      <w:bookmarkEnd w:id="3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一、抓好党建引领加快基层治理能效升级</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扩大党组织在基层各类组织中的有效覆盖，推动基层党建质量和水平整体提升。完善基层党组织书记的选、育、管、用机制，选优配强社区带头人，构建高素质专业化的社区人才梯队。选优配强乡镇领导班子、村“两委”成员特别是村党支部书记。坚持和完善驻村工作制度，开展新区、镇、村三级党组织书记乡村振兴轮训。适应城市化发展需要，加快镇改街、村改居的工作进度，实现由农村管理为主到城市管理为主的有序过渡。以党建引领，完善城乡社区治理结构，促进社区治理社会化、多元化，探索基层治理的扁平化结构，完善社区管理服务机制。以人民为中心，提升治理效能，建立社区与单位行业党组织互联机制与组织联建、活动联办、资源共享，有效解决社区治理难题。推进党务、政务、服务三个融合，支持社会组织、社区居委会、物业管理公司和社会企业参与社区服务，形成党组织领导下的多层次社区服务体系。面向高校、国企、农村、社会组织等各领域优秀青年，推动落实广西治理现代化青年政治人才培养计划，不断为党培养和输送青年政治骨干。</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二、推进法治柳东建设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进“法治柳东”建设，坚持依法治区、依法执政、依法行政，推进法治政府、法治社会一体建设，全力推进治理体系和治理能力现代化。实施完成“八五”普法规划，深入开展“法律六进”。深化“平安柳东”创建，做好安保维稳工作，确保社会大局和谐稳定，提高市民安全感。加快一批公安司法重点项目建设，完善公安司法基础设施，</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"http://www.baidu.com/link?url=Q-M8NwX8KiXm51-mH7KxH63lrzIVjazb56Jeo_1hozXmo25q9zMZpjh3QUJJPUMI" \t "https://www.baidu.com/_blank" </w:instrText>
      </w:r>
      <w:r>
        <w:rPr>
          <w:color w:val="000000" w:themeColor="text1"/>
          <w14:textFill>
            <w14:solidFill>
              <w14:schemeClr w14:val="tx1"/>
            </w14:solidFill>
          </w14:textFill>
        </w:rPr>
        <w:fldChar w:fldCharType="separate"/>
      </w:r>
      <w:r>
        <w:rPr>
          <w:rFonts w:hint="eastAsia" w:ascii="仿宋_GB2312" w:hAnsi="仿宋" w:eastAsia="仿宋_GB2312" w:cs="Times New Roman"/>
          <w:color w:val="000000" w:themeColor="text1"/>
          <w:sz w:val="32"/>
          <w:szCs w:val="32"/>
          <w14:textFill>
            <w14:solidFill>
              <w14:schemeClr w14:val="tx1"/>
            </w14:solidFill>
          </w14:textFill>
        </w:rPr>
        <w:t>夯实综治和平安建设工作根基</w:t>
      </w:r>
      <w:r>
        <w:rPr>
          <w:rFonts w:hint="eastAsia" w:ascii="仿宋_GB2312" w:hAnsi="仿宋" w:eastAsia="仿宋_GB2312" w:cs="Times New Roman"/>
          <w:color w:val="000000" w:themeColor="text1"/>
          <w:sz w:val="32"/>
          <w:szCs w:val="32"/>
          <w14:textFill>
            <w14:solidFill>
              <w14:schemeClr w14:val="tx1"/>
            </w14:solidFill>
          </w14:textFill>
        </w:rPr>
        <w:fldChar w:fldCharType="end"/>
      </w:r>
      <w:r>
        <w:rPr>
          <w:rFonts w:hint="eastAsia" w:ascii="仿宋_GB2312" w:hAnsi="仿宋" w:eastAsia="仿宋_GB2312" w:cs="Times New Roman"/>
          <w:color w:val="000000" w:themeColor="text1"/>
          <w:sz w:val="32"/>
          <w:szCs w:val="32"/>
          <w14:textFill>
            <w14:solidFill>
              <w14:schemeClr w14:val="tx1"/>
            </w14:solidFill>
          </w14:textFill>
        </w:rPr>
        <w:t>。坚持重点区域的综合整治行动，努力维护好社会公平正义。维护合法经营、保障经济发展。提供便捷高效的公共法律服务，切实保护公民、法人和其他组织的合法权益。及时化解社会矛盾，积极推进拆迁失地农民的安置工作，加强群体性事件处置能力。强化政府信息公开工作，加强政策宣传和舆情引导。推进和完善重大决策重大项目风险评估体系建设，防范因决策实施而对社会稳定、公共安全等方面造成不利影响的风险。推动法治文化宣传，弘扬社会主义法治精神。</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专栏7-1  “法治柳东”“平安柳东”建设重点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柳州市公安局柳东分局业务技术用房配套信息化建设项目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柳州市司法警察训练基地迁建项目、广西壮族自治区第二女子监狱、桂中监狱基础设施完善项目、广西监狱警察警务技能训练基地</w:t>
            </w:r>
            <w:r>
              <w:rPr>
                <w:rFonts w:hint="eastAsia"/>
                <w:color w:val="000000" w:themeColor="text1"/>
                <w14:textFill>
                  <w14:solidFill>
                    <w14:schemeClr w14:val="tx1"/>
                  </w14:solidFill>
                </w14:textFill>
              </w:rPr>
              <w:t>。</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w:t>
      </w:r>
      <w:r>
        <w:rPr>
          <w:rFonts w:ascii="黑体" w:hAnsi="黑体" w:eastAsia="黑体" w:cs="Times New Roman"/>
          <w:b w:val="0"/>
          <w:color w:val="000000" w:themeColor="text1"/>
          <w14:textFill>
            <w14:solidFill>
              <w14:schemeClr w14:val="tx1"/>
            </w14:solidFill>
          </w14:textFill>
        </w:rPr>
        <w:t>促进</w:t>
      </w:r>
      <w:r>
        <w:rPr>
          <w:rFonts w:hint="eastAsia" w:ascii="黑体" w:hAnsi="黑体" w:eastAsia="黑体" w:cs="Times New Roman"/>
          <w:b w:val="0"/>
          <w:color w:val="000000" w:themeColor="text1"/>
          <w14:textFill>
            <w14:solidFill>
              <w14:schemeClr w14:val="tx1"/>
            </w14:solidFill>
          </w14:textFill>
        </w:rPr>
        <w:t>基层治理智慧化</w:t>
      </w:r>
      <w:r>
        <w:rPr>
          <w:rFonts w:ascii="黑体" w:hAnsi="黑体" w:eastAsia="黑体" w:cs="Times New Roman"/>
          <w:b w:val="0"/>
          <w:color w:val="000000" w:themeColor="text1"/>
          <w14:textFill>
            <w14:solidFill>
              <w14:schemeClr w14:val="tx1"/>
            </w14:solidFill>
          </w14:textFill>
        </w:rPr>
        <w:t>精细化</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一体化谋划，高标准打造智慧网格、智能天网、大数据三大基础平台，推动社会治理现代化“智治”。依托“数字柳东”智慧城市建设，加强智慧城市应用推广。大力推动智慧教育、智慧医疗、智慧交通、智慧公安、智慧能源、智慧市政、智慧环保等领域应用，搭建新区社会治理“智治”框架。高智能构建现代化指挥调度网络，建立区—街（镇）—社区（乡）联动网络，以“一中心两化”为抓手，提升区级一体化联合指挥效能，完善街道（镇）综治中心联勤指挥、联动协调机制，充分发挥社区综治平台作用。推动新区加快安装视频门禁、配套二类视频监控、雪亮工程一类视频监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专栏7-2  基层治理建设重点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“数字柳东”智慧城市建设：</w:t>
            </w:r>
            <w:r>
              <w:rPr>
                <w:rFonts w:hint="eastAsia"/>
                <w:color w:val="000000" w:themeColor="text1"/>
                <w14:textFill>
                  <w14:solidFill>
                    <w14:schemeClr w14:val="tx1"/>
                  </w14:solidFill>
                </w14:textFill>
              </w:rPr>
              <w:t>7大类36个子项目，大基础、大数据、大支撑、大门户、城市治理、民生服务、产业经济等相关内容。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推进智慧交通平台、智慧警务、智慧社区、智慧环保建设。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四、加快社会信用体系建设</w:t>
      </w:r>
    </w:p>
    <w:p>
      <w:pPr>
        <w:pStyle w:val="27"/>
        <w:ind w:firstLine="640" w:firstLineChars="200"/>
        <w:rPr>
          <w:rFonts w:ascii="仿宋_GB2312" w:hAnsi="仿宋" w:eastAsia="仿宋_GB2312" w:cs="Times New Roman"/>
          <w:color w:val="000000" w:themeColor="text1"/>
          <w:kern w:val="2"/>
          <w:sz w:val="32"/>
          <w:szCs w:val="32"/>
          <w14:textFill>
            <w14:solidFill>
              <w14:schemeClr w14:val="tx1"/>
            </w14:solidFill>
          </w14:textFill>
        </w:rPr>
      </w:pPr>
      <w:r>
        <w:rPr>
          <w:rFonts w:hint="eastAsia" w:ascii="仿宋_GB2312" w:hAnsi="仿宋" w:eastAsia="仿宋_GB2312" w:cs="Times New Roman"/>
          <w:color w:val="000000" w:themeColor="text1"/>
          <w:kern w:val="2"/>
          <w:sz w:val="32"/>
          <w:szCs w:val="32"/>
          <w14:textFill>
            <w14:solidFill>
              <w14:schemeClr w14:val="tx1"/>
            </w14:solidFill>
          </w14:textFill>
        </w:rPr>
        <w:t>加快推进建立与新区现代治理体系相适应的社会信用体系。发挥政府的示范引导作用，加强政务诚信建设，动员全社会广泛参与，共同推进，形成社会信用体系建设合力。积极对接自治区、柳州市信用数据平台，完善新区公共信用信息平台功能，加大信用信息收集整理，推进信用数据开放共享，提供更为全面实时的信用信息。</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62" w:name="_Toc9126"/>
      <w:bookmarkStart w:id="363" w:name="_Toc5901"/>
      <w:bookmarkStart w:id="364" w:name="_Toc22477"/>
      <w:bookmarkStart w:id="365" w:name="_Toc25108"/>
      <w:bookmarkStart w:id="366" w:name="_Toc3209"/>
      <w:bookmarkStart w:id="367" w:name="_Toc30683"/>
      <w:bookmarkStart w:id="368" w:name="_Toc13475"/>
      <w:bookmarkStart w:id="369" w:name="_Toc21667"/>
      <w:bookmarkStart w:id="370" w:name="_Toc30818"/>
      <w:bookmarkStart w:id="371" w:name="_Toc21193"/>
      <w:bookmarkStart w:id="372" w:name="_Toc75341683"/>
      <w:bookmarkStart w:id="373" w:name="_Toc15028"/>
      <w:r>
        <w:rPr>
          <w:rFonts w:hint="eastAsia" w:ascii="黑体" w:hAnsi="黑体" w:eastAsia="黑体" w:cs="Times New Roman"/>
          <w:b w:val="0"/>
          <w:color w:val="000000" w:themeColor="text1"/>
          <w14:textFill>
            <w14:solidFill>
              <w14:schemeClr w14:val="tx1"/>
            </w14:solidFill>
          </w14:textFill>
        </w:rPr>
        <w:t>第二节 加强社会公共安全建设</w:t>
      </w:r>
      <w:bookmarkEnd w:id="362"/>
      <w:bookmarkEnd w:id="363"/>
      <w:bookmarkEnd w:id="364"/>
      <w:bookmarkEnd w:id="365"/>
      <w:bookmarkEnd w:id="366"/>
      <w:bookmarkEnd w:id="367"/>
      <w:bookmarkEnd w:id="368"/>
      <w:bookmarkEnd w:id="369"/>
      <w:bookmarkEnd w:id="370"/>
      <w:bookmarkEnd w:id="371"/>
      <w:bookmarkEnd w:id="372"/>
      <w:bookmarkEnd w:id="37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一、启动“韧性城区”建设</w:t>
      </w:r>
    </w:p>
    <w:p>
      <w:pPr>
        <w:ind w:firstLine="640" w:firstLineChars="200"/>
        <w:jc w:val="left"/>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坚持“人民至上 生命至上”，以持续保障城市运行安全，提高城市安全承载能力、不确定风险抵抗能力、灾后功能恢复能力为目标，实施新区“韧性城区”建设。从城市规划、应急保障体系、应急基础建设和社会应急治理能力等方面构建新区“韧性城区”。坚持以防为主、防抗救相结合，实现从注重灾后救助向注重灾前预防转变，从应对单一灾种向综合减灾转变，全面提升抵御洪涝干旱、森林火灾、地质灾害、地震等自然灾害的综合防范能力。强化灾害事故风险管控，推进公共安全风险评估，全面排查新区城乡安全隐患。加强公共安全基础设施建设，推进应急避难场所建设，提升抵抗自然灾害能力。构建新区综合应急平台体系建设，建设部门专业应急平台，强化早发现、早处置能力。推进新区综合性应急救援队伍和基层应急队伍建设，增强全灾种救援能力。构建具有应对外部冲击的物资供应能力和物资储备支撑体系，确保市民维持生存需求的基本服务体系具有可靠性和及时性。加强灾后恢复建设，构建多部门联动防灾抗灾救灾机制，制定灾后生活生产秩序恢复行动计划。推广政府主导、多元参与的社会共治模式和治理共同体，提升全社会协同救助、协同恢复的能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专栏7-3  “韧性城区”应急基础设施建设重点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水利工程：</w:t>
            </w:r>
            <w:r>
              <w:rPr>
                <w:rFonts w:hint="eastAsia"/>
                <w:color w:val="000000" w:themeColor="text1"/>
                <w14:textFill>
                  <w14:solidFill>
                    <w14:schemeClr w14:val="tx1"/>
                  </w14:solidFill>
                </w14:textFill>
              </w:rPr>
              <w:t>雒容中沟泵站项目、核心区水系莫道江南支（下游段）河道综合整治工程、雒容镇东塘村那鸡河塘坝及渠道整治工程、雒容镇水利项目工程、马步河（下游段）河道综合整治工程、官塘冲河道整治工程（二期）、东和路东一巷河道综合整治工程、雒容中沟河道综合整治工程、水系石仁冲补水渠（下游段）连通综合整治工程、水系核心补水渠（上游段）连通综合整治工程、东小河河道综合整治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二、夯实安全生产基石</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安全发展、坚守安全红线，严格落实重大安全风险“一票否决”制度。进一步落实新区安委会成员单位“三个必须”要求，加强联合执法，加强信息共享，完善和落实安全生产责任制。推进企业安全生产标准化建设和安全生产风险分级管控与隐患排查治理机制暨隐患排查治理体系建设，建立企业全员安全生产责任制度，压实企业安全生产主体责任。加强安全生产监测预警和智慧安监信息化建设与使用，深入推进危险化学品、矿山、建筑施工、交通、民爆、特种设备等重点领域安全整治，实行重大隐患治理逐级挂牌督办和整改效果评价。在矿山、危险化学品、运输等重点领域推进安全生产责任保险全覆盖，推进危险岗位机器人替代。针对高危场所和城中村、集贸市场等重点区域，开展系统、全面、精准的消防安全整治行动，加快完善城乡消防基础设施标准化配备。强化消防安全宣传教育，提升新区公民消防安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三、加强食品药品安全保障</w:t>
      </w:r>
    </w:p>
    <w:p>
      <w:pPr>
        <w:pStyle w:val="27"/>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党政同责压实食品药品安全属地管理责任，落实党政领导干部食品安全责任制职责分工安排。实施“双安双创”示范引领行动，做好农产品质量安全监管工作，完成柳州市下达的检测任务，适度扩大农产品质量安全监管范围和加大监管力度。加强食品安全应急队伍建设，防范发生群体性食源性疾病事件。全面实施餐饮质量安全提升行动，实行风险分级管理和量化分级管理，探索智慧监管模式。实施校园食品安全守护行动，严格落实学校食品安全校长（园长）负责制，全面推广“明厨亮灶”、色标管理，大力推行“智慧食堂”监管系统。充分利用信誉机制，加大监管惩戒执法力度。加强食品的科普宣传和安全宣传，增强群众的监督维权意识和自我保护能力。建成“制度+科技+责任”的食品药品安全智慧监管体系，食用农产品和食品监督抽检量达到5批次/千人，主要农产品质量安全监测总体合格率稳定在98%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74" w:name="_Toc12150"/>
      <w:bookmarkStart w:id="375" w:name="_Toc332201397"/>
      <w:bookmarkStart w:id="376" w:name="_Toc26946"/>
      <w:bookmarkStart w:id="377" w:name="_Toc20420"/>
      <w:bookmarkStart w:id="378" w:name="_Toc330025448"/>
      <w:bookmarkStart w:id="379" w:name="_Toc28515"/>
      <w:bookmarkStart w:id="380" w:name="_Toc22232"/>
      <w:bookmarkStart w:id="381" w:name="_Toc32725"/>
      <w:bookmarkStart w:id="382" w:name="_Toc16478"/>
      <w:bookmarkStart w:id="383" w:name="_Toc18708"/>
      <w:bookmarkStart w:id="384" w:name="_Toc2332"/>
      <w:bookmarkStart w:id="385" w:name="_Toc28581"/>
      <w:bookmarkStart w:id="386" w:name="_Toc17121"/>
      <w:bookmarkStart w:id="387" w:name="_Toc13801"/>
      <w:bookmarkStart w:id="388" w:name="_Toc7833"/>
      <w:bookmarkStart w:id="389" w:name="_Toc16725"/>
      <w:bookmarkStart w:id="390" w:name="_Toc31808"/>
      <w:bookmarkStart w:id="391" w:name="_Toc328"/>
      <w:bookmarkStart w:id="392" w:name="_Toc21307"/>
      <w:bookmarkStart w:id="393" w:name="_Toc23221"/>
      <w:bookmarkStart w:id="394" w:name="_Toc4419"/>
      <w:bookmarkStart w:id="395" w:name="_Toc31954"/>
      <w:bookmarkStart w:id="396" w:name="_Toc13917"/>
      <w:bookmarkStart w:id="397" w:name="_Toc75341684"/>
      <w:bookmarkStart w:id="398" w:name="_Toc2565"/>
      <w:bookmarkStart w:id="399" w:name="_Toc30998"/>
      <w:bookmarkStart w:id="400" w:name="_Toc16227"/>
      <w:bookmarkStart w:id="401" w:name="_Toc33173320"/>
      <w:bookmarkStart w:id="402" w:name="_Toc37251893"/>
      <w:bookmarkStart w:id="403" w:name="_Toc36124779"/>
      <w:bookmarkStart w:id="404" w:name="_Toc27217200"/>
      <w:bookmarkStart w:id="405" w:name="_Toc42856336"/>
      <w:bookmarkStart w:id="406" w:name="_Toc41897342"/>
      <w:r>
        <w:rPr>
          <w:rFonts w:hint="eastAsia" w:ascii="黑体" w:hAnsi="黑体" w:eastAsia="黑体" w:cs="Times New Roman"/>
          <w:b w:val="0"/>
          <w:color w:val="000000" w:themeColor="text1"/>
          <w14:textFill>
            <w14:solidFill>
              <w14:schemeClr w14:val="tx1"/>
            </w14:solidFill>
          </w14:textFill>
        </w:rPr>
        <w:t>第三节 加大均衡优质公共服务</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bookmarkEnd w:id="401"/>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07" w:name="_Toc39963117"/>
      <w:bookmarkStart w:id="408" w:name="_Toc40022587"/>
      <w:bookmarkStart w:id="409" w:name="_Toc39937318"/>
      <w:r>
        <w:rPr>
          <w:rFonts w:hint="eastAsia" w:ascii="黑体" w:hAnsi="黑体" w:eastAsia="黑体" w:cs="Times New Roman"/>
          <w:b w:val="0"/>
          <w:color w:val="000000" w:themeColor="text1"/>
          <w14:textFill>
            <w14:solidFill>
              <w14:schemeClr w14:val="tx1"/>
            </w14:solidFill>
          </w14:textFill>
        </w:rPr>
        <w:t>一、高标准办好新区基础教育</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公办和普惠性幼儿园为主体，建立“广覆盖、保基本、多形式、有质量”的学前教育服务体系。加强对新区居民集中区域的学前教育资源配置，加快公办幼儿园建设，增加学前教育公办学位。提升幼儿园办园质量，提升教研能力和保教能力。鼓励社会力量举办普惠性、高品质幼儿园。提升义务教育水平</w:t>
      </w:r>
      <w:bookmarkEnd w:id="407"/>
      <w:bookmarkEnd w:id="408"/>
      <w:bookmarkEnd w:id="409"/>
      <w:r>
        <w:rPr>
          <w:rFonts w:hint="eastAsia" w:ascii="仿宋_GB2312" w:hAnsi="仿宋" w:eastAsia="仿宋_GB2312" w:cs="Times New Roman"/>
          <w:color w:val="000000" w:themeColor="text1"/>
          <w:sz w:val="32"/>
          <w:szCs w:val="32"/>
          <w14:textFill>
            <w14:solidFill>
              <w14:schemeClr w14:val="tx1"/>
            </w14:solidFill>
          </w14:textFill>
        </w:rPr>
        <w:t>，立足实际，精准施策，优化雒容镇偏远村屯等教育资源薄弱区域的义务教育学校布局，持续扩大优质教育资源覆盖面。实施集团化办学，推动新区义务教育事业迈向优质均衡高质量发展。完善新区教师管理和发展机制，加强教师引进和培养工作，建设完善的教育人才队伍。完善城乡对口帮扶机制，实施乡村教师支持计划。建设以师生为本的美丽校园、平安校园，实施学校设备设施标准化建设。提升镇级学校、村办学校办学品质。重视弱势群体教育权利，推进特殊教育融合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专栏7-4  学前教育和义务教育阶段建设重点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学前教育建设项目</w:t>
            </w:r>
            <w:r>
              <w:rPr>
                <w:rFonts w:hint="eastAsia"/>
                <w:color w:val="000000" w:themeColor="text1"/>
                <w14:textFill>
                  <w14:solidFill>
                    <w14:schemeClr w14:val="tx1"/>
                  </w14:solidFill>
                </w14:textFill>
              </w:rPr>
              <w:t>：雒容镇第二、第三幼儿园、柳东新区规划第二幼儿园、华润扇形片区幼儿园。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中小学建设项目：</w:t>
            </w:r>
            <w:r>
              <w:rPr>
                <w:rFonts w:hint="eastAsia"/>
                <w:color w:val="000000" w:themeColor="text1"/>
                <w14:textFill>
                  <w14:solidFill>
                    <w14:schemeClr w14:val="tx1"/>
                  </w14:solidFill>
                </w14:textFill>
              </w:rPr>
              <w:t>明德小学、明德中学、</w:t>
            </w:r>
            <w:r>
              <w:rPr>
                <w:rFonts w:hint="eastAsia" w:ascii="宋体" w:hAnsi="宋体" w:eastAsia="宋体" w:cs="宋体"/>
                <w:color w:val="000000" w:themeColor="text1"/>
                <w:sz w:val="22"/>
                <w14:textFill>
                  <w14:solidFill>
                    <w14:schemeClr w14:val="tx1"/>
                  </w14:solidFill>
                </w14:textFill>
              </w:rPr>
              <w:t>南庆小学扩建、雒容镇第三小学、雒容镇第四小学、新区规划第四小学、新区规划第四中学</w:t>
            </w:r>
            <w:r>
              <w:rPr>
                <w:rFonts w:hint="eastAsia"/>
                <w:color w:val="000000" w:themeColor="text1"/>
                <w14:textFill>
                  <w14:solidFill>
                    <w14:schemeClr w14:val="tx1"/>
                  </w14:solidFill>
                </w14:textFill>
              </w:rPr>
              <w:t>新建工程。雒容镇第三中学续建工程。柳职院东侧小学、中学、滨江智谷初中学校等前期项目。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二、推动高教职教创新提质发展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支持并推进广西科技大学柳东校区（二期）、柳州工学院北校区、柳州职业技术学院（二期）、交通学校改扩建等建设工程，抓好职教园区拓展区的规划建设。加快土地整备，为引进新的高校提供空间支撑。协同高等院校建设高水平专业，构建区域领先的应用型学科体系，着力解决汽车、高端装备制造、新能源、新材料、电子信息等产业“卡脖子”关键技术需求，系统形成“优势学科+高新技术+现代产业”融合发展的教科研格局，促进教育链、人才链、产业链和创新链有机衔接。联合建立具有新区特色的职业教育和职业培训体系，推动政府引导，企业和职教学校共建“工匠学院”，完善“中职+高职+企业”产教联合体，聚焦产业发展和市场需求，以</w:t>
      </w:r>
      <w:r>
        <w:rPr>
          <w:rFonts w:hint="eastAsia" w:eastAsia="仿宋_GB2312"/>
          <w:color w:val="000000" w:themeColor="text1"/>
          <w:sz w:val="32"/>
          <w:szCs w:val="32"/>
          <w14:textFill>
            <w14:solidFill>
              <w14:schemeClr w14:val="tx1"/>
            </w14:solidFill>
          </w14:textFill>
        </w:rPr>
        <w:t>科教创业园</w:t>
      </w:r>
      <w:r>
        <w:rPr>
          <w:rFonts w:hint="eastAsia" w:ascii="仿宋_GB2312" w:hAnsi="仿宋" w:eastAsia="仿宋_GB2312" w:cs="Times New Roman"/>
          <w:color w:val="000000" w:themeColor="text1"/>
          <w:sz w:val="32"/>
          <w:szCs w:val="32"/>
          <w14:textFill>
            <w14:solidFill>
              <w14:schemeClr w14:val="tx1"/>
            </w14:solidFill>
          </w14:textFill>
        </w:rPr>
        <w:t>为主要承载地，打造校园、产业园、研发园的“三园融合”。依托汽车零部件精密制造教学工厂等大型公共实训基地，整合资源深化广西（柳州）汽车产业公共实训基地平台建设。支持建设“数字产业”教育实训创新基地、粤港澳大湾区的产教融合创新基地、柳州汽车产业智创产教融合基地、中国—东盟轨道交通产业综合实训基地、启迪数字学院产教融合示范基地等项目。</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专栏7-5  高等教育和职业教育建设重点</w:t>
            </w:r>
          </w:p>
          <w:p>
            <w:pPr>
              <w:pStyle w:val="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广西科技大学柳东校区（二期）、柳州工学院北校区、广西机电技师学院迁建项目（一期）、柳州职业技术学院新校区续建项目（二期）、柳州市乡村振兴培训学校建设项目、交通学校改扩建项目、广西轨道交通产业培训学院、中国－东盟轨道交通产业综合实训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0" w:name="_Toc330025449"/>
      <w:bookmarkStart w:id="411" w:name="_Toc332201398"/>
      <w:r>
        <w:rPr>
          <w:rFonts w:hint="eastAsia" w:ascii="黑体" w:hAnsi="黑体" w:eastAsia="黑体" w:cs="Times New Roman"/>
          <w:b w:val="0"/>
          <w:color w:val="000000" w:themeColor="text1"/>
          <w14:textFill>
            <w14:solidFill>
              <w14:schemeClr w14:val="tx1"/>
            </w14:solidFill>
          </w14:textFill>
        </w:rPr>
        <w:t>三、提高医疗卫生服务水平</w:t>
      </w:r>
      <w:bookmarkEnd w:id="410"/>
      <w:bookmarkEnd w:id="411"/>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预防为主的方针，建设健康校园、健康企业、健康社区、健康家庭，保障市民健康，实施婴幼儿、青少年、妇女、老年人和职业人群及残疾人等重点人群的健康干预计划。加大新区医疗机构和社区卫生服务中心的布局建设，重点推进雒容镇中心卫生院迁建、儿童医院（三期）建设等项目，新建一批社区卫生服务中心。大力争取在新区新建一家综合性三甲医院，为居民提供优质医疗和公共卫生服务。健全新区—镇—社区分级诊疗体系，提升改造社区卫生服务中心和乡镇卫生院，大力争取优质医疗设备引进，增强基层医疗卫生服务能力。紧扣疫情防控常态化，完善防控工作机制，全面加强卫生应急能力建设，提升公共卫生事件及重大传染病疫情防控处置能力，</w:t>
      </w:r>
      <w:r>
        <w:rPr>
          <w:rFonts w:hint="eastAsia" w:ascii="仿宋_GB2312" w:hAnsi="仿宋" w:eastAsia="仿宋_GB2312"/>
          <w:color w:val="000000" w:themeColor="text1"/>
          <w:sz w:val="32"/>
          <w:szCs w:val="32"/>
          <w14:textFill>
            <w14:solidFill>
              <w14:schemeClr w14:val="tx1"/>
            </w14:solidFill>
          </w14:textFill>
        </w:rPr>
        <w:t>建立公共卫生机构和基层医疗机构协同监测机制，发挥基层哨点作用。积极</w:t>
      </w:r>
      <w:r>
        <w:rPr>
          <w:rFonts w:hint="eastAsia" w:ascii="仿宋_GB2312" w:hAnsi="仿宋" w:eastAsia="仿宋_GB2312" w:cs="Times New Roman"/>
          <w:color w:val="000000" w:themeColor="text1"/>
          <w:sz w:val="32"/>
          <w:szCs w:val="32"/>
          <w14:textFill>
            <w14:solidFill>
              <w14:schemeClr w14:val="tx1"/>
            </w14:solidFill>
          </w14:textFill>
        </w:rPr>
        <w:t>争取柳州引进的国内优质医疗资源或大型医疗企业集团到新区设立健康医疗机构，鼓励和引导社会资本参与专科医院建设，促进健康医疗产业化发展。加强基层医疗卫生队伍建设，探索制定符合新区发展实际的薪酬机制。</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专栏7-6  医疗卫生建设重点</w:t>
            </w:r>
          </w:p>
          <w:p>
            <w:pPr>
              <w:widowControl/>
              <w:spacing w:beforeLines="50"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公立医院建设项目：</w:t>
            </w:r>
            <w:r>
              <w:rPr>
                <w:rFonts w:hint="eastAsia"/>
                <w:color w:val="000000" w:themeColor="text1"/>
                <w14:textFill>
                  <w14:solidFill>
                    <w14:schemeClr w14:val="tx1"/>
                  </w14:solidFill>
                </w14:textFill>
              </w:rPr>
              <w:t>儿童医院三期、柳东新区三甲医院</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基层医疗卫生机构建设项目：</w:t>
            </w:r>
            <w:r>
              <w:rPr>
                <w:rFonts w:hint="eastAsia"/>
                <w:color w:val="000000" w:themeColor="text1"/>
                <w14:textFill>
                  <w14:solidFill>
                    <w14:schemeClr w14:val="tx1"/>
                  </w14:solidFill>
                </w14:textFill>
              </w:rPr>
              <w:t>雒容镇中心卫生院迁建项目投入使用。开展柳州市鱼峰区洛埠镇卫生院整体搬迁工程建设。完成雒容镇中心卫生院发热门诊、洛埠镇卫生院及花岭社区中心、职教园社区中心哨点诊室建设。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2" w:name="_Toc332201399"/>
      <w:bookmarkStart w:id="413" w:name="_Toc330025450"/>
      <w:r>
        <w:rPr>
          <w:rFonts w:hint="eastAsia" w:ascii="黑体" w:hAnsi="黑体" w:eastAsia="黑体" w:cs="Times New Roman"/>
          <w:b w:val="0"/>
          <w:color w:val="000000" w:themeColor="text1"/>
          <w14:textFill>
            <w14:solidFill>
              <w14:schemeClr w14:val="tx1"/>
            </w14:solidFill>
          </w14:textFill>
        </w:rPr>
        <w:t>四、繁荣城乡公共文体事业</w:t>
      </w:r>
      <w:bookmarkEnd w:id="412"/>
      <w:bookmarkEnd w:id="413"/>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社会主义核心价值观引领公共文化体育事业建设，促进市民文化素质和新区文化涵养同步提升。大力促进文体惠民，推动布局均衡、功能集成的公共文体设施建设，完善新区—街（镇）—社区三级公共文体服务设施网络。积极推动柳州市图书馆（新馆）、柳东工人文化宫、雒容广场等项目建设。依托柳东文化广场开展各类多元化、高层次的群众性文化活动，推动新区文化事业实现跨越式发展。加强基层公共文化设施的数字化和网络建设，提高数字化和网络服务能力，提升公共文化服务质量与效果。推进公共体育运动设施发展，建设社区多功能运动场等设施，满足群众多元需求。积极推进新区足球场建设，加强校园足球场地开放共享，普及推广足球运动。充分利用</w:t>
      </w:r>
      <w:r>
        <w:rPr>
          <w:rFonts w:hint="eastAsia" w:ascii="仿宋_GB2312" w:hAnsi="仿宋_GB2312" w:eastAsia="仿宋_GB2312" w:cs="仿宋_GB2312"/>
          <w:color w:val="000000" w:themeColor="text1"/>
          <w:sz w:val="32"/>
          <w:szCs w:val="32"/>
          <w14:textFill>
            <w14:solidFill>
              <w14:schemeClr w14:val="tx1"/>
            </w14:solidFill>
          </w14:textFill>
        </w:rPr>
        <w:t>柳东新体育中心</w:t>
      </w:r>
      <w:r>
        <w:rPr>
          <w:rFonts w:hint="eastAsia" w:ascii="仿宋_GB2312" w:hAnsi="仿宋" w:eastAsia="仿宋_GB2312" w:cs="Times New Roman"/>
          <w:color w:val="000000" w:themeColor="text1"/>
          <w:sz w:val="32"/>
          <w:szCs w:val="32"/>
          <w14:textFill>
            <w14:solidFill>
              <w14:schemeClr w14:val="tx1"/>
            </w14:solidFill>
          </w14:textFill>
        </w:rPr>
        <w:t>，开展全面健身运动，完善国民体质监测。新建改建健身步道，打造全市最完整的绿道系统。积极筹办新区半程马拉松、欢乐中国跑等赛事。引进和打造1家以上国内知名体育企业和具有国际影响力的自主体育品牌。争取举办国际、国家、自治区大型体育品牌赛事，鼓励支持社会力量投资体育产业，积极引进和打造体育品牌。开发利用柳州国际会展中心等场馆资源，进一步丰富文体服务供给。</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专栏7-7  文化体育设施建设重点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柳州市城市图书馆项目</w:t>
            </w:r>
            <w:r>
              <w:rPr>
                <w:rFonts w:hint="eastAsia"/>
                <w:color w:val="000000" w:themeColor="text1"/>
                <w14:textFill>
                  <w14:solidFill>
                    <w14:schemeClr w14:val="tx1"/>
                  </w14:solidFill>
                </w14:textFill>
              </w:rPr>
              <w:t>、柳州市档案中心、柳东工人文化宫、全新区66个足球场、30个社区多功能运动场。雒容广场项目。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4" w:name="_Toc40022608"/>
      <w:bookmarkStart w:id="415" w:name="_Toc39963138"/>
      <w:bookmarkStart w:id="416" w:name="_Toc39937339"/>
      <w:r>
        <w:rPr>
          <w:rFonts w:hint="eastAsia" w:ascii="黑体" w:hAnsi="黑体" w:eastAsia="黑体" w:cs="Times New Roman"/>
          <w:b w:val="0"/>
          <w:color w:val="000000" w:themeColor="text1"/>
          <w14:textFill>
            <w14:solidFill>
              <w14:schemeClr w14:val="tx1"/>
            </w14:solidFill>
          </w14:textFill>
        </w:rPr>
        <w:t>五、打造文明关爱柳东新区</w:t>
      </w:r>
      <w:bookmarkEnd w:id="414"/>
      <w:bookmarkEnd w:id="415"/>
      <w:bookmarkEnd w:id="416"/>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扎实开展市民文明教育，弘扬爱国主义精神，把社会主义核心价值观融入新区发展的各个方面。创建妇女儿童友好型新区，在行政服务机构和主要商业场所推广建设母婴室，实施三岁以下婴幼儿照护服务发展行动计划，推广开展政策友好、空间友好、服务友好、参与友好行动，创建妇儿友好街道、友好社区。实施三孩生育政策及配套支持措施，发展普惠托育服务体系。支持建设各类托育机构，支持发展早教服务，形成托幼服务一体化模式。开展未成年人救助保护机构试点建设，维护妇女儿童合法权益，扎实推进反家暴工作。支持在旅游区、公园、文化体育场馆等建设各类儿童社会实践基地。</w:t>
      </w:r>
      <w:bookmarkStart w:id="417" w:name="_Toc39937340"/>
      <w:bookmarkStart w:id="418" w:name="_Toc40022609"/>
      <w:bookmarkStart w:id="419" w:name="_Toc39963139"/>
      <w:r>
        <w:rPr>
          <w:rFonts w:hint="eastAsia" w:ascii="仿宋_GB2312" w:hAnsi="仿宋" w:eastAsia="仿宋_GB2312"/>
          <w:color w:val="000000" w:themeColor="text1"/>
          <w:sz w:val="32"/>
          <w:szCs w:val="32"/>
          <w14:textFill>
            <w14:solidFill>
              <w14:schemeClr w14:val="tx1"/>
            </w14:solidFill>
          </w14:textFill>
        </w:rPr>
        <w:t>关爱残障人士，探索建立残障人士友好城区。</w:t>
      </w:r>
      <w:r>
        <w:rPr>
          <w:rFonts w:hint="eastAsia" w:ascii="仿宋_GB2312" w:hAnsi="仿宋" w:eastAsia="仿宋_GB2312" w:cs="Times New Roman"/>
          <w:color w:val="000000" w:themeColor="text1"/>
          <w:sz w:val="32"/>
          <w:szCs w:val="32"/>
          <w14:textFill>
            <w14:solidFill>
              <w14:schemeClr w14:val="tx1"/>
            </w14:solidFill>
          </w14:textFill>
        </w:rPr>
        <w:t>大力推进慈善事业发展</w:t>
      </w:r>
      <w:bookmarkEnd w:id="417"/>
      <w:bookmarkEnd w:id="418"/>
      <w:bookmarkEnd w:id="419"/>
      <w:r>
        <w:rPr>
          <w:rFonts w:hint="eastAsia" w:ascii="仿宋_GB2312" w:hAnsi="仿宋" w:eastAsia="仿宋_GB2312" w:cs="Times New Roman"/>
          <w:color w:val="000000" w:themeColor="text1"/>
          <w:sz w:val="32"/>
          <w:szCs w:val="32"/>
          <w14:textFill>
            <w14:solidFill>
              <w14:schemeClr w14:val="tx1"/>
            </w14:solidFill>
          </w14:textFill>
        </w:rPr>
        <w:t>，支持新区慈善组织完善管理机制，严格按照章程开展各类敬老、扶幼、助学、助医、助残、济困、救灾等慈善救助工作。建设</w:t>
      </w:r>
      <w:r>
        <w:rPr>
          <w:rFonts w:hint="eastAsia" w:ascii="仿宋_GB2312" w:hAnsi="仿宋" w:eastAsia="仿宋_GB2312"/>
          <w:color w:val="000000" w:themeColor="text1"/>
          <w:sz w:val="32"/>
          <w:szCs w:val="32"/>
          <w14:textFill>
            <w14:solidFill>
              <w14:schemeClr w14:val="tx1"/>
            </w14:solidFill>
          </w14:textFill>
        </w:rPr>
        <w:t>新区特色志愿服务队，</w:t>
      </w:r>
      <w:r>
        <w:rPr>
          <w:rFonts w:hint="eastAsia" w:ascii="仿宋_GB2312" w:hAnsi="仿宋" w:eastAsia="仿宋_GB2312" w:cs="Times New Roman"/>
          <w:color w:val="000000" w:themeColor="text1"/>
          <w:sz w:val="32"/>
          <w:szCs w:val="32"/>
          <w14:textFill>
            <w14:solidFill>
              <w14:schemeClr w14:val="tx1"/>
            </w14:solidFill>
          </w14:textFill>
        </w:rPr>
        <w:t>积极调动社会力量，开展各类志愿服务工作，推动更多“西部计划”志愿者到城乡基层一线服务，为基层治理赋能。</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20" w:name="_Toc4526"/>
      <w:bookmarkStart w:id="421" w:name="_Toc18552"/>
      <w:bookmarkStart w:id="422" w:name="_Toc25100"/>
      <w:bookmarkStart w:id="423" w:name="_Toc5954"/>
      <w:bookmarkStart w:id="424" w:name="_Toc27846"/>
      <w:bookmarkStart w:id="425" w:name="_Toc137"/>
      <w:bookmarkStart w:id="426" w:name="_Toc75341685"/>
      <w:bookmarkStart w:id="427" w:name="_Toc16323"/>
      <w:bookmarkStart w:id="428" w:name="_Toc22928"/>
      <w:bookmarkStart w:id="429" w:name="_Toc2506"/>
      <w:bookmarkStart w:id="430" w:name="_Toc4850"/>
      <w:bookmarkStart w:id="431" w:name="_Toc18183"/>
      <w:bookmarkStart w:id="432" w:name="_Toc8773"/>
      <w:bookmarkStart w:id="433" w:name="_Toc29366"/>
      <w:bookmarkStart w:id="434" w:name="_Toc9921"/>
      <w:bookmarkStart w:id="435" w:name="_Toc19123"/>
      <w:bookmarkStart w:id="436" w:name="_Toc444451225"/>
      <w:bookmarkStart w:id="437" w:name="_Toc3564"/>
      <w:bookmarkStart w:id="438" w:name="_Toc18994"/>
      <w:bookmarkStart w:id="439" w:name="_Toc3629"/>
      <w:bookmarkStart w:id="440" w:name="_Toc28982"/>
      <w:bookmarkStart w:id="441" w:name="_Toc11855"/>
      <w:bookmarkStart w:id="442" w:name="_Toc17507"/>
      <w:bookmarkStart w:id="443" w:name="_Toc10103"/>
      <w:bookmarkStart w:id="444" w:name="_Toc30360"/>
      <w:r>
        <w:rPr>
          <w:rFonts w:hint="eastAsia" w:ascii="黑体" w:hAnsi="黑体" w:eastAsia="黑体" w:cs="Times New Roman"/>
          <w:b w:val="0"/>
          <w:color w:val="000000" w:themeColor="text1"/>
          <w14:textFill>
            <w14:solidFill>
              <w14:schemeClr w14:val="tx1"/>
            </w14:solidFill>
          </w14:textFill>
        </w:rPr>
        <w:t>第</w:t>
      </w:r>
      <w:bookmarkStart w:id="445" w:name="_Toc440543101"/>
      <w:bookmarkStart w:id="446" w:name="_Toc440542675"/>
      <w:r>
        <w:rPr>
          <w:rFonts w:hint="eastAsia" w:ascii="黑体" w:hAnsi="黑体" w:eastAsia="黑体" w:cs="Times New Roman"/>
          <w:b w:val="0"/>
          <w:color w:val="000000" w:themeColor="text1"/>
          <w14:textFill>
            <w14:solidFill>
              <w14:schemeClr w14:val="tx1"/>
            </w14:solidFill>
          </w14:textFill>
        </w:rPr>
        <w:t>四节 构建有温度的社会保障</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bookmarkEnd w:id="445"/>
    <w:bookmarkEnd w:id="446"/>
    <w:p>
      <w:pPr>
        <w:pStyle w:val="5"/>
        <w:spacing w:before="0" w:after="0" w:line="360" w:lineRule="auto"/>
        <w:ind w:firstLine="640" w:firstLineChars="200"/>
        <w:rPr>
          <w:rFonts w:ascii="黑体" w:hAnsi="黑体" w:eastAsia="黑体" w:cs="Times New Roman"/>
          <w:b w:val="0"/>
          <w:color w:val="000000" w:themeColor="text1"/>
          <w14:textFill>
            <w14:solidFill>
              <w14:schemeClr w14:val="tx1"/>
            </w14:solidFill>
          </w14:textFill>
        </w:rPr>
      </w:pPr>
      <w:bookmarkStart w:id="447" w:name="_Toc332201400"/>
      <w:bookmarkStart w:id="448" w:name="_Toc330025451"/>
      <w:r>
        <w:rPr>
          <w:rFonts w:hint="eastAsia" w:ascii="黑体" w:hAnsi="黑体" w:eastAsia="黑体" w:cs="Times New Roman"/>
          <w:b w:val="0"/>
          <w:color w:val="000000" w:themeColor="text1"/>
          <w14:textFill>
            <w14:solidFill>
              <w14:schemeClr w14:val="tx1"/>
            </w14:solidFill>
          </w14:textFill>
        </w:rPr>
        <w:t>一、着力完善社会保障体系</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覆盖全民、统筹城乡、公平统一、可持续的多层次社会保障体系。强化就业优先战略，实现更加充分和更高质量就业，实现就业规模持续扩大，就业结构更加优化。初步建立起被征地农民的再就业体系，保障就业更加充分。不断完善劳动关系协调机制和劳动人事争议处理制度，推进新区劳动保障监察“两网化”全面覆盖。“十四五”期间，新区城镇调查失业率控制在5.5%以下。加大职业技能培训力度，积极提供普惠性、均等化的终身职业技能培训，加快提升劳动者技能素质。构建多层次社会保障网，深入推进全民参保计划，不断提高新区社会保险覆盖率和保障水平，确保城乡居民医疗保险参保率和基本养老保险参保率分别达到98%和97%。健全统一的基本医疗保险制度，健全重大疾病医疗保险和救助制度，落实异地就医结算，夯实医疗保障兜底帮扶机制。促进社会保障信息化建设，不断完善互联互通、业务协同的信息网络服务体系。</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二、重视青年发展保障</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统筹推进新区青年发展事业与经济社会同步协调发展。坚持党管青年原则，聚焦14-35周岁青年群体，牢牢把握为实现中华民族伟大复兴中国梦而奋斗的时代主题，将青年优先发展理念落到实处。充分照顾青年的特点和利益，围绕青年思想道德、教育、健康、婚恋、就业创业、文化、社会融入与社会参与、维护青年合法权益、预防青年违法犯罪、社会保障等领域，优化青年成长环境，服务青年紧迫需求，维护青年发展权益，促进青年全面发展。建立完善青年发展数据监测体系，建立青年参与规划实施、评估政策效果的有效机制，形成党工委领导、管委会主责、共青团协调、各方齐抓共管青年事务的机制安排。落实“广西青空间”服务青少年成长发展项目，“十四五”期间，建成1个以上“广西青空间”青少年综合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三、加强老龄服务保障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应对人口老龄化，推动新区养老事业和养老产业协同发展，发展普惠型养老服务和互助性养老。完善以居家为基础、社区为依托、机构为补充、医养康养相结合的养老服务体系。强化对老年人的优待服务，逐步提高优待水平。大力推进柳东新区颐养中心建设，充分利用社区卫生服务中心床位、养老机构床位、家庭病床以及部分二级医院病床等资源提供老年护理服务，扩大社区居家养老服务项目。建设社区一站式健康养老综合服务信息平台，推动养老机构和养老企业应用移动互联网、物联网等技术手段创新居家养老服务模式。积极鼓励发展养老产业，支持发展老年消费服务和护理产品研发、生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专栏7-8  养老服务建设重点</w:t>
            </w:r>
          </w:p>
          <w:p>
            <w:pPr>
              <w:widowControl/>
              <w:ind w:firstLine="422" w:firstLineChars="200"/>
              <w:textAlignment w:val="center"/>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柳东新区颐养中心</w:t>
            </w:r>
            <w:r>
              <w:rPr>
                <w:rFonts w:hint="eastAsia"/>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项目规划床位372张，主要建设内容包括新建颐养中心、地下室、架空层、大门、围墙，以及给排水、道路、供配电、绿化、消防等附属配套设施。</w:t>
            </w:r>
          </w:p>
          <w:p>
            <w:pPr>
              <w:widowControl/>
              <w:ind w:firstLine="420" w:firstLineChars="200"/>
              <w:textAlignment w:val="center"/>
              <w:rPr>
                <w:color w:val="000000" w:themeColor="text1"/>
                <w14:textFill>
                  <w14:solidFill>
                    <w14:schemeClr w14:val="tx1"/>
                  </w14:solidFill>
                </w14:textFill>
              </w:rPr>
            </w:pPr>
          </w:p>
        </w:tc>
      </w:tr>
      <w:bookmarkEnd w:id="447"/>
      <w:bookmarkEnd w:id="448"/>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四、推进保障性住房工作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充分发挥土地和市场联动机制，持续加大住宅、租赁住房、保障性住房供应力度。以实现住有宜居为目标，着力推进南庆安置区项目、南部片区居住安置四期、五期项目、双仁屯棚户区改造项目、雒容镇东麻小区老旧小区改造项目、新区人才中心（二期）等安居工程建设。高品质、高标准推进安置房建设，建设15分钟社区生活圈、友好型社区。以“职住平衡”为</w:t>
      </w:r>
      <w:r>
        <w:rPr>
          <w:rFonts w:hint="eastAsia" w:ascii="仿宋_GB2312" w:hAnsi="仿宋" w:eastAsia="仿宋_GB2312"/>
          <w:color w:val="000000" w:themeColor="text1"/>
          <w:sz w:val="32"/>
          <w:szCs w:val="32"/>
          <w14:textFill>
            <w14:solidFill>
              <w14:schemeClr w14:val="tx1"/>
            </w14:solidFill>
          </w14:textFill>
        </w:rPr>
        <w:t>原则，重点沿轨道交通、公交线路做好保障性住房增量建设，打造人性化人居环境。深化物业管理品质提升行动，引导住宅小区物业管理与配套服务向品牌化、特色化发展。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专栏7-9  保障性安居工程建设重点</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棚户区改造和公共保障房建设：</w:t>
            </w:r>
            <w:r>
              <w:rPr>
                <w:color w:val="000000" w:themeColor="text1"/>
                <w14:textFill>
                  <w14:solidFill>
                    <w14:schemeClr w14:val="tx1"/>
                  </w14:solidFill>
                </w14:textFill>
              </w:rPr>
              <w:t>雒容镇东麻小区老旧小区改造一期工程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二期工程柳东新区雒容南片棚户区改造项目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南庆安置区项目（三期</w:t>
            </w:r>
            <w:r>
              <w:rPr>
                <w:rFonts w:hint="eastAsia"/>
                <w:color w:val="000000" w:themeColor="text1"/>
                <w14:textFill>
                  <w14:solidFill>
                    <w14:schemeClr w14:val="tx1"/>
                  </w14:solidFill>
                </w14:textFill>
              </w:rPr>
              <w:t>、四期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新区南部片区居住安置五期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高岩居住安置项目（雒容安置）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雒容南片棚户区改造安置项目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平地片区棚户区改造项目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新区南部片区居住安置四期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新区双仁屯棚户区改造</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配套项目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龙婆小区安置项目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龙婆一、二、三屯（龙婆新村）项目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果园村果园安置小区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九子岭北侧安置项目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柳东新区人才中心（二期）项目</w:t>
            </w:r>
            <w:r>
              <w:rPr>
                <w:rFonts w:hint="eastAsia"/>
                <w:color w:val="000000" w:themeColor="text1"/>
                <w14:textFill>
                  <w14:solidFill>
                    <w14:schemeClr w14:val="tx1"/>
                  </w14:solidFill>
                </w14:textFill>
              </w:rPr>
              <w:t>。</w:t>
            </w:r>
          </w:p>
          <w:p>
            <w:pPr>
              <w:widowControl/>
              <w:spacing w:afterLines="50"/>
              <w:ind w:firstLine="422" w:firstLineChars="200"/>
              <w:textAlignment w:val="center"/>
              <w:rPr>
                <w:color w:val="000000" w:themeColor="text1"/>
                <w14:textFill>
                  <w14:solidFill>
                    <w14:schemeClr w14:val="tx1"/>
                  </w14:solidFill>
                </w14:textFill>
              </w:rPr>
            </w:pPr>
            <w:r>
              <w:rPr>
                <w:b/>
                <w:bCs/>
                <w:color w:val="000000" w:themeColor="text1"/>
                <w14:textFill>
                  <w14:solidFill>
                    <w14:schemeClr w14:val="tx1"/>
                  </w14:solidFill>
                </w14:textFill>
              </w:rPr>
              <w:t>柳东新区老旧小区改造项目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重点柳江造纸厂老旧小区改造、针对老旧住宅区配套设施进行改造提升。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五、强化新区社会救助保障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城镇和农村留守儿童和妇女、老年人以及困境儿童关爱服务体系。建立救助体系信息库，准确掌握老年人、残疾人、困难户等群体的信息，将各类困难人员纳入新区救助服务范围。注重弱势群体关爱，实施困难残疾人生活补贴和重度残疾人护理补贴制度，推进贫困重度残疾人集中或社会化照护服务。完善孤儿养育和服务模式，兜底保障重度残疾儿童。推动社会服务设施、服务资源与残障人士共享。</w:t>
      </w:r>
    </w:p>
    <w:p>
      <w:pPr>
        <w:pStyle w:val="5"/>
        <w:spacing w:before="120" w:after="0"/>
        <w:ind w:firstLine="643" w:firstLineChars="200"/>
        <w:rPr>
          <w:color w:val="000000" w:themeColor="text1"/>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p>
    <w:bookmarkEnd w:id="402"/>
    <w:bookmarkEnd w:id="403"/>
    <w:bookmarkEnd w:id="404"/>
    <w:bookmarkEnd w:id="405"/>
    <w:bookmarkEnd w:id="406"/>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449" w:name="_Toc21626"/>
      <w:bookmarkStart w:id="450" w:name="_Toc1920"/>
      <w:bookmarkStart w:id="451" w:name="_Toc30946"/>
      <w:bookmarkStart w:id="452" w:name="_Toc20258"/>
      <w:bookmarkStart w:id="453" w:name="_Toc21441"/>
      <w:bookmarkStart w:id="454" w:name="_Toc11574"/>
      <w:bookmarkStart w:id="455" w:name="_Toc23443"/>
      <w:bookmarkStart w:id="456" w:name="_Toc27236"/>
      <w:bookmarkStart w:id="457" w:name="_Toc31932"/>
      <w:bookmarkStart w:id="458" w:name="_Toc2197"/>
      <w:bookmarkStart w:id="459" w:name="_Toc18396"/>
      <w:bookmarkStart w:id="460" w:name="_Toc1098"/>
      <w:bookmarkStart w:id="461" w:name="_Toc21970"/>
      <w:bookmarkStart w:id="462" w:name="_Toc8339"/>
      <w:bookmarkStart w:id="463" w:name="_Toc13590"/>
      <w:bookmarkStart w:id="464" w:name="_Toc4664"/>
      <w:bookmarkStart w:id="465" w:name="_Toc75341686"/>
      <w:bookmarkStart w:id="466" w:name="_Toc15889"/>
      <w:bookmarkStart w:id="467" w:name="_Toc16655"/>
      <w:bookmarkStart w:id="468" w:name="_Toc13554"/>
      <w:bookmarkStart w:id="469" w:name="_Toc22040"/>
      <w:bookmarkStart w:id="470" w:name="_Toc12219"/>
      <w:bookmarkStart w:id="471" w:name="_Toc26536"/>
      <w:bookmarkStart w:id="472" w:name="_Toc885"/>
      <w:r>
        <w:rPr>
          <w:rFonts w:hint="eastAsia" w:ascii="黑体" w:hAnsi="黑体" w:eastAsia="黑体" w:cs="Times New Roman"/>
          <w:b w:val="0"/>
          <w:color w:val="000000" w:themeColor="text1"/>
          <w:sz w:val="32"/>
          <w:szCs w:val="32"/>
          <w14:textFill>
            <w14:solidFill>
              <w14:schemeClr w14:val="tx1"/>
            </w14:solidFill>
          </w14:textFill>
        </w:rPr>
        <w:t>第八章 涵养好山好水，构建生态美好典范区</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w:t>
      </w:r>
      <w:r>
        <w:rPr>
          <w:rFonts w:hint="eastAsia" w:ascii="仿宋_GB2312" w:hAnsi="仿宋" w:eastAsia="仿宋_GB2312" w:cs="Times New Roman"/>
          <w:color w:val="000000" w:themeColor="text1"/>
          <w:sz w:val="32"/>
          <w:szCs w:val="32"/>
          <w:lang w:eastAsia="zh-CN"/>
          <w14:textFill>
            <w14:solidFill>
              <w14:schemeClr w14:val="tx1"/>
            </w14:solidFill>
          </w14:textFill>
        </w:rPr>
        <w:t>习近平生态文明思想</w:t>
      </w:r>
      <w:r>
        <w:rPr>
          <w:rFonts w:hint="eastAsia" w:ascii="仿宋_GB2312" w:hAnsi="仿宋" w:eastAsia="仿宋_GB2312" w:cs="Times New Roman"/>
          <w:color w:val="000000" w:themeColor="text1"/>
          <w:sz w:val="32"/>
          <w:szCs w:val="32"/>
          <w14:textFill>
            <w14:solidFill>
              <w14:schemeClr w14:val="tx1"/>
            </w14:solidFill>
          </w14:textFill>
        </w:rPr>
        <w:t>，践行绿色发展理念，加强生态环境保护与修复，强化污染防治，促进生产生活绿色低碳发展，打造全国高新区生态文明建设典范。</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73" w:name="_Toc9582"/>
      <w:bookmarkStart w:id="474" w:name="_Toc31151"/>
      <w:bookmarkStart w:id="475" w:name="_Toc9937"/>
      <w:bookmarkStart w:id="476" w:name="_Toc7394"/>
      <w:bookmarkStart w:id="477" w:name="_Toc5984"/>
      <w:bookmarkStart w:id="478" w:name="_Toc9656"/>
      <w:bookmarkStart w:id="479" w:name="_Toc16735"/>
      <w:bookmarkStart w:id="480" w:name="_Toc4338"/>
      <w:bookmarkStart w:id="481" w:name="_Toc75341687"/>
      <w:bookmarkStart w:id="482" w:name="_Toc17168"/>
      <w:bookmarkStart w:id="483" w:name="_Toc5005"/>
      <w:bookmarkStart w:id="484" w:name="_Toc15474"/>
      <w:bookmarkStart w:id="485" w:name="_Toc12193"/>
      <w:bookmarkStart w:id="486" w:name="_Toc7896"/>
      <w:bookmarkStart w:id="487" w:name="_Toc31818"/>
      <w:bookmarkStart w:id="488" w:name="_Toc16763"/>
      <w:bookmarkStart w:id="489" w:name="_Toc334"/>
      <w:bookmarkStart w:id="490" w:name="_Toc9394"/>
      <w:bookmarkStart w:id="491" w:name="_Toc1516"/>
      <w:bookmarkStart w:id="492" w:name="_Toc565"/>
      <w:bookmarkStart w:id="493" w:name="_Toc2928"/>
      <w:bookmarkStart w:id="494" w:name="_Toc22692"/>
      <w:bookmarkStart w:id="495" w:name="_Toc31565"/>
      <w:bookmarkStart w:id="496" w:name="_Toc11447"/>
      <w:r>
        <w:rPr>
          <w:rFonts w:hint="eastAsia" w:ascii="黑体" w:hAnsi="黑体" w:eastAsia="黑体" w:cs="Times New Roman"/>
          <w:b w:val="0"/>
          <w:color w:val="000000" w:themeColor="text1"/>
          <w14:textFill>
            <w14:solidFill>
              <w14:schemeClr w14:val="tx1"/>
            </w14:solidFill>
          </w14:textFill>
        </w:rPr>
        <w:t>第一节 打造生态美丽柳东新区</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一、以生态文明引领新区品质发展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贯彻落实习近平生态文明思想，深刻把握绿水青山就是金山银山的重要发展理念，坚定不移走生态优先、绿色发展新道路。建立和完善新区生态文明建设的机制，“一张蓝图”“一盘棋”统筹生态文明顶层设计，谋划低碳高效的生产空间、舒适宜居的生活空间和碧水蓝天的生态空间。强化生态建设意识和责任，推动全社会在生活生产建设的各个领域切实保护和合理利用各种资源，提高资源利用效率，以尽可能少的资源消耗来获得最大的经济效益和社会效益。倡导社会各方坚持爱护环境、保护环境、节约资源、利用资源，凝聚各方面合力，将新区建设成为宜居、宜业、宜游的汽车城市花园。</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探索自然</w:t>
      </w:r>
      <w:r>
        <w:rPr>
          <w:rFonts w:ascii="黑体" w:hAnsi="黑体" w:eastAsia="黑体"/>
          <w:b w:val="0"/>
          <w:color w:val="000000" w:themeColor="text1"/>
          <w14:textFill>
            <w14:solidFill>
              <w14:schemeClr w14:val="tx1"/>
            </w14:solidFill>
          </w14:textFill>
        </w:rPr>
        <w:t>资源保护</w:t>
      </w:r>
      <w:r>
        <w:rPr>
          <w:rFonts w:hint="eastAsia" w:ascii="黑体" w:hAnsi="黑体" w:eastAsia="黑体"/>
          <w:b w:val="0"/>
          <w:color w:val="000000" w:themeColor="text1"/>
          <w14:textFill>
            <w14:solidFill>
              <w14:schemeClr w14:val="tx1"/>
            </w14:solidFill>
          </w14:textFill>
        </w:rPr>
        <w:t>利用新模式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统筹推进生态保护和修复，实施重要生态系统保护工程，构建生态廊道和生物多样性保护网络，推进受损山体、黑臭水体、河流湿地生态修复，提升生态系统质量和稳定性。积极推进废弃工业厂区、矿场、石场、拆除居民点等区域的生态修复和保护性开发利用。优化耕地和永久基本农田空间布局，实现集中连片管理，打造现代农业先行示范区，创新高度工业化城区耕地和永久基本农田保护利用模式。深化自然资源管理制度改革，建立完善自然资源有偿使用制度。编制自然资源资产负债表，建立自然资源资产数据库和自然资源台账制度，健全自然资源资产监管体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专栏8-1  生态修复环境治理重点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两面针纸业环境治理及配套项目</w:t>
            </w:r>
            <w:r>
              <w:rPr>
                <w:rFonts w:hint="eastAsia"/>
                <w:color w:val="000000" w:themeColor="text1"/>
                <w14:textFill>
                  <w14:solidFill>
                    <w14:schemeClr w14:val="tx1"/>
                  </w14:solidFill>
                </w14:textFill>
              </w:rPr>
              <w:t>、柳东新区生态园林工程（老虎岭、狮子岭公园景观工程、平地山公园）、柳东新区公共绿地一期景观工程；连丰村等2个村旱改水工程、连丰村等3个土地综合整治、雒容镇耕地提质改造（旱改水）项目、滨江居住生活区山体复绿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三、打造全域特色生态休闲空间</w:t>
      </w:r>
    </w:p>
    <w:p>
      <w:pPr>
        <w:autoSpaceDE w:val="0"/>
        <w:autoSpaceDN w:val="0"/>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高标准规划建设柳东新区山水天际线，构建三门江森林公园—柳江景观带—园博园—洛清江景观带—百花岭生态公园—马步水库—兰村水库—莫干河南支城市山水主轴。实施水系景观品质提升工程，建设以龙湖水系、华侨城水系为核心的中心区景观带，塑造集休闲娱乐、艺文体验、品质居住、城市展示等功能于一体的滨水城市新名片。强化新区绿地生态景观格局的连续性和完整性，建设新柳大道、博园大道、宝骏大道、清江大道、曙光大道等主要道路两侧的绿地景观走廊，提升会展中心、卡乐星球、上汽通用五菱宝骏基地、东风柳汽、秀水片区、官塘片区等区域路网绿化工程，强化干道交叉口、高速出入口等特色景观节点塑造，打造全域绿色生态休闲带。推进“公园城市”建设，重点建设老虎岭、狮子岭公园、平地山公园、科技园山体公园、科技园小游园、南寨山公园等生态休闲项目，构建柳东新区布局合理、层次丰富、特色鲜明的“自然郊野公园－大型中心综合公园－社区公园－小型公园－公共绿地”的公园城市绿地体系。推动“绿色生态工业园区”“花园式学校”“花园式住宅小区”建设，推进城市空间和公园、绿地形态的有机融合。配合河道综合整治和水库水环境整治工程，探索打造马步水库休闲碧道。到2025年，新区新建和</w:t>
      </w:r>
      <w:r>
        <w:rPr>
          <w:rFonts w:ascii="仿宋_GB2312" w:hAnsi="仿宋" w:eastAsia="仿宋_GB2312"/>
          <w:color w:val="000000" w:themeColor="text1"/>
          <w:sz w:val="32"/>
          <w:szCs w:val="32"/>
          <w14:textFill>
            <w14:solidFill>
              <w14:schemeClr w14:val="tx1"/>
            </w14:solidFill>
          </w14:textFill>
        </w:rPr>
        <w:t>提升改造</w:t>
      </w:r>
      <w:r>
        <w:rPr>
          <w:rFonts w:hint="eastAsia" w:ascii="仿宋_GB2312" w:hAnsi="仿宋" w:eastAsia="仿宋_GB2312"/>
          <w:color w:val="000000" w:themeColor="text1"/>
          <w:sz w:val="32"/>
          <w:szCs w:val="32"/>
          <w14:textFill>
            <w14:solidFill>
              <w14:schemeClr w14:val="tx1"/>
            </w14:solidFill>
          </w14:textFill>
        </w:rPr>
        <w:t>一批城市公园、社区公园，主要干道全面建设公共绿地，城市人均公园绿地面积达14平方米。</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专栏8-2  城市景观、生态休闲设施建设重点</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市政公园：</w:t>
            </w:r>
            <w:r>
              <w:rPr>
                <w:rFonts w:hint="eastAsia"/>
                <w:color w:val="000000" w:themeColor="text1"/>
                <w14:textFill>
                  <w14:solidFill>
                    <w14:schemeClr w14:val="tx1"/>
                  </w14:solidFill>
                </w14:textFill>
              </w:rPr>
              <w:t>八角岭公园、官塘片滨江生态湿地公园、老虎岭公园、狮子岭公园、平地山公园、科技园山体公园、科技园小游园、南寨山公园。</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生态休闲旅游区：</w:t>
            </w:r>
            <w:r>
              <w:rPr>
                <w:rFonts w:hint="eastAsia"/>
                <w:color w:val="000000" w:themeColor="text1"/>
                <w14:textFill>
                  <w14:solidFill>
                    <w14:schemeClr w14:val="tx1"/>
                  </w14:solidFill>
                </w14:textFill>
              </w:rPr>
              <w:t>百花岭生态公园、三门江林场马步分场场部功能提升改造暨森林康养旅游示范项目、马步水库乡村旅游示范区、雒容镇马步水库休闲栈道项目（一期）工程、（九子岭）旅游集散中心项目。</w:t>
            </w:r>
          </w:p>
          <w:p>
            <w:pPr>
              <w:pStyle w:val="9"/>
              <w:widowControl/>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公共区域景观工程：</w:t>
            </w:r>
            <w:r>
              <w:rPr>
                <w:rFonts w:hint="eastAsia"/>
                <w:color w:val="000000" w:themeColor="text1"/>
                <w14:textFill>
                  <w14:solidFill>
                    <w14:schemeClr w14:val="tx1"/>
                  </w14:solidFill>
                </w14:textFill>
              </w:rPr>
              <w:t>加快推进新区核心区道外公共绿地景观工程、官塘片曙光大道（雒容段）道外公共绿地景观工程、秀水片区道外公共绿地景观工程、欣乐路及会展路道外公共绿地景观工程、连运路东延长线道外公共绿地景观工程、新区第二实验小学周边公共绿地景观工程、木棉路（中欧横一路）道外公共绿地景观工程、莫道江南支（0+000-0+250）及莫道江南支下游（0+000-0+300）河道景观工程、柳州市已征未用土地绿化工程设计施工一体化工程、官塘冲河道综合整治工程景观工程二期；文苑路（创业大道B线）南侧道外公共绿地、核心区纵六路道外公共绿地项目。</w:t>
            </w:r>
          </w:p>
          <w:p>
            <w:pPr>
              <w:pStyle w:val="9"/>
              <w:spacing w:after="0"/>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展清江大道（原古镇路）道外公共绿地景观工程、古镇路（原立新洲大道）道外公共绿地景观工程、欣乐路（原称江滨纵三路、横六路）道外公共绿地景观工程、九子岭大道（原职教园经三路）道外公共绿地、九子岭支三路（乐园路南四巷子）道外公共绿地、润东路（九子岭支三十五路）道外公共绿地、石冲路（九子岭一路）道外公共绿地、南庆支二路道外公共绿地、高望路道外公共绿地、博园大道（原称中欧纵一路）道外公共绿地景观工程、秀水二路（原称中欧纵七路）道外公共绿地景观工程、竹车路（原称中欧横九路（纵四路—纵十一路））道外公共绿地景观工程、福城大道（中欧纵十一路）道外公共绿地、秀水横四路道外公共绿地景观工程、秀水横六路道外公共绿地景观工程、连运路东延长线道外公共绿地景观工程、新竹路（原称核心区纵二路东段）道外公共绿地景观工程、曙光大道雒容段道外公共绿地景观工程、官塘大道（原秀水纵一路）道外公共绿地、中欧横一路道外公共绿地、八角岭北三路道外公共绿地景观工程、火炬大道南段道外公共绿地、江东大道（原称滨江大道）（进港大道—江滨区横十路）道外公共绿地景观工程、江滨纬六路南侧道外公共绿地、核心区横十三路道外公共绿地、莫道江北支河道景观工程等前期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497" w:name="_Toc7239"/>
      <w:bookmarkStart w:id="498" w:name="_Toc20273"/>
      <w:bookmarkStart w:id="499" w:name="_Toc30119"/>
      <w:bookmarkStart w:id="500" w:name="_Toc3255"/>
      <w:bookmarkStart w:id="501" w:name="_Toc24309"/>
      <w:bookmarkStart w:id="502" w:name="_Toc31382"/>
      <w:bookmarkStart w:id="503" w:name="_Toc399"/>
      <w:bookmarkStart w:id="504" w:name="_Toc75341688"/>
      <w:bookmarkStart w:id="505" w:name="_Toc9035"/>
      <w:bookmarkStart w:id="506" w:name="_Toc7601"/>
      <w:bookmarkStart w:id="507" w:name="_Toc7173"/>
      <w:bookmarkStart w:id="508" w:name="_Toc10818"/>
      <w:bookmarkStart w:id="509" w:name="_Toc3920"/>
      <w:bookmarkStart w:id="510" w:name="_Toc16579"/>
      <w:bookmarkStart w:id="511" w:name="_Toc31959"/>
      <w:bookmarkStart w:id="512" w:name="_Toc23714"/>
      <w:bookmarkStart w:id="513" w:name="_Toc5685"/>
      <w:bookmarkStart w:id="514" w:name="_Toc14429"/>
      <w:bookmarkStart w:id="515" w:name="_Toc24399"/>
      <w:bookmarkStart w:id="516" w:name="_Toc5552"/>
      <w:bookmarkStart w:id="517" w:name="_Toc9628"/>
      <w:bookmarkStart w:id="518" w:name="_Toc25818"/>
      <w:bookmarkStart w:id="519" w:name="_Toc19743"/>
      <w:bookmarkStart w:id="520" w:name="_Toc16772"/>
      <w:r>
        <w:rPr>
          <w:rFonts w:hint="eastAsia" w:ascii="黑体" w:hAnsi="黑体" w:eastAsia="黑体" w:cs="Times New Roman"/>
          <w:b w:val="0"/>
          <w:color w:val="000000" w:themeColor="text1"/>
          <w14:textFill>
            <w14:solidFill>
              <w14:schemeClr w14:val="tx1"/>
            </w14:solidFill>
          </w14:textFill>
        </w:rPr>
        <w:t>第二节</w:t>
      </w:r>
      <w:bookmarkStart w:id="521" w:name="_Toc321864900"/>
      <w:bookmarkStart w:id="522" w:name="_Toc321385409"/>
      <w:bookmarkStart w:id="523" w:name="_Toc295658234"/>
      <w:bookmarkStart w:id="524" w:name="_Toc324862879"/>
      <w:bookmarkStart w:id="525" w:name="_Toc332201409"/>
      <w:bookmarkStart w:id="526" w:name="_Toc329166137"/>
      <w:bookmarkStart w:id="527" w:name="_Toc319943276"/>
      <w:bookmarkStart w:id="528" w:name="_Toc321356032"/>
      <w:r>
        <w:rPr>
          <w:rFonts w:hint="eastAsia" w:ascii="黑体" w:hAnsi="黑体" w:eastAsia="黑体" w:cs="Times New Roman"/>
          <w:b w:val="0"/>
          <w:color w:val="000000" w:themeColor="text1"/>
          <w14:textFill>
            <w14:solidFill>
              <w14:schemeClr w14:val="tx1"/>
            </w14:solidFill>
          </w14:textFill>
        </w:rPr>
        <w:t xml:space="preserve"> 加强生态环境治理保护</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一、强化生态环境治理力度</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大力进行环境综合治理，完善核心区水系、滨江生态公园建设，实施道外公共绿地建设工程，进一步提高环境质量。强化水土综合防治的责任制度，深入推行“河长制”。着力推进马步河下游段、杨弓湾下游段、东和路东一巷河道等水体整治工程。加大力度推进城乡生活污水治理，调整完善城乡生活污水排放管道和处理设施。加强对人口集中村屯的污水治理，因地制宜纳入新区污水管网或就地集中建设污水处理站处理。强化对人口较少且分散的村屯居民排污方式管控，鼓励农户进行农村污水资源化利用。合理设置新区污水系统服务分区，汽车城北片与花岭片区、洛清江西片与洛清江东片分别设置独立的污水处理系统，加快推进中欧片区污水处理厂及收集管网污水设施、雒容中沟泵站、盘古片区污水设施、官塘片区污水处理等工程项目建设。到2025年，新区污水处理率达95%以上，污水管网完善率达90%以上。</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专栏8-3  污水处理排放设施建设重点</w:t>
            </w:r>
          </w:p>
          <w:p>
            <w:pPr>
              <w:widowControl/>
              <w:spacing w:afterLines="50"/>
              <w:ind w:firstLine="420" w:firstLineChars="200"/>
              <w:textAlignment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盘古片区污水项目、中欧片污水泵站及收集管网、柳东新区农村生活污水治理规划项目、官塘片区污水处理工程、雒容南污水处理厂、中欧片污水泵站及收集管网等新开工项目；</w:t>
            </w:r>
          </w:p>
          <w:p>
            <w:pPr>
              <w:pStyle w:val="9"/>
              <w:ind w:firstLine="420" w:firstLineChars="20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花岭北污水提升泵站、花岭污水提升泵站、洛埠污水提升泵站、雒容污水提升泵站、中山街污水提升泵站、毗邻片污水提升泵站、官塘污水处理厂扩建等项目前期。</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bookmarkStart w:id="529" w:name="_Toc321356037"/>
      <w:bookmarkStart w:id="530" w:name="_Toc324862884"/>
      <w:bookmarkStart w:id="531" w:name="_Toc329166138"/>
      <w:bookmarkStart w:id="532" w:name="_Toc321385414"/>
      <w:bookmarkStart w:id="533" w:name="_Toc332201410"/>
      <w:bookmarkStart w:id="534" w:name="_Toc321864905"/>
      <w:bookmarkStart w:id="535" w:name="_Toc295658239"/>
      <w:bookmarkStart w:id="536" w:name="_Toc319943280"/>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推进</w:t>
      </w:r>
      <w:r>
        <w:rPr>
          <w:rFonts w:hint="eastAsia" w:ascii="黑体" w:hAnsi="黑体" w:eastAsia="黑体"/>
          <w:b w:val="0"/>
          <w:color w:val="000000" w:themeColor="text1"/>
          <w14:textFill>
            <w14:solidFill>
              <w14:schemeClr w14:val="tx1"/>
            </w14:solidFill>
          </w14:textFill>
        </w:rPr>
        <w:t>大</w:t>
      </w:r>
      <w:r>
        <w:rPr>
          <w:rFonts w:ascii="黑体" w:hAnsi="黑体" w:eastAsia="黑体"/>
          <w:b w:val="0"/>
          <w:color w:val="000000" w:themeColor="text1"/>
          <w14:textFill>
            <w14:solidFill>
              <w14:schemeClr w14:val="tx1"/>
            </w14:solidFill>
          </w14:textFill>
        </w:rPr>
        <w:t>气</w:t>
      </w:r>
      <w:r>
        <w:rPr>
          <w:rFonts w:hint="eastAsia" w:ascii="黑体" w:hAnsi="黑体" w:eastAsia="黑体"/>
          <w:b w:val="0"/>
          <w:color w:val="000000" w:themeColor="text1"/>
          <w14:textFill>
            <w14:solidFill>
              <w14:schemeClr w14:val="tx1"/>
            </w14:solidFill>
          </w14:textFill>
        </w:rPr>
        <w:t>噪声</w:t>
      </w:r>
      <w:r>
        <w:rPr>
          <w:rFonts w:ascii="黑体" w:hAnsi="黑体" w:eastAsia="黑体"/>
          <w:b w:val="0"/>
          <w:color w:val="000000" w:themeColor="text1"/>
          <w14:textFill>
            <w14:solidFill>
              <w14:schemeClr w14:val="tx1"/>
            </w14:solidFill>
          </w14:textFill>
        </w:rPr>
        <w:t>污染防治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打赢蓝天保卫战，</w:t>
      </w:r>
      <w:r>
        <w:rPr>
          <w:rFonts w:hint="eastAsia" w:ascii="仿宋_GB2312" w:hAnsi="仿宋" w:eastAsia="仿宋_GB2312"/>
          <w:color w:val="000000" w:themeColor="text1"/>
          <w:sz w:val="32"/>
          <w:szCs w:val="32"/>
          <w14:textFill>
            <w14:solidFill>
              <w14:schemeClr w14:val="tx1"/>
            </w14:solidFill>
          </w14:textFill>
        </w:rPr>
        <w:t>全面整治工业生产及基础建设排放的大气污染物，建立工业大气污染第三方“在线监测+线下巡查”的闭环管理模式。着重开展汽车、机械制造、工业涂装等生产行业挥发性有机气体治理，加强对臭氧排放浓度的监管。强力落实扬尘防控措施，加强</w:t>
      </w:r>
      <w:r>
        <w:rPr>
          <w:rFonts w:ascii="仿宋_GB2312" w:hAnsi="仿宋" w:eastAsia="仿宋_GB2312"/>
          <w:color w:val="000000" w:themeColor="text1"/>
          <w:sz w:val="32"/>
          <w:szCs w:val="32"/>
          <w14:textFill>
            <w14:solidFill>
              <w14:schemeClr w14:val="tx1"/>
            </w14:solidFill>
          </w14:textFill>
        </w:rPr>
        <w:t>道路扬尘</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施工扬尘</w:t>
      </w:r>
      <w:r>
        <w:rPr>
          <w:rFonts w:hint="eastAsia" w:ascii="仿宋_GB2312" w:hAnsi="仿宋" w:eastAsia="仿宋_GB2312"/>
          <w:color w:val="000000" w:themeColor="text1"/>
          <w:sz w:val="32"/>
          <w:szCs w:val="32"/>
          <w14:textFill>
            <w14:solidFill>
              <w14:schemeClr w14:val="tx1"/>
            </w14:solidFill>
          </w14:textFill>
        </w:rPr>
        <w:t>的</w:t>
      </w:r>
      <w:r>
        <w:rPr>
          <w:rFonts w:ascii="仿宋_GB2312" w:hAnsi="仿宋" w:eastAsia="仿宋_GB2312"/>
          <w:color w:val="000000" w:themeColor="text1"/>
          <w:sz w:val="32"/>
          <w:szCs w:val="32"/>
          <w14:textFill>
            <w14:solidFill>
              <w14:schemeClr w14:val="tx1"/>
            </w14:solidFill>
          </w14:textFill>
        </w:rPr>
        <w:t>污染</w:t>
      </w:r>
      <w:r>
        <w:rPr>
          <w:rFonts w:hint="eastAsia" w:ascii="仿宋_GB2312" w:hAnsi="仿宋" w:eastAsia="仿宋_GB2312"/>
          <w:color w:val="000000" w:themeColor="text1"/>
          <w:sz w:val="32"/>
          <w:szCs w:val="32"/>
          <w14:textFill>
            <w14:solidFill>
              <w14:schemeClr w14:val="tx1"/>
            </w14:solidFill>
          </w14:textFill>
        </w:rPr>
        <w:t>控制，狠抓工地</w:t>
      </w:r>
      <w:r>
        <w:rPr>
          <w:rFonts w:ascii="仿宋_GB2312" w:hAnsi="仿宋" w:eastAsia="仿宋_GB2312"/>
          <w:color w:val="000000" w:themeColor="text1"/>
          <w:sz w:val="32"/>
          <w:szCs w:val="32"/>
          <w14:textFill>
            <w14:solidFill>
              <w14:schemeClr w14:val="tx1"/>
            </w14:solidFill>
          </w14:textFill>
        </w:rPr>
        <w:t>污染防治</w:t>
      </w:r>
      <w:r>
        <w:rPr>
          <w:rFonts w:hint="eastAsia" w:ascii="仿宋_GB2312" w:hAnsi="仿宋" w:eastAsia="仿宋_GB2312"/>
          <w:color w:val="000000" w:themeColor="text1"/>
          <w:sz w:val="32"/>
          <w:szCs w:val="32"/>
          <w14:textFill>
            <w14:solidFill>
              <w14:schemeClr w14:val="tx1"/>
            </w14:solidFill>
          </w14:textFill>
        </w:rPr>
        <w:t>，堵疏结合推进秸秆禁烧。强化机动车尾气治理，加快推进公务车、执法车、工程车等纯电动化。以PM2.5和臭氧污染防治为重点，建立重污染天气监测预警体系，实现污染区域联防联控联治。严控噪声污染严重的企业，掌握新区噪声污染企业名录，</w:t>
      </w:r>
      <w:r>
        <w:rPr>
          <w:rFonts w:ascii="仿宋_GB2312" w:hAnsi="仿宋" w:eastAsia="仿宋_GB2312"/>
          <w:color w:val="000000" w:themeColor="text1"/>
          <w:sz w:val="32"/>
          <w:szCs w:val="32"/>
          <w14:textFill>
            <w14:solidFill>
              <w14:schemeClr w14:val="tx1"/>
            </w14:solidFill>
          </w14:textFill>
        </w:rPr>
        <w:t>降低厂区噪声污染。</w:t>
      </w:r>
      <w:r>
        <w:rPr>
          <w:rFonts w:hint="eastAsia" w:ascii="仿宋_GB2312" w:hAnsi="仿宋" w:eastAsia="仿宋_GB2312"/>
          <w:color w:val="000000" w:themeColor="text1"/>
          <w:sz w:val="32"/>
          <w:szCs w:val="32"/>
          <w14:textFill>
            <w14:solidFill>
              <w14:schemeClr w14:val="tx1"/>
            </w14:solidFill>
          </w14:textFill>
        </w:rPr>
        <w:t>加强</w:t>
      </w:r>
      <w:r>
        <w:rPr>
          <w:rFonts w:ascii="仿宋_GB2312" w:hAnsi="仿宋" w:eastAsia="仿宋_GB2312"/>
          <w:color w:val="000000" w:themeColor="text1"/>
          <w:sz w:val="32"/>
          <w:szCs w:val="32"/>
          <w14:textFill>
            <w14:solidFill>
              <w14:schemeClr w14:val="tx1"/>
            </w14:solidFill>
          </w14:textFill>
        </w:rPr>
        <w:t>交通噪声防治</w:t>
      </w:r>
      <w:r>
        <w:rPr>
          <w:rFonts w:hint="eastAsia" w:ascii="仿宋_GB2312" w:hAnsi="仿宋" w:eastAsia="仿宋_GB2312"/>
          <w:color w:val="000000" w:themeColor="text1"/>
          <w:sz w:val="32"/>
          <w:szCs w:val="32"/>
          <w14:textFill>
            <w14:solidFill>
              <w14:schemeClr w14:val="tx1"/>
            </w14:solidFill>
          </w14:textFill>
        </w:rPr>
        <w:t>，加强绿化屏障阻隔道路噪声扩散，促进主干道路面采用多孔隙沥青路面的降噪改造。加强</w:t>
      </w:r>
      <w:r>
        <w:rPr>
          <w:rFonts w:ascii="仿宋_GB2312" w:hAnsi="仿宋" w:eastAsia="仿宋_GB2312"/>
          <w:color w:val="000000" w:themeColor="text1"/>
          <w:sz w:val="32"/>
          <w:szCs w:val="32"/>
          <w14:textFill>
            <w14:solidFill>
              <w14:schemeClr w14:val="tx1"/>
            </w14:solidFill>
          </w14:textFill>
        </w:rPr>
        <w:t>重点工地监管，</w:t>
      </w:r>
      <w:r>
        <w:rPr>
          <w:rFonts w:hint="eastAsia" w:ascii="仿宋_GB2312" w:hAnsi="仿宋" w:eastAsia="仿宋_GB2312"/>
          <w:color w:val="000000" w:themeColor="text1"/>
          <w:sz w:val="32"/>
          <w:szCs w:val="32"/>
          <w14:textFill>
            <w14:solidFill>
              <w14:schemeClr w14:val="tx1"/>
            </w14:solidFill>
          </w14:textFill>
        </w:rPr>
        <w:t>加大夜间施工管控力度，</w:t>
      </w:r>
      <w:r>
        <w:rPr>
          <w:rFonts w:ascii="仿宋_GB2312" w:hAnsi="仿宋" w:eastAsia="仿宋_GB2312"/>
          <w:color w:val="000000" w:themeColor="text1"/>
          <w:sz w:val="32"/>
          <w:szCs w:val="32"/>
          <w14:textFill>
            <w14:solidFill>
              <w14:schemeClr w14:val="tx1"/>
            </w14:solidFill>
          </w14:textFill>
        </w:rPr>
        <w:t>加强</w:t>
      </w:r>
      <w:r>
        <w:rPr>
          <w:rFonts w:hint="eastAsia" w:ascii="仿宋_GB2312" w:hAnsi="仿宋" w:eastAsia="仿宋_GB2312"/>
          <w:color w:val="000000" w:themeColor="text1"/>
          <w:sz w:val="32"/>
          <w:szCs w:val="32"/>
          <w14:textFill>
            <w14:solidFill>
              <w14:schemeClr w14:val="tx1"/>
            </w14:solidFill>
          </w14:textFill>
        </w:rPr>
        <w:t>工地</w:t>
      </w:r>
      <w:r>
        <w:rPr>
          <w:rFonts w:ascii="仿宋_GB2312" w:hAnsi="仿宋" w:eastAsia="仿宋_GB2312"/>
          <w:color w:val="000000" w:themeColor="text1"/>
          <w:sz w:val="32"/>
          <w:szCs w:val="32"/>
          <w14:textFill>
            <w14:solidFill>
              <w14:schemeClr w14:val="tx1"/>
            </w14:solidFill>
          </w14:textFill>
        </w:rPr>
        <w:t>噪声防治。</w:t>
      </w:r>
      <w:r>
        <w:rPr>
          <w:rFonts w:hint="eastAsia" w:ascii="仿宋_GB2312" w:hAnsi="仿宋" w:eastAsia="仿宋_GB2312"/>
          <w:color w:val="000000" w:themeColor="text1"/>
          <w:sz w:val="32"/>
          <w:szCs w:val="32"/>
          <w14:textFill>
            <w14:solidFill>
              <w14:schemeClr w14:val="tx1"/>
            </w14:solidFill>
          </w14:textFill>
        </w:rPr>
        <w:t>加强社区噪声管理宣传，</w:t>
      </w:r>
      <w:r>
        <w:rPr>
          <w:rFonts w:ascii="仿宋_GB2312" w:hAnsi="仿宋" w:eastAsia="仿宋_GB2312"/>
          <w:color w:val="000000" w:themeColor="text1"/>
          <w:sz w:val="32"/>
          <w:szCs w:val="32"/>
          <w14:textFill>
            <w14:solidFill>
              <w14:schemeClr w14:val="tx1"/>
            </w14:solidFill>
          </w14:textFill>
        </w:rPr>
        <w:t>严格限制噪声敏感区域产生</w:t>
      </w:r>
      <w:r>
        <w:rPr>
          <w:rFonts w:hint="eastAsia" w:ascii="仿宋_GB2312" w:hAnsi="仿宋" w:eastAsia="仿宋_GB2312"/>
          <w:color w:val="000000" w:themeColor="text1"/>
          <w:sz w:val="32"/>
          <w:szCs w:val="32"/>
          <w14:textFill>
            <w14:solidFill>
              <w14:schemeClr w14:val="tx1"/>
            </w14:solidFill>
          </w14:textFill>
        </w:rPr>
        <w:t>高</w:t>
      </w:r>
      <w:r>
        <w:rPr>
          <w:rFonts w:ascii="仿宋_GB2312" w:hAnsi="仿宋" w:eastAsia="仿宋_GB2312"/>
          <w:color w:val="000000" w:themeColor="text1"/>
          <w:sz w:val="32"/>
          <w:szCs w:val="32"/>
          <w14:textFill>
            <w14:solidFill>
              <w14:schemeClr w14:val="tx1"/>
            </w14:solidFill>
          </w14:textFill>
        </w:rPr>
        <w:t>噪声的活动。</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三、扎实开展“无废城市”建设</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对标国内国际先进标杆，实行减量、处置、执法、管控四轮并驱，争创柳州“无废城市”建设示范区，实现工业废物、建筑垃圾、生活垃圾等“城市三废”全口径无害化处理。全面压实生产企业固体废物分类收集与处置责任，确保固体废物得到安全妥善处理处置。加强建筑垃圾管控，减少工程建设过程建筑垃圾的产生和排放，提高对建筑垃圾再生品的有效利用，探索建设柳东新区环境治理技术应用示范基地。严格落实《柳州市生活垃圾分类管理条例》，实行垃圾收运强制分类全覆盖，到2025年基本建成垃圾分类处理系统。建设粪污集中处理厂、大型生活垃圾转运站，大力推动固体废物、危险废物处理处置设施规划和建设。到2025年，工业固体废物安全处置率100%，废弃产品规范回收与循环利用率50%，危险废弃物处理处置率保持100%，城市生活垃圾无害化处理率100%。</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着力提高</w:t>
      </w:r>
      <w:r>
        <w:rPr>
          <w:rFonts w:ascii="黑体" w:hAnsi="黑体" w:eastAsia="黑体"/>
          <w:b w:val="0"/>
          <w:color w:val="000000" w:themeColor="text1"/>
          <w14:textFill>
            <w14:solidFill>
              <w14:schemeClr w14:val="tx1"/>
            </w14:solidFill>
          </w14:textFill>
        </w:rPr>
        <w:t>土壤</w:t>
      </w:r>
      <w:r>
        <w:rPr>
          <w:rFonts w:hint="eastAsia" w:ascii="黑体" w:hAnsi="黑体" w:eastAsia="黑体"/>
          <w:b w:val="0"/>
          <w:color w:val="000000" w:themeColor="text1"/>
          <w14:textFill>
            <w14:solidFill>
              <w14:schemeClr w14:val="tx1"/>
            </w14:solidFill>
          </w14:textFill>
        </w:rPr>
        <w:t>环境质量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积极开展重点</w:t>
      </w:r>
      <w:r>
        <w:rPr>
          <w:rFonts w:ascii="仿宋_GB2312" w:hAnsi="仿宋" w:eastAsia="仿宋_GB2312"/>
          <w:color w:val="000000" w:themeColor="text1"/>
          <w:sz w:val="32"/>
          <w:szCs w:val="32"/>
          <w14:textFill>
            <w14:solidFill>
              <w14:schemeClr w14:val="tx1"/>
            </w14:solidFill>
          </w14:textFill>
        </w:rPr>
        <w:t>建设用地、重点行业企业用地等</w:t>
      </w:r>
      <w:r>
        <w:rPr>
          <w:rFonts w:hint="eastAsia" w:ascii="仿宋_GB2312" w:hAnsi="仿宋" w:eastAsia="仿宋_GB2312"/>
          <w:color w:val="000000" w:themeColor="text1"/>
          <w:sz w:val="32"/>
          <w:szCs w:val="32"/>
          <w14:textFill>
            <w14:solidFill>
              <w14:schemeClr w14:val="tx1"/>
            </w14:solidFill>
          </w14:textFill>
        </w:rPr>
        <w:t>土壤环境质量调查，建立建设用地污染地块清单和集中式饮用水水源地潜在风险地块清单，推动</w:t>
      </w:r>
      <w:r>
        <w:rPr>
          <w:rFonts w:ascii="仿宋_GB2312" w:hAnsi="仿宋" w:eastAsia="仿宋_GB2312"/>
          <w:color w:val="000000" w:themeColor="text1"/>
          <w:sz w:val="32"/>
          <w:szCs w:val="32"/>
          <w14:textFill>
            <w14:solidFill>
              <w14:schemeClr w14:val="tx1"/>
            </w14:solidFill>
          </w14:textFill>
        </w:rPr>
        <w:t>完成</w:t>
      </w:r>
      <w:r>
        <w:rPr>
          <w:rFonts w:hint="eastAsia" w:ascii="仿宋_GB2312" w:hAnsi="仿宋" w:eastAsia="仿宋_GB2312"/>
          <w:color w:val="000000" w:themeColor="text1"/>
          <w:sz w:val="32"/>
          <w:szCs w:val="32"/>
          <w14:textFill>
            <w14:solidFill>
              <w14:schemeClr w14:val="tx1"/>
            </w14:solidFill>
          </w14:textFill>
        </w:rPr>
        <w:t>农用地土壤环境质量类别划分。推动土壤建设用地分用途管理，集中式饮用水水源地分级管理，农用地土壤分类管理。加快</w:t>
      </w:r>
      <w:r>
        <w:rPr>
          <w:rFonts w:ascii="仿宋_GB2312" w:hAnsi="仿宋"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一地一策”土壤污染整治，在重点行业和区域分步实施土壤污染治理和修复，促进土壤环境污染修复，提高受污染土地安全利用率。坚持“资源化、无害化、低碳节能、安全环保、因地制宜”的原则，推动污水处理剩余污泥用于土地再利用。完善土壤污染快速检测等调查取证和执法装备配备，加强土壤污染防治培训，提高土壤环境质量监督执法水平。</w:t>
      </w:r>
    </w:p>
    <w:bookmarkEnd w:id="529"/>
    <w:bookmarkEnd w:id="530"/>
    <w:bookmarkEnd w:id="531"/>
    <w:bookmarkEnd w:id="532"/>
    <w:bookmarkEnd w:id="533"/>
    <w:bookmarkEnd w:id="534"/>
    <w:bookmarkEnd w:id="535"/>
    <w:bookmarkEnd w:id="536"/>
    <w:p>
      <w:pPr>
        <w:pStyle w:val="4"/>
        <w:jc w:val="center"/>
        <w:rPr>
          <w:rFonts w:hint="eastAsia" w:ascii="黑体" w:hAnsi="黑体" w:eastAsia="黑体" w:cs="Times New Roman"/>
          <w:b w:val="0"/>
          <w:color w:val="000000" w:themeColor="text1"/>
          <w14:textFill>
            <w14:solidFill>
              <w14:schemeClr w14:val="tx1"/>
            </w14:solidFill>
          </w14:textFill>
        </w:rPr>
      </w:pPr>
      <w:bookmarkStart w:id="537" w:name="_Toc28039"/>
      <w:bookmarkStart w:id="538" w:name="_Toc102"/>
      <w:bookmarkStart w:id="539" w:name="_Toc16896"/>
      <w:bookmarkStart w:id="540" w:name="_Toc16255"/>
      <w:bookmarkStart w:id="541" w:name="_Toc23113"/>
      <w:bookmarkStart w:id="542" w:name="_Toc75341689"/>
      <w:bookmarkStart w:id="543" w:name="_Toc15274"/>
      <w:bookmarkStart w:id="544" w:name="_Toc18225"/>
      <w:bookmarkStart w:id="545" w:name="_Toc3472"/>
      <w:bookmarkStart w:id="546" w:name="_Toc6010"/>
      <w:bookmarkStart w:id="547" w:name="_Toc27583"/>
      <w:bookmarkStart w:id="548" w:name="_Toc11346"/>
      <w:bookmarkStart w:id="549" w:name="_Toc28532"/>
      <w:bookmarkStart w:id="550" w:name="_Toc13632"/>
      <w:bookmarkStart w:id="551" w:name="_Toc9228"/>
      <w:bookmarkStart w:id="552" w:name="_Toc8156"/>
      <w:bookmarkStart w:id="553" w:name="_Toc12821"/>
      <w:bookmarkStart w:id="554" w:name="_Toc12908"/>
      <w:bookmarkStart w:id="555" w:name="_Toc9654"/>
      <w:bookmarkStart w:id="556" w:name="_Toc31648"/>
      <w:bookmarkStart w:id="557" w:name="_Toc26424"/>
      <w:bookmarkStart w:id="558" w:name="_Toc15359"/>
      <w:bookmarkStart w:id="559" w:name="_Toc29687"/>
      <w:bookmarkStart w:id="560" w:name="_Toc21270"/>
      <w:r>
        <w:rPr>
          <w:rFonts w:hint="eastAsia" w:ascii="黑体" w:hAnsi="黑体" w:eastAsia="黑体" w:cs="Times New Roman"/>
          <w:b w:val="0"/>
          <w:color w:val="000000" w:themeColor="text1"/>
          <w14:textFill>
            <w14:solidFill>
              <w14:schemeClr w14:val="tx1"/>
            </w14:solidFill>
          </w14:textFill>
        </w:rPr>
        <w:t>第三节 积极推动绿色低碳发展</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ascii="黑体" w:hAnsi="黑体" w:eastAsia="黑体"/>
          <w:b w:val="0"/>
          <w:color w:val="000000" w:themeColor="text1"/>
          <w14:textFill>
            <w14:solidFill>
              <w14:schemeClr w14:val="tx1"/>
            </w14:solidFill>
          </w14:textFill>
        </w:rPr>
        <w:t>一、推广绿色生产方式</w:t>
      </w:r>
    </w:p>
    <w:p>
      <w:pPr>
        <w:adjustRightInd w:val="0"/>
        <w:snapToGrid w:val="0"/>
        <w:spacing w:line="360" w:lineRule="auto"/>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丰富绿色发展内涵，支撑新区可持续发展</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严格执行产业园区</w:t>
      </w:r>
      <w:r>
        <w:rPr>
          <w:rFonts w:hint="eastAsia" w:ascii="仿宋_GB2312" w:hAnsi="仿宋" w:eastAsia="仿宋_GB2312"/>
          <w:color w:val="000000" w:themeColor="text1"/>
          <w:sz w:val="32"/>
          <w:szCs w:val="32"/>
          <w14:textFill>
            <w14:solidFill>
              <w14:schemeClr w14:val="tx1"/>
            </w14:solidFill>
          </w14:textFill>
        </w:rPr>
        <w:t>能耗、用地、环保、安全、质量标准</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全面深化</w:t>
      </w:r>
      <w:r>
        <w:rPr>
          <w:rFonts w:eastAsia="仿宋_GB2312"/>
          <w:color w:val="000000" w:themeColor="text1"/>
          <w:sz w:val="32"/>
          <w:szCs w:val="32"/>
          <w14:textFill>
            <w14:solidFill>
              <w14:schemeClr w14:val="tx1"/>
            </w14:solidFill>
          </w14:textFill>
        </w:rPr>
        <w:t>国家级绿色工业园区</w:t>
      </w:r>
      <w:r>
        <w:rPr>
          <w:rFonts w:hint="eastAsia" w:ascii="仿宋_GB2312" w:hAnsi="仿宋" w:eastAsia="仿宋_GB2312"/>
          <w:color w:val="000000" w:themeColor="text1"/>
          <w:sz w:val="32"/>
          <w:szCs w:val="32"/>
          <w14:textFill>
            <w14:solidFill>
              <w14:schemeClr w14:val="tx1"/>
            </w14:solidFill>
          </w14:textFill>
        </w:rPr>
        <w:t>建设，不断强化建设方案实施，争取实现预期成效。引导产业发展与生态环境相互促进，推动企业技术设备更新升级和绿色化改造，实施产业集群和工业园区绿色化循环化升级改造。</w:t>
      </w:r>
      <w:r>
        <w:rPr>
          <w:rFonts w:ascii="仿宋_GB2312" w:hAnsi="仿宋" w:eastAsia="仿宋_GB2312"/>
          <w:color w:val="000000" w:themeColor="text1"/>
          <w:sz w:val="32"/>
          <w:szCs w:val="32"/>
          <w14:textFill>
            <w14:solidFill>
              <w14:schemeClr w14:val="tx1"/>
            </w14:solidFill>
          </w14:textFill>
        </w:rPr>
        <w:t>推出一批低碳经济发展示范工程，筛选1-2家低碳技术示范企业，发挥示范带动效应。</w:t>
      </w:r>
      <w:r>
        <w:rPr>
          <w:rFonts w:hint="eastAsia" w:ascii="仿宋_GB2312" w:hAnsi="仿宋" w:eastAsia="仿宋_GB2312"/>
          <w:color w:val="000000" w:themeColor="text1"/>
          <w:sz w:val="32"/>
          <w:szCs w:val="32"/>
          <w14:textFill>
            <w14:solidFill>
              <w14:schemeClr w14:val="tx1"/>
            </w14:solidFill>
          </w14:textFill>
        </w:rPr>
        <w:t>坚持分类处置，通过整合、提升、治理等手段，持续</w:t>
      </w:r>
      <w:r>
        <w:rPr>
          <w:rFonts w:ascii="仿宋_GB2312" w:hAnsi="仿宋" w:eastAsia="仿宋_GB2312"/>
          <w:color w:val="000000" w:themeColor="text1"/>
          <w:sz w:val="32"/>
          <w:szCs w:val="32"/>
          <w14:textFill>
            <w14:solidFill>
              <w14:schemeClr w14:val="tx1"/>
            </w14:solidFill>
          </w14:textFill>
        </w:rPr>
        <w:t>推进“散乱污”企业整治工作</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建立低碳技术研发创新平台，引导企业开展低碳技术的研发、关键技术攻关和产业化</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促进节能环保产业循环化发展。积极推进工业再制造，推动汽车、工程机械关键零部件的再制造，实现零部件循环利用。</w:t>
      </w:r>
      <w:r>
        <w:rPr>
          <w:rFonts w:hint="eastAsia" w:ascii="仿宋_GB2312" w:hAnsi="仿宋" w:eastAsia="仿宋_GB2312"/>
          <w:color w:val="000000" w:themeColor="text1"/>
          <w:sz w:val="32"/>
          <w:szCs w:val="32"/>
          <w14:textFill>
            <w14:solidFill>
              <w14:schemeClr w14:val="tx1"/>
            </w14:solidFill>
          </w14:textFill>
        </w:rPr>
        <w:t>落实强制清洁生产审核，推动重点企业完成清洁生产改造。实施能源消耗总量和强度双控行动，严格落实节能审查制度，强化节能审查事中事后监管，探索开展节能验收。</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二、加强建筑节能减排</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推进新建</w:t>
      </w:r>
      <w:r>
        <w:rPr>
          <w:rFonts w:ascii="仿宋_GB2312" w:hAnsi="仿宋" w:eastAsia="仿宋_GB2312"/>
          <w:color w:val="000000" w:themeColor="text1"/>
          <w:sz w:val="32"/>
          <w:szCs w:val="32"/>
          <w14:textFill>
            <w14:solidFill>
              <w14:schemeClr w14:val="tx1"/>
            </w14:solidFill>
          </w14:textFill>
        </w:rPr>
        <w:t>公共建筑全面实施</w:t>
      </w:r>
      <w:r>
        <w:rPr>
          <w:rFonts w:hint="eastAsia" w:ascii="仿宋_GB2312" w:hAnsi="仿宋" w:eastAsia="仿宋_GB2312"/>
          <w:color w:val="000000" w:themeColor="text1"/>
          <w:sz w:val="32"/>
          <w:szCs w:val="32"/>
          <w14:textFill>
            <w14:solidFill>
              <w14:schemeClr w14:val="tx1"/>
            </w14:solidFill>
          </w14:textFill>
        </w:rPr>
        <w:t>合同</w:t>
      </w:r>
      <w:r>
        <w:rPr>
          <w:rFonts w:ascii="仿宋_GB2312" w:hAnsi="仿宋" w:eastAsia="仿宋_GB2312"/>
          <w:color w:val="000000" w:themeColor="text1"/>
          <w:sz w:val="32"/>
          <w:szCs w:val="32"/>
          <w14:textFill>
            <w14:solidFill>
              <w14:schemeClr w14:val="tx1"/>
            </w14:solidFill>
          </w14:textFill>
        </w:rPr>
        <w:t>能源管理，</w:t>
      </w:r>
      <w:r>
        <w:rPr>
          <w:rFonts w:hint="eastAsia" w:ascii="仿宋_GB2312" w:hAnsi="仿宋" w:eastAsia="仿宋_GB2312"/>
          <w:color w:val="000000" w:themeColor="text1"/>
          <w:sz w:val="32"/>
          <w:szCs w:val="32"/>
          <w14:textFill>
            <w14:solidFill>
              <w14:schemeClr w14:val="tx1"/>
            </w14:solidFill>
          </w14:textFill>
        </w:rPr>
        <w:t>推动</w:t>
      </w:r>
      <w:r>
        <w:rPr>
          <w:rFonts w:ascii="仿宋_GB2312" w:hAnsi="仿宋" w:eastAsia="仿宋_GB2312"/>
          <w:color w:val="000000" w:themeColor="text1"/>
          <w:sz w:val="32"/>
          <w:szCs w:val="32"/>
          <w14:textFill>
            <w14:solidFill>
              <w14:schemeClr w14:val="tx1"/>
            </w14:solidFill>
          </w14:textFill>
        </w:rPr>
        <w:t>大型公共建筑用能系统的节能改造，提高用能</w:t>
      </w:r>
      <w:r>
        <w:rPr>
          <w:rFonts w:hint="eastAsia" w:ascii="仿宋_GB2312" w:hAnsi="仿宋" w:eastAsia="仿宋_GB2312"/>
          <w:color w:val="000000" w:themeColor="text1"/>
          <w:sz w:val="32"/>
          <w:szCs w:val="32"/>
          <w14:textFill>
            <w14:solidFill>
              <w14:schemeClr w14:val="tx1"/>
            </w14:solidFill>
          </w14:textFill>
        </w:rPr>
        <w:t>效率</w:t>
      </w:r>
      <w:r>
        <w:rPr>
          <w:rFonts w:ascii="仿宋_GB2312" w:hAnsi="仿宋" w:eastAsia="仿宋_GB2312"/>
          <w:color w:val="000000" w:themeColor="text1"/>
          <w:sz w:val="32"/>
          <w:szCs w:val="32"/>
          <w14:textFill>
            <w14:solidFill>
              <w14:schemeClr w14:val="tx1"/>
            </w14:solidFill>
          </w14:textFill>
        </w:rPr>
        <w:t>和管理水平。</w:t>
      </w:r>
      <w:r>
        <w:rPr>
          <w:rFonts w:hint="eastAsia" w:ascii="仿宋_GB2312" w:hAnsi="仿宋" w:eastAsia="仿宋_GB2312"/>
          <w:color w:val="000000" w:themeColor="text1"/>
          <w:sz w:val="32"/>
          <w:szCs w:val="32"/>
          <w14:textFill>
            <w14:solidFill>
              <w14:schemeClr w14:val="tx1"/>
            </w14:solidFill>
          </w14:textFill>
        </w:rPr>
        <w:t>新建快速路和主干道等，同步实施综合管廊建设。</w:t>
      </w:r>
      <w:r>
        <w:rPr>
          <w:rFonts w:ascii="仿宋_GB2312" w:hAnsi="仿宋" w:eastAsia="仿宋_GB2312"/>
          <w:color w:val="000000" w:themeColor="text1"/>
          <w:sz w:val="32"/>
          <w:szCs w:val="32"/>
          <w14:textFill>
            <w14:solidFill>
              <w14:schemeClr w14:val="tx1"/>
            </w14:solidFill>
          </w14:textFill>
        </w:rPr>
        <w:t>在交通、水务、园林绿化等政府投资工程</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推广使用建筑废弃物综合利用产品</w:t>
      </w:r>
      <w:r>
        <w:rPr>
          <w:rFonts w:hint="eastAsia" w:ascii="仿宋_GB2312" w:hAnsi="仿宋" w:eastAsia="仿宋_GB2312"/>
          <w:color w:val="000000" w:themeColor="text1"/>
          <w:sz w:val="32"/>
          <w:szCs w:val="32"/>
          <w14:textFill>
            <w14:solidFill>
              <w14:schemeClr w14:val="tx1"/>
            </w14:solidFill>
          </w14:textFill>
        </w:rPr>
        <w:t>。推广实施装配式建筑，到2025年装配式建筑面积比例达到30%。积极推动</w:t>
      </w:r>
      <w:r>
        <w:rPr>
          <w:rFonts w:ascii="仿宋_GB2312" w:hAnsi="仿宋" w:eastAsia="仿宋_GB2312"/>
          <w:color w:val="000000" w:themeColor="text1"/>
          <w:sz w:val="32"/>
          <w:szCs w:val="32"/>
          <w14:textFill>
            <w14:solidFill>
              <w14:schemeClr w14:val="tx1"/>
            </w14:solidFill>
          </w14:textFill>
        </w:rPr>
        <w:t>新建国家二星级以上绿色建筑比例</w:t>
      </w:r>
      <w:r>
        <w:rPr>
          <w:rFonts w:hint="eastAsia" w:ascii="仿宋_GB2312" w:hAnsi="仿宋" w:eastAsia="仿宋_GB2312"/>
          <w:color w:val="000000" w:themeColor="text1"/>
          <w:sz w:val="32"/>
          <w:szCs w:val="32"/>
          <w14:textFill>
            <w14:solidFill>
              <w14:schemeClr w14:val="tx1"/>
            </w14:solidFill>
          </w14:textFill>
        </w:rPr>
        <w:t>持续提高，推广BIM建造管理模式，</w:t>
      </w:r>
      <w:r>
        <w:rPr>
          <w:rFonts w:ascii="仿宋_GB2312" w:hAnsi="仿宋_GB2312" w:eastAsia="仿宋_GB2312" w:cs="仿宋_GB2312"/>
          <w:color w:val="000000" w:themeColor="text1"/>
          <w:sz w:val="32"/>
          <w:szCs w:val="32"/>
          <w14:textFill>
            <w14:solidFill>
              <w14:schemeClr w14:val="tx1"/>
            </w14:solidFill>
          </w14:textFill>
        </w:rPr>
        <w:t>城镇新建民用建筑全面执行建筑节能强制性标准和绿色建筑标准</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到2025年，</w:t>
      </w:r>
      <w:r>
        <w:rPr>
          <w:rFonts w:hint="eastAsia" w:ascii="仿宋_GB2312" w:hAnsi="仿宋" w:eastAsia="仿宋_GB2312"/>
          <w:color w:val="000000" w:themeColor="text1"/>
          <w:sz w:val="32"/>
          <w:szCs w:val="32"/>
          <w14:textFill>
            <w14:solidFill>
              <w14:schemeClr w14:val="tx1"/>
            </w14:solidFill>
          </w14:textFill>
        </w:rPr>
        <w:t>新区新增绿色建筑面积750万平方米，其中新区党政机关办公楼按二星级规范建设。</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三、倡导低碳</w:t>
      </w:r>
      <w:r>
        <w:rPr>
          <w:rFonts w:ascii="黑体" w:hAnsi="黑体" w:eastAsia="黑体"/>
          <w:b w:val="0"/>
          <w:color w:val="000000" w:themeColor="text1"/>
          <w14:textFill>
            <w14:solidFill>
              <w14:schemeClr w14:val="tx1"/>
            </w14:solidFill>
          </w14:textFill>
        </w:rPr>
        <w:t>文明</w:t>
      </w:r>
      <w:r>
        <w:rPr>
          <w:rFonts w:hint="eastAsia" w:ascii="黑体" w:hAnsi="黑体" w:eastAsia="黑体"/>
          <w:b w:val="0"/>
          <w:color w:val="000000" w:themeColor="text1"/>
          <w14:textFill>
            <w14:solidFill>
              <w14:schemeClr w14:val="tx1"/>
            </w14:solidFill>
          </w14:textFill>
        </w:rPr>
        <w:t>生活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倡导低碳生产、低碳生活和低碳消费方式，开展“低碳机关”“低碳学校”“低碳园区”“低碳企业”和“低碳社区”等创建活动。开展行政办公场所节能改造和节约型公共机构示范单位创建活动，创建具有标杆性的低碳示范单位。</w:t>
      </w:r>
      <w:r>
        <w:rPr>
          <w:rFonts w:hint="eastAsia" w:ascii="仿宋_GB2312" w:hAnsi="仿宋" w:eastAsia="仿宋_GB2312"/>
          <w:color w:val="000000" w:themeColor="text1"/>
          <w:sz w:val="32"/>
          <w:szCs w:val="32"/>
          <w14:textFill>
            <w14:solidFill>
              <w14:schemeClr w14:val="tx1"/>
            </w14:solidFill>
          </w14:textFill>
        </w:rPr>
        <w:t>加快推进轻轨、公交、慢行交通建设，构建便民绿色公共出行系统；大力推动无车日活动，鼓励引导市民绿色出行；加快充电桩等新能源汽车配套设施建设，推广新能源车辆应用。鼓励居民绿色消费，推广高效节能产品和绿色环保产品。开展“世界环境日”“环保进社区”等生态文明主题宣传，深入企业、社区、学校普法宣法，加强宣传教育，增强全民保护环境、资源节约、资源重复利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四、打造节水标杆城区</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强供水漏损控制，实施供水管网更新措施，精进供水管网运行管理，推进供水管网探漏信息化，多措并举降漏损。加强再生水利用，提高再生水安全标准，扩大再生水应用领域，推动再生水用于市政杂用、河流生态补水、工业冷却水等。推进高耗水行业节水改造，推进工业节水减排，加强企业水资源循环利用，开展节水型企业创建，建设节水型工业园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期间节水型企业覆盖率达到</w:t>
      </w:r>
      <w:r>
        <w:rPr>
          <w:rFonts w:ascii="仿宋_GB2312" w:hAnsi="仿宋" w:eastAsia="仿宋_GB2312"/>
          <w:color w:val="000000" w:themeColor="text1"/>
          <w:sz w:val="32"/>
          <w:szCs w:val="32"/>
          <w14:textFill>
            <w14:solidFill>
              <w14:schemeClr w14:val="tx1"/>
            </w14:solidFill>
          </w14:textFill>
        </w:rPr>
        <w:t>20%</w:t>
      </w:r>
      <w:r>
        <w:rPr>
          <w:rFonts w:hint="eastAsia" w:ascii="仿宋_GB2312" w:hAnsi="仿宋" w:eastAsia="仿宋_GB2312"/>
          <w:color w:val="000000" w:themeColor="text1"/>
          <w:sz w:val="32"/>
          <w:szCs w:val="32"/>
          <w14:textFill>
            <w14:solidFill>
              <w14:schemeClr w14:val="tx1"/>
            </w14:solidFill>
          </w14:textFill>
        </w:rPr>
        <w:t>以上。强化节水型公共机构创建，新区机关全部建成节水型单位。强化居民家庭节水，定期开展节水型生活用水器具普及率调查，利用宣传推广和经济措施，鼓励社会各界使用节水器具。积极推进节水型居民小区、节水好家庭等创建活动，</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期间，节水型小区覆盖率达到</w:t>
      </w:r>
      <w:r>
        <w:rPr>
          <w:rFonts w:ascii="仿宋_GB2312" w:hAnsi="仿宋" w:eastAsia="仿宋_GB2312"/>
          <w:color w:val="000000" w:themeColor="text1"/>
          <w:sz w:val="32"/>
          <w:szCs w:val="32"/>
          <w14:textFill>
            <w14:solidFill>
              <w14:schemeClr w14:val="tx1"/>
            </w14:solidFill>
          </w14:textFill>
        </w:rPr>
        <w:t>30%</w:t>
      </w:r>
      <w:r>
        <w:rPr>
          <w:rFonts w:hint="eastAsia" w:ascii="仿宋_GB2312" w:hAnsi="仿宋" w:eastAsia="仿宋_GB2312"/>
          <w:color w:val="000000" w:themeColor="text1"/>
          <w:sz w:val="32"/>
          <w:szCs w:val="32"/>
          <w14:textFill>
            <w14:solidFill>
              <w14:schemeClr w14:val="tx1"/>
            </w14:solidFill>
          </w14:textFill>
        </w:rPr>
        <w:t>以上。</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五、推动新区智慧环保建设</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建立生态环境监测监控一张网，实现对全区污染源排放、环境质量的一体化实时感知，以污染源信息库为基础，构建污染源全生命周期管理模型，串联污染源监管日常执法、信访投诉、行政管理等业务信息，强化完整的数据资产管控和技术支撑能力，提升生态环境质量和环境监管现状水平；建立预警处置平台，实现生态环境预警手段的多样性和预警的及时性，强化生态环境问题精准监管和协同处置的能力，整体提升监管效率，监管效能。</w:t>
      </w:r>
      <w:r>
        <w:rPr>
          <w:rFonts w:hint="eastAsia" w:ascii="仿宋_GB2312" w:hAnsi="仿宋"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561" w:name="_Toc30832"/>
      <w:bookmarkStart w:id="562" w:name="_Toc13992"/>
      <w:bookmarkStart w:id="563" w:name="_Toc809"/>
      <w:bookmarkStart w:id="564" w:name="_Toc75341690"/>
      <w:bookmarkStart w:id="565" w:name="_Toc1707"/>
      <w:bookmarkStart w:id="566" w:name="_Toc15791"/>
      <w:bookmarkStart w:id="567" w:name="_Toc9152"/>
      <w:bookmarkStart w:id="568" w:name="_Toc13935"/>
      <w:bookmarkStart w:id="569" w:name="_Toc26091"/>
      <w:bookmarkStart w:id="570" w:name="_Toc1639"/>
      <w:bookmarkStart w:id="571" w:name="_Toc1417"/>
      <w:bookmarkStart w:id="572" w:name="_Toc29414"/>
      <w:bookmarkStart w:id="573" w:name="_Toc23103"/>
      <w:bookmarkStart w:id="574" w:name="_Toc768"/>
      <w:bookmarkStart w:id="575" w:name="_Toc42856349"/>
      <w:bookmarkStart w:id="576" w:name="_Toc32341"/>
      <w:bookmarkStart w:id="577" w:name="_Toc24715"/>
      <w:bookmarkStart w:id="578" w:name="_Toc19273"/>
      <w:bookmarkStart w:id="579" w:name="_Toc21236"/>
      <w:bookmarkStart w:id="580" w:name="_Toc24180"/>
      <w:bookmarkStart w:id="581" w:name="_Toc23585"/>
      <w:bookmarkStart w:id="582" w:name="_Toc6249"/>
      <w:bookmarkStart w:id="583" w:name="_Toc15185"/>
      <w:bookmarkStart w:id="584" w:name="_Toc32561"/>
      <w:bookmarkStart w:id="585" w:name="_Toc13727"/>
      <w:bookmarkStart w:id="586" w:name="_Toc18163"/>
      <w:bookmarkStart w:id="587" w:name="_Toc19356"/>
      <w:r>
        <w:rPr>
          <w:rFonts w:hint="eastAsia" w:ascii="黑体" w:hAnsi="黑体" w:eastAsia="黑体" w:cs="Times New Roman"/>
          <w:b w:val="0"/>
          <w:color w:val="000000" w:themeColor="text1"/>
          <w:sz w:val="32"/>
          <w:szCs w:val="32"/>
          <w14:textFill>
            <w14:solidFill>
              <w14:schemeClr w14:val="tx1"/>
            </w14:solidFill>
          </w14:textFill>
        </w:rPr>
        <w:t>第九章 保障措施与机制</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实现新区“十四五”规划和二〇三五年远景目标，需要新区坚持党的全面领导，充分调动一切积极因素，广泛团结一切可以团结的力量，形成推动发展的强大合力，以经济社会发展规律为出发，坚持改革创新、坚持目标导向，坚持重点支撑，建立科学系统的规划实施保障机制。</w:t>
      </w:r>
      <w:bookmarkStart w:id="588" w:name="_Toc438750488"/>
      <w:bookmarkStart w:id="589" w:name="_Toc426483001"/>
      <w:bookmarkStart w:id="590" w:name="_Toc426480416"/>
      <w:bookmarkStart w:id="591" w:name="_Toc426479616"/>
      <w:bookmarkStart w:id="592" w:name="_Toc426480498"/>
      <w:bookmarkStart w:id="593" w:name="_Toc426479943"/>
    </w:p>
    <w:p>
      <w:pPr>
        <w:pStyle w:val="4"/>
        <w:jc w:val="center"/>
        <w:rPr>
          <w:rFonts w:hint="eastAsia" w:ascii="黑体" w:hAnsi="黑体" w:eastAsia="黑体" w:cs="Times New Roman"/>
          <w:b w:val="0"/>
          <w:color w:val="000000" w:themeColor="text1"/>
          <w14:textFill>
            <w14:solidFill>
              <w14:schemeClr w14:val="tx1"/>
            </w14:solidFill>
          </w14:textFill>
        </w:rPr>
      </w:pPr>
      <w:bookmarkStart w:id="594" w:name="_Toc18263"/>
      <w:bookmarkStart w:id="595" w:name="_Toc14755"/>
      <w:bookmarkStart w:id="596" w:name="_Toc5651"/>
      <w:bookmarkStart w:id="597" w:name="_Toc32046"/>
      <w:bookmarkStart w:id="598" w:name="_Toc26744"/>
      <w:bookmarkStart w:id="599" w:name="_Toc22254"/>
      <w:bookmarkStart w:id="600" w:name="_Toc42856350"/>
      <w:bookmarkStart w:id="601" w:name="_Toc19821"/>
      <w:bookmarkStart w:id="602" w:name="_Toc25686"/>
      <w:bookmarkStart w:id="603" w:name="_Toc2612"/>
      <w:bookmarkStart w:id="604" w:name="_Toc16122"/>
      <w:bookmarkStart w:id="605" w:name="_Toc13364"/>
      <w:bookmarkStart w:id="606" w:name="_Toc7000"/>
      <w:bookmarkStart w:id="607" w:name="_Toc17415"/>
      <w:bookmarkStart w:id="608" w:name="_Toc2525"/>
      <w:bookmarkStart w:id="609" w:name="_Toc21454"/>
      <w:bookmarkStart w:id="610" w:name="_Toc19532"/>
      <w:bookmarkStart w:id="611" w:name="_Toc17494"/>
      <w:bookmarkStart w:id="612" w:name="_Toc75341691"/>
      <w:bookmarkStart w:id="613" w:name="_Toc31134"/>
      <w:bookmarkStart w:id="614" w:name="_Toc25577"/>
      <w:bookmarkStart w:id="615" w:name="_Toc5191"/>
      <w:bookmarkStart w:id="616" w:name="_Toc22097"/>
      <w:bookmarkStart w:id="617" w:name="_Toc1729"/>
      <w:bookmarkStart w:id="618" w:name="_Toc507"/>
      <w:bookmarkStart w:id="619" w:name="_Toc22655"/>
      <w:bookmarkStart w:id="620" w:name="_Toc29904"/>
      <w:r>
        <w:rPr>
          <w:rFonts w:hint="eastAsia" w:ascii="黑体" w:hAnsi="黑体" w:eastAsia="黑体" w:cs="Times New Roman"/>
          <w:b w:val="0"/>
          <w:color w:val="000000" w:themeColor="text1"/>
          <w14:textFill>
            <w14:solidFill>
              <w14:schemeClr w14:val="tx1"/>
            </w14:solidFill>
          </w14:textFill>
        </w:rPr>
        <w:t>第一节 强化规划实施组织协调</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一、加强党的核心领导作用</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贯彻党把方向、谋大局、定政策、促改革的要求，深入学习贯彻习近平新时代中国特色社会主义思想，增强“四个意识”、坚定“四个自信”、做到“两个维护”，完善上下贯通、执行有力的组织体系，确保党中央决策部署有效落实。加强新区党工委总揽全局、协调各方的核心领导作用，发挥各级党组织领导作用，保证规划实施推进的政治导向和正确方向，统一领导、统一部署、统筹协调、考核评价和督办督查。深化容错纠错机制，贯彻“三个区分开来”，保护干部干事创业热情。作风建设常抓不懈，激励广大干部新时代新担当新作为。发挥新区议事机构作用和基层党组织的落地执行力作用，广泛凝聚社会各界的智慧，为规划纲要各项任务的顺利推进和落实提供组织保障、纪律保障、机制保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二、加强各级领导的责任担当</w:t>
      </w:r>
    </w:p>
    <w:p>
      <w:pPr>
        <w:adjustRightInd w:val="0"/>
        <w:ind w:firstLine="640" w:firstLineChars="200"/>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新区党工委、管委会领导班子和各级各部门坚持知责于心、担责于身、履责于行，紧紧抓住习近平总书记视察广西、柳州时的重大机遇，以深入开展党史学习教育凝聚强大动力，坚定信心，立足当下，着眼长远，对本部门“十四五”发展目标、重点任务、思路举措进行再研究、再梳理、再优化，以过硬的作风抓好贯彻落实，努力取得更好成绩。</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 xml:space="preserve">三、加强规划衔接和细化 </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强化总体规划的引导地位，充分发挥规划的统筹协调和宏观指导作用。新区各专项规划切实贯彻总体规划的目标战略和主要任务，加强与总体规划各项指标的衔接。建立健全总体规划的组织体系，制定规划年度实施方案，落实牵头单位和工作责任，明确实施进度和推进措施，形成新区各部门之间的协调合作机制，对工作进程中出现的新问题、新情况及时沟通协调，分析研究解决办法和应对措施。专家咨询机制，建设提供决策询问和参考。通过实施建设计划、行动计划、年度计划、各类政策意见、实施方案等，分解规划纲要提出的目标任务，推进规划纲要的实施。</w:t>
      </w:r>
    </w:p>
    <w:bookmarkEnd w:id="588"/>
    <w:bookmarkEnd w:id="589"/>
    <w:bookmarkEnd w:id="590"/>
    <w:bookmarkEnd w:id="591"/>
    <w:bookmarkEnd w:id="592"/>
    <w:bookmarkEnd w:id="593"/>
    <w:p>
      <w:pPr>
        <w:pStyle w:val="4"/>
        <w:jc w:val="center"/>
        <w:rPr>
          <w:rFonts w:hint="eastAsia" w:ascii="黑体" w:hAnsi="黑体" w:eastAsia="黑体" w:cs="Times New Roman"/>
          <w:b w:val="0"/>
          <w:color w:val="000000" w:themeColor="text1"/>
          <w14:textFill>
            <w14:solidFill>
              <w14:schemeClr w14:val="tx1"/>
            </w14:solidFill>
          </w14:textFill>
        </w:rPr>
      </w:pPr>
      <w:bookmarkStart w:id="621" w:name="_Toc9256"/>
      <w:bookmarkStart w:id="622" w:name="_Toc8025"/>
      <w:bookmarkStart w:id="623" w:name="_Toc29080"/>
      <w:bookmarkStart w:id="624" w:name="_Toc3442"/>
      <w:bookmarkStart w:id="625" w:name="_Toc25563"/>
      <w:bookmarkStart w:id="626" w:name="_Toc13867"/>
      <w:bookmarkStart w:id="627" w:name="_Toc9294"/>
      <w:bookmarkStart w:id="628" w:name="_Toc25024"/>
      <w:bookmarkStart w:id="629" w:name="_Toc2261"/>
      <w:bookmarkStart w:id="630" w:name="_Toc11522"/>
      <w:bookmarkStart w:id="631" w:name="_Toc25293"/>
      <w:bookmarkStart w:id="632" w:name="_Toc4040"/>
      <w:bookmarkStart w:id="633" w:name="_Toc42856351"/>
      <w:bookmarkStart w:id="634" w:name="_Toc5008"/>
      <w:bookmarkStart w:id="635" w:name="_Toc13427"/>
      <w:bookmarkStart w:id="636" w:name="_Toc4400"/>
      <w:bookmarkStart w:id="637" w:name="_Toc4971"/>
      <w:bookmarkStart w:id="638" w:name="_Toc31979"/>
      <w:bookmarkStart w:id="639" w:name="_Toc13294"/>
      <w:bookmarkStart w:id="640" w:name="_Toc18067"/>
      <w:bookmarkStart w:id="641" w:name="_Toc28639"/>
      <w:bookmarkStart w:id="642" w:name="_Toc12692"/>
      <w:bookmarkStart w:id="643" w:name="_Toc17126"/>
      <w:bookmarkStart w:id="644" w:name="_Toc25589"/>
      <w:bookmarkStart w:id="645" w:name="_Toc18157"/>
      <w:bookmarkStart w:id="646" w:name="_Toc75341692"/>
      <w:bookmarkStart w:id="647" w:name="_Toc27103"/>
      <w:bookmarkStart w:id="648" w:name="_Toc426480424"/>
      <w:bookmarkStart w:id="649" w:name="_Toc426479618"/>
      <w:bookmarkStart w:id="650" w:name="_Toc438750496"/>
      <w:bookmarkStart w:id="651" w:name="_Toc426479951"/>
      <w:bookmarkStart w:id="652" w:name="_Toc426483009"/>
      <w:bookmarkStart w:id="653" w:name="_Toc426480500"/>
      <w:r>
        <w:rPr>
          <w:rFonts w:hint="eastAsia" w:ascii="黑体" w:hAnsi="黑体" w:eastAsia="黑体" w:cs="Times New Roman"/>
          <w:b w:val="0"/>
          <w:color w:val="000000" w:themeColor="text1"/>
          <w14:textFill>
            <w14:solidFill>
              <w14:schemeClr w14:val="tx1"/>
            </w14:solidFill>
          </w14:textFill>
        </w:rPr>
        <w:t>第二节 强化规划实施重大支撑</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w:t>
      </w:r>
      <w:bookmarkStart w:id="654" w:name="_Toc444451242"/>
      <w:r>
        <w:rPr>
          <w:rFonts w:hint="eastAsia" w:ascii="黑体" w:hAnsi="黑体" w:eastAsia="黑体"/>
          <w:b w:val="0"/>
          <w:color w:val="000000" w:themeColor="text1"/>
          <w14:textFill>
            <w14:solidFill>
              <w14:schemeClr w14:val="tx1"/>
            </w14:solidFill>
          </w14:textFill>
        </w:rPr>
        <w:t>强化重大项目支撑</w:t>
      </w:r>
      <w:bookmarkEnd w:id="654"/>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科学谋划重大项目。围绕补短板、促升级、增后劲、惠民生，组织实施好一批关系全局和长远发展的重大项目，注重发挥社会力量作用，着力提升基础设施水平，增强产业创新力和竞争力，促进改善生态环境，提高人民群众生活水平。优化重大项目投资行业结构和区域分布结构，保持投资规模稳步较快增长。围绕本规划确定的重点领域和区域，重点投向新基础建设领域、工业互联网领域、基本民生服务领域、城市更新领域和生态环境保护领域。“十四五”期间，柳东新区拟建设重大项目约530个，总投资约1730亿元。</w:t>
      </w:r>
    </w:p>
    <w:p>
      <w:pPr>
        <w:pStyle w:val="5"/>
        <w:spacing w:before="0" w:after="0"/>
        <w:ind w:firstLine="640" w:firstLineChars="200"/>
        <w:rPr>
          <w:rFonts w:ascii="黑体" w:hAnsi="黑体" w:eastAsia="黑体"/>
          <w:b w:val="0"/>
          <w:color w:val="000000" w:themeColor="text1"/>
          <w14:textFill>
            <w14:solidFill>
              <w14:schemeClr w14:val="tx1"/>
            </w14:solidFill>
          </w14:textFill>
        </w:rPr>
      </w:pPr>
      <w:bookmarkStart w:id="655" w:name="_Toc426483011"/>
      <w:bookmarkStart w:id="656" w:name="_Toc426479953"/>
      <w:bookmarkStart w:id="657" w:name="_Toc438750498"/>
      <w:bookmarkStart w:id="658" w:name="_Toc426480426"/>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、强化资金支撑保障</w:t>
      </w:r>
    </w:p>
    <w:p>
      <w:pPr>
        <w:pStyle w:val="9"/>
        <w:numPr>
          <w:ilvl w:val="255"/>
          <w:numId w:val="0"/>
        </w:num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创新优化政府投资行为，发挥好政府投资的引导和带动作用</w:t>
      </w:r>
      <w:r>
        <w:rPr>
          <w:rFonts w:hint="eastAsia" w:ascii="仿宋_GB2312" w:hAnsi="仿宋" w:eastAsia="仿宋_GB2312"/>
          <w:color w:val="000000" w:themeColor="text1"/>
          <w:sz w:val="32"/>
          <w:szCs w:val="32"/>
          <w14:textFill>
            <w14:solidFill>
              <w14:schemeClr w14:val="tx1"/>
            </w14:solidFill>
          </w14:textFill>
        </w:rPr>
        <w:t>，激发民间投资活力，形成市场主导的投资内生增长机制。强化财政保障政策的实施，创新发展有效的融资途径，解决基础设施建设中的融资瓶颈，推动市政建设市场化发展。灵活运用政府专项贷发行融资，多维度优化新区政府融资结构，鼓励市场化投资，增加有效融资。引入基于“PPP+ REITs”的集成融资模式，依托信托公司将民间资本聚集，有效解决过分依赖财政收入与政府资本的瓶颈，加快建设项目落地实施，增强可操作性和灵活性。积极探索通过“PPP+ REITs”方式盘活存量资产，形成资金和资产的良性循环。优化政府财政支出结构，集中财力保障重点、保民生、保大局，全面实施预算绩效管理，提高资金使用效能。</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w:t>
      </w:r>
      <w:bookmarkEnd w:id="655"/>
      <w:bookmarkEnd w:id="656"/>
      <w:bookmarkEnd w:id="657"/>
      <w:bookmarkEnd w:id="658"/>
      <w:r>
        <w:rPr>
          <w:rFonts w:hint="eastAsia" w:ascii="黑体" w:hAnsi="黑体" w:eastAsia="黑体"/>
          <w:b w:val="0"/>
          <w:color w:val="000000" w:themeColor="text1"/>
          <w14:textFill>
            <w14:solidFill>
              <w14:schemeClr w14:val="tx1"/>
            </w14:solidFill>
          </w14:textFill>
        </w:rPr>
        <w:t>、强化重大改革举措</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增强发展内生动力、激发市场活力，研究推出一批重大改革开放举措，重点厘清政府和市场、政府和社会关系的要求，努力在推动“放管服”改革、数字政府、社会信用体系建设、国土空间规划和土地管理、优秀人才进驻、劳动用工制度、生态环境治理等领域取得先行先试权限，率先取得新突破。</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59" w:name="_Toc31287"/>
      <w:bookmarkStart w:id="660" w:name="_Toc880"/>
      <w:bookmarkStart w:id="661" w:name="_Toc592"/>
      <w:bookmarkStart w:id="662" w:name="_Toc24506"/>
      <w:bookmarkStart w:id="663" w:name="_Toc5422"/>
      <w:bookmarkStart w:id="664" w:name="_Toc3065"/>
      <w:bookmarkStart w:id="665" w:name="_Toc26076"/>
      <w:bookmarkStart w:id="666" w:name="_Toc26596"/>
      <w:bookmarkStart w:id="667" w:name="_Toc17072"/>
      <w:bookmarkStart w:id="668" w:name="_Toc960"/>
      <w:bookmarkStart w:id="669" w:name="_Toc12303"/>
      <w:bookmarkStart w:id="670" w:name="_Toc75341693"/>
      <w:bookmarkStart w:id="671" w:name="_Toc30156"/>
      <w:bookmarkStart w:id="672" w:name="_Toc13048"/>
      <w:bookmarkStart w:id="673" w:name="_Toc8199"/>
      <w:bookmarkStart w:id="674" w:name="_Toc26897"/>
      <w:bookmarkStart w:id="675" w:name="_Toc26193"/>
      <w:bookmarkStart w:id="676" w:name="_Toc9651"/>
      <w:bookmarkStart w:id="677" w:name="_Toc951"/>
      <w:bookmarkStart w:id="678" w:name="_Toc22289"/>
      <w:bookmarkStart w:id="679" w:name="_Toc24824"/>
      <w:bookmarkStart w:id="680" w:name="_Toc30412"/>
      <w:bookmarkStart w:id="681" w:name="_Toc25186"/>
      <w:bookmarkStart w:id="682" w:name="_Toc5372"/>
      <w:bookmarkStart w:id="683" w:name="_Toc19856"/>
      <w:bookmarkStart w:id="684" w:name="_Toc42856352"/>
      <w:bookmarkStart w:id="685" w:name="_Toc30884"/>
      <w:r>
        <w:rPr>
          <w:rFonts w:hint="eastAsia" w:ascii="黑体" w:hAnsi="黑体" w:eastAsia="黑体" w:cs="Times New Roman"/>
          <w:b w:val="0"/>
          <w:color w:val="000000" w:themeColor="text1"/>
          <w14:textFill>
            <w14:solidFill>
              <w14:schemeClr w14:val="tx1"/>
            </w14:solidFill>
          </w14:textFill>
        </w:rPr>
        <w:t xml:space="preserve">第三节 </w:t>
      </w:r>
      <w:bookmarkEnd w:id="648"/>
      <w:bookmarkEnd w:id="649"/>
      <w:bookmarkEnd w:id="650"/>
      <w:bookmarkEnd w:id="651"/>
      <w:bookmarkEnd w:id="652"/>
      <w:bookmarkEnd w:id="653"/>
      <w:r>
        <w:rPr>
          <w:rFonts w:hint="eastAsia" w:ascii="黑体" w:hAnsi="黑体" w:eastAsia="黑体" w:cs="Times New Roman"/>
          <w:b w:val="0"/>
          <w:color w:val="000000" w:themeColor="text1"/>
          <w14:textFill>
            <w14:solidFill>
              <w14:schemeClr w14:val="tx1"/>
            </w14:solidFill>
          </w14:textFill>
        </w:rPr>
        <w:t>强化规划实施监测评估</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一、强化约束性指标的执行实施</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规划约束性指标纳入柳东新区经济社会发展综合评价。建立健全新区党工委和管委会统一领导、部门和镇（街道）政府各负其责、督查机构统筹实施的三级“大督查”体系，定期开展对规划指标、政策措施和重大项目实施情况的跟踪监测分析，强化动态管理，提高规划实施的效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二、加强规划评估和考核</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完善规划实施的评估激励机制和动态修正机制。加强分类指导，加强专项督查。加大监督力度，完善通报机制，及时沟通规划执行情况，建立社会各界周期性参与规划实施、督查规划进程机制。建立容错机制，形成包容创新、允许试错的宽松环境。发挥社会各界对规划实施情况的监督作用，开展第三方评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eastAsia" w:ascii="黑体" w:hAnsi="黑体" w:eastAsia="黑体" w:cs="黑体"/>
          <w:b w:val="0"/>
          <w:color w:val="000000" w:themeColor="text1"/>
          <w:lang w:val="en-US" w:eastAsia="zh-CN"/>
          <w14:textFill>
            <w14:solidFill>
              <w14:schemeClr w14:val="tx1"/>
            </w14:solidFill>
          </w14:textFill>
        </w:rPr>
      </w:pPr>
      <w:bookmarkStart w:id="686" w:name="_Toc7238"/>
      <w:bookmarkStart w:id="687" w:name="_Toc15462"/>
      <w:bookmarkStart w:id="688" w:name="_Toc15668"/>
      <w:bookmarkStart w:id="689" w:name="_Toc18664"/>
      <w:bookmarkStart w:id="690" w:name="_Toc75341694"/>
      <w:bookmarkStart w:id="691" w:name="_Toc1761"/>
      <w:bookmarkStart w:id="692" w:name="_Toc4318"/>
      <w:bookmarkStart w:id="693" w:name="_Toc22808"/>
      <w:bookmarkStart w:id="694" w:name="_Toc3284"/>
      <w:bookmarkStart w:id="695" w:name="_Toc31002"/>
      <w:bookmarkStart w:id="696" w:name="_Toc15585"/>
      <w:bookmarkStart w:id="697" w:name="_Toc27046"/>
      <w:bookmarkStart w:id="698" w:name="_Toc5706"/>
      <w:bookmarkStart w:id="699" w:name="_Toc21724"/>
      <w:bookmarkStart w:id="700" w:name="_Toc12770"/>
      <w:bookmarkStart w:id="701" w:name="_Toc30581"/>
      <w:bookmarkStart w:id="702" w:name="_Toc13226"/>
      <w:bookmarkStart w:id="703" w:name="_Toc11710"/>
      <w:bookmarkStart w:id="704" w:name="_Toc15983"/>
      <w:bookmarkStart w:id="705" w:name="_Toc1128"/>
      <w:bookmarkStart w:id="706" w:name="_Toc29562"/>
      <w:r>
        <w:rPr>
          <w:rFonts w:hint="eastAsia" w:ascii="黑体" w:hAnsi="黑体" w:eastAsia="黑体" w:cs="黑体"/>
          <w:b w:val="0"/>
          <w:color w:val="000000" w:themeColor="text1"/>
          <w14:textFill>
            <w14:solidFill>
              <w14:schemeClr w14:val="tx1"/>
            </w14:solidFill>
          </w14:textFill>
        </w:rPr>
        <w:t>附</w:t>
      </w:r>
      <w:r>
        <w:rPr>
          <w:rFonts w:hint="eastAsia" w:ascii="黑体" w:hAnsi="黑体" w:eastAsia="黑体" w:cs="黑体"/>
          <w:b w:val="0"/>
          <w:color w:val="000000" w:themeColor="text1"/>
          <w:lang w:eastAsia="zh-CN"/>
          <w14:textFill>
            <w14:solidFill>
              <w14:schemeClr w14:val="tx1"/>
            </w14:solidFill>
          </w14:textFill>
        </w:rPr>
        <w:t>件</w:t>
      </w:r>
      <w:r>
        <w:rPr>
          <w:rFonts w:hint="eastAsia" w:ascii="黑体" w:hAnsi="黑体" w:eastAsia="黑体" w:cs="黑体"/>
          <w:b w:val="0"/>
          <w:color w:val="000000" w:themeColor="text1"/>
          <w:lang w:val="en-US" w:eastAsia="zh-CN"/>
          <w14:textFill>
            <w14:solidFill>
              <w14:schemeClr w14:val="tx1"/>
            </w14:solidFill>
          </w14:textFill>
        </w:rPr>
        <w:t>1</w:t>
      </w:r>
    </w:p>
    <w:p>
      <w:pPr>
        <w:pStyle w:val="4"/>
        <w:jc w:val="center"/>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柳东新区“十四五”指标预测说明</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地区生产总值（GDP）增长：“十四五”期新区该指标预期年均增长９%以上，比同期柳州市年均增速高约１个百分点，保持中高速增长。</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人均地区生产总值增长：到2025年，新区常住人口规模预期达30万人，“十四五”期该指标预期年均增长7%以上，比全市高约0.5个百分点。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规上工业总产值：到2025年，新区规上工业总产值预期达到1600亿元，以2020年新区规上工业总产值794.08亿元（小口径范围统计值）为基数计算，年均增长率约为15%。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全员劳动生产率增长：“十四五”期新区该指标预期年均增长不低于6.5%，高于全市0.3个百分点。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财政收入：到2025年，新区财政收入预期达到80亿元。以2020年新区财政收入52.22亿元为基数，年均增长率为8.9%,高于全市3.4个百分点。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园区企业研发投入强度：根据《柳州高新技术产业开发区高质量发展“十四五”规划纲要》，确定为3.5%。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每万人口高价值发明专利拥有量：基于创新驱动发展示范区和高质量发展先行区的新区规划定位，衔接市级规划并结合新区职能部门意见，到2025年，柳东新区该项指标预期达6件。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人均技术合同交易额：根据《柳州高新技术产业开发区高质量发展“十四五”规划纲要》，确定为0.5万元。</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高新技术企业数量：2020年柳东新区拥有国家高新技术企业206家。随着“十四五”期间双创环境和创新能力不断提高，到2025年，争取新区该指标达到300家。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省级及以上创新平台：根据新区相关部门意见和工作实际，到2025年，争取新区该指标达到120家。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省级及以上科技企业孵化器和众创空间数：到2025年</w:t>
      </w:r>
      <w:r>
        <w:rPr>
          <w:rFonts w:ascii="仿宋_GB2312" w:hAnsi="仿宋_GB2312" w:eastAsia="仿宋_GB2312" w:cs="仿宋_GB2312"/>
          <w:color w:val="000000" w:themeColor="text1"/>
          <w:sz w:val="32"/>
          <w:szCs w:val="32"/>
          <w14:textFill>
            <w14:solidFill>
              <w14:schemeClr w14:val="tx1"/>
            </w14:solidFill>
          </w14:textFill>
        </w:rPr>
        <w:t>，新区</w:t>
      </w:r>
      <w:r>
        <w:rPr>
          <w:rFonts w:hint="eastAsia" w:ascii="仿宋_GB2312" w:hAnsi="仿宋_GB2312" w:eastAsia="仿宋_GB2312" w:cs="仿宋_GB2312"/>
          <w:color w:val="000000" w:themeColor="text1"/>
          <w:sz w:val="32"/>
          <w:szCs w:val="32"/>
          <w14:textFill>
            <w14:solidFill>
              <w14:schemeClr w14:val="tx1"/>
            </w14:solidFill>
          </w14:textFill>
        </w:rPr>
        <w:t>预期建成各类双创载体40家以上，其中省级及以上超过18家。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财政科技支出与当年财政支出比例：到2025年，新区科技三项经费，即财政科技支出占当年财政总支出的份额预期达3%。</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新区常住人口：</w:t>
      </w:r>
      <w:r>
        <w:rPr>
          <w:rFonts w:ascii="仿宋_GB2312" w:hAnsi="仿宋_GB2312" w:eastAsia="仿宋_GB2312" w:cs="仿宋_GB2312"/>
          <w:color w:val="000000" w:themeColor="text1"/>
          <w:sz w:val="32"/>
          <w:szCs w:val="32"/>
          <w14:textFill>
            <w14:solidFill>
              <w14:schemeClr w14:val="tx1"/>
            </w14:solidFill>
          </w14:textFill>
        </w:rPr>
        <w:t>第七次全国人口普查</w:t>
      </w:r>
      <w:r>
        <w:rPr>
          <w:rFonts w:hint="eastAsia" w:ascii="仿宋_GB2312" w:hAnsi="仿宋_GB2312" w:eastAsia="仿宋_GB2312" w:cs="仿宋_GB2312"/>
          <w:color w:val="000000" w:themeColor="text1"/>
          <w:sz w:val="32"/>
          <w:szCs w:val="32"/>
          <w14:textFill>
            <w14:solidFill>
              <w14:schemeClr w14:val="tx1"/>
            </w14:solidFill>
          </w14:textFill>
        </w:rPr>
        <w:t>（2020年）柳东新区城乡登记人口为22.6万人，随着新区产城融合发展和人口集聚能力持续提升，到“十四五”期末新区常住人口规模预期达30万人，年均增长6%。</w:t>
      </w:r>
    </w:p>
    <w:p>
      <w:pPr>
        <w:pStyle w:val="2"/>
        <w:numPr>
          <w:ilvl w:val="0"/>
          <w:numId w:val="4"/>
        </w:numPr>
        <w:ind w:firstLine="64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常住人口城镇化率：2020年</w:t>
      </w:r>
      <w:r>
        <w:rPr>
          <w:rFonts w:ascii="仿宋_GB2312" w:hAnsi="仿宋_GB2312" w:cs="仿宋_GB2312"/>
          <w:color w:val="000000" w:themeColor="text1"/>
          <w:sz w:val="32"/>
          <w:szCs w:val="32"/>
          <w14:textFill>
            <w14:solidFill>
              <w14:schemeClr w14:val="tx1"/>
            </w14:solidFill>
          </w14:textFill>
        </w:rPr>
        <w:t>柳州市</w:t>
      </w:r>
      <w:r>
        <w:rPr>
          <w:rFonts w:hint="eastAsia" w:ascii="仿宋_GB2312" w:hAnsi="仿宋_GB2312" w:cs="仿宋_GB2312"/>
          <w:color w:val="000000" w:themeColor="text1"/>
          <w:sz w:val="32"/>
          <w:szCs w:val="32"/>
          <w14:textFill>
            <w14:solidFill>
              <w14:schemeClr w14:val="tx1"/>
            </w14:solidFill>
          </w14:textFill>
        </w:rPr>
        <w:t>常住人口</w:t>
      </w:r>
      <w:r>
        <w:rPr>
          <w:rFonts w:ascii="仿宋_GB2312" w:hAnsi="仿宋_GB2312" w:cs="仿宋_GB2312"/>
          <w:color w:val="000000" w:themeColor="text1"/>
          <w:sz w:val="32"/>
          <w:szCs w:val="32"/>
          <w14:textFill>
            <w14:solidFill>
              <w14:schemeClr w14:val="tx1"/>
            </w14:solidFill>
          </w14:textFill>
        </w:rPr>
        <w:t>城镇化率达69.93</w:t>
      </w:r>
      <w:r>
        <w:rPr>
          <w:rFonts w:hint="eastAsia" w:ascii="仿宋_GB2312" w:hAnsi="仿宋_GB2312" w:cs="仿宋_GB2312"/>
          <w:color w:val="000000" w:themeColor="text1"/>
          <w:sz w:val="32"/>
          <w:szCs w:val="32"/>
          <w14:textFill>
            <w14:solidFill>
              <w14:schemeClr w14:val="tx1"/>
            </w14:solidFill>
          </w14:textFill>
        </w:rPr>
        <w:t>%，新区指标达71%，根据《柳州市新型城镇化规划(2021-2035 年)》，2025年全市目标为72%，新区目标预期达75%。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居民人均可支配收入：“十四五”期新区人口、经济持续扩张，该指标保持与全市一致，即年均增长6.5%。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九年义务教育巩固率：到2025年，新区在校生巩固率，即新区学校入学人数与毕业人数的百分比预期达97%。</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城镇调查失业率：“十四五”期新区作为柳州创新创业高地，该指标应低于全市平均水平，预期在5.5%以下。</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劳动年龄人口平均受教育年限</w:t>
      </w:r>
      <w:r>
        <w:rPr>
          <w:rFonts w:hint="eastAsia" w:ascii="仿宋_GB2312" w:hAnsi="仿宋_GB2312" w:eastAsia="仿宋_GB2312" w:cs="仿宋_GB2312"/>
          <w:color w:val="000000" w:themeColor="text1"/>
          <w:sz w:val="32"/>
          <w:szCs w:val="32"/>
          <w14:textFill>
            <w14:solidFill>
              <w14:schemeClr w14:val="tx1"/>
            </w14:solidFill>
          </w14:textFill>
        </w:rPr>
        <w:t>：“十四五”期全市指标为10.7年，新区为全市人才高地，该指标预期达11年。</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每千人口拥有3 岁以下婴幼儿托位数：“十四五”期新区该指标保持与全市一致，争取达4个。</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每千人口拥有执业（助理）医师数</w:t>
      </w:r>
      <w:r>
        <w:rPr>
          <w:rFonts w:hint="eastAsia" w:ascii="仿宋_GB2312" w:hAnsi="仿宋_GB2312" w:eastAsia="仿宋_GB2312" w:cs="仿宋_GB2312"/>
          <w:color w:val="000000" w:themeColor="text1"/>
          <w:sz w:val="32"/>
          <w:szCs w:val="32"/>
          <w14:textFill>
            <w14:solidFill>
              <w14:schemeClr w14:val="tx1"/>
            </w14:solidFill>
          </w14:textFill>
        </w:rPr>
        <w:t>：“十四五”期新区该指标保持与全市一致，争取达3.3人。</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城乡居民基本医疗保险参保率：“十四五”期新区该指标预期达98%以上。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基本养老参保率：新区2020年该指标达95%， “十四五”期预期达97%，高于全市2个百分点。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保障性住房：“十四五”期新区该指标以市级下达任务为准。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城镇污水处理率：到2025年，新区该指标预期达95%以上。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工业固体废物综合利用率：到2025年，新区该指标预期达100%。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城市生活垃圾无害化处理率：到2025年，新区该指标预期达100%。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耕地保有量：“十四五”期新区该指标以市级下达任务为准。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新增建设用地面积：“十四五”期新区该指标以市级下达任务为准。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万元GDP能源消耗下降：“十四五”期新区该指标以市级下达任务为准。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万元GDP用水量降低：“十四五”期新区该指标以市级下达任务为准。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森林覆盖率： 2020年新区森林覆盖率为33.37%，结合城市建设实际，“十四五”期新区该指标预期达35%。</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细颗粒物(PM2.5）浓度：“十四五”期新区该指标以市级下达任务为准。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城市人均公园绿地面积：“十四五”期新区该指标保持与全市一致，争取达14平方米。</w:t>
      </w:r>
    </w:p>
    <w:p>
      <w:pPr>
        <w:numPr>
          <w:ilvl w:val="0"/>
          <w:numId w:val="4"/>
        </w:numPr>
        <w:tabs>
          <w:tab w:val="clear" w:pos="312"/>
        </w:tabs>
        <w:adjustRightInd w:val="0"/>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主要江河地表水质量－达到或好于Ⅲ类水体比例：，“十四五”期新区该指标保持与全市一致，争取达100%。</w:t>
      </w:r>
    </w:p>
    <w:p>
      <w:pPr>
        <w:pStyle w:val="3"/>
        <w:widowControl/>
        <w:jc w:val="center"/>
        <w:rPr>
          <w:rFonts w:ascii="黑体" w:hAnsi="黑体" w:eastAsia="黑体" w:cs="Times New Roman"/>
          <w:color w:val="000000" w:themeColor="text1"/>
          <w:sz w:val="32"/>
          <w:szCs w:val="32"/>
          <w14:textFill>
            <w14:solidFill>
              <w14:schemeClr w14:val="tx1"/>
            </w14:solidFill>
          </w14:textFill>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Dotu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105</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ED516"/>
    <w:multiLevelType w:val="singleLevel"/>
    <w:tmpl w:val="A31ED516"/>
    <w:lvl w:ilvl="0" w:tentative="0">
      <w:start w:val="3"/>
      <w:numFmt w:val="chineseCounting"/>
      <w:suff w:val="nothing"/>
      <w:lvlText w:val="%1、"/>
      <w:lvlJc w:val="left"/>
      <w:rPr>
        <w:rFonts w:hint="eastAsia"/>
      </w:rPr>
    </w:lvl>
  </w:abstractNum>
  <w:abstractNum w:abstractNumId="1">
    <w:nsid w:val="37C13A58"/>
    <w:multiLevelType w:val="singleLevel"/>
    <w:tmpl w:val="37C13A58"/>
    <w:lvl w:ilvl="0" w:tentative="0">
      <w:start w:val="1"/>
      <w:numFmt w:val="decimal"/>
      <w:lvlText w:val="%1."/>
      <w:lvlJc w:val="left"/>
      <w:pPr>
        <w:tabs>
          <w:tab w:val="left" w:pos="312"/>
        </w:tabs>
      </w:pPr>
    </w:lvl>
  </w:abstractNum>
  <w:abstractNum w:abstractNumId="2">
    <w:nsid w:val="4AB3FADE"/>
    <w:multiLevelType w:val="singleLevel"/>
    <w:tmpl w:val="4AB3FADE"/>
    <w:lvl w:ilvl="0" w:tentative="0">
      <w:start w:val="2"/>
      <w:numFmt w:val="chineseCounting"/>
      <w:suff w:val="nothing"/>
      <w:lvlText w:val="%1、"/>
      <w:lvlJc w:val="left"/>
      <w:rPr>
        <w:rFonts w:hint="eastAsia"/>
      </w:rPr>
    </w:lvl>
  </w:abstractNum>
  <w:abstractNum w:abstractNumId="3">
    <w:nsid w:val="51DFCB84"/>
    <w:multiLevelType w:val="singleLevel"/>
    <w:tmpl w:val="51DFCB84"/>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MWExZTYwZjkwYmM4YTY4MDBkMDJhMWNjYzAwOTIifQ=="/>
  </w:docVars>
  <w:rsids>
    <w:rsidRoot w:val="00172A27"/>
    <w:rsid w:val="0000493A"/>
    <w:rsid w:val="00020967"/>
    <w:rsid w:val="00023964"/>
    <w:rsid w:val="0006033F"/>
    <w:rsid w:val="00065AE9"/>
    <w:rsid w:val="00070AEA"/>
    <w:rsid w:val="00070B1A"/>
    <w:rsid w:val="00072020"/>
    <w:rsid w:val="000872F0"/>
    <w:rsid w:val="000902B6"/>
    <w:rsid w:val="0009113F"/>
    <w:rsid w:val="00092DD9"/>
    <w:rsid w:val="00093DF5"/>
    <w:rsid w:val="000965B7"/>
    <w:rsid w:val="000A1DDA"/>
    <w:rsid w:val="000B388C"/>
    <w:rsid w:val="000B6417"/>
    <w:rsid w:val="000B7488"/>
    <w:rsid w:val="000D4E50"/>
    <w:rsid w:val="000D5671"/>
    <w:rsid w:val="000E409A"/>
    <w:rsid w:val="000F714B"/>
    <w:rsid w:val="000F7CC5"/>
    <w:rsid w:val="001147C0"/>
    <w:rsid w:val="00121EBB"/>
    <w:rsid w:val="00126578"/>
    <w:rsid w:val="00132564"/>
    <w:rsid w:val="00134769"/>
    <w:rsid w:val="00135B3C"/>
    <w:rsid w:val="00156021"/>
    <w:rsid w:val="001569DA"/>
    <w:rsid w:val="00172A27"/>
    <w:rsid w:val="00183C88"/>
    <w:rsid w:val="0018620A"/>
    <w:rsid w:val="00187783"/>
    <w:rsid w:val="00190148"/>
    <w:rsid w:val="00195E95"/>
    <w:rsid w:val="001975B0"/>
    <w:rsid w:val="001C4A81"/>
    <w:rsid w:val="001D137B"/>
    <w:rsid w:val="001D1967"/>
    <w:rsid w:val="001D5F76"/>
    <w:rsid w:val="001F17AF"/>
    <w:rsid w:val="001F6B12"/>
    <w:rsid w:val="00202142"/>
    <w:rsid w:val="0020311C"/>
    <w:rsid w:val="002066EE"/>
    <w:rsid w:val="00214312"/>
    <w:rsid w:val="0023433C"/>
    <w:rsid w:val="00240C33"/>
    <w:rsid w:val="00242120"/>
    <w:rsid w:val="0024285E"/>
    <w:rsid w:val="00244049"/>
    <w:rsid w:val="00245017"/>
    <w:rsid w:val="00245AF7"/>
    <w:rsid w:val="00246780"/>
    <w:rsid w:val="00247EB7"/>
    <w:rsid w:val="00247EC3"/>
    <w:rsid w:val="002516B8"/>
    <w:rsid w:val="00255E5B"/>
    <w:rsid w:val="00272399"/>
    <w:rsid w:val="00281CB9"/>
    <w:rsid w:val="002963C8"/>
    <w:rsid w:val="002A4581"/>
    <w:rsid w:val="002A53D8"/>
    <w:rsid w:val="002B012A"/>
    <w:rsid w:val="002B33C8"/>
    <w:rsid w:val="002C2159"/>
    <w:rsid w:val="002D08BE"/>
    <w:rsid w:val="002D24D1"/>
    <w:rsid w:val="002D3A19"/>
    <w:rsid w:val="002E6901"/>
    <w:rsid w:val="002E776B"/>
    <w:rsid w:val="002F43C1"/>
    <w:rsid w:val="00302A91"/>
    <w:rsid w:val="00307B8A"/>
    <w:rsid w:val="00316C4D"/>
    <w:rsid w:val="00321C21"/>
    <w:rsid w:val="00321D07"/>
    <w:rsid w:val="0032263E"/>
    <w:rsid w:val="00324250"/>
    <w:rsid w:val="0033228C"/>
    <w:rsid w:val="003326C6"/>
    <w:rsid w:val="00337F89"/>
    <w:rsid w:val="00341A70"/>
    <w:rsid w:val="003426EC"/>
    <w:rsid w:val="00347BCB"/>
    <w:rsid w:val="00347C1D"/>
    <w:rsid w:val="00362F97"/>
    <w:rsid w:val="00372439"/>
    <w:rsid w:val="0037604D"/>
    <w:rsid w:val="00386B51"/>
    <w:rsid w:val="00386DCC"/>
    <w:rsid w:val="003A16D1"/>
    <w:rsid w:val="003A31E6"/>
    <w:rsid w:val="003B219D"/>
    <w:rsid w:val="003B5592"/>
    <w:rsid w:val="003C4F69"/>
    <w:rsid w:val="003C520F"/>
    <w:rsid w:val="003D0D8C"/>
    <w:rsid w:val="003D0E9A"/>
    <w:rsid w:val="003D62A8"/>
    <w:rsid w:val="003D65EF"/>
    <w:rsid w:val="003E02E2"/>
    <w:rsid w:val="003E2999"/>
    <w:rsid w:val="003F02BE"/>
    <w:rsid w:val="003F2324"/>
    <w:rsid w:val="003F5B2C"/>
    <w:rsid w:val="00402676"/>
    <w:rsid w:val="0040278B"/>
    <w:rsid w:val="00403E75"/>
    <w:rsid w:val="0042057D"/>
    <w:rsid w:val="00422D1E"/>
    <w:rsid w:val="004271DF"/>
    <w:rsid w:val="00435356"/>
    <w:rsid w:val="00442EB7"/>
    <w:rsid w:val="0044575B"/>
    <w:rsid w:val="004463DC"/>
    <w:rsid w:val="00450C5C"/>
    <w:rsid w:val="00455BE2"/>
    <w:rsid w:val="004568A6"/>
    <w:rsid w:val="0045790C"/>
    <w:rsid w:val="004856F9"/>
    <w:rsid w:val="0049445B"/>
    <w:rsid w:val="004A4FBD"/>
    <w:rsid w:val="004B2267"/>
    <w:rsid w:val="004D5CEE"/>
    <w:rsid w:val="004F0516"/>
    <w:rsid w:val="005011D0"/>
    <w:rsid w:val="00501614"/>
    <w:rsid w:val="00510091"/>
    <w:rsid w:val="005133F1"/>
    <w:rsid w:val="0052131D"/>
    <w:rsid w:val="005221D9"/>
    <w:rsid w:val="00522BDD"/>
    <w:rsid w:val="00523978"/>
    <w:rsid w:val="00530C99"/>
    <w:rsid w:val="00530E4C"/>
    <w:rsid w:val="00534CFC"/>
    <w:rsid w:val="00543325"/>
    <w:rsid w:val="005440FD"/>
    <w:rsid w:val="00552C69"/>
    <w:rsid w:val="005543B2"/>
    <w:rsid w:val="0055541E"/>
    <w:rsid w:val="005565D4"/>
    <w:rsid w:val="00566450"/>
    <w:rsid w:val="005677ED"/>
    <w:rsid w:val="00567C60"/>
    <w:rsid w:val="00580C13"/>
    <w:rsid w:val="005917B4"/>
    <w:rsid w:val="005940B4"/>
    <w:rsid w:val="00596961"/>
    <w:rsid w:val="005A05FD"/>
    <w:rsid w:val="005A5379"/>
    <w:rsid w:val="005A74EA"/>
    <w:rsid w:val="005B059A"/>
    <w:rsid w:val="005B73D1"/>
    <w:rsid w:val="005C7EFF"/>
    <w:rsid w:val="005D2643"/>
    <w:rsid w:val="005E163E"/>
    <w:rsid w:val="005E1A7A"/>
    <w:rsid w:val="005E794A"/>
    <w:rsid w:val="005F032F"/>
    <w:rsid w:val="005F1192"/>
    <w:rsid w:val="005F1AA7"/>
    <w:rsid w:val="005F392A"/>
    <w:rsid w:val="005F54CB"/>
    <w:rsid w:val="005F6570"/>
    <w:rsid w:val="00601449"/>
    <w:rsid w:val="00640F3A"/>
    <w:rsid w:val="006614EB"/>
    <w:rsid w:val="00674B5F"/>
    <w:rsid w:val="00676471"/>
    <w:rsid w:val="00683F26"/>
    <w:rsid w:val="0069337C"/>
    <w:rsid w:val="006957A2"/>
    <w:rsid w:val="00696809"/>
    <w:rsid w:val="00696EBD"/>
    <w:rsid w:val="0069770F"/>
    <w:rsid w:val="006A0528"/>
    <w:rsid w:val="006A1463"/>
    <w:rsid w:val="006C06A1"/>
    <w:rsid w:val="006D2BA3"/>
    <w:rsid w:val="006D5F0D"/>
    <w:rsid w:val="006E3C0B"/>
    <w:rsid w:val="006E44D3"/>
    <w:rsid w:val="006E4A8D"/>
    <w:rsid w:val="006F3DA1"/>
    <w:rsid w:val="006F6B1A"/>
    <w:rsid w:val="006F7935"/>
    <w:rsid w:val="007002BF"/>
    <w:rsid w:val="00700F5B"/>
    <w:rsid w:val="00707CF8"/>
    <w:rsid w:val="00714053"/>
    <w:rsid w:val="0071593E"/>
    <w:rsid w:val="00716305"/>
    <w:rsid w:val="0072131A"/>
    <w:rsid w:val="007244B3"/>
    <w:rsid w:val="0072490E"/>
    <w:rsid w:val="00734633"/>
    <w:rsid w:val="0074056B"/>
    <w:rsid w:val="00757172"/>
    <w:rsid w:val="00763563"/>
    <w:rsid w:val="00764604"/>
    <w:rsid w:val="00774570"/>
    <w:rsid w:val="007848F1"/>
    <w:rsid w:val="007A50CA"/>
    <w:rsid w:val="007A61D0"/>
    <w:rsid w:val="007A6375"/>
    <w:rsid w:val="007B2FC6"/>
    <w:rsid w:val="007B742C"/>
    <w:rsid w:val="007C3818"/>
    <w:rsid w:val="007C5761"/>
    <w:rsid w:val="007C7C8C"/>
    <w:rsid w:val="007D63AF"/>
    <w:rsid w:val="007E1C9E"/>
    <w:rsid w:val="007E3C47"/>
    <w:rsid w:val="007E6D81"/>
    <w:rsid w:val="007F102E"/>
    <w:rsid w:val="00800284"/>
    <w:rsid w:val="00801804"/>
    <w:rsid w:val="008038CB"/>
    <w:rsid w:val="00806251"/>
    <w:rsid w:val="0081132E"/>
    <w:rsid w:val="00812235"/>
    <w:rsid w:val="00817B4B"/>
    <w:rsid w:val="0082161B"/>
    <w:rsid w:val="0082705C"/>
    <w:rsid w:val="00827834"/>
    <w:rsid w:val="0083566D"/>
    <w:rsid w:val="008407A4"/>
    <w:rsid w:val="00850C0A"/>
    <w:rsid w:val="00852188"/>
    <w:rsid w:val="00855DAF"/>
    <w:rsid w:val="00861559"/>
    <w:rsid w:val="00863FC4"/>
    <w:rsid w:val="008661AF"/>
    <w:rsid w:val="00867844"/>
    <w:rsid w:val="00872216"/>
    <w:rsid w:val="008823B3"/>
    <w:rsid w:val="00884DE0"/>
    <w:rsid w:val="00885400"/>
    <w:rsid w:val="00885D46"/>
    <w:rsid w:val="008869B9"/>
    <w:rsid w:val="00894D92"/>
    <w:rsid w:val="008967D0"/>
    <w:rsid w:val="008A7783"/>
    <w:rsid w:val="008B2B1D"/>
    <w:rsid w:val="008B7299"/>
    <w:rsid w:val="008C1DFC"/>
    <w:rsid w:val="008C639F"/>
    <w:rsid w:val="008D4188"/>
    <w:rsid w:val="008E1B86"/>
    <w:rsid w:val="008E2760"/>
    <w:rsid w:val="008E27BD"/>
    <w:rsid w:val="008E6CD1"/>
    <w:rsid w:val="008F6F7D"/>
    <w:rsid w:val="009002E3"/>
    <w:rsid w:val="00901E7F"/>
    <w:rsid w:val="009030A3"/>
    <w:rsid w:val="00905A3E"/>
    <w:rsid w:val="0090688E"/>
    <w:rsid w:val="00907EA2"/>
    <w:rsid w:val="00914AF2"/>
    <w:rsid w:val="00915858"/>
    <w:rsid w:val="00924C0A"/>
    <w:rsid w:val="00926F46"/>
    <w:rsid w:val="00930836"/>
    <w:rsid w:val="00930EBB"/>
    <w:rsid w:val="00934EE8"/>
    <w:rsid w:val="00941826"/>
    <w:rsid w:val="009542F2"/>
    <w:rsid w:val="00983A9E"/>
    <w:rsid w:val="00997890"/>
    <w:rsid w:val="009A0B3E"/>
    <w:rsid w:val="009A459F"/>
    <w:rsid w:val="009B28BA"/>
    <w:rsid w:val="009B4CA4"/>
    <w:rsid w:val="009B59F0"/>
    <w:rsid w:val="009D0E09"/>
    <w:rsid w:val="009D38F4"/>
    <w:rsid w:val="009D55D7"/>
    <w:rsid w:val="009F0CBA"/>
    <w:rsid w:val="00A01C25"/>
    <w:rsid w:val="00A150B3"/>
    <w:rsid w:val="00A32773"/>
    <w:rsid w:val="00A3439F"/>
    <w:rsid w:val="00A36F68"/>
    <w:rsid w:val="00A37AF0"/>
    <w:rsid w:val="00A438D2"/>
    <w:rsid w:val="00A507B6"/>
    <w:rsid w:val="00A51F30"/>
    <w:rsid w:val="00A558F3"/>
    <w:rsid w:val="00A63B97"/>
    <w:rsid w:val="00A67351"/>
    <w:rsid w:val="00A85024"/>
    <w:rsid w:val="00A93E47"/>
    <w:rsid w:val="00A944C9"/>
    <w:rsid w:val="00AA1639"/>
    <w:rsid w:val="00AB4748"/>
    <w:rsid w:val="00AB6BFB"/>
    <w:rsid w:val="00AD18AF"/>
    <w:rsid w:val="00AD25E4"/>
    <w:rsid w:val="00AE0653"/>
    <w:rsid w:val="00AE14C0"/>
    <w:rsid w:val="00AE234C"/>
    <w:rsid w:val="00AF52F4"/>
    <w:rsid w:val="00AF6F17"/>
    <w:rsid w:val="00AF7BF9"/>
    <w:rsid w:val="00B01554"/>
    <w:rsid w:val="00B02856"/>
    <w:rsid w:val="00B028C0"/>
    <w:rsid w:val="00B02E7C"/>
    <w:rsid w:val="00B06790"/>
    <w:rsid w:val="00B07235"/>
    <w:rsid w:val="00B108DE"/>
    <w:rsid w:val="00B15F3E"/>
    <w:rsid w:val="00B22306"/>
    <w:rsid w:val="00B244AF"/>
    <w:rsid w:val="00B2646A"/>
    <w:rsid w:val="00B3034A"/>
    <w:rsid w:val="00B31AFB"/>
    <w:rsid w:val="00B3405A"/>
    <w:rsid w:val="00B345E2"/>
    <w:rsid w:val="00B36B48"/>
    <w:rsid w:val="00B433A6"/>
    <w:rsid w:val="00B4408F"/>
    <w:rsid w:val="00B50EBF"/>
    <w:rsid w:val="00B5187C"/>
    <w:rsid w:val="00B56A89"/>
    <w:rsid w:val="00B62010"/>
    <w:rsid w:val="00B7045E"/>
    <w:rsid w:val="00B75EEE"/>
    <w:rsid w:val="00B77E62"/>
    <w:rsid w:val="00B77FC0"/>
    <w:rsid w:val="00B905CA"/>
    <w:rsid w:val="00B90744"/>
    <w:rsid w:val="00B923F9"/>
    <w:rsid w:val="00B924D8"/>
    <w:rsid w:val="00B94DC9"/>
    <w:rsid w:val="00BA7258"/>
    <w:rsid w:val="00BB37F9"/>
    <w:rsid w:val="00BC2FDB"/>
    <w:rsid w:val="00BD1431"/>
    <w:rsid w:val="00BD3EDD"/>
    <w:rsid w:val="00BD4BE0"/>
    <w:rsid w:val="00BE07B8"/>
    <w:rsid w:val="00BE1FAF"/>
    <w:rsid w:val="00BF0769"/>
    <w:rsid w:val="00BF5F78"/>
    <w:rsid w:val="00C05DD9"/>
    <w:rsid w:val="00C11BD1"/>
    <w:rsid w:val="00C1216F"/>
    <w:rsid w:val="00C14D0A"/>
    <w:rsid w:val="00C32C3B"/>
    <w:rsid w:val="00C40C1A"/>
    <w:rsid w:val="00C4245A"/>
    <w:rsid w:val="00C4472A"/>
    <w:rsid w:val="00C45E70"/>
    <w:rsid w:val="00C512F4"/>
    <w:rsid w:val="00C605BF"/>
    <w:rsid w:val="00C65C2C"/>
    <w:rsid w:val="00C818C7"/>
    <w:rsid w:val="00C83BBB"/>
    <w:rsid w:val="00C86A4B"/>
    <w:rsid w:val="00C94A05"/>
    <w:rsid w:val="00CA1CAD"/>
    <w:rsid w:val="00CA48C4"/>
    <w:rsid w:val="00CB1BDA"/>
    <w:rsid w:val="00CB680E"/>
    <w:rsid w:val="00CB6914"/>
    <w:rsid w:val="00CC4EB0"/>
    <w:rsid w:val="00CC7185"/>
    <w:rsid w:val="00CD52CA"/>
    <w:rsid w:val="00CD7B6E"/>
    <w:rsid w:val="00CE0249"/>
    <w:rsid w:val="00CE26D4"/>
    <w:rsid w:val="00CF0DD6"/>
    <w:rsid w:val="00CF7873"/>
    <w:rsid w:val="00D011A2"/>
    <w:rsid w:val="00D064D1"/>
    <w:rsid w:val="00D074A7"/>
    <w:rsid w:val="00D15C3D"/>
    <w:rsid w:val="00D31B9D"/>
    <w:rsid w:val="00D33303"/>
    <w:rsid w:val="00D5410C"/>
    <w:rsid w:val="00D5476B"/>
    <w:rsid w:val="00D660B6"/>
    <w:rsid w:val="00D722D9"/>
    <w:rsid w:val="00D741F6"/>
    <w:rsid w:val="00D80CCE"/>
    <w:rsid w:val="00D8525D"/>
    <w:rsid w:val="00D92AC0"/>
    <w:rsid w:val="00D93BD1"/>
    <w:rsid w:val="00D97193"/>
    <w:rsid w:val="00DA298F"/>
    <w:rsid w:val="00DA4E2A"/>
    <w:rsid w:val="00DB1EE2"/>
    <w:rsid w:val="00DC0947"/>
    <w:rsid w:val="00DD1A9E"/>
    <w:rsid w:val="00DD276D"/>
    <w:rsid w:val="00DD7E5D"/>
    <w:rsid w:val="00DE0DC8"/>
    <w:rsid w:val="00DE4EDC"/>
    <w:rsid w:val="00E02148"/>
    <w:rsid w:val="00E0313A"/>
    <w:rsid w:val="00E04294"/>
    <w:rsid w:val="00E15A6C"/>
    <w:rsid w:val="00E169B7"/>
    <w:rsid w:val="00E32E7C"/>
    <w:rsid w:val="00E402F7"/>
    <w:rsid w:val="00E419E3"/>
    <w:rsid w:val="00E723B5"/>
    <w:rsid w:val="00E7690F"/>
    <w:rsid w:val="00E9758B"/>
    <w:rsid w:val="00E97C91"/>
    <w:rsid w:val="00EA1676"/>
    <w:rsid w:val="00EA44BF"/>
    <w:rsid w:val="00EA669C"/>
    <w:rsid w:val="00EB18F9"/>
    <w:rsid w:val="00EC0D71"/>
    <w:rsid w:val="00EC174A"/>
    <w:rsid w:val="00EC5DBE"/>
    <w:rsid w:val="00EC6936"/>
    <w:rsid w:val="00EE0CF8"/>
    <w:rsid w:val="00EE2FBC"/>
    <w:rsid w:val="00EE7D20"/>
    <w:rsid w:val="00EF0B55"/>
    <w:rsid w:val="00EF528F"/>
    <w:rsid w:val="00EF670C"/>
    <w:rsid w:val="00EF6ECC"/>
    <w:rsid w:val="00F00092"/>
    <w:rsid w:val="00F02D05"/>
    <w:rsid w:val="00F03CD6"/>
    <w:rsid w:val="00F165F5"/>
    <w:rsid w:val="00F276DB"/>
    <w:rsid w:val="00F34764"/>
    <w:rsid w:val="00F45776"/>
    <w:rsid w:val="00F45CEA"/>
    <w:rsid w:val="00F65C39"/>
    <w:rsid w:val="00F7604B"/>
    <w:rsid w:val="00F84157"/>
    <w:rsid w:val="00F92DF9"/>
    <w:rsid w:val="00FA0596"/>
    <w:rsid w:val="00FB19CA"/>
    <w:rsid w:val="00FB6754"/>
    <w:rsid w:val="00FC23ED"/>
    <w:rsid w:val="00FC5B87"/>
    <w:rsid w:val="00FD5726"/>
    <w:rsid w:val="00FF671E"/>
    <w:rsid w:val="01157C74"/>
    <w:rsid w:val="01547E9F"/>
    <w:rsid w:val="017F4A22"/>
    <w:rsid w:val="01861498"/>
    <w:rsid w:val="01BE4A3A"/>
    <w:rsid w:val="025F74BC"/>
    <w:rsid w:val="02CF4B77"/>
    <w:rsid w:val="02FE4260"/>
    <w:rsid w:val="0312627E"/>
    <w:rsid w:val="034740F9"/>
    <w:rsid w:val="03B304F5"/>
    <w:rsid w:val="03B46CBB"/>
    <w:rsid w:val="050932F5"/>
    <w:rsid w:val="05776993"/>
    <w:rsid w:val="05AF131E"/>
    <w:rsid w:val="070F4619"/>
    <w:rsid w:val="076C6F88"/>
    <w:rsid w:val="07997618"/>
    <w:rsid w:val="07CF5871"/>
    <w:rsid w:val="07FD2014"/>
    <w:rsid w:val="081A5165"/>
    <w:rsid w:val="08343644"/>
    <w:rsid w:val="0837020E"/>
    <w:rsid w:val="08490AB7"/>
    <w:rsid w:val="08924A65"/>
    <w:rsid w:val="09BE54C0"/>
    <w:rsid w:val="0AAA175F"/>
    <w:rsid w:val="0B7135FE"/>
    <w:rsid w:val="0B793A5D"/>
    <w:rsid w:val="0B8E4A7C"/>
    <w:rsid w:val="0B944966"/>
    <w:rsid w:val="0BE22B13"/>
    <w:rsid w:val="0C5E237A"/>
    <w:rsid w:val="0C71577A"/>
    <w:rsid w:val="0CBA07A1"/>
    <w:rsid w:val="0CEE2069"/>
    <w:rsid w:val="0D3D3261"/>
    <w:rsid w:val="0D4D1FBA"/>
    <w:rsid w:val="0D6C5048"/>
    <w:rsid w:val="0D8651AE"/>
    <w:rsid w:val="0DD477A5"/>
    <w:rsid w:val="0E897123"/>
    <w:rsid w:val="0EC14A01"/>
    <w:rsid w:val="0FE64BAA"/>
    <w:rsid w:val="106F7998"/>
    <w:rsid w:val="10A97A1A"/>
    <w:rsid w:val="115F789A"/>
    <w:rsid w:val="11711812"/>
    <w:rsid w:val="11CF3559"/>
    <w:rsid w:val="11F1410C"/>
    <w:rsid w:val="127D42FC"/>
    <w:rsid w:val="12C9702C"/>
    <w:rsid w:val="12DA6C71"/>
    <w:rsid w:val="13603DAA"/>
    <w:rsid w:val="137503C4"/>
    <w:rsid w:val="13A761A3"/>
    <w:rsid w:val="13F50DD2"/>
    <w:rsid w:val="14280973"/>
    <w:rsid w:val="143E6BAC"/>
    <w:rsid w:val="148A36F3"/>
    <w:rsid w:val="14B6444D"/>
    <w:rsid w:val="14F434C3"/>
    <w:rsid w:val="15577789"/>
    <w:rsid w:val="16491EDB"/>
    <w:rsid w:val="17555755"/>
    <w:rsid w:val="175E517B"/>
    <w:rsid w:val="17A1514E"/>
    <w:rsid w:val="17AB5E22"/>
    <w:rsid w:val="18314277"/>
    <w:rsid w:val="18435B97"/>
    <w:rsid w:val="18877895"/>
    <w:rsid w:val="18976322"/>
    <w:rsid w:val="192E2B9C"/>
    <w:rsid w:val="19597E28"/>
    <w:rsid w:val="195B0248"/>
    <w:rsid w:val="19A66082"/>
    <w:rsid w:val="1A0C2CEB"/>
    <w:rsid w:val="1A5556AF"/>
    <w:rsid w:val="1A9E5111"/>
    <w:rsid w:val="1AE157FA"/>
    <w:rsid w:val="1B317B47"/>
    <w:rsid w:val="1B656D93"/>
    <w:rsid w:val="1BA41B62"/>
    <w:rsid w:val="1BA430F2"/>
    <w:rsid w:val="1BB07EAF"/>
    <w:rsid w:val="1C042BA7"/>
    <w:rsid w:val="1C452404"/>
    <w:rsid w:val="1C9841AF"/>
    <w:rsid w:val="1C9B66F8"/>
    <w:rsid w:val="1D0722C1"/>
    <w:rsid w:val="1D6648C8"/>
    <w:rsid w:val="1E0F09FF"/>
    <w:rsid w:val="1E1B4774"/>
    <w:rsid w:val="1E796ED5"/>
    <w:rsid w:val="1F50380C"/>
    <w:rsid w:val="1F6D7060"/>
    <w:rsid w:val="1FAE44DA"/>
    <w:rsid w:val="2045362C"/>
    <w:rsid w:val="205827F2"/>
    <w:rsid w:val="205A666F"/>
    <w:rsid w:val="209E2A6E"/>
    <w:rsid w:val="20B51BAD"/>
    <w:rsid w:val="20F139CE"/>
    <w:rsid w:val="21352936"/>
    <w:rsid w:val="21B350F4"/>
    <w:rsid w:val="2248309D"/>
    <w:rsid w:val="2296649D"/>
    <w:rsid w:val="22B479F5"/>
    <w:rsid w:val="22D72E0C"/>
    <w:rsid w:val="22FC0E3A"/>
    <w:rsid w:val="235C7DBB"/>
    <w:rsid w:val="23D50561"/>
    <w:rsid w:val="23FC7A0D"/>
    <w:rsid w:val="247177A2"/>
    <w:rsid w:val="2477776D"/>
    <w:rsid w:val="24D95403"/>
    <w:rsid w:val="24ED291A"/>
    <w:rsid w:val="24FF1934"/>
    <w:rsid w:val="259517D0"/>
    <w:rsid w:val="259C5029"/>
    <w:rsid w:val="25EF48BE"/>
    <w:rsid w:val="25FF6A62"/>
    <w:rsid w:val="26CC77B0"/>
    <w:rsid w:val="274D1DB9"/>
    <w:rsid w:val="27B31CEA"/>
    <w:rsid w:val="27BB029E"/>
    <w:rsid w:val="287D3F32"/>
    <w:rsid w:val="289B7039"/>
    <w:rsid w:val="289E2F8B"/>
    <w:rsid w:val="28CA5973"/>
    <w:rsid w:val="29152D7F"/>
    <w:rsid w:val="29515A49"/>
    <w:rsid w:val="296D36DC"/>
    <w:rsid w:val="297F1A56"/>
    <w:rsid w:val="29BC4138"/>
    <w:rsid w:val="29CD54E7"/>
    <w:rsid w:val="29E57F4D"/>
    <w:rsid w:val="2A3E6866"/>
    <w:rsid w:val="2AA007B5"/>
    <w:rsid w:val="2AE6064B"/>
    <w:rsid w:val="2B1A34F2"/>
    <w:rsid w:val="2B230532"/>
    <w:rsid w:val="2B264BD5"/>
    <w:rsid w:val="2B7C2E14"/>
    <w:rsid w:val="2B9C331B"/>
    <w:rsid w:val="2C6F21E4"/>
    <w:rsid w:val="2C9D1CEC"/>
    <w:rsid w:val="2D123983"/>
    <w:rsid w:val="2DFA713B"/>
    <w:rsid w:val="2E7F3812"/>
    <w:rsid w:val="2ED3002B"/>
    <w:rsid w:val="2EDC5518"/>
    <w:rsid w:val="2F364C1F"/>
    <w:rsid w:val="2F531764"/>
    <w:rsid w:val="2FBA5B93"/>
    <w:rsid w:val="2FE03795"/>
    <w:rsid w:val="307253D7"/>
    <w:rsid w:val="30917746"/>
    <w:rsid w:val="30A30A79"/>
    <w:rsid w:val="30AE17CE"/>
    <w:rsid w:val="30EB07C3"/>
    <w:rsid w:val="312E6035"/>
    <w:rsid w:val="32153D82"/>
    <w:rsid w:val="3273656C"/>
    <w:rsid w:val="32F8236C"/>
    <w:rsid w:val="33076E5F"/>
    <w:rsid w:val="336D267E"/>
    <w:rsid w:val="33A57BA9"/>
    <w:rsid w:val="33F401F2"/>
    <w:rsid w:val="342316C2"/>
    <w:rsid w:val="34E4120C"/>
    <w:rsid w:val="35064D83"/>
    <w:rsid w:val="35635F06"/>
    <w:rsid w:val="35BA486F"/>
    <w:rsid w:val="35E50B08"/>
    <w:rsid w:val="360F18B9"/>
    <w:rsid w:val="36326EC7"/>
    <w:rsid w:val="366D2CF5"/>
    <w:rsid w:val="366E397E"/>
    <w:rsid w:val="36CE325F"/>
    <w:rsid w:val="370130CD"/>
    <w:rsid w:val="37936F79"/>
    <w:rsid w:val="37B45B58"/>
    <w:rsid w:val="37B90E66"/>
    <w:rsid w:val="392C4D33"/>
    <w:rsid w:val="395E032C"/>
    <w:rsid w:val="3970343B"/>
    <w:rsid w:val="39A42FC3"/>
    <w:rsid w:val="39C953AD"/>
    <w:rsid w:val="39D93EB0"/>
    <w:rsid w:val="39F042A5"/>
    <w:rsid w:val="3A3B23D3"/>
    <w:rsid w:val="3B4C23A0"/>
    <w:rsid w:val="3C40537D"/>
    <w:rsid w:val="3C424BA2"/>
    <w:rsid w:val="3C5452C2"/>
    <w:rsid w:val="3E02261A"/>
    <w:rsid w:val="3E2C1BAB"/>
    <w:rsid w:val="3E8D5EDC"/>
    <w:rsid w:val="3F6C4003"/>
    <w:rsid w:val="3F9B259C"/>
    <w:rsid w:val="3FA419A3"/>
    <w:rsid w:val="3FC5700B"/>
    <w:rsid w:val="404A6DD8"/>
    <w:rsid w:val="4056263E"/>
    <w:rsid w:val="41154371"/>
    <w:rsid w:val="419412F2"/>
    <w:rsid w:val="41D86BF8"/>
    <w:rsid w:val="41F308A9"/>
    <w:rsid w:val="42110767"/>
    <w:rsid w:val="424E357B"/>
    <w:rsid w:val="42512B84"/>
    <w:rsid w:val="425D2C0E"/>
    <w:rsid w:val="42886FA8"/>
    <w:rsid w:val="42A468F9"/>
    <w:rsid w:val="42D31623"/>
    <w:rsid w:val="42D52796"/>
    <w:rsid w:val="43780C34"/>
    <w:rsid w:val="43EA51E2"/>
    <w:rsid w:val="448D4949"/>
    <w:rsid w:val="45AF4038"/>
    <w:rsid w:val="45BF1647"/>
    <w:rsid w:val="460935C0"/>
    <w:rsid w:val="462A05A5"/>
    <w:rsid w:val="46A25B84"/>
    <w:rsid w:val="47003432"/>
    <w:rsid w:val="477C62AC"/>
    <w:rsid w:val="47C2750F"/>
    <w:rsid w:val="47FB1A53"/>
    <w:rsid w:val="482005A2"/>
    <w:rsid w:val="484E6E3F"/>
    <w:rsid w:val="485E70D2"/>
    <w:rsid w:val="491A793D"/>
    <w:rsid w:val="493220A4"/>
    <w:rsid w:val="494D276A"/>
    <w:rsid w:val="49815EA0"/>
    <w:rsid w:val="49BB3BB4"/>
    <w:rsid w:val="4A067A11"/>
    <w:rsid w:val="4A4E36A8"/>
    <w:rsid w:val="4A5F1B3E"/>
    <w:rsid w:val="4A7873DE"/>
    <w:rsid w:val="4AA93DDE"/>
    <w:rsid w:val="4AB47644"/>
    <w:rsid w:val="4AF678FE"/>
    <w:rsid w:val="4B790DCD"/>
    <w:rsid w:val="4B9D35B5"/>
    <w:rsid w:val="4BAA5C47"/>
    <w:rsid w:val="4BD61268"/>
    <w:rsid w:val="4BF411B6"/>
    <w:rsid w:val="4BF56AB9"/>
    <w:rsid w:val="4C030510"/>
    <w:rsid w:val="4C3458D2"/>
    <w:rsid w:val="4C832654"/>
    <w:rsid w:val="4C901C02"/>
    <w:rsid w:val="4CB72D11"/>
    <w:rsid w:val="4CB930E5"/>
    <w:rsid w:val="4D092926"/>
    <w:rsid w:val="4D612608"/>
    <w:rsid w:val="4E0B2A7F"/>
    <w:rsid w:val="4E114EEC"/>
    <w:rsid w:val="4EB242AD"/>
    <w:rsid w:val="4ECE5758"/>
    <w:rsid w:val="4EE84F01"/>
    <w:rsid w:val="4F7F7873"/>
    <w:rsid w:val="4FA7717C"/>
    <w:rsid w:val="4FDC0102"/>
    <w:rsid w:val="4FFA6E0B"/>
    <w:rsid w:val="50D956A9"/>
    <w:rsid w:val="50F0621E"/>
    <w:rsid w:val="50F14969"/>
    <w:rsid w:val="511E03D9"/>
    <w:rsid w:val="513304A0"/>
    <w:rsid w:val="513776B2"/>
    <w:rsid w:val="513E0438"/>
    <w:rsid w:val="5216437E"/>
    <w:rsid w:val="525543A2"/>
    <w:rsid w:val="525971E2"/>
    <w:rsid w:val="526161D2"/>
    <w:rsid w:val="52806502"/>
    <w:rsid w:val="52841274"/>
    <w:rsid w:val="52B1616E"/>
    <w:rsid w:val="52C40152"/>
    <w:rsid w:val="52D46F1A"/>
    <w:rsid w:val="52EB485D"/>
    <w:rsid w:val="53326C3F"/>
    <w:rsid w:val="541304D0"/>
    <w:rsid w:val="550138F3"/>
    <w:rsid w:val="5590450D"/>
    <w:rsid w:val="55A84E6F"/>
    <w:rsid w:val="55B95EE8"/>
    <w:rsid w:val="55D45AFE"/>
    <w:rsid w:val="567E7143"/>
    <w:rsid w:val="56802FCE"/>
    <w:rsid w:val="568A4E8A"/>
    <w:rsid w:val="56EA7C76"/>
    <w:rsid w:val="57386B8F"/>
    <w:rsid w:val="57B40C6F"/>
    <w:rsid w:val="57CC0AA6"/>
    <w:rsid w:val="57F46339"/>
    <w:rsid w:val="58114726"/>
    <w:rsid w:val="58157504"/>
    <w:rsid w:val="585E5E1D"/>
    <w:rsid w:val="589261A8"/>
    <w:rsid w:val="590F0C7B"/>
    <w:rsid w:val="59502A98"/>
    <w:rsid w:val="59C803F6"/>
    <w:rsid w:val="5A97606D"/>
    <w:rsid w:val="5B296101"/>
    <w:rsid w:val="5B713A7D"/>
    <w:rsid w:val="5C530026"/>
    <w:rsid w:val="5C7D59EF"/>
    <w:rsid w:val="5CB80EF3"/>
    <w:rsid w:val="5CDE1848"/>
    <w:rsid w:val="5CEC52D2"/>
    <w:rsid w:val="5D1145C2"/>
    <w:rsid w:val="5D670EA1"/>
    <w:rsid w:val="5D9649B4"/>
    <w:rsid w:val="5DC56E34"/>
    <w:rsid w:val="5E0855C0"/>
    <w:rsid w:val="5E196388"/>
    <w:rsid w:val="5EB92207"/>
    <w:rsid w:val="5EC76F91"/>
    <w:rsid w:val="5EF72AD8"/>
    <w:rsid w:val="5FBF424C"/>
    <w:rsid w:val="5FE02555"/>
    <w:rsid w:val="60213A0E"/>
    <w:rsid w:val="60891F02"/>
    <w:rsid w:val="613B26B3"/>
    <w:rsid w:val="61B36312"/>
    <w:rsid w:val="625827F1"/>
    <w:rsid w:val="626A39CC"/>
    <w:rsid w:val="6281114D"/>
    <w:rsid w:val="62C506DC"/>
    <w:rsid w:val="631D4122"/>
    <w:rsid w:val="63D06612"/>
    <w:rsid w:val="63EE0FD4"/>
    <w:rsid w:val="64340D18"/>
    <w:rsid w:val="64704B01"/>
    <w:rsid w:val="647D612E"/>
    <w:rsid w:val="65412349"/>
    <w:rsid w:val="6550410F"/>
    <w:rsid w:val="656B0312"/>
    <w:rsid w:val="658715A8"/>
    <w:rsid w:val="659B7746"/>
    <w:rsid w:val="65FB7BAB"/>
    <w:rsid w:val="661D75FA"/>
    <w:rsid w:val="66C53724"/>
    <w:rsid w:val="673A0822"/>
    <w:rsid w:val="677D2403"/>
    <w:rsid w:val="67E5002E"/>
    <w:rsid w:val="681B2BBD"/>
    <w:rsid w:val="689B5E20"/>
    <w:rsid w:val="68C66F88"/>
    <w:rsid w:val="68C72B9F"/>
    <w:rsid w:val="68D311BA"/>
    <w:rsid w:val="695367BB"/>
    <w:rsid w:val="69BE649C"/>
    <w:rsid w:val="6A1B087F"/>
    <w:rsid w:val="6A366548"/>
    <w:rsid w:val="6A6D0D8B"/>
    <w:rsid w:val="6A94391F"/>
    <w:rsid w:val="6A9D102E"/>
    <w:rsid w:val="6BD43180"/>
    <w:rsid w:val="6BE1267D"/>
    <w:rsid w:val="6C702B97"/>
    <w:rsid w:val="6CC201CE"/>
    <w:rsid w:val="6CF96BCC"/>
    <w:rsid w:val="6DD97CBE"/>
    <w:rsid w:val="6DE12D7F"/>
    <w:rsid w:val="6DF51448"/>
    <w:rsid w:val="6E0D0928"/>
    <w:rsid w:val="6E8A0F3C"/>
    <w:rsid w:val="6EBB02B1"/>
    <w:rsid w:val="6EDB0080"/>
    <w:rsid w:val="6F14413C"/>
    <w:rsid w:val="6F2C39CA"/>
    <w:rsid w:val="700613B4"/>
    <w:rsid w:val="70342507"/>
    <w:rsid w:val="70636C94"/>
    <w:rsid w:val="707D0F7A"/>
    <w:rsid w:val="70857F96"/>
    <w:rsid w:val="711D1375"/>
    <w:rsid w:val="71667C2F"/>
    <w:rsid w:val="717F08CF"/>
    <w:rsid w:val="718424CC"/>
    <w:rsid w:val="71AC3689"/>
    <w:rsid w:val="71C637E2"/>
    <w:rsid w:val="71F01B88"/>
    <w:rsid w:val="722505AB"/>
    <w:rsid w:val="72417A18"/>
    <w:rsid w:val="724677EA"/>
    <w:rsid w:val="72823060"/>
    <w:rsid w:val="72BD440E"/>
    <w:rsid w:val="73393D2B"/>
    <w:rsid w:val="73730A7D"/>
    <w:rsid w:val="73744F42"/>
    <w:rsid w:val="73806C5A"/>
    <w:rsid w:val="73B73B89"/>
    <w:rsid w:val="73F02C2D"/>
    <w:rsid w:val="743621E2"/>
    <w:rsid w:val="748E2574"/>
    <w:rsid w:val="75147FD9"/>
    <w:rsid w:val="755E6379"/>
    <w:rsid w:val="759E612E"/>
    <w:rsid w:val="75BE6688"/>
    <w:rsid w:val="7683403A"/>
    <w:rsid w:val="76C81F35"/>
    <w:rsid w:val="77E46E76"/>
    <w:rsid w:val="78557253"/>
    <w:rsid w:val="786B20DF"/>
    <w:rsid w:val="79077EBA"/>
    <w:rsid w:val="79BF4E18"/>
    <w:rsid w:val="79F71073"/>
    <w:rsid w:val="7B4E4BD9"/>
    <w:rsid w:val="7BF14883"/>
    <w:rsid w:val="7BFD7788"/>
    <w:rsid w:val="7C422437"/>
    <w:rsid w:val="7CE03118"/>
    <w:rsid w:val="7D3F031F"/>
    <w:rsid w:val="7DB43957"/>
    <w:rsid w:val="7E5E05A5"/>
    <w:rsid w:val="7EA72B4E"/>
    <w:rsid w:val="7EA736D3"/>
    <w:rsid w:val="7ED7549B"/>
    <w:rsid w:val="7EFB6D48"/>
    <w:rsid w:val="7F1636CB"/>
    <w:rsid w:val="7F652931"/>
    <w:rsid w:val="7F65593D"/>
    <w:rsid w:val="7F80188F"/>
    <w:rsid w:val="7FC64688"/>
    <w:rsid w:val="7FD232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9"/>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jc w:val="left"/>
    </w:pPr>
    <w:rPr>
      <w:rFonts w:ascii="Times New Roman" w:hAnsi="Times New Roman" w:eastAsia="仿宋_GB2312"/>
    </w:rPr>
  </w:style>
  <w:style w:type="paragraph" w:styleId="6">
    <w:name w:val="Normal Indent"/>
    <w:basedOn w:val="1"/>
    <w:unhideWhenUsed/>
    <w:qFormat/>
    <w:uiPriority w:val="99"/>
    <w:pPr>
      <w:ind w:firstLine="640" w:firstLineChars="200"/>
    </w:pPr>
    <w:rPr>
      <w:rFonts w:ascii="仿宋_GB2312" w:eastAsia="仿宋_GB2312"/>
      <w:sz w:val="32"/>
      <w:szCs w:val="32"/>
    </w:rPr>
  </w:style>
  <w:style w:type="paragraph" w:styleId="7">
    <w:name w:val="Document Map"/>
    <w:basedOn w:val="1"/>
    <w:link w:val="40"/>
    <w:qFormat/>
    <w:uiPriority w:val="0"/>
    <w:rPr>
      <w:rFonts w:ascii="宋体" w:eastAsia="宋体"/>
      <w:sz w:val="18"/>
      <w:szCs w:val="18"/>
    </w:rPr>
  </w:style>
  <w:style w:type="paragraph" w:styleId="8">
    <w:name w:val="annotation text"/>
    <w:basedOn w:val="1"/>
    <w:qFormat/>
    <w:uiPriority w:val="0"/>
    <w:pPr>
      <w:jc w:val="left"/>
    </w:pPr>
  </w:style>
  <w:style w:type="paragraph" w:styleId="9">
    <w:name w:val="Body Text"/>
    <w:basedOn w:val="1"/>
    <w:next w:val="1"/>
    <w:qFormat/>
    <w:uiPriority w:val="0"/>
    <w:pPr>
      <w:spacing w:after="120"/>
    </w:pPr>
    <w:rPr>
      <w:kern w:val="0"/>
    </w:rPr>
  </w:style>
  <w:style w:type="paragraph" w:styleId="10">
    <w:name w:val="Plain Text"/>
    <w:basedOn w:val="1"/>
    <w:unhideWhenUsed/>
    <w:qFormat/>
    <w:uiPriority w:val="99"/>
    <w:rPr>
      <w:rFonts w:ascii="宋体" w:hAnsi="Courier New" w:eastAsia="宋体" w:cs="Courier New"/>
      <w:szCs w:val="21"/>
    </w:rPr>
  </w:style>
  <w:style w:type="paragraph" w:styleId="11">
    <w:name w:val="Balloon Text"/>
    <w:basedOn w:val="1"/>
    <w:link w:val="41"/>
    <w:qFormat/>
    <w:uiPriority w:val="0"/>
    <w:rPr>
      <w:sz w:val="18"/>
      <w:szCs w:val="18"/>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footnote text"/>
    <w:basedOn w:val="1"/>
    <w:semiHidden/>
    <w:unhideWhenUsed/>
    <w:qFormat/>
    <w:uiPriority w:val="99"/>
    <w:pPr>
      <w:snapToGrid w:val="0"/>
      <w:jc w:val="left"/>
    </w:pPr>
    <w:rPr>
      <w:sz w:val="18"/>
      <w:szCs w:val="18"/>
    </w:rPr>
  </w:style>
  <w:style w:type="paragraph" w:styleId="16">
    <w:name w:val="toc 2"/>
    <w:basedOn w:val="1"/>
    <w:next w:val="1"/>
    <w:unhideWhenUsed/>
    <w:qFormat/>
    <w:uiPriority w:val="39"/>
    <w:pPr>
      <w:widowControl/>
      <w:spacing w:after="100" w:line="259" w:lineRule="auto"/>
      <w:ind w:left="220"/>
      <w:jc w:val="left"/>
    </w:pPr>
    <w:rPr>
      <w:rFonts w:cs="Times New Roman"/>
      <w:kern w:val="0"/>
      <w:sz w:val="22"/>
    </w:rPr>
  </w:style>
  <w:style w:type="paragraph" w:styleId="17">
    <w:name w:val="Normal (Web)"/>
    <w:basedOn w:val="1"/>
    <w:qFormat/>
    <w:uiPriority w:val="0"/>
    <w:pPr>
      <w:spacing w:beforeAutospacing="1" w:afterAutospacing="1"/>
      <w:jc w:val="left"/>
    </w:pPr>
    <w:rPr>
      <w:rFonts w:cs="Times New Roman"/>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b/>
    </w:rPr>
  </w:style>
  <w:style w:type="character" w:styleId="22">
    <w:name w:val="FollowedHyperlink"/>
    <w:basedOn w:val="20"/>
    <w:qFormat/>
    <w:uiPriority w:val="0"/>
    <w:rPr>
      <w:rFonts w:hint="eastAsia" w:ascii="微软雅黑" w:hAnsi="微软雅黑" w:eastAsia="微软雅黑" w:cs="微软雅黑"/>
      <w:color w:val="333333"/>
      <w:sz w:val="21"/>
      <w:szCs w:val="21"/>
      <w:u w:val="none"/>
    </w:rPr>
  </w:style>
  <w:style w:type="character" w:styleId="23">
    <w:name w:val="Emphasis"/>
    <w:basedOn w:val="20"/>
    <w:qFormat/>
    <w:uiPriority w:val="20"/>
    <w:rPr>
      <w:i/>
      <w:iCs/>
    </w:rPr>
  </w:style>
  <w:style w:type="character" w:styleId="24">
    <w:name w:val="Hyperlink"/>
    <w:basedOn w:val="20"/>
    <w:qFormat/>
    <w:uiPriority w:val="99"/>
    <w:rPr>
      <w:rFonts w:hint="eastAsia" w:ascii="微软雅黑" w:hAnsi="微软雅黑" w:eastAsia="微软雅黑" w:cs="微软雅黑"/>
      <w:color w:val="333333"/>
      <w:sz w:val="21"/>
      <w:szCs w:val="21"/>
      <w:u w:val="none"/>
    </w:rPr>
  </w:style>
  <w:style w:type="character" w:styleId="25">
    <w:name w:val="annotation reference"/>
    <w:basedOn w:val="20"/>
    <w:qFormat/>
    <w:uiPriority w:val="0"/>
    <w:rPr>
      <w:sz w:val="21"/>
      <w:szCs w:val="21"/>
    </w:rPr>
  </w:style>
  <w:style w:type="character" w:styleId="26">
    <w:name w:val="footnote reference"/>
    <w:basedOn w:val="20"/>
    <w:semiHidden/>
    <w:unhideWhenUsed/>
    <w:qFormat/>
    <w:uiPriority w:val="99"/>
    <w:rPr>
      <w:vertAlign w:val="superscript"/>
    </w:rPr>
  </w:style>
  <w:style w:type="paragraph" w:customStyle="1" w:styleId="2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8">
    <w:name w:val="Body text|1"/>
    <w:basedOn w:val="1"/>
    <w:qFormat/>
    <w:uiPriority w:val="0"/>
    <w:pPr>
      <w:spacing w:line="408" w:lineRule="auto"/>
      <w:ind w:firstLine="400"/>
    </w:pPr>
    <w:rPr>
      <w:rFonts w:ascii="宋体" w:hAnsi="宋体" w:eastAsia="宋体" w:cs="宋体"/>
      <w:sz w:val="30"/>
      <w:szCs w:val="30"/>
      <w:lang w:val="zh-TW" w:eastAsia="zh-TW" w:bidi="zh-TW"/>
    </w:rPr>
  </w:style>
  <w:style w:type="paragraph" w:styleId="29">
    <w:name w:val="List Paragraph"/>
    <w:basedOn w:val="1"/>
    <w:qFormat/>
    <w:uiPriority w:val="34"/>
    <w:pPr>
      <w:ind w:firstLine="420" w:firstLineChars="200"/>
    </w:pPr>
  </w:style>
  <w:style w:type="paragraph" w:customStyle="1" w:styleId="30">
    <w:name w:val="样式 纯文本 + 黑体 首行缩进:  2 字符 Char"/>
    <w:basedOn w:val="10"/>
    <w:qFormat/>
    <w:uiPriority w:val="0"/>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3">
    <w:name w:val="hover28"/>
    <w:basedOn w:val="20"/>
    <w:qFormat/>
    <w:uiPriority w:val="0"/>
    <w:rPr>
      <w:color w:val="1D6DC6"/>
    </w:rPr>
  </w:style>
  <w:style w:type="character" w:customStyle="1" w:styleId="34">
    <w:name w:val="hover29"/>
    <w:basedOn w:val="20"/>
    <w:qFormat/>
    <w:uiPriority w:val="0"/>
    <w:rPr>
      <w:color w:val="1D6DC6"/>
    </w:rPr>
  </w:style>
  <w:style w:type="character" w:customStyle="1" w:styleId="35">
    <w:name w:val="hover30"/>
    <w:basedOn w:val="20"/>
    <w:qFormat/>
    <w:uiPriority w:val="0"/>
    <w:rPr>
      <w:color w:val="1D6DC6"/>
    </w:rPr>
  </w:style>
  <w:style w:type="character" w:customStyle="1" w:styleId="36">
    <w:name w:val="on"/>
    <w:basedOn w:val="20"/>
    <w:qFormat/>
    <w:uiPriority w:val="0"/>
    <w:rPr>
      <w:b/>
      <w:color w:val="D60A25"/>
    </w:rPr>
  </w:style>
  <w:style w:type="character" w:customStyle="1" w:styleId="37">
    <w:name w:val="on1"/>
    <w:basedOn w:val="20"/>
    <w:qFormat/>
    <w:uiPriority w:val="0"/>
    <w:rPr>
      <w:b/>
    </w:rPr>
  </w:style>
  <w:style w:type="character" w:customStyle="1" w:styleId="38">
    <w:name w:val="hover31"/>
    <w:basedOn w:val="20"/>
    <w:qFormat/>
    <w:uiPriority w:val="0"/>
    <w:rPr>
      <w:color w:val="1D6DC6"/>
    </w:rPr>
  </w:style>
  <w:style w:type="character" w:customStyle="1" w:styleId="39">
    <w:name w:val="hover32"/>
    <w:basedOn w:val="20"/>
    <w:qFormat/>
    <w:uiPriority w:val="0"/>
    <w:rPr>
      <w:color w:val="1D6DC6"/>
    </w:rPr>
  </w:style>
  <w:style w:type="character" w:customStyle="1" w:styleId="40">
    <w:name w:val="文档结构图 Char"/>
    <w:basedOn w:val="20"/>
    <w:link w:val="7"/>
    <w:qFormat/>
    <w:uiPriority w:val="0"/>
    <w:rPr>
      <w:rFonts w:ascii="宋体" w:hAnsiTheme="minorHAnsi" w:cstheme="minorBidi"/>
      <w:kern w:val="2"/>
      <w:sz w:val="18"/>
      <w:szCs w:val="18"/>
    </w:rPr>
  </w:style>
  <w:style w:type="character" w:customStyle="1" w:styleId="41">
    <w:name w:val="批注框文本 Char"/>
    <w:basedOn w:val="20"/>
    <w:link w:val="11"/>
    <w:qFormat/>
    <w:uiPriority w:val="0"/>
    <w:rPr>
      <w:rFonts w:asciiTheme="minorHAnsi" w:hAnsiTheme="minorHAnsi" w:eastAsiaTheme="minorEastAsia" w:cstheme="minorBidi"/>
      <w:kern w:val="2"/>
      <w:sz w:val="18"/>
      <w:szCs w:val="18"/>
    </w:rPr>
  </w:style>
  <w:style w:type="character" w:customStyle="1" w:styleId="42">
    <w:name w:val="明显强调1"/>
    <w:basedOn w:val="20"/>
    <w:qFormat/>
    <w:uiPriority w:val="21"/>
    <w:rPr>
      <w:b/>
      <w:iCs/>
      <w:color w:val="auto"/>
    </w:rPr>
  </w:style>
  <w:style w:type="character" w:customStyle="1" w:styleId="43">
    <w:name w:val="fontstyle01"/>
    <w:basedOn w:val="20"/>
    <w:qFormat/>
    <w:uiPriority w:val="0"/>
    <w:rPr>
      <w:rFonts w:hint="eastAsia" w:ascii="仿宋_GB2312" w:eastAsia="仿宋_GB2312"/>
      <w:color w:val="000000"/>
      <w:sz w:val="32"/>
      <w:szCs w:val="32"/>
    </w:rPr>
  </w:style>
  <w:style w:type="character" w:customStyle="1" w:styleId="44">
    <w:name w:val="fontstyle11"/>
    <w:basedOn w:val="20"/>
    <w:qFormat/>
    <w:uiPriority w:val="0"/>
    <w:rPr>
      <w:rFonts w:hint="eastAsia" w:ascii="TimesNewRomanPSMT" w:eastAsia="TimesNewRomanPSMT"/>
      <w:color w:val="000000"/>
      <w:sz w:val="32"/>
      <w:szCs w:val="32"/>
    </w:rPr>
  </w:style>
  <w:style w:type="character" w:customStyle="1" w:styleId="45">
    <w:name w:val="fontstyle21"/>
    <w:basedOn w:val="20"/>
    <w:qFormat/>
    <w:uiPriority w:val="0"/>
    <w:rPr>
      <w:rFonts w:hint="eastAsia" w:ascii="TimesNewRomanPSMT" w:eastAsia="TimesNewRomanPSMT"/>
      <w:color w:val="000000"/>
      <w:sz w:val="28"/>
      <w:szCs w:val="28"/>
    </w:rPr>
  </w:style>
  <w:style w:type="character" w:customStyle="1" w:styleId="46">
    <w:name w:val="UserStyle_13"/>
    <w:qFormat/>
    <w:uiPriority w:val="0"/>
    <w:rPr>
      <w:rFonts w:ascii="Calibri" w:hAnsi="Calibri" w:eastAsia="宋体"/>
    </w:rPr>
  </w:style>
  <w:style w:type="character" w:customStyle="1" w:styleId="47">
    <w:name w:val="标题 1 Char"/>
    <w:basedOn w:val="20"/>
    <w:link w:val="3"/>
    <w:qFormat/>
    <w:uiPriority w:val="0"/>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3E3A4-8485-4E50-B1AA-98258FEA015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111</Pages>
  <Words>59424</Words>
  <Characters>60492</Characters>
  <Lines>455</Lines>
  <Paragraphs>128</Paragraphs>
  <TotalTime>4</TotalTime>
  <ScaleCrop>false</ScaleCrop>
  <LinksUpToDate>false</LinksUpToDate>
  <CharactersWithSpaces>60788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2021-12-19T05:17:00Z</dcterms:created>
  <dc:creator>oldmantony</dc:creator>
  <cp:lastModifiedBy>BroCColi</cp:lastModifiedBy>
  <dcterms:modified xsi:type="dcterms:W3CDTF">2024-12-10T07:17:37Z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C43B7003815D4B5083064F83DBCF5C88_13</vt:lpwstr>
  </property>
</Properties>
</file>