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560" w:lineRule="exact"/>
        <w:jc w:val="left"/>
        <w:textAlignment w:val="auto"/>
        <w:outlineLvl w:val="9"/>
        <w:rPr>
          <w:rFonts w:hint="eastAsia" w:ascii="黑体" w:hAnsi="黑体" w:eastAsia="黑体" w:cs="黑体"/>
          <w:b w:val="0"/>
          <w:bCs w:val="0"/>
          <w:sz w:val="32"/>
          <w:szCs w:val="32"/>
          <w:lang w:val="en-US" w:eastAsia="zh-CN"/>
        </w:rPr>
      </w:pPr>
      <w:bookmarkStart w:id="0" w:name="_Toc23868"/>
      <w:r>
        <w:rPr>
          <w:rFonts w:hint="eastAsia" w:ascii="黑体" w:hAnsi="黑体" w:eastAsia="黑体" w:cs="黑体"/>
          <w:b w:val="0"/>
          <w:bCs w:val="0"/>
          <w:sz w:val="32"/>
          <w:szCs w:val="32"/>
          <w:lang w:val="en-US" w:eastAsia="zh-CN"/>
        </w:rPr>
        <w:t>附件2</w:t>
      </w:r>
    </w:p>
    <w:p>
      <w:pPr>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《柳州市柳东新区国民经济</w:t>
      </w:r>
      <w:r>
        <w:rPr>
          <w:rFonts w:hint="eastAsia" w:ascii="方正小标宋简体" w:hAnsi="方正小标宋简体" w:eastAsia="方正小标宋简体" w:cs="方正小标宋简体"/>
          <w:b w:val="0"/>
          <w:bCs w:val="0"/>
          <w:sz w:val="44"/>
          <w:szCs w:val="44"/>
          <w:lang w:eastAsia="zh-CN"/>
        </w:rPr>
        <w:t>和</w:t>
      </w:r>
      <w:r>
        <w:rPr>
          <w:rFonts w:hint="eastAsia" w:ascii="方正小标宋简体" w:hAnsi="方正小标宋简体" w:eastAsia="方正小标宋简体" w:cs="方正小标宋简体"/>
          <w:b w:val="0"/>
          <w:bCs w:val="0"/>
          <w:sz w:val="44"/>
          <w:szCs w:val="44"/>
        </w:rPr>
        <w:t>社会发展</w:t>
      </w:r>
    </w:p>
    <w:p>
      <w:pPr>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第十四个五年规划和2035年远景</w:t>
      </w:r>
    </w:p>
    <w:p>
      <w:pPr>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Theme="majorEastAsia" w:hAnsiTheme="majorEastAsia" w:eastAsiaTheme="majorEastAsia" w:cstheme="majorEastAsia"/>
          <w:sz w:val="36"/>
          <w:szCs w:val="36"/>
        </w:rPr>
      </w:pPr>
      <w:r>
        <w:rPr>
          <w:rFonts w:hint="eastAsia" w:ascii="方正小标宋简体" w:hAnsi="方正小标宋简体" w:eastAsia="方正小标宋简体" w:cs="方正小标宋简体"/>
          <w:b w:val="0"/>
          <w:bCs w:val="0"/>
          <w:sz w:val="44"/>
          <w:szCs w:val="44"/>
        </w:rPr>
        <w:t>目标纲要》的编制说明</w:t>
      </w:r>
      <w:bookmarkEnd w:id="0"/>
    </w:p>
    <w:p>
      <w:pPr>
        <w:keepLines w:val="0"/>
        <w:pageBreakBefore w:val="0"/>
        <w:kinsoku/>
        <w:wordWrap/>
        <w:topLinePunct w:val="0"/>
        <w:autoSpaceDE/>
        <w:autoSpaceDN/>
        <w:bidi w:val="0"/>
        <w:snapToGrid/>
        <w:spacing w:line="560" w:lineRule="exact"/>
        <w:ind w:firstLine="640" w:firstLineChars="200"/>
        <w:jc w:val="both"/>
        <w:textAlignment w:val="auto"/>
        <w:outlineLvl w:val="9"/>
        <w:rPr>
          <w:rFonts w:hint="default" w:ascii="Times New Roman" w:hAnsi="Times New Roman" w:eastAsia="仿宋_GB2312" w:cs="Times New Roman"/>
          <w:b w:val="0"/>
          <w:bCs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仿宋_GB2312" w:cs="Times New Roman"/>
          <w:b w:val="0"/>
          <w:bCs w:val="0"/>
          <w:szCs w:val="32"/>
        </w:rPr>
      </w:pPr>
      <w:bookmarkStart w:id="1" w:name="_Toc31097"/>
      <w:r>
        <w:rPr>
          <w:rFonts w:hint="default" w:ascii="Times New Roman" w:hAnsi="Times New Roman" w:eastAsia="仿宋_GB2312" w:cs="Times New Roman"/>
          <w:b w:val="0"/>
          <w:bCs w:val="0"/>
          <w:szCs w:val="32"/>
        </w:rPr>
        <w:t>2021年</w:t>
      </w:r>
      <w:r>
        <w:rPr>
          <w:rFonts w:hint="default" w:ascii="Times New Roman" w:hAnsi="Times New Roman" w:eastAsia="仿宋_GB2312" w:cs="Times New Roman"/>
          <w:b w:val="0"/>
          <w:bCs w:val="0"/>
          <w:szCs w:val="32"/>
          <w:lang w:val="en-US" w:eastAsia="zh-CN"/>
        </w:rPr>
        <w:t>12</w:t>
      </w:r>
      <w:r>
        <w:rPr>
          <w:rFonts w:hint="default" w:ascii="Times New Roman" w:hAnsi="Times New Roman" w:eastAsia="仿宋_GB2312" w:cs="Times New Roman"/>
          <w:b w:val="0"/>
          <w:bCs w:val="0"/>
          <w:szCs w:val="32"/>
        </w:rPr>
        <w:t>月</w:t>
      </w:r>
      <w:bookmarkEnd w:id="1"/>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rPr>
      </w:pPr>
    </w:p>
    <w:p>
      <w:pPr>
        <w:keepLines w:val="0"/>
        <w:pageBreakBefore w:val="0"/>
        <w:widowControl/>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color w:val="000000" w:themeColor="text1"/>
          <w:szCs w:val="32"/>
          <w14:textFill>
            <w14:solidFill>
              <w14:schemeClr w14:val="tx1"/>
            </w14:solidFill>
          </w14:textFill>
        </w:rPr>
        <w:t>《柳东新区国民经济和社会发展第十四个五年规划和2035年远景目标纲要》</w:t>
      </w:r>
      <w:r>
        <w:rPr>
          <w:rFonts w:hint="default" w:ascii="Times New Roman" w:hAnsi="Times New Roman" w:eastAsia="仿宋_GB2312" w:cs="Times New Roman"/>
          <w:b w:val="0"/>
          <w:bCs w:val="0"/>
          <w:szCs w:val="32"/>
        </w:rPr>
        <w:t>（下简称《纲要》）是根据柳州市委市政府部署要求编制。《纲要》</w:t>
      </w:r>
      <w:r>
        <w:rPr>
          <w:rFonts w:hint="default" w:ascii="Times New Roman" w:hAnsi="Times New Roman" w:eastAsia="仿宋_GB2312" w:cs="Times New Roman"/>
          <w:b w:val="0"/>
          <w:bCs w:val="0"/>
          <w:color w:val="000000" w:themeColor="text1"/>
          <w:szCs w:val="32"/>
          <w14:textFill>
            <w14:solidFill>
              <w14:schemeClr w14:val="tx1"/>
            </w14:solidFill>
          </w14:textFill>
        </w:rPr>
        <w:t>深入贯彻习近平总书记视察广西时的重要讲话和重要指示精神，按照党中央和自治区党委的部署要求，</w:t>
      </w:r>
      <w:r>
        <w:rPr>
          <w:rFonts w:hint="default" w:ascii="Times New Roman" w:hAnsi="Times New Roman" w:eastAsia="仿宋_GB2312" w:cs="Times New Roman"/>
          <w:b w:val="0"/>
          <w:bCs w:val="0"/>
          <w:szCs w:val="32"/>
        </w:rPr>
        <w:t>将“十四五”规划与2035年远景目标统筹考虑，对实现第二个百年奋斗目标具有重要意义，是“十四五”期间新区国民经济和社会发展的战略性、纲领性、综合性的总体规划，也是编制和实施全区国民经济和社会发展各类专项规划、年度计划以及制定相关政策的重要依据。</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2" w:name="_Toc25323"/>
      <w:r>
        <w:rPr>
          <w:rFonts w:hint="default" w:ascii="Times New Roman" w:hAnsi="Times New Roman" w:eastAsia="仿宋_GB2312" w:cs="Times New Roman"/>
          <w:b w:val="0"/>
          <w:bCs w:val="0"/>
          <w:szCs w:val="32"/>
        </w:rPr>
        <w:t>新区高度重视《纲要》编制工作，按照工作部署，《纲要》编制工作责任部门战略和经济发展局于2020年5月制订《柳东新区“十四五”规划编制工作方案》；2020年6月形成《〈纲要〉基本思路》。《纲要》衔接、对照、参考自治区、柳州市等各级规划、工作方案和战略研究成果，共超过35个文件；《纲要》编制过程注重深入调研，对新区职能部门、镇（街道）、重点企业通过“访谈+实地考察”充分了解情况；编制工作注重开门问策，通过调查问卷“开门做规划”问计于民，集中各方面智慧编制规划；编制工作注重新区领导班子、职能部门、驻区企业和各方面专家意见，截止六月底共征集管委会领导、新区各职能部门、驻区企业共118 条反馈意见。其中采纳110条，未采纳8条。在形成《纲要（审议稿）》后，再次征集到管委会领导、部门和评审专家共101条意见和建议，其中采纳63条，不采纳或部分采纳38条</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lang w:val="en-US" w:eastAsia="zh-CN"/>
        </w:rPr>
        <w:t>2021年11月22日，《纲要（审议稿）》通过新区常务会审议，并再次根据管委会、部门意见进行修订完善。</w:t>
      </w:r>
      <w:r>
        <w:rPr>
          <w:rFonts w:hint="default" w:ascii="Times New Roman" w:hAnsi="Times New Roman" w:eastAsia="仿宋_GB2312" w:cs="Times New Roman"/>
          <w:b w:val="0"/>
          <w:bCs w:val="0"/>
          <w:szCs w:val="32"/>
        </w:rPr>
        <w:t>编制工作经过不断征求意见、修改完善、再次征求意见的过程，前后共形成共1</w:t>
      </w:r>
      <w:r>
        <w:rPr>
          <w:rFonts w:hint="default" w:ascii="Times New Roman" w:hAnsi="Times New Roman" w:eastAsia="仿宋_GB2312" w:cs="Times New Roman"/>
          <w:b w:val="0"/>
          <w:bCs w:val="0"/>
          <w:szCs w:val="32"/>
          <w:lang w:val="en-US" w:eastAsia="zh-CN"/>
        </w:rPr>
        <w:t>6</w:t>
      </w:r>
      <w:r>
        <w:rPr>
          <w:rFonts w:hint="default" w:ascii="Times New Roman" w:hAnsi="Times New Roman" w:eastAsia="仿宋_GB2312" w:cs="Times New Roman"/>
          <w:b w:val="0"/>
          <w:bCs w:val="0"/>
          <w:szCs w:val="32"/>
        </w:rPr>
        <w:t>稿。</w:t>
      </w:r>
      <w:bookmarkEnd w:id="2"/>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rPr>
      </w:pPr>
      <w:bookmarkStart w:id="3" w:name="_Toc1798"/>
      <w:r>
        <w:rPr>
          <w:rFonts w:hint="default" w:ascii="Times New Roman" w:hAnsi="Times New Roman" w:eastAsia="仿宋_GB2312" w:cs="Times New Roman"/>
          <w:b w:val="0"/>
          <w:bCs w:val="0"/>
          <w:szCs w:val="32"/>
        </w:rPr>
        <w:t>《纲要》共9章33节，基于发展基础、发展环境和面临的问题，形成了“四大定位、六大战略、六大任务、23条举措”的框架结构。全文重点围绕突出问题导向、突出目标导向、突出践行新发展理念、突出重大任务举措思路展开，现将编制情况说明如下。</w:t>
      </w:r>
      <w:bookmarkEnd w:id="3"/>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4" w:name="_Toc26768"/>
      <w:r>
        <w:rPr>
          <w:rFonts w:hint="eastAsia" w:ascii="黑体" w:hAnsi="黑体" w:eastAsia="黑体" w:cs="黑体"/>
          <w:b w:val="0"/>
          <w:bCs w:val="0"/>
          <w:szCs w:val="32"/>
        </w:rPr>
        <w:t>一、立足现实、面向未来，查找面临的关键性问题</w:t>
      </w:r>
      <w:bookmarkEnd w:id="4"/>
    </w:p>
    <w:p>
      <w:pPr>
        <w:keepLines w:val="0"/>
        <w:pageBreakBefore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color w:val="000000" w:themeColor="text1"/>
          <w:szCs w:val="36"/>
          <w14:textFill>
            <w14:solidFill>
              <w14:schemeClr w14:val="tx1"/>
            </w14:solidFill>
          </w14:textFill>
        </w:rPr>
        <w:t>“十三五”期间，柳东新区经济实力跨越升级，经济规模大幅扩张，经济效益显著提高，2020年，全年</w:t>
      </w:r>
      <w:r>
        <w:rPr>
          <w:rFonts w:hint="default" w:ascii="Times New Roman" w:hAnsi="Times New Roman" w:eastAsia="仿宋_GB2312" w:cs="Times New Roman"/>
          <w:b w:val="0"/>
          <w:bCs w:val="0"/>
          <w:color w:val="000000" w:themeColor="text1"/>
          <w:szCs w:val="32"/>
          <w14:textFill>
            <w14:solidFill>
              <w14:schemeClr w14:val="tx1"/>
            </w14:solidFill>
          </w14:textFill>
        </w:rPr>
        <w:t>新区地区生产总值实现283.2亿元，年均增长约6.0%</w:t>
      </w:r>
      <w:r>
        <w:rPr>
          <w:rFonts w:hint="default" w:ascii="Times New Roman" w:hAnsi="Times New Roman" w:eastAsia="仿宋_GB2312" w:cs="Times New Roman"/>
          <w:b w:val="0"/>
          <w:bCs w:val="0"/>
          <w:color w:val="000000" w:themeColor="text1"/>
          <w:szCs w:val="32"/>
          <w:lang w:eastAsia="zh-CN"/>
          <w14:textFill>
            <w14:solidFill>
              <w14:schemeClr w14:val="tx1"/>
            </w14:solidFill>
          </w14:textFill>
        </w:rPr>
        <w:t>，其中2016-2019年年均增长约8.40%</w:t>
      </w:r>
      <w:r>
        <w:rPr>
          <w:rFonts w:hint="default" w:ascii="Times New Roman" w:hAnsi="Times New Roman" w:eastAsia="仿宋_GB2312" w:cs="Times New Roman"/>
          <w:b w:val="0"/>
          <w:bCs w:val="0"/>
          <w:color w:val="000000" w:themeColor="text1"/>
          <w:szCs w:val="32"/>
          <w14:textFill>
            <w14:solidFill>
              <w14:schemeClr w14:val="tx1"/>
            </w14:solidFill>
          </w14:textFill>
        </w:rPr>
        <w:t>；实业柳东强势崛起，在工业领域扎实构建汽车和零部件产业为主导，战略性新兴产业联动发展的“</w:t>
      </w:r>
      <w:r>
        <w:rPr>
          <w:rFonts w:hint="default" w:ascii="Times New Roman" w:hAnsi="Times New Roman" w:eastAsia="仿宋_GB2312" w:cs="Times New Roman"/>
          <w:b w:val="0"/>
          <w:bCs w:val="0"/>
          <w:color w:val="000000" w:themeColor="text1"/>
          <w:szCs w:val="32"/>
          <w:lang w:val="en-US" w:eastAsia="zh-CN"/>
          <w14:textFill>
            <w14:solidFill>
              <w14:schemeClr w14:val="tx1"/>
            </w14:solidFill>
          </w14:textFill>
        </w:rPr>
        <w:t>3+3+1</w:t>
      </w:r>
      <w:r>
        <w:rPr>
          <w:rFonts w:hint="default" w:ascii="Times New Roman" w:hAnsi="Times New Roman" w:eastAsia="仿宋_GB2312" w:cs="Times New Roman"/>
          <w:b w:val="0"/>
          <w:bCs w:val="0"/>
          <w:color w:val="000000" w:themeColor="text1"/>
          <w:szCs w:val="32"/>
          <w14:textFill>
            <w14:solidFill>
              <w14:schemeClr w14:val="tx1"/>
            </w14:solidFill>
          </w14:textFill>
        </w:rPr>
        <w:t>”产业格局，汽车产业完成产量46.13万辆，</w:t>
      </w:r>
      <w:r>
        <w:rPr>
          <w:rFonts w:hint="default" w:ascii="Times New Roman" w:hAnsi="Times New Roman" w:eastAsia="仿宋_GB2312" w:cs="Times New Roman"/>
          <w:b w:val="0"/>
          <w:bCs w:val="0"/>
          <w:color w:val="000000"/>
          <w:szCs w:val="32"/>
        </w:rPr>
        <w:t>稳增长</w:t>
      </w:r>
      <w:r>
        <w:rPr>
          <w:rFonts w:hint="default" w:ascii="Times New Roman" w:hAnsi="Times New Roman" w:eastAsia="仿宋_GB2312" w:cs="Times New Roman"/>
          <w:b w:val="0"/>
          <w:bCs w:val="0"/>
          <w:color w:val="000000" w:themeColor="text1"/>
          <w:szCs w:val="32"/>
          <w14:textFill>
            <w14:solidFill>
              <w14:schemeClr w14:val="tx1"/>
            </w14:solidFill>
          </w14:textFill>
        </w:rPr>
        <w:t>目标胜利实现；创新柳东活力洋溢，</w:t>
      </w:r>
      <w:r>
        <w:rPr>
          <w:rFonts w:hint="default" w:ascii="Times New Roman" w:hAnsi="Times New Roman" w:eastAsia="仿宋_GB2312" w:cs="Times New Roman"/>
          <w:b w:val="0"/>
          <w:bCs w:val="0"/>
          <w:szCs w:val="32"/>
        </w:rPr>
        <w:t>科技创新能力持续增强，柳州高新区综合排名在全国169家国家高新区中排第44位；魅力柳东日新月异，以产城融合为导向，加快重点片区重点工程建设，城市基础设施日益完善，城市功能设施展现新形象，</w:t>
      </w:r>
      <w:r>
        <w:rPr>
          <w:rFonts w:hint="default" w:ascii="Times New Roman" w:hAnsi="Times New Roman" w:eastAsia="仿宋_GB2312" w:cs="Times New Roman"/>
          <w:b w:val="0"/>
          <w:bCs w:val="0"/>
          <w:color w:val="000000" w:themeColor="text1"/>
          <w:szCs w:val="32"/>
          <w14:textFill>
            <w14:solidFill>
              <w14:schemeClr w14:val="tx1"/>
            </w14:solidFill>
          </w14:textFill>
        </w:rPr>
        <w:t>绿色生态指标名列全市前茅，成功创建国家级绿色工业园区</w:t>
      </w:r>
      <w:r>
        <w:rPr>
          <w:rFonts w:hint="default" w:ascii="Times New Roman" w:hAnsi="Times New Roman" w:eastAsia="仿宋_GB2312" w:cs="Times New Roman"/>
          <w:b w:val="0"/>
          <w:bCs w:val="0"/>
          <w:szCs w:val="32"/>
        </w:rPr>
        <w:t>；幸福柳东民生改善，累计投入民生资金 53.57 亿元，以重大民生项目为引领统筹推动社会事业加速发展；</w:t>
      </w:r>
      <w:r>
        <w:rPr>
          <w:rFonts w:hint="default" w:ascii="Times New Roman" w:hAnsi="Times New Roman" w:eastAsia="仿宋_GB2312" w:cs="Times New Roman"/>
          <w:b w:val="0"/>
          <w:bCs w:val="0"/>
          <w:szCs w:val="32"/>
          <w:lang w:eastAsia="zh-CN"/>
        </w:rPr>
        <w:t>改革</w:t>
      </w:r>
      <w:r>
        <w:rPr>
          <w:rFonts w:hint="default" w:ascii="Times New Roman" w:hAnsi="Times New Roman" w:eastAsia="仿宋_GB2312" w:cs="Times New Roman"/>
          <w:b w:val="0"/>
          <w:bCs w:val="0"/>
          <w:szCs w:val="32"/>
        </w:rPr>
        <w:t>柳东乘风破浪，</w:t>
      </w:r>
      <w:r>
        <w:rPr>
          <w:rFonts w:hint="default" w:ascii="Times New Roman" w:hAnsi="Times New Roman" w:eastAsia="仿宋_GB2312" w:cs="Times New Roman"/>
          <w:b w:val="0"/>
          <w:bCs w:val="0"/>
          <w:color w:val="000000" w:themeColor="text1"/>
          <w:szCs w:val="32"/>
          <w14:textFill>
            <w14:solidFill>
              <w14:schemeClr w14:val="tx1"/>
            </w14:solidFill>
          </w14:textFill>
        </w:rPr>
        <w:t>新区</w:t>
      </w:r>
      <w:r>
        <w:rPr>
          <w:rFonts w:hint="default" w:ascii="Times New Roman" w:hAnsi="Times New Roman" w:eastAsia="仿宋_GB2312" w:cs="Times New Roman"/>
          <w:b w:val="0"/>
          <w:bCs w:val="0"/>
          <w:szCs w:val="32"/>
        </w:rPr>
        <w:t>以主动求变、</w:t>
      </w:r>
      <w:r>
        <w:rPr>
          <w:rFonts w:hint="default" w:ascii="Times New Roman" w:hAnsi="Times New Roman" w:eastAsia="仿宋_GB2312" w:cs="Times New Roman"/>
          <w:b w:val="0"/>
          <w:bCs w:val="0"/>
          <w:snapToGrid w:val="0"/>
          <w:kern w:val="0"/>
          <w:szCs w:val="32"/>
        </w:rPr>
        <w:t>集成改革</w:t>
      </w:r>
      <w:r>
        <w:rPr>
          <w:rFonts w:hint="default" w:ascii="Times New Roman" w:hAnsi="Times New Roman" w:eastAsia="仿宋_GB2312" w:cs="Times New Roman"/>
          <w:b w:val="0"/>
          <w:bCs w:val="0"/>
          <w:szCs w:val="32"/>
        </w:rPr>
        <w:t>激发内生发展动力，</w:t>
      </w:r>
      <w:r>
        <w:rPr>
          <w:rFonts w:hint="default" w:ascii="Times New Roman" w:hAnsi="Times New Roman" w:eastAsia="仿宋_GB2312" w:cs="Times New Roman"/>
          <w:b w:val="0"/>
          <w:bCs w:val="0"/>
          <w:color w:val="000000" w:themeColor="text1"/>
          <w:szCs w:val="32"/>
          <w14:textFill>
            <w14:solidFill>
              <w14:schemeClr w14:val="tx1"/>
            </w14:solidFill>
          </w14:textFill>
        </w:rPr>
        <w:t>加快治理体系和治理能力现代化，为高质量发展全面赋能；平安柳东砥砺奋进，新区持续深化社会综合治理，开展扫黑除恶专项斗争，扎实强化禁毒工作，抓实安全生产和食品安全专项整治，“法治柳东”“平安柳东”建设取得新成效，有效保障社会和谐安定。果断处置非洲猪瘟，防控新冠疫情，有效保障社会和谐安定，有效保障新区产业链、供应链安全稳定。</w:t>
      </w:r>
    </w:p>
    <w:p>
      <w:pPr>
        <w:keepLines w:val="0"/>
        <w:pageBreakBefore w:val="0"/>
        <w:kinsoku/>
        <w:wordWrap/>
        <w:overflowPunct w:val="0"/>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Cs w:val="32"/>
          <w14:textFill>
            <w14:solidFill>
              <w14:schemeClr w14:val="tx1"/>
            </w14:solidFill>
          </w14:textFill>
        </w:rPr>
        <w:t>“十四五”期间，柳东新区将面临重大发展机遇和百年未有之大变局，同时，仍需着力解决新区当前客观存在的经济、产业、民生和城建等领域现实障碍和突出短板。一是国际国内汽车行业竞争更加剧烈，受市场波动影响，汽车产销同步下滑；二是龙头企业转型升级，配套企业同步发展相对乏力；三是经济高质量发展的要素和动能仍待集聚，战略新兴产业、产业金融、商务会展、文化旅游、高端消费等仍处于培育期，核心竞争能力有待提升，新动能尚未形成强大支撑；四是科技创新对产业发展的支撑引领作用有待增强，公共技术服务平台和重大创新基础设施供给仍不充分，部分产业关键技术和核心零部件未能实现供应链安全；五是人口规模支撑不足，聚人气存在制约因素，人口增长缺乏强劲动力，制约多层次人才和劳动资源供给；六是民生短板依旧存在，教育医疗文化和商业配套仍需完善，城市功能难以满足经济社会发展的要求；七是建设资金压力增大，融资途径有待拓宽，综合投资效益仍需提升。</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5" w:name="_Toc19668"/>
      <w:r>
        <w:rPr>
          <w:rFonts w:hint="default" w:ascii="黑体" w:hAnsi="黑体" w:eastAsia="黑体" w:cs="黑体"/>
          <w:b w:val="0"/>
          <w:bCs w:val="0"/>
          <w:szCs w:val="32"/>
        </w:rPr>
        <w:t>二、突出目标导向，增强发展动能，主动肩负使命</w:t>
      </w:r>
      <w:bookmarkEnd w:id="5"/>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在发展定位方面，新区明确了四大定位：一是</w:t>
      </w:r>
      <w:r>
        <w:rPr>
          <w:rFonts w:hint="default" w:ascii="Times New Roman" w:hAnsi="Times New Roman" w:eastAsia="仿宋_GB2312" w:cs="Times New Roman"/>
          <w:b w:val="0"/>
          <w:bCs w:val="0"/>
          <w:color w:val="000000" w:themeColor="text1"/>
          <w:szCs w:val="32"/>
          <w14:textFill>
            <w14:solidFill>
              <w14:schemeClr w14:val="tx1"/>
            </w14:solidFill>
          </w14:textFill>
        </w:rPr>
        <w:t>柳州现代制造城核心区</w:t>
      </w:r>
      <w:r>
        <w:rPr>
          <w:rFonts w:hint="default" w:ascii="Times New Roman" w:hAnsi="Times New Roman" w:eastAsia="仿宋_GB2312" w:cs="Times New Roman"/>
          <w:b w:val="0"/>
          <w:bCs w:val="0"/>
          <w:szCs w:val="32"/>
        </w:rPr>
        <w:t>，二是</w:t>
      </w:r>
      <w:r>
        <w:rPr>
          <w:rFonts w:hint="default" w:ascii="Times New Roman" w:hAnsi="Times New Roman" w:eastAsia="仿宋_GB2312" w:cs="Times New Roman"/>
          <w:b w:val="0"/>
          <w:bCs w:val="0"/>
          <w:color w:val="000000" w:themeColor="text1"/>
          <w:szCs w:val="32"/>
          <w14:textFill>
            <w14:solidFill>
              <w14:schemeClr w14:val="tx1"/>
            </w14:solidFill>
          </w14:textFill>
        </w:rPr>
        <w:t>创新驱动发展示范区和高质量发展先行区</w:t>
      </w:r>
      <w:r>
        <w:rPr>
          <w:rFonts w:hint="default" w:ascii="Times New Roman" w:hAnsi="Times New Roman" w:eastAsia="仿宋_GB2312" w:cs="Times New Roman"/>
          <w:b w:val="0"/>
          <w:bCs w:val="0"/>
          <w:szCs w:val="32"/>
        </w:rPr>
        <w:t>，三是</w:t>
      </w:r>
      <w:r>
        <w:rPr>
          <w:rFonts w:hint="default" w:ascii="Times New Roman" w:hAnsi="Times New Roman" w:eastAsia="仿宋_GB2312" w:cs="Times New Roman"/>
          <w:b w:val="0"/>
          <w:bCs w:val="0"/>
          <w:color w:val="000000" w:themeColor="text1"/>
          <w:szCs w:val="32"/>
          <w14:textFill>
            <w14:solidFill>
              <w14:schemeClr w14:val="tx1"/>
            </w14:solidFill>
          </w14:textFill>
        </w:rPr>
        <w:t>区域开放合作先行区，四是产城融合山水新城。</w:t>
      </w:r>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0"/>
          <w:szCs w:val="32"/>
          <w14:textFill>
            <w14:solidFill>
              <w14:schemeClr w14:val="tx1"/>
            </w14:solidFill>
          </w14:textFill>
        </w:rPr>
      </w:pPr>
      <w:r>
        <w:rPr>
          <w:rFonts w:hint="default" w:ascii="Times New Roman" w:hAnsi="Times New Roman" w:eastAsia="仿宋_GB2312" w:cs="Times New Roman"/>
          <w:b w:val="0"/>
          <w:bCs w:val="0"/>
          <w:szCs w:val="32"/>
        </w:rPr>
        <w:t>在远景目标方面，展望2035年，</w:t>
      </w:r>
      <w:r>
        <w:rPr>
          <w:rFonts w:hint="default" w:ascii="Times New Roman" w:hAnsi="Times New Roman" w:eastAsia="仿宋_GB2312" w:cs="Times New Roman"/>
          <w:b w:val="0"/>
          <w:bCs w:val="0"/>
          <w:color w:val="000000" w:themeColor="text1"/>
          <w:kern w:val="0"/>
          <w:szCs w:val="32"/>
          <w14:textFill>
            <w14:solidFill>
              <w14:schemeClr w14:val="tx1"/>
            </w14:solidFill>
          </w14:textFill>
        </w:rPr>
        <w:t>柳东新区综合经济实力大幅跃升，经济总量、人均地区生产总值和城乡居民人均收入迈上新的大台阶，科技创新支撑能力显著增强，现代制造城和创新型城市核心承载区能级量级全面提升，率先实现新型工业化、信息化、城镇化、农业现代化。人民生活更有幸福感和获得感，市民素质和社会文明程度达到新高度，公共服务体系实现优质均衡布局，共建共治共享的社会治理格局更加完善。生态环境大幅提升，环境治理体系与治理能力现代化水平处于自治区前列。</w:t>
      </w:r>
      <w:r>
        <w:rPr>
          <w:rFonts w:hint="default" w:ascii="Times New Roman" w:hAnsi="Times New Roman" w:eastAsia="仿宋_GB2312" w:cs="Times New Roman"/>
          <w:b w:val="0"/>
          <w:bCs w:val="0"/>
          <w:szCs w:val="32"/>
        </w:rPr>
        <w:t>到本世纪中叶，</w:t>
      </w:r>
      <w:r>
        <w:rPr>
          <w:rFonts w:hint="default" w:ascii="Times New Roman" w:hAnsi="Times New Roman" w:eastAsia="仿宋_GB2312" w:cs="Times New Roman"/>
          <w:b w:val="0"/>
          <w:bCs w:val="0"/>
          <w:color w:val="000000" w:themeColor="text1"/>
          <w:kern w:val="0"/>
          <w:szCs w:val="32"/>
          <w14:textFill>
            <w14:solidFill>
              <w14:schemeClr w14:val="tx1"/>
            </w14:solidFill>
          </w14:textFill>
        </w:rPr>
        <w:t>柳东新区建设成为富有创新活力、产城充分融合、人文魅力彰显的国家一流高新区和现代化新型城区。</w:t>
      </w:r>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szCs w:val="32"/>
        </w:rPr>
        <w:t>“十四五”发展目标：锚定二〇三五年远景目标，</w:t>
      </w:r>
      <w:r>
        <w:rPr>
          <w:rFonts w:hint="default" w:ascii="Times New Roman" w:hAnsi="Times New Roman" w:eastAsia="仿宋_GB2312" w:cs="Times New Roman"/>
          <w:b w:val="0"/>
          <w:bCs w:val="0"/>
          <w:color w:val="000000" w:themeColor="text1"/>
          <w:szCs w:val="32"/>
          <w14:textFill>
            <w14:solidFill>
              <w14:schemeClr w14:val="tx1"/>
            </w14:solidFill>
          </w14:textFill>
        </w:rPr>
        <w:t>“十四五”期间，加快推动新区高质量发展，建设广西柳州汽车城升级版，打造科技创新、产城融合、绿色生态的示范区。到“十四五”期末，新区经济发展效益显著提升，产业结构优化升级，高端产业进一步聚集，城市建设魅力彰显，民生福祉进一步增进，城市环境绿色宜人，社会治理安全有序。</w:t>
      </w:r>
    </w:p>
    <w:p>
      <w:pPr>
        <w:pStyle w:val="25"/>
        <w:keepLines w:val="0"/>
        <w:pageBreakBefore w:val="0"/>
        <w:tabs>
          <w:tab w:val="left" w:pos="4358"/>
        </w:tabs>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color w:val="auto"/>
          <w:lang w:eastAsia="zh-CN"/>
        </w:rPr>
      </w:pPr>
      <w:r>
        <w:rPr>
          <w:rFonts w:hint="default" w:ascii="Times New Roman" w:hAnsi="Times New Roman" w:eastAsia="仿宋_GB2312" w:cs="Times New Roman"/>
          <w:b w:val="0"/>
          <w:bCs w:val="0"/>
        </w:rPr>
        <w:t>在调控指标方面，以定位和目标为导向，构建了符合新时代特点、体现新发展理念、具有</w:t>
      </w:r>
      <w:r>
        <w:rPr>
          <w:rFonts w:hint="default" w:ascii="Times New Roman" w:hAnsi="Times New Roman" w:eastAsia="仿宋_GB2312" w:cs="Times New Roman"/>
          <w:b w:val="0"/>
          <w:bCs w:val="0"/>
          <w:lang w:eastAsia="zh-CN"/>
        </w:rPr>
        <w:t>柳东</w:t>
      </w:r>
      <w:r>
        <w:rPr>
          <w:rFonts w:hint="default" w:ascii="Times New Roman" w:hAnsi="Times New Roman" w:eastAsia="仿宋_GB2312" w:cs="Times New Roman"/>
          <w:b w:val="0"/>
          <w:bCs w:val="0"/>
        </w:rPr>
        <w:t>特色、具备可操作性的“十四五”规划调控指标体系，以落实市“十四五”规划调控指标为基础，</w:t>
      </w:r>
      <w:r>
        <w:rPr>
          <w:rFonts w:hint="default" w:ascii="Times New Roman" w:hAnsi="Times New Roman" w:eastAsia="仿宋_GB2312" w:cs="Times New Roman"/>
          <w:b w:val="0"/>
          <w:bCs w:val="0"/>
          <w:color w:val="auto"/>
        </w:rPr>
        <w:t>设置了包括经济</w:t>
      </w:r>
      <w:r>
        <w:rPr>
          <w:rFonts w:hint="default" w:ascii="Times New Roman" w:hAnsi="Times New Roman" w:eastAsia="仿宋_GB2312" w:cs="Times New Roman"/>
          <w:b w:val="0"/>
          <w:bCs w:val="0"/>
          <w:color w:val="auto"/>
          <w:lang w:eastAsia="zh-CN"/>
        </w:rPr>
        <w:t>发展</w:t>
      </w:r>
      <w:r>
        <w:rPr>
          <w:rFonts w:hint="default" w:ascii="Times New Roman" w:hAnsi="Times New Roman" w:eastAsia="仿宋_GB2312" w:cs="Times New Roman"/>
          <w:b w:val="0"/>
          <w:bCs w:val="0"/>
          <w:color w:val="auto"/>
        </w:rPr>
        <w:t>、创新</w:t>
      </w:r>
      <w:r>
        <w:rPr>
          <w:rFonts w:hint="default" w:ascii="Times New Roman" w:hAnsi="Times New Roman" w:eastAsia="仿宋_GB2312" w:cs="Times New Roman"/>
          <w:b w:val="0"/>
          <w:bCs w:val="0"/>
          <w:color w:val="auto"/>
          <w:lang w:eastAsia="zh-CN"/>
        </w:rPr>
        <w:t>驱动</w:t>
      </w:r>
      <w:r>
        <w:rPr>
          <w:rFonts w:hint="default" w:ascii="Times New Roman" w:hAnsi="Times New Roman" w:eastAsia="仿宋_GB2312" w:cs="Times New Roman"/>
          <w:b w:val="0"/>
          <w:bCs w:val="0"/>
          <w:color w:val="auto"/>
        </w:rPr>
        <w:t>、民生福祉、</w:t>
      </w:r>
      <w:r>
        <w:rPr>
          <w:rFonts w:hint="default" w:ascii="Times New Roman" w:hAnsi="Times New Roman" w:eastAsia="仿宋_GB2312" w:cs="Times New Roman"/>
          <w:b w:val="0"/>
          <w:bCs w:val="0"/>
          <w:color w:val="auto"/>
          <w:lang w:eastAsia="zh-CN"/>
        </w:rPr>
        <w:t>绿色转型</w:t>
      </w:r>
      <w:r>
        <w:rPr>
          <w:rFonts w:hint="default" w:ascii="Times New Roman" w:hAnsi="Times New Roman" w:eastAsia="仿宋_GB2312" w:cs="Times New Roman"/>
          <w:b w:val="0"/>
          <w:bCs w:val="0"/>
          <w:color w:val="auto"/>
          <w:lang w:val="en-US" w:eastAsia="zh-CN"/>
        </w:rPr>
        <w:t>4</w:t>
      </w:r>
      <w:r>
        <w:rPr>
          <w:rFonts w:hint="default" w:ascii="Times New Roman" w:hAnsi="Times New Roman" w:eastAsia="仿宋_GB2312" w:cs="Times New Roman"/>
          <w:b w:val="0"/>
          <w:bCs w:val="0"/>
          <w:color w:val="auto"/>
        </w:rPr>
        <w:t>个维度共</w:t>
      </w:r>
      <w:r>
        <w:rPr>
          <w:rFonts w:hint="default" w:ascii="Times New Roman" w:hAnsi="Times New Roman" w:eastAsia="仿宋_GB2312" w:cs="Times New Roman"/>
          <w:b w:val="0"/>
          <w:bCs w:val="0"/>
          <w:color w:val="auto"/>
          <w:lang w:val="en-US" w:eastAsia="zh-CN"/>
        </w:rPr>
        <w:t>33</w:t>
      </w:r>
      <w:r>
        <w:rPr>
          <w:rFonts w:hint="default" w:ascii="Times New Roman" w:hAnsi="Times New Roman" w:eastAsia="仿宋_GB2312" w:cs="Times New Roman"/>
          <w:b w:val="0"/>
          <w:bCs w:val="0"/>
          <w:color w:val="auto"/>
        </w:rPr>
        <w:t>项具体指标。</w:t>
      </w:r>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预计“十四五”期间柳东新区GDP年均名义增长率约为</w:t>
      </w:r>
      <w:r>
        <w:rPr>
          <w:rFonts w:hint="default" w:ascii="Times New Roman" w:hAnsi="Times New Roman" w:eastAsia="仿宋_GB2312" w:cs="Times New Roman"/>
          <w:b w:val="0"/>
          <w:bCs w:val="0"/>
          <w:color w:val="auto"/>
          <w:szCs w:val="32"/>
          <w:lang w:val="en-US" w:eastAsia="zh-CN"/>
        </w:rPr>
        <w:t>9</w:t>
      </w:r>
      <w:r>
        <w:rPr>
          <w:rFonts w:hint="default" w:ascii="Times New Roman" w:hAnsi="Times New Roman" w:eastAsia="仿宋_GB2312" w:cs="Times New Roman"/>
          <w:b w:val="0"/>
          <w:bCs w:val="0"/>
          <w:color w:val="auto"/>
          <w:szCs w:val="32"/>
        </w:rPr>
        <w:t>%，比同期柳州市年均增速高约</w:t>
      </w:r>
      <w:r>
        <w:rPr>
          <w:rFonts w:hint="default" w:ascii="Times New Roman" w:hAnsi="Times New Roman" w:eastAsia="仿宋_GB2312" w:cs="Times New Roman"/>
          <w:b w:val="0"/>
          <w:bCs w:val="0"/>
          <w:color w:val="auto"/>
          <w:szCs w:val="32"/>
          <w:lang w:val="en-US" w:eastAsia="zh-CN"/>
        </w:rPr>
        <w:t>1</w:t>
      </w:r>
      <w:r>
        <w:rPr>
          <w:rFonts w:hint="default" w:ascii="Times New Roman" w:hAnsi="Times New Roman" w:eastAsia="仿宋_GB2312" w:cs="Times New Roman"/>
          <w:b w:val="0"/>
          <w:bCs w:val="0"/>
          <w:color w:val="auto"/>
          <w:szCs w:val="32"/>
        </w:rPr>
        <w:t>个百分点。预计到2025年，新区常住人口规模可达30万，据此推算柳东新区2025年人均GDP为15.2万元，“十四五”期间年均增速约为7%，比全市高约0.5个百分点。</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6" w:name="_Toc28176"/>
      <w:r>
        <w:rPr>
          <w:rFonts w:hint="default" w:ascii="黑体" w:hAnsi="黑体" w:eastAsia="黑体" w:cs="黑体"/>
          <w:b w:val="0"/>
          <w:bCs w:val="0"/>
          <w:szCs w:val="32"/>
        </w:rPr>
        <w:t>三、贯彻新发展理念，作出系统谋划和战略部署</w:t>
      </w:r>
      <w:bookmarkEnd w:id="6"/>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以习近平新时代中国特色社会主义思想为指导，深入贯彻党的十九大和十九届二中、三中、四中、五中、六中全会精神，坚决落实习近平总书记对广西工作系列重要指示精神，紧密围绕“三大定位”新使命和“五个扎实”新要求，全面融入我市深入实施“实业兴市，开放强柳”、持续推进“三大建设”、加快构建“八大体系”战略布局，以全市经济和社会发展排头兵为使命担当，以改造提升传统</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优势</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产业、培育壮大新兴产业为发展主线，以改革创新、追求卓越为根本动力，以建成升级版广西柳州汽车城和西南领先、全国一流的产城融合示范区为目标导航，全面推进新区产业升级高质量发展、产城融合高质量发展、创新创业高质量发展、人民生活高质量发展，在建设现代制造城、打造万亿工业强市中闯出新路子、展现新作为、迈出新步伐、彰显新担当，全力谱写新时代柳东新区高质量发展、跨越发展壮美篇章。</w:t>
      </w:r>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坚持五大基本原则：十九届五中全会审议通过的《中共中央关于制定国民经济和社会发展第十四个五年规划和二〇三五年远景目标的建议》，提出坚持党的全面领导、坚持以人民为中心、坚持新发展理念、坚持深化改革开放、坚持系统观念五大基本原则，“十四五”期间，新区也必须将五大基本原则贯穿始终。</w:t>
      </w:r>
    </w:p>
    <w:p>
      <w:pPr>
        <w:pStyle w:val="7"/>
        <w:keepLines w:val="0"/>
        <w:pageBreakBefore w:val="0"/>
        <w:kinsoku/>
        <w:wordWrap/>
        <w:topLinePunct w:val="0"/>
        <w:autoSpaceDE/>
        <w:autoSpaceDN/>
        <w:bidi w:val="0"/>
        <w:snapToGrid/>
        <w:spacing w:after="0" w:line="560" w:lineRule="exact"/>
        <w:ind w:firstLine="640" w:firstLineChars="200"/>
        <w:jc w:val="both"/>
        <w:textAlignment w:val="auto"/>
        <w:rPr>
          <w:rFonts w:hint="default" w:ascii="Times New Roman" w:hAnsi="Times New Roman" w:eastAsia="仿宋_GB2312" w:cs="Times New Roman"/>
          <w:b w:val="0"/>
          <w:bCs w:val="0"/>
          <w:color w:val="000000" w:themeColor="text1"/>
          <w:kern w:val="44"/>
          <w:szCs w:val="32"/>
          <w14:textFill>
            <w14:solidFill>
              <w14:schemeClr w14:val="tx1"/>
            </w14:solidFill>
          </w14:textFill>
        </w:rPr>
      </w:pPr>
      <w:r>
        <w:rPr>
          <w:rFonts w:hint="default" w:ascii="Times New Roman" w:hAnsi="Times New Roman" w:eastAsia="仿宋_GB2312" w:cs="Times New Roman"/>
          <w:b w:val="0"/>
          <w:bCs w:val="0"/>
          <w:szCs w:val="32"/>
        </w:rPr>
        <w:t>实施五大发展战略。</w:t>
      </w:r>
      <w:r>
        <w:rPr>
          <w:rFonts w:hint="default" w:ascii="Times New Roman" w:hAnsi="Times New Roman" w:eastAsia="仿宋_GB2312" w:cs="Times New Roman"/>
          <w:b w:val="0"/>
          <w:bCs w:val="0"/>
          <w:color w:val="000000" w:themeColor="text1"/>
          <w:kern w:val="2"/>
          <w:szCs w:val="32"/>
          <w14:textFill>
            <w14:solidFill>
              <w14:schemeClr w14:val="tx1"/>
            </w14:solidFill>
          </w14:textFill>
        </w:rPr>
        <w:t>一是党建统领，凝聚合力，推动制度优势更好转化为治理效能。二是制造为本，创新驱动，增强创新对实体经济的支撑牵引作用，推动资源要素、产业政策与工作力量向先进制造和实体经济集聚。三是以城促产，城产互促，加快推进国家新型城镇化综合试点和国家产城融合示范区建设。四是开放引领，合作共赢，以更高水平开放促进高质量发展，在开放合作过程中拓展新发展空间。五是民生优先，共建共享，实现推动劳有所得、幼有所育、学有优教、体有所健、病有良医、住有宜居、老有颐养。六是绿色低碳，集约高效，</w:t>
      </w:r>
      <w:r>
        <w:rPr>
          <w:rFonts w:hint="default" w:ascii="Times New Roman" w:hAnsi="Times New Roman" w:eastAsia="仿宋_GB2312" w:cs="Times New Roman"/>
          <w:b w:val="0"/>
          <w:bCs w:val="0"/>
          <w:color w:val="000000" w:themeColor="text1"/>
          <w:szCs w:val="32"/>
          <w14:textFill>
            <w14:solidFill>
              <w14:schemeClr w14:val="tx1"/>
            </w14:solidFill>
          </w14:textFill>
        </w:rPr>
        <w:t>实现经济社会与生态环境协调发展、人与自然和谐共生。</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7" w:name="_Toc9777"/>
      <w:r>
        <w:rPr>
          <w:rFonts w:hint="default" w:ascii="黑体" w:hAnsi="黑体" w:eastAsia="黑体" w:cs="黑体"/>
          <w:b w:val="0"/>
          <w:bCs w:val="0"/>
          <w:szCs w:val="32"/>
        </w:rPr>
        <w:t>四、对标新的发展要求，提出六大重点任务</w:t>
      </w:r>
      <w:bookmarkEnd w:id="7"/>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szCs w:val="32"/>
        </w:rPr>
        <w:t>按照发展战略思路，围绕加快推动新区高质量发展，建设柳州现代制造城核心区，广西柳州汽车城升级版，打造科技创新、产城融合、绿色生态的示范区等目标，提出“十四五”期间的任务措施，包括6大任务和23条措施</w:t>
      </w:r>
      <w:r>
        <w:rPr>
          <w:rFonts w:hint="default" w:ascii="Times New Roman" w:hAnsi="Times New Roman" w:eastAsia="仿宋_GB2312" w:cs="Times New Roman"/>
          <w:b w:val="0"/>
          <w:bCs w:val="0"/>
          <w:color w:val="000000" w:themeColor="text1"/>
          <w:szCs w:val="32"/>
          <w14:textFill>
            <w14:solidFill>
              <w14:schemeClr w14:val="tx1"/>
            </w14:solidFill>
          </w14:textFill>
        </w:rPr>
        <w:t>，并落实530项重点项目。</w:t>
      </w:r>
    </w:p>
    <w:p>
      <w:pPr>
        <w:pStyle w:val="3"/>
        <w:keepLines w:val="0"/>
        <w:pageBreakBefore w:val="0"/>
        <w:widowControl/>
        <w:kinsoku/>
        <w:wordWrap/>
        <w:topLinePunct w:val="0"/>
        <w:autoSpaceDE/>
        <w:autoSpaceDN/>
        <w:bidi w:val="0"/>
        <w:snapToGrid/>
        <w:spacing w:before="0" w:after="0"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bookmarkStart w:id="8" w:name="_Toc22655"/>
      <w:r>
        <w:rPr>
          <w:rFonts w:hint="default" w:ascii="Times New Roman" w:hAnsi="Times New Roman" w:eastAsia="仿宋_GB2312" w:cs="Times New Roman"/>
          <w:b w:val="0"/>
          <w:bCs w:val="0"/>
          <w:szCs w:val="32"/>
        </w:rPr>
        <w:t>任务一、</w:t>
      </w:r>
      <w:r>
        <w:rPr>
          <w:rFonts w:hint="default" w:ascii="Times New Roman" w:hAnsi="Times New Roman" w:eastAsia="仿宋_GB2312" w:cs="Times New Roman"/>
          <w:b w:val="0"/>
          <w:bCs w:val="0"/>
          <w:color w:val="000000" w:themeColor="text1"/>
          <w:szCs w:val="32"/>
          <w14:textFill>
            <w14:solidFill>
              <w14:schemeClr w14:val="tx1"/>
            </w14:solidFill>
          </w14:textFill>
        </w:rPr>
        <w:t>突出创新引领，打造柳州创新创业领航区</w:t>
      </w:r>
      <w:bookmarkEnd w:id="8"/>
    </w:p>
    <w:p>
      <w:pPr>
        <w:pStyle w:val="7"/>
        <w:keepLines w:val="0"/>
        <w:pageBreakBefore w:val="0"/>
        <w:kinsoku/>
        <w:wordWrap/>
        <w:topLinePunct w:val="0"/>
        <w:autoSpaceDE/>
        <w:autoSpaceDN/>
        <w:bidi w:val="0"/>
        <w:snapToGrid/>
        <w:spacing w:after="0"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Cs w:val="32"/>
          <w14:textFill>
            <w14:solidFill>
              <w14:schemeClr w14:val="tx1"/>
            </w14:solidFill>
          </w14:textFill>
        </w:rPr>
        <w:t>深入实施创新驱动战略，强化科技创新对新区高质量发展的核心支撑，全面落实国家创新型试点城市创建工作和国家高新区高质量发展意见，积极围绕产业链布局创新链，深化开放合作加快集聚高端创新要素资源，促进先进科技成果转化，成为面向东盟的区域性现代制造业科技创新中心的核心承载地。</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9" w:name="_Toc26361"/>
      <w:r>
        <w:rPr>
          <w:rFonts w:hint="default" w:ascii="Times New Roman" w:hAnsi="Times New Roman" w:eastAsia="仿宋_GB2312" w:cs="Times New Roman"/>
          <w:b w:val="0"/>
          <w:bCs w:val="0"/>
          <w:szCs w:val="32"/>
        </w:rPr>
        <w:t>措施1：增强技术创新能力</w:t>
      </w:r>
      <w:bookmarkEnd w:id="9"/>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lang w:eastAsia="zh-CN"/>
        </w:rPr>
      </w:pPr>
      <w:bookmarkStart w:id="10" w:name="_Toc27405"/>
      <w:r>
        <w:rPr>
          <w:rFonts w:hint="default" w:ascii="Times New Roman" w:hAnsi="Times New Roman" w:eastAsia="仿宋_GB2312" w:cs="Times New Roman"/>
          <w:b w:val="0"/>
          <w:bCs w:val="0"/>
          <w:szCs w:val="32"/>
        </w:rPr>
        <w:t>一是强化企业创新主体地位。实施科技型中小微企业培育计划，遴选扶持一批成长速度快、创新能力强、发展潜力大的优质科技型中小企业。加大对高新技术企业的个性化精准支持力度，培育引进一批具有知识产权的科技型“瞪羚”企业和专精特新“小巨人”企业。增强高新技术企业的创新引领和示范带动作用。二是集聚重大技术创新平台。围绕汽车及零部件、汽车电子、新材料等产业领域等新区支柱优势产业领域，积极争取国家、自治区和市级资源，引进国家实验室，以及国内外知名高校、科研院所到新区落户。支持新区技术创新平台转建或创建国家企业技术中心、国家技术创新中心、国家制造业创新中心。三是加强关键共性技术攻坚。在先进制造业优势领域突破一批关键核心技术，重点推进新能源汽车、节能汽车、智能网联汽车及汽车前沿技术开发，推进数字化设计与网络协同制造等智能制造技术攻关，</w:t>
      </w:r>
      <w:bookmarkEnd w:id="10"/>
      <w:r>
        <w:rPr>
          <w:rFonts w:hint="default" w:ascii="Times New Roman" w:hAnsi="Times New Roman" w:eastAsia="仿宋_GB2312" w:cs="Times New Roman"/>
          <w:b w:val="0"/>
          <w:bCs w:val="0"/>
          <w:szCs w:val="32"/>
        </w:rPr>
        <w:t>加速驱动“两化融合”，推动高端装备制造等领域的领域智能化和电动化研发</w:t>
      </w:r>
      <w:r>
        <w:rPr>
          <w:rFonts w:hint="default" w:ascii="Times New Roman" w:hAnsi="Times New Roman" w:eastAsia="仿宋_GB2312" w:cs="Times New Roman"/>
          <w:b w:val="0"/>
          <w:bCs w:val="0"/>
          <w:szCs w:val="32"/>
          <w:lang w:eastAsia="zh-CN"/>
        </w:rPr>
        <w:t>。</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11" w:name="_Toc12600"/>
      <w:r>
        <w:rPr>
          <w:rFonts w:hint="default" w:ascii="Times New Roman" w:hAnsi="Times New Roman" w:eastAsia="仿宋_GB2312" w:cs="Times New Roman"/>
          <w:b w:val="0"/>
          <w:bCs w:val="0"/>
          <w:szCs w:val="32"/>
        </w:rPr>
        <w:t>措施2：促进科技成果转化</w:t>
      </w:r>
      <w:bookmarkEnd w:id="11"/>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color w:val="000000" w:themeColor="text1"/>
          <w:szCs w:val="32"/>
          <w14:textFill>
            <w14:solidFill>
              <w14:schemeClr w14:val="tx1"/>
            </w14:solidFill>
          </w14:textFill>
        </w:rPr>
      </w:pPr>
      <w:bookmarkStart w:id="12" w:name="_Toc1205"/>
      <w:r>
        <w:rPr>
          <w:rFonts w:hint="default" w:ascii="Times New Roman" w:hAnsi="Times New Roman" w:eastAsia="仿宋_GB2312" w:cs="Times New Roman"/>
          <w:b w:val="0"/>
          <w:bCs w:val="0"/>
          <w:szCs w:val="32"/>
        </w:rPr>
        <w:t>一是推动创新创业载体量质齐升。高标准规划建设“滨江智谷”</w:t>
      </w:r>
      <w:r>
        <w:rPr>
          <w:rFonts w:hint="default" w:ascii="Times New Roman" w:hAnsi="Times New Roman" w:eastAsia="仿宋_GB2312" w:cs="Times New Roman"/>
          <w:b w:val="0"/>
          <w:bCs w:val="0"/>
          <w:szCs w:val="32"/>
          <w:lang w:eastAsia="zh-CN"/>
        </w:rPr>
        <w:t>、科技园</w:t>
      </w:r>
      <w:r>
        <w:rPr>
          <w:rFonts w:hint="default" w:ascii="Times New Roman" w:hAnsi="Times New Roman" w:eastAsia="仿宋_GB2312" w:cs="Times New Roman"/>
          <w:b w:val="0"/>
          <w:bCs w:val="0"/>
          <w:szCs w:val="32"/>
        </w:rPr>
        <w:t>，争取国家和自治区</w:t>
      </w:r>
      <w:r>
        <w:rPr>
          <w:rFonts w:hint="default" w:ascii="Times New Roman" w:hAnsi="Times New Roman" w:eastAsia="仿宋_GB2312" w:cs="Times New Roman"/>
          <w:b w:val="0"/>
          <w:bCs w:val="0"/>
          <w:color w:val="000000" w:themeColor="text1"/>
          <w:szCs w:val="32"/>
          <w14:textFill>
            <w14:solidFill>
              <w14:schemeClr w14:val="tx1"/>
            </w14:solidFill>
          </w14:textFill>
        </w:rPr>
        <w:t>对新区“双创”示范基地的支持，大力提升自治区级以上“双创”示范基地的数量和质量。二是搭建优质公共技术服务平台。以龙头企业自建、政企共建等方式，建设一批面向企业的汽车、装备制造研发设计、试验验证、检验检测等公共技术服务平台。三是健全成果转化市场服务体系。推动柳州高新区创建国家科技成果转移转化示范区，建立高效的科技创新成果转化服务体系，不断完善科技金融服务体系。</w:t>
      </w:r>
      <w:bookmarkEnd w:id="12"/>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13" w:name="_Toc175"/>
      <w:r>
        <w:rPr>
          <w:rFonts w:hint="default" w:ascii="Times New Roman" w:hAnsi="Times New Roman" w:eastAsia="仿宋_GB2312" w:cs="Times New Roman"/>
          <w:b w:val="0"/>
          <w:bCs w:val="0"/>
          <w:szCs w:val="32"/>
        </w:rPr>
        <w:t>措施3</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完善创新创业环境</w:t>
      </w:r>
      <w:bookmarkEnd w:id="13"/>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14" w:name="_Toc12315"/>
      <w:r>
        <w:rPr>
          <w:rFonts w:hint="default" w:ascii="Times New Roman" w:hAnsi="Times New Roman" w:eastAsia="仿宋_GB2312" w:cs="Times New Roman"/>
          <w:b w:val="0"/>
          <w:bCs w:val="0"/>
          <w:szCs w:val="32"/>
        </w:rPr>
        <w:t>一是深化科技体制机制改革创新。建立高新技术成果产出、转化和产业化机制，推动柳州国家高新区科技创新综合实力在自治区排名持续保持首位，深化科技创新和职业教育体制机制改革，打造国内一流的产教融合示范区。二是持续加大政府财政科技投入，推进财政科技投入体制机制改革。三是营造创新创业良好氛围。加大知识产权保护力度，严厉打击侵犯知识产权的不法行为，积极组织和承办各类国家级、自治区级创新创业大赛，推动青年就业创业创新。</w:t>
      </w:r>
      <w:bookmarkEnd w:id="14"/>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15" w:name="_Toc25530"/>
      <w:r>
        <w:rPr>
          <w:rFonts w:hint="default" w:ascii="Times New Roman" w:hAnsi="Times New Roman" w:eastAsia="仿宋_GB2312" w:cs="Times New Roman"/>
          <w:b w:val="0"/>
          <w:bCs w:val="0"/>
          <w:szCs w:val="32"/>
        </w:rPr>
        <w:t>措施4</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汇聚创新创业人才</w:t>
      </w:r>
      <w:bookmarkEnd w:id="15"/>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16" w:name="_Toc16234"/>
      <w:r>
        <w:rPr>
          <w:rFonts w:hint="default" w:ascii="Times New Roman" w:hAnsi="Times New Roman" w:eastAsia="仿宋_GB2312" w:cs="Times New Roman"/>
          <w:b w:val="0"/>
          <w:bCs w:val="0"/>
          <w:szCs w:val="32"/>
        </w:rPr>
        <w:t>一是加大高层次人才引培力度。建立重点产业急需紧缺人才目录，搭建急需紧缺人才对接平台，以需求为导向定向精准引才，多管齐下柔性引才。二是壮大工匠型技能人才队伍。围绕汽车等重点产业领域，培育引进一批一流工程师人才。引导职教学生在柳东新区就业创业，支持高职院校与新区主导产业关联学科建设。三是构建完善的人才服务体系。不断完善新区综合服务功能，积极为各类优秀人才提供更加优质高效绿色服务通道，营造富有吸引力的人才宜居环境。</w:t>
      </w:r>
      <w:bookmarkEnd w:id="16"/>
    </w:p>
    <w:p>
      <w:pPr>
        <w:pStyle w:val="3"/>
        <w:keepLines w:val="0"/>
        <w:pageBreakBefore w:val="0"/>
        <w:widowControl/>
        <w:kinsoku/>
        <w:wordWrap/>
        <w:topLinePunct w:val="0"/>
        <w:autoSpaceDE/>
        <w:autoSpaceDN/>
        <w:bidi w:val="0"/>
        <w:snapToGrid/>
        <w:spacing w:before="0" w:after="0" w:line="560" w:lineRule="exact"/>
        <w:ind w:firstLine="640" w:firstLineChars="200"/>
        <w:jc w:val="both"/>
        <w:textAlignment w:val="auto"/>
        <w:rPr>
          <w:rFonts w:hint="default" w:ascii="Times New Roman" w:hAnsi="Times New Roman" w:eastAsia="仿宋_GB2312" w:cs="Times New Roman"/>
          <w:b w:val="0"/>
          <w:bCs w:val="0"/>
          <w:szCs w:val="32"/>
        </w:rPr>
      </w:pPr>
      <w:bookmarkStart w:id="17" w:name="_Toc21541"/>
      <w:r>
        <w:rPr>
          <w:rFonts w:hint="default" w:ascii="Times New Roman" w:hAnsi="Times New Roman" w:eastAsia="仿宋_GB2312" w:cs="Times New Roman"/>
          <w:b w:val="0"/>
          <w:bCs w:val="0"/>
          <w:szCs w:val="32"/>
        </w:rPr>
        <w:t>任务二、聚力高质量发展，打造升级版广西柳州汽车城</w:t>
      </w:r>
      <w:bookmarkEnd w:id="17"/>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Cs w:val="32"/>
          <w14:textFill>
            <w14:solidFill>
              <w14:schemeClr w14:val="tx1"/>
            </w14:solidFill>
          </w14:textFill>
        </w:rPr>
        <w:t>抓住新一轮技术革命和产业变革的历史机遇，凝心聚力抓产业，真抓实干培育发展新动能，坚持发展实体经济，推进产业基础高级化、产业链现代化，提高经济效益和核心竞争力，全面打造“1+3+5”的现代产业体系，加快形成“一主多专”的产业多元化发展格局和新的经济增长极，立足广西建设西部制造强区，立足柳州构筑现代制造城核心区，立足新区打造广西柳州汽车城升级版。</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18" w:name="_Toc15425"/>
      <w:r>
        <w:rPr>
          <w:rFonts w:hint="default" w:ascii="Times New Roman" w:hAnsi="Times New Roman" w:eastAsia="仿宋_GB2312" w:cs="Times New Roman"/>
          <w:b w:val="0"/>
          <w:bCs w:val="0"/>
          <w:szCs w:val="32"/>
        </w:rPr>
        <w:t>措施5</w:t>
      </w:r>
      <w:bookmarkEnd w:id="18"/>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全速驱动汽车</w:t>
      </w:r>
      <w:r>
        <w:rPr>
          <w:rFonts w:hint="default" w:ascii="Times New Roman" w:hAnsi="Times New Roman" w:eastAsia="仿宋_GB2312" w:cs="Times New Roman"/>
          <w:b w:val="0"/>
          <w:bCs w:val="0"/>
          <w:szCs w:val="32"/>
          <w:lang w:eastAsia="zh-CN"/>
        </w:rPr>
        <w:t>产</w:t>
      </w:r>
      <w:r>
        <w:rPr>
          <w:rFonts w:hint="default" w:ascii="Times New Roman" w:hAnsi="Times New Roman" w:eastAsia="仿宋_GB2312" w:cs="Times New Roman"/>
          <w:b w:val="0"/>
          <w:bCs w:val="0"/>
          <w:szCs w:val="32"/>
        </w:rPr>
        <w:t>业跨越升级</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lang w:eastAsia="zh-CN"/>
        </w:rPr>
      </w:pPr>
      <w:bookmarkStart w:id="19" w:name="_Toc30709"/>
      <w:r>
        <w:rPr>
          <w:rFonts w:hint="default" w:ascii="Times New Roman" w:hAnsi="Times New Roman" w:eastAsia="仿宋_GB2312" w:cs="Times New Roman"/>
          <w:b w:val="0"/>
          <w:bCs w:val="0"/>
          <w:szCs w:val="32"/>
        </w:rPr>
        <w:t>一是构建融合创新发展新格局，聚焦汽车核心技术和未来发展新趋势，发挥四大整车企业的龙头带动作用，全面推进“新四化”的产品布局，构建“高端研发、高质制造、高端服务”新型汽车产业生态体系、打造国内一流、国际先进的汽车产业集群，实现从规模速度型向质量效益型转变</w:t>
      </w:r>
      <w:r>
        <w:rPr>
          <w:rFonts w:hint="default" w:ascii="Times New Roman" w:hAnsi="Times New Roman" w:eastAsia="仿宋_GB2312" w:cs="Times New Roman"/>
          <w:b w:val="0"/>
          <w:bCs w:val="0"/>
          <w:szCs w:val="32"/>
          <w:lang w:eastAsia="zh-CN"/>
        </w:rPr>
        <w:t>，形成新能源汽车、智能网联汽车和先进节能汽车梯次、融合发展新格局。</w:t>
      </w:r>
      <w:r>
        <w:rPr>
          <w:rFonts w:hint="default" w:ascii="Times New Roman" w:hAnsi="Times New Roman" w:eastAsia="仿宋_GB2312" w:cs="Times New Roman"/>
          <w:b w:val="0"/>
          <w:bCs w:val="0"/>
          <w:szCs w:val="32"/>
        </w:rPr>
        <w:t>二是推动汽车产品迭代升级</w:t>
      </w:r>
      <w:r>
        <w:rPr>
          <w:rFonts w:hint="default" w:ascii="Times New Roman" w:hAnsi="Times New Roman" w:eastAsia="仿宋_GB2312" w:cs="Times New Roman"/>
          <w:b w:val="0"/>
          <w:bCs w:val="0"/>
          <w:szCs w:val="32"/>
          <w:lang w:eastAsia="zh-CN"/>
        </w:rPr>
        <w:t>，实现整车产品价值向中高端迈进。三是聚力发展新能源汽车，实现新区新能源汽车品牌认可度、产品美誉度及影响力显著增强。四是构建汽车全产业链生态圈，做优本地配套和国产替代，提升核心部件生产和技术优势，保障产业链衔接紧密。五是抓好前沿领域攻关破局，持续突破高效节能型发动机系统、高效自动变速器、整车及零部件轻量化、尾气排放处理装置等汽车节能关键技术。六是创新汽车推广应用服务模式。</w:t>
      </w:r>
    </w:p>
    <w:bookmarkEnd w:id="19"/>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20" w:name="_Toc29679"/>
      <w:r>
        <w:rPr>
          <w:rFonts w:hint="default" w:ascii="Times New Roman" w:hAnsi="Times New Roman" w:eastAsia="仿宋_GB2312" w:cs="Times New Roman"/>
          <w:b w:val="0"/>
          <w:bCs w:val="0"/>
          <w:szCs w:val="32"/>
        </w:rPr>
        <w:t>措施6</w:t>
      </w:r>
      <w:bookmarkEnd w:id="20"/>
      <w:bookmarkStart w:id="21" w:name="_Toc4403"/>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培育壮大三大战略性新兴产业</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lang w:eastAsia="zh-CN"/>
        </w:rPr>
      </w:pPr>
      <w:r>
        <w:rPr>
          <w:rFonts w:hint="default" w:ascii="Times New Roman" w:hAnsi="Times New Roman" w:eastAsia="仿宋_GB2312" w:cs="Times New Roman"/>
          <w:b w:val="0"/>
          <w:bCs w:val="0"/>
          <w:color w:val="000000" w:themeColor="text1"/>
          <w:szCs w:val="32"/>
          <w14:textFill>
            <w14:solidFill>
              <w14:schemeClr w14:val="tx1"/>
            </w14:solidFill>
          </w14:textFill>
        </w:rPr>
        <w:t>一是积极拓展高端装备制造业。</w:t>
      </w:r>
      <w:r>
        <w:rPr>
          <w:rFonts w:hint="default" w:ascii="Times New Roman" w:hAnsi="Times New Roman" w:eastAsia="仿宋_GB2312" w:cs="Times New Roman"/>
          <w:b w:val="0"/>
          <w:bCs w:val="0"/>
          <w:szCs w:val="32"/>
        </w:rPr>
        <w:t>以智能装备</w:t>
      </w:r>
      <w:r>
        <w:rPr>
          <w:rFonts w:hint="default"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轨道交通、机器人、工程装备等领域为重点，</w:t>
      </w:r>
      <w:r>
        <w:rPr>
          <w:rFonts w:hint="default" w:ascii="Times New Roman" w:hAnsi="Times New Roman" w:eastAsia="仿宋_GB2312" w:cs="Times New Roman"/>
          <w:b w:val="0"/>
          <w:bCs w:val="0"/>
          <w:szCs w:val="32"/>
          <w:lang w:eastAsia="zh-CN"/>
        </w:rPr>
        <w:t>依托</w:t>
      </w:r>
      <w:r>
        <w:rPr>
          <w:rFonts w:hint="default" w:ascii="Times New Roman" w:hAnsi="Times New Roman" w:eastAsia="仿宋_GB2312" w:cs="Times New Roman"/>
          <w:b w:val="0"/>
          <w:bCs w:val="0"/>
          <w:szCs w:val="32"/>
        </w:rPr>
        <w:t>产业园、大型骨干企业，完善产业链条，拓展产业领域，突破关键核心技术，不断推动高端装备产业规模化、高端化、智能化、服务化发展。加快壮大“柳东智造”装备产业集群。二</w:t>
      </w:r>
      <w:r>
        <w:rPr>
          <w:rFonts w:hint="default" w:ascii="Times New Roman" w:hAnsi="Times New Roman" w:eastAsia="仿宋_GB2312" w:cs="Times New Roman"/>
          <w:b w:val="0"/>
          <w:bCs w:val="0"/>
          <w:szCs w:val="32"/>
          <w:lang w:eastAsia="zh-CN"/>
        </w:rPr>
        <w:t>是</w:t>
      </w:r>
      <w:r>
        <w:rPr>
          <w:rFonts w:hint="default" w:ascii="Times New Roman" w:hAnsi="Times New Roman" w:eastAsia="仿宋_GB2312" w:cs="Times New Roman"/>
          <w:b w:val="0"/>
          <w:bCs w:val="0"/>
          <w:szCs w:val="32"/>
        </w:rPr>
        <w:t>跨越式发展电子光电产业</w:t>
      </w:r>
      <w:r>
        <w:rPr>
          <w:rFonts w:hint="default" w:ascii="Times New Roman" w:hAnsi="Times New Roman" w:eastAsia="仿宋_GB2312" w:cs="Times New Roman"/>
          <w:b w:val="0"/>
          <w:bCs w:val="0"/>
          <w:szCs w:val="32"/>
          <w:lang w:eastAsia="zh-CN"/>
        </w:rPr>
        <w:t>，精耕细作新一代电子信息技术产业，实施重点突破与产业协同战略，创引发展光电显示产业，大力招大引强。三是推动新材料产业上新台阶，重点发展新能源材料、电子材料及其他新型材料，打造新材料产业园。</w:t>
      </w:r>
    </w:p>
    <w:bookmarkEnd w:id="21"/>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22" w:name="_Toc27267"/>
      <w:r>
        <w:rPr>
          <w:rFonts w:hint="default" w:ascii="Times New Roman" w:hAnsi="Times New Roman" w:eastAsia="仿宋_GB2312" w:cs="Times New Roman"/>
          <w:b w:val="0"/>
          <w:bCs w:val="0"/>
          <w:szCs w:val="32"/>
        </w:rPr>
        <w:t>措施7</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推动现代服务业集聚发展</w:t>
      </w:r>
      <w:bookmarkEnd w:id="22"/>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lang w:eastAsia="zh-CN"/>
        </w:rPr>
      </w:pPr>
      <w:r>
        <w:rPr>
          <w:rFonts w:hint="default" w:ascii="Times New Roman" w:hAnsi="Times New Roman" w:eastAsia="仿宋_GB2312" w:cs="Times New Roman"/>
          <w:b w:val="0"/>
          <w:bCs w:val="0"/>
        </w:rPr>
        <w:t>一是强势发展科技服务业</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重点发展研发服务、检测服务、产教融合等领域。加快建设集科技创新、科技孵化、政产学研平台、科技中介服务为一体的“柳州市科技创新创业示范基地”。</w:t>
      </w:r>
      <w:r>
        <w:rPr>
          <w:rFonts w:hint="default" w:ascii="Times New Roman" w:hAnsi="Times New Roman" w:eastAsia="仿宋_GB2312" w:cs="Times New Roman"/>
          <w:b w:val="0"/>
          <w:bCs w:val="0"/>
          <w:lang w:eastAsia="zh-CN"/>
        </w:rPr>
        <w:t>二是创先发展智慧物流业，促进传统物流服务业向全流程或多环节供应链服务转型升，促进大数据、物联网、云计算、区块链等技术与供应链深度融合。三是统筹发展商务会展业，加快培育现代专业交易市场，促进产业与市场联动发展；促进城市消费服务升级，构建多层次商业服务体系；引导会展业集聚发展，增强会展服务聚引效应。四是融合发展文化体育旅游业，</w:t>
      </w:r>
      <w:r>
        <w:rPr>
          <w:rFonts w:hint="default" w:ascii="Times New Roman" w:hAnsi="Times New Roman" w:eastAsia="仿宋_GB2312" w:cs="Times New Roman"/>
          <w:b w:val="0"/>
          <w:bCs w:val="0"/>
        </w:rPr>
        <w:t>推进柳州国际汽车文化旅游度假区和雒容、洛埠特色小镇建设，发展柳州东线旅游，打造一批休闲观光农业项目。五</w:t>
      </w:r>
      <w:r>
        <w:rPr>
          <w:rFonts w:hint="default" w:ascii="Times New Roman" w:hAnsi="Times New Roman" w:eastAsia="仿宋_GB2312" w:cs="Times New Roman"/>
          <w:b w:val="0"/>
          <w:bCs w:val="0"/>
          <w:lang w:eastAsia="zh-CN"/>
        </w:rPr>
        <w:t>是引</w:t>
      </w:r>
      <w:r>
        <w:rPr>
          <w:rFonts w:hint="default" w:ascii="Times New Roman" w:hAnsi="Times New Roman" w:eastAsia="仿宋_GB2312" w:cs="Times New Roman"/>
          <w:b w:val="0"/>
          <w:bCs w:val="0"/>
        </w:rPr>
        <w:t>领发展大数据产业</w:t>
      </w:r>
      <w:r>
        <w:rPr>
          <w:rFonts w:hint="default" w:ascii="Times New Roman" w:hAnsi="Times New Roman" w:eastAsia="仿宋_GB2312" w:cs="Times New Roman"/>
          <w:b w:val="0"/>
          <w:bCs w:val="0"/>
          <w:lang w:eastAsia="zh-CN"/>
        </w:rPr>
        <w:t>，构建数字经济核心产业集群，打造“数字广西”柳东样板。</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23" w:name="_Toc23854"/>
      <w:r>
        <w:rPr>
          <w:rFonts w:hint="default" w:ascii="Times New Roman" w:hAnsi="Times New Roman" w:eastAsia="仿宋_GB2312" w:cs="Times New Roman"/>
          <w:b w:val="0"/>
          <w:bCs w:val="0"/>
          <w:szCs w:val="32"/>
        </w:rPr>
        <w:t>措施8</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积极布局培育前沿性产业</w:t>
      </w:r>
      <w:bookmarkEnd w:id="23"/>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rPr>
      </w:pPr>
      <w:bookmarkStart w:id="24" w:name="_Toc4998"/>
      <w:r>
        <w:rPr>
          <w:rFonts w:hint="default" w:ascii="Times New Roman" w:hAnsi="Times New Roman" w:eastAsia="仿宋_GB2312" w:cs="Times New Roman"/>
          <w:b w:val="0"/>
          <w:bCs w:val="0"/>
        </w:rPr>
        <w:t>一是前瞻前瞻布局产业金融核心区</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打造供应链金融产业聚集地，创建辐射东盟的区域性产业金融中心和绿色金融示范区。二是加快发展生命健康产业</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rPr>
        <w:t>大力发展医疗器械、生物医药、健康服务等领域，推动产业发展与民生幸福互动发展。创新发展干细胞治疗、肿瘤免疫治疗、基因检测、健康管理、康养等领域的高端技术、新型服务、新兴业态。</w:t>
      </w:r>
      <w:bookmarkEnd w:id="24"/>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25" w:name="_Toc26337"/>
      <w:r>
        <w:rPr>
          <w:rFonts w:hint="default" w:ascii="Times New Roman" w:hAnsi="Times New Roman" w:eastAsia="仿宋_GB2312" w:cs="Times New Roman"/>
          <w:b w:val="0"/>
          <w:bCs w:val="0"/>
          <w:szCs w:val="32"/>
        </w:rPr>
        <w:t>措施9</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推动产业转型和高质</w:t>
      </w:r>
      <w:r>
        <w:rPr>
          <w:rFonts w:hint="eastAsia" w:ascii="Times New Roman" w:hAnsi="Times New Roman" w:eastAsia="仿宋_GB2312" w:cs="Times New Roman"/>
          <w:b w:val="0"/>
          <w:bCs w:val="0"/>
          <w:szCs w:val="32"/>
          <w:lang w:eastAsia="zh-CN"/>
        </w:rPr>
        <w:t>量</w:t>
      </w:r>
      <w:bookmarkStart w:id="159" w:name="_GoBack"/>
      <w:bookmarkEnd w:id="159"/>
      <w:r>
        <w:rPr>
          <w:rFonts w:hint="default" w:ascii="Times New Roman" w:hAnsi="Times New Roman" w:eastAsia="仿宋_GB2312" w:cs="Times New Roman"/>
          <w:b w:val="0"/>
          <w:bCs w:val="0"/>
          <w:szCs w:val="32"/>
        </w:rPr>
        <w:t>发展</w:t>
      </w:r>
      <w:bookmarkEnd w:id="25"/>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rPr>
      </w:pPr>
      <w:bookmarkStart w:id="26" w:name="_Toc25943"/>
      <w:r>
        <w:rPr>
          <w:rFonts w:hint="default" w:ascii="Times New Roman" w:hAnsi="Times New Roman" w:eastAsia="仿宋_GB2312" w:cs="Times New Roman"/>
          <w:b w:val="0"/>
          <w:bCs w:val="0"/>
        </w:rPr>
        <w:t>一是拓展招商模式引进优质项目。围绕“</w:t>
      </w:r>
      <w:r>
        <w:rPr>
          <w:rFonts w:hint="default" w:ascii="Times New Roman" w:hAnsi="Times New Roman" w:eastAsia="仿宋_GB2312" w:cs="Times New Roman"/>
          <w:b w:val="0"/>
          <w:bCs w:val="0"/>
          <w:lang w:val="en-US" w:eastAsia="zh-CN"/>
        </w:rPr>
        <w:t>1+3+5</w:t>
      </w:r>
      <w:r>
        <w:rPr>
          <w:rFonts w:hint="default" w:ascii="Times New Roman" w:hAnsi="Times New Roman" w:eastAsia="仿宋_GB2312" w:cs="Times New Roman"/>
          <w:b w:val="0"/>
          <w:bCs w:val="0"/>
        </w:rPr>
        <w:t>”产业体系，加大产业引领型企业引进力度。积极在国内国外经济发达和创新活跃的城市设立异地孵化器或海外孵化器，推动在新区实现产业化。二是持续实施六大升级行动。持续实施项目带动升级行动、智造推动升级行动、创新提质升级行动、质量品牌升级行动、人才兴区升级行动、开放合作升级行动等“六大升级行动”。三是创新产业链服务模式。制定支柱产业的产业链图谱，依托产业链图谱进行精准招商。建立柳东产业地图，加强对产业链重点企业的监测和服务。探索建立“政府引导，市场主导”产业链发展的市场化机制，引导社会资本和政府合作发展产业链服务公司等新型产业服务组织，</w:t>
      </w:r>
      <w:bookmarkEnd w:id="26"/>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27" w:name="_Toc11603"/>
      <w:r>
        <w:rPr>
          <w:rFonts w:hint="default" w:ascii="Times New Roman" w:hAnsi="Times New Roman" w:eastAsia="仿宋_GB2312" w:cs="Times New Roman"/>
          <w:b w:val="0"/>
          <w:bCs w:val="0"/>
          <w:szCs w:val="32"/>
        </w:rPr>
        <w:t>措施10</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统筹“三片四园七区”布局</w:t>
      </w:r>
      <w:bookmarkEnd w:id="27"/>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color w:val="000000" w:themeColor="text1"/>
          <w:szCs w:val="32"/>
          <w14:textFill>
            <w14:solidFill>
              <w14:schemeClr w14:val="tx1"/>
            </w14:solidFill>
          </w14:textFill>
        </w:rPr>
      </w:pPr>
      <w:bookmarkStart w:id="28" w:name="_Toc17527"/>
      <w:r>
        <w:rPr>
          <w:rFonts w:hint="default" w:ascii="Times New Roman" w:hAnsi="Times New Roman" w:eastAsia="仿宋_GB2312" w:cs="Times New Roman"/>
          <w:b w:val="0"/>
          <w:bCs w:val="0"/>
          <w:color w:val="000000" w:themeColor="text1"/>
          <w:szCs w:val="32"/>
          <w14:textFill>
            <w14:solidFill>
              <w14:schemeClr w14:val="tx1"/>
            </w14:solidFill>
          </w14:textFill>
        </w:rPr>
        <w:t>一是打造高品质产业空间。推进土地利用与科技创新、产业发展、生活服务、生态保护结合。加强连片产业用地整备，加大新区土地收储和整备力度。创新产业用地供应与管理方式。增加高品质产业载体供应，打造一批现代产业园。二是明确三大城镇功能片。着力发展科教服务片、产业聚集片和城镇升级片三大功能片区。三是发展四大生产性服务园。积极发展科教创业园、保税物流园、金融科创园、高新孵化园四大生产性服务园，成为新区产业转型助力区和产业发展新高地。四是建设七大产业集聚区。以未来产业发展方向为引领，培育发展汽车综合产业区、新能源汽车产业区（智能汽车产业区）、智能交通产业区、电子光电产业区、装备制造产业区、新材料产业区、新一代信息技术产业区等七大产业集聚，成为新区制造业承载高地。对不同类型功能区采取差别化土地开发策略，引导经济、社会、产业和生态等进一步集聚和优化布局。</w:t>
      </w:r>
      <w:bookmarkEnd w:id="28"/>
    </w:p>
    <w:p>
      <w:pPr>
        <w:pStyle w:val="3"/>
        <w:keepLines w:val="0"/>
        <w:pageBreakBefore w:val="0"/>
        <w:widowControl/>
        <w:kinsoku/>
        <w:wordWrap/>
        <w:topLinePunct w:val="0"/>
        <w:autoSpaceDE/>
        <w:autoSpaceDN/>
        <w:bidi w:val="0"/>
        <w:snapToGrid/>
        <w:spacing w:before="0" w:after="0" w:line="560" w:lineRule="exact"/>
        <w:ind w:firstLine="640" w:firstLineChars="200"/>
        <w:jc w:val="both"/>
        <w:textAlignment w:val="auto"/>
        <w:rPr>
          <w:rFonts w:hint="default" w:ascii="Times New Roman" w:hAnsi="Times New Roman" w:eastAsia="仿宋_GB2312" w:cs="Times New Roman"/>
          <w:b w:val="0"/>
          <w:bCs w:val="0"/>
          <w:szCs w:val="32"/>
        </w:rPr>
      </w:pPr>
      <w:bookmarkStart w:id="29" w:name="_Toc17965"/>
      <w:r>
        <w:rPr>
          <w:rFonts w:hint="default" w:ascii="Times New Roman" w:hAnsi="Times New Roman" w:eastAsia="仿宋_GB2312" w:cs="Times New Roman"/>
          <w:b w:val="0"/>
          <w:bCs w:val="0"/>
          <w:szCs w:val="32"/>
        </w:rPr>
        <w:t>任务三、加快产城融合，实现新区品质全面提升</w:t>
      </w:r>
      <w:bookmarkEnd w:id="29"/>
    </w:p>
    <w:p>
      <w:pPr>
        <w:keepLines w:val="0"/>
        <w:pageBreakBefore w:val="0"/>
        <w:kinsoku/>
        <w:wordWrap/>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Cs w:val="32"/>
          <w14:textFill>
            <w14:solidFill>
              <w14:schemeClr w14:val="tx1"/>
            </w14:solidFill>
          </w14:textFill>
        </w:rPr>
        <w:t>谋划新区新时期空间发展新思路，着力提高国土空间利用效率，推进城市基础设施建设，构建枢纽型高效互联的交通系统，提升城市功能品质，增强新区综合承载力，有效集聚人口，促进产城融合和城乡协调发展，铸造西江经济带龙头城市先锋样板城区。</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30" w:name="_Toc28248"/>
      <w:r>
        <w:rPr>
          <w:rFonts w:hint="default" w:ascii="Times New Roman" w:hAnsi="Times New Roman" w:eastAsia="仿宋_GB2312" w:cs="Times New Roman"/>
          <w:b w:val="0"/>
          <w:bCs w:val="0"/>
          <w:szCs w:val="32"/>
        </w:rPr>
        <w:t>措施11</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全域统筹提升新区发展新高度</w:t>
      </w:r>
      <w:bookmarkEnd w:id="30"/>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color w:val="000000" w:themeColor="text1"/>
          <w:szCs w:val="32"/>
          <w:lang w:val="zh-CN"/>
          <w14:textFill>
            <w14:solidFill>
              <w14:schemeClr w14:val="tx1"/>
            </w14:solidFill>
          </w14:textFill>
        </w:rPr>
      </w:pPr>
      <w:bookmarkStart w:id="31" w:name="_Toc9696"/>
      <w:r>
        <w:rPr>
          <w:rFonts w:hint="default" w:ascii="Times New Roman" w:hAnsi="Times New Roman" w:eastAsia="仿宋_GB2312" w:cs="Times New Roman"/>
          <w:b w:val="0"/>
          <w:bCs w:val="0"/>
          <w:color w:val="000000" w:themeColor="text1"/>
          <w:szCs w:val="32"/>
          <w14:textFill>
            <w14:solidFill>
              <w14:schemeClr w14:val="tx1"/>
            </w14:solidFill>
          </w14:textFill>
        </w:rPr>
        <w:t>一是构建面向未来的柳州东部中心。重构新区面向未来的</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zCs w:val="32"/>
          <w14:textFill>
            <w14:solidFill>
              <w14:schemeClr w14:val="tx1"/>
            </w14:solidFill>
          </w14:textFill>
        </w:rPr>
        <w:t>三</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轴、</w:t>
      </w:r>
      <w:r>
        <w:rPr>
          <w:rFonts w:hint="default" w:ascii="Times New Roman" w:hAnsi="Times New Roman" w:eastAsia="仿宋_GB2312" w:cs="Times New Roman"/>
          <w:b w:val="0"/>
          <w:bCs w:val="0"/>
          <w:color w:val="000000" w:themeColor="text1"/>
          <w:szCs w:val="32"/>
          <w14:textFill>
            <w14:solidFill>
              <w14:schemeClr w14:val="tx1"/>
            </w14:solidFill>
          </w14:textFill>
        </w:rPr>
        <w:t>一核两副</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zCs w:val="32"/>
          <w14:textFill>
            <w14:solidFill>
              <w14:schemeClr w14:val="tx1"/>
            </w14:solidFill>
          </w14:textFill>
        </w:rPr>
        <w:t>三片区、</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多节点”空间格局。推动</w:t>
      </w:r>
      <w:r>
        <w:rPr>
          <w:rFonts w:hint="default" w:ascii="Times New Roman" w:hAnsi="Times New Roman" w:eastAsia="仿宋_GB2312" w:cs="Times New Roman"/>
          <w:b w:val="0"/>
          <w:bCs w:val="0"/>
          <w:color w:val="000000" w:themeColor="text1"/>
          <w:szCs w:val="32"/>
          <w14:textFill>
            <w14:solidFill>
              <w14:schemeClr w14:val="tx1"/>
            </w14:solidFill>
          </w14:textFill>
        </w:rPr>
        <w:t>新区城市</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向江口、导江方向发展，加快</w:t>
      </w:r>
      <w:r>
        <w:rPr>
          <w:rFonts w:hint="default" w:ascii="Times New Roman" w:hAnsi="Times New Roman" w:eastAsia="仿宋_GB2312" w:cs="Times New Roman"/>
          <w:b w:val="0"/>
          <w:bCs w:val="0"/>
          <w:color w:val="000000" w:themeColor="text1"/>
          <w:szCs w:val="32"/>
          <w14:textFill>
            <w14:solidFill>
              <w14:schemeClr w14:val="tx1"/>
            </w14:solidFill>
          </w14:textFill>
        </w:rPr>
        <w:t>片区</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路网等基础设施建设，</w:t>
      </w:r>
      <w:r>
        <w:rPr>
          <w:rFonts w:hint="default" w:ascii="Times New Roman" w:hAnsi="Times New Roman" w:eastAsia="仿宋_GB2312" w:cs="Times New Roman"/>
          <w:b w:val="0"/>
          <w:bCs w:val="0"/>
          <w:color w:val="000000" w:themeColor="text1"/>
          <w:szCs w:val="32"/>
          <w14:textFill>
            <w14:solidFill>
              <w14:schemeClr w14:val="tx1"/>
            </w14:solidFill>
          </w14:textFill>
        </w:rPr>
        <w:t>拓展柳东新区发展空间</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二是强化空间治理和空间管控。落实“三区三线”刚性约束，严守生态保护红线和永久基本农田控制线，科学、高效、集约利用城镇开发建设空间。构建新区“三线一单”生态环境管控体系。拉大城市框架，加快城市发展的规划、开发、建设。三是高效集约利用好土地资源。加快土地整备、收储和连片老旧工业区的改造升级，对低效利用土地采取征收、收购、委托收购、协议收购等多种手段，纳入土地储备。提高粮食生产功能区和重要农产品生产保护区等的生产效率和产出水平。四是提高城区承载力推动人口聚集。建立经济发展与扩大就业联动机制，不断提升新区综合承载力，改善人居环境，大力完善就业、就学、教育、卫生等公共服务，吸引更多的人来新区就医就学、安家立业。到2025年，新区常住人口达到30万人。</w:t>
      </w:r>
      <w:bookmarkEnd w:id="31"/>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32" w:name="_Toc1888"/>
      <w:r>
        <w:rPr>
          <w:rFonts w:hint="default" w:ascii="Times New Roman" w:hAnsi="Times New Roman" w:eastAsia="仿宋_GB2312" w:cs="Times New Roman"/>
          <w:b w:val="0"/>
          <w:bCs w:val="0"/>
          <w:szCs w:val="32"/>
        </w:rPr>
        <w:t>措施12</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完善基础设施塑造城市新品质</w:t>
      </w:r>
      <w:bookmarkEnd w:id="32"/>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color w:val="000000" w:themeColor="text1"/>
          <w:szCs w:val="32"/>
          <w:lang w:val="zh-CN"/>
          <w14:textFill>
            <w14:solidFill>
              <w14:schemeClr w14:val="tx1"/>
            </w14:solidFill>
          </w14:textFill>
        </w:rPr>
      </w:pPr>
      <w:bookmarkStart w:id="33" w:name="_Toc16905"/>
      <w:r>
        <w:rPr>
          <w:rFonts w:hint="default" w:ascii="Times New Roman" w:hAnsi="Times New Roman" w:eastAsia="仿宋_GB2312" w:cs="Times New Roman"/>
          <w:b w:val="0"/>
          <w:bCs w:val="0"/>
          <w:color w:val="000000" w:themeColor="text1"/>
          <w:szCs w:val="32"/>
          <w:lang w:val="zh-CN"/>
          <w14:textFill>
            <w14:solidFill>
              <w14:schemeClr w14:val="tx1"/>
            </w14:solidFill>
          </w14:textFill>
        </w:rPr>
        <w:t>一是推进智慧城市应用基础建设。加快“大基础、大数据、大支撑、大门户”建设，建设数字柳东，打造国家产城融合的智慧城市样板。加快柳东城市大数据共享交换平台、柳东新区时空信息云平台等核心项目的建设和使用。二是构建枢纽型交通基础设施。推动铁路、高速公路、机场、港口等交通基础设施建设，形成立体化综合交通枢纽体系，强化柳东新区东进、西联、南下、北上通道功能，突出东部门户功能，畅通连接粤港澳大湾区的交通服务，推动相关项目规划建设在“十四五”期内取得新突破。三是高标准建设市政基础设施。以年度十大重点基础设施项目为抓手，高标准推进新区基础设施建设，加快补齐短板。四是推进高效安全公用事业供应。提高电力、燃气、给水排水供给水平，推进农村饮水和农业灌溉节水提升工程建设，加强防汛设施建设，持续推动海绵城市建设。</w:t>
      </w:r>
      <w:bookmarkEnd w:id="33"/>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34" w:name="_Toc20030"/>
      <w:r>
        <w:rPr>
          <w:rFonts w:hint="default" w:ascii="Times New Roman" w:hAnsi="Times New Roman" w:eastAsia="仿宋_GB2312" w:cs="Times New Roman"/>
          <w:b w:val="0"/>
          <w:bCs w:val="0"/>
          <w:szCs w:val="32"/>
        </w:rPr>
        <w:t>措施13</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统筹构建城乡融合发展新格局</w:t>
      </w:r>
      <w:bookmarkEnd w:id="34"/>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color w:val="000000" w:themeColor="text1"/>
          <w:szCs w:val="32"/>
          <w:lang w:val="zh-CN"/>
          <w14:textFill>
            <w14:solidFill>
              <w14:schemeClr w14:val="tx1"/>
            </w14:solidFill>
          </w14:textFill>
        </w:rPr>
      </w:pPr>
      <w:bookmarkStart w:id="35" w:name="_Toc10239"/>
      <w:r>
        <w:rPr>
          <w:rFonts w:hint="default" w:ascii="Times New Roman" w:hAnsi="Times New Roman" w:eastAsia="仿宋_GB2312" w:cs="Times New Roman"/>
          <w:b w:val="0"/>
          <w:bCs w:val="0"/>
          <w:color w:val="000000" w:themeColor="text1"/>
          <w:szCs w:val="32"/>
          <w:lang w:val="zh-CN"/>
          <w14:textFill>
            <w14:solidFill>
              <w14:schemeClr w14:val="tx1"/>
            </w14:solidFill>
          </w14:textFill>
        </w:rPr>
        <w:t>一是推进城镇化高质量发展。推进以人为核心的新型城镇化，推进洛埠镇撤镇设街过渡期后续工作，打造产业“特而强”、功能“聚而合”、形态“小而美”、机制“新而活”的特色小镇，进一步激发经济发达镇发展内生动力。二是大力推进乡村振兴战略。推动形成的新型工农城乡关系。优化乡村生产、生活、生态空间。深化农业供给侧结构性改革，促进现代都市型农业发展。加快推动公共服务资源向农村倾斜，补齐农村民生短板。三是构建城乡一体化发展格局。完善中心城区综合服务功能，增强城镇</w:t>
      </w:r>
      <w:r>
        <w:rPr>
          <w:rFonts w:hint="default" w:ascii="Times New Roman" w:hAnsi="Times New Roman" w:eastAsia="仿宋_GB2312" w:cs="Times New Roman"/>
          <w:b w:val="0"/>
          <w:bCs w:val="0"/>
          <w:color w:val="000000" w:themeColor="text1"/>
          <w:szCs w:val="32"/>
          <w14:textFill>
            <w14:solidFill>
              <w14:schemeClr w14:val="tx1"/>
            </w14:solidFill>
          </w14:textFill>
        </w:rPr>
        <w:t>的</w:t>
      </w:r>
      <w:r>
        <w:rPr>
          <w:rFonts w:hint="default" w:ascii="Times New Roman" w:hAnsi="Times New Roman" w:eastAsia="仿宋_GB2312" w:cs="Times New Roman"/>
          <w:b w:val="0"/>
          <w:bCs w:val="0"/>
          <w:color w:val="000000" w:themeColor="text1"/>
          <w:szCs w:val="32"/>
          <w:lang w:val="zh-CN"/>
          <w14:textFill>
            <w14:solidFill>
              <w14:schemeClr w14:val="tx1"/>
            </w14:solidFill>
          </w14:textFill>
        </w:rPr>
        <w:t>带动和辐射能力。促进要素在城乡之间自由流动，保障农村建设资金需求。积极推动农业转移人口市民化，保障符合条件的随迁子女在流入地接受高质量教育的权利。</w:t>
      </w:r>
      <w:bookmarkEnd w:id="35"/>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36" w:name="_Toc18125"/>
      <w:r>
        <w:rPr>
          <w:rFonts w:hint="default" w:ascii="Times New Roman" w:hAnsi="Times New Roman" w:eastAsia="仿宋_GB2312" w:cs="Times New Roman"/>
          <w:b w:val="0"/>
          <w:bCs w:val="0"/>
          <w:szCs w:val="32"/>
        </w:rPr>
        <w:t>任务四、</w:t>
      </w:r>
      <w:r>
        <w:rPr>
          <w:rFonts w:hint="default" w:ascii="Times New Roman" w:hAnsi="Times New Roman" w:eastAsia="仿宋_GB2312" w:cs="Times New Roman"/>
          <w:b w:val="0"/>
          <w:bCs w:val="0"/>
          <w:color w:val="000000" w:themeColor="text1"/>
          <w:szCs w:val="32"/>
          <w14:textFill>
            <w14:solidFill>
              <w14:schemeClr w14:val="tx1"/>
            </w14:solidFill>
          </w14:textFill>
        </w:rPr>
        <w:t>深化改革开放，开拓区域协同发展新局面</w:t>
      </w:r>
      <w:bookmarkEnd w:id="36"/>
    </w:p>
    <w:p>
      <w:pPr>
        <w:keepLines w:val="0"/>
        <w:pageBreakBefore w:val="0"/>
        <w:kinsoku/>
        <w:wordWrap/>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Cs w:val="32"/>
          <w14:textFill>
            <w14:solidFill>
              <w14:schemeClr w14:val="tx1"/>
            </w14:solidFill>
          </w14:textFill>
        </w:rPr>
        <w:t>深入推进“放管服”、营商环境等关键领域改革，争创制度改革新优势。加强区域联动能力，推动区域经济开放协同发展，构建国内国际双循环相互促进的发展格局。</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37" w:name="_Toc12452"/>
      <w:r>
        <w:rPr>
          <w:rFonts w:hint="default" w:ascii="Times New Roman" w:hAnsi="Times New Roman" w:eastAsia="仿宋_GB2312" w:cs="Times New Roman"/>
          <w:b w:val="0"/>
          <w:bCs w:val="0"/>
          <w:szCs w:val="32"/>
        </w:rPr>
        <w:t>措施14</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争创新区改革发展新优势</w:t>
      </w:r>
      <w:bookmarkEnd w:id="37"/>
    </w:p>
    <w:p>
      <w:pPr>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一是进一步推动营商环境优化提升。深入落实《优化营商环境条例》，提升新区投资便利化水平。加强和改进反不正当竞争执法，健全联合执法、柔性执法机制。二是推动要素市场化配置机制改革。创新利用产业用地，推进新区建设用地空间功能复合优化，实行工业用地弹性供应等新土地供应方式。推动人才有序流动，建设汽车城人才智力成果交易平台。完善政府性融资担保体系，增强支持小微企业融资担保能力。大力引导社会资本向新区高技术产业以及新业态、商业新模式投资倾斜。三是深化新区社会建设领域改革。全面推进新区经济发达镇行政管理体制改革，加快基层治理体制改革。创新公共服务基础设施投资建设和管理运营新模式。</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38" w:name="_Toc270"/>
      <w:r>
        <w:rPr>
          <w:rFonts w:hint="default" w:ascii="Times New Roman" w:hAnsi="Times New Roman" w:eastAsia="仿宋_GB2312" w:cs="Times New Roman"/>
          <w:b w:val="0"/>
          <w:bCs w:val="0"/>
          <w:szCs w:val="32"/>
        </w:rPr>
        <w:t>措施15</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打造开放合作的新平台</w:t>
      </w:r>
      <w:bookmarkEnd w:id="38"/>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是加强与邻区邻县及院校的合作。主动对接邻区邻县产业、科技创新资源，实现重大科技基础设施的共享，深化协同发展。积极建立与高校和研究机构的合作，加强科技创新资源对接与产业创新合作，增强产业创新能力。二是积极参与西部陆海新通道建设。加快推进新区铁路、水运口岸建设，提升通关便利化和口岸智能化水平。加强新区与川渝地区、粤港澳大湾区以及与东盟的产业合作，将柳东新区打造成为西部陆海新通道枢纽城市的重要承载地。积极争取建立区域性大宗商品及战略资源交易平台。三是建立对外开放合作新渠道。参与中新互联互通南向通道建设，拓展中国—东盟（柳州）汽车工业博览会平台功能。探索在柳州共建中意科技企业孵化器、中意可再生能源研究中心等项目。探索申报建设柳州综合保税区的可行性。加快“柳东制造”国际化步伐。四、全方位融入中欧区域政策合作。推动欧盟政府机构、企业和科创机构回访，利用欧盟科创平台推动设立柳州离岸创新创业中心。积极引进欧洲高水准教育资源，推动新区高校、职校教学发展水平提升。力争建设中欧区域政策合作试验区或示范高地。</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39" w:name="_Toc4550"/>
      <w:bookmarkStart w:id="40" w:name="_Toc20665"/>
      <w:bookmarkStart w:id="41" w:name="_Toc20453"/>
      <w:bookmarkStart w:id="42" w:name="_Toc18428"/>
      <w:bookmarkStart w:id="43" w:name="_Toc26059"/>
      <w:bookmarkStart w:id="44" w:name="_Toc28138"/>
      <w:bookmarkStart w:id="45" w:name="_Toc18301"/>
      <w:bookmarkStart w:id="46" w:name="_Toc30099"/>
      <w:bookmarkStart w:id="47" w:name="_Toc16760"/>
      <w:bookmarkStart w:id="48" w:name="_Toc75341680"/>
      <w:bookmarkStart w:id="49" w:name="_Toc1011"/>
      <w:bookmarkStart w:id="50" w:name="_Toc18391"/>
      <w:r>
        <w:rPr>
          <w:rFonts w:hint="default" w:ascii="Times New Roman" w:hAnsi="Times New Roman" w:eastAsia="仿宋_GB2312" w:cs="Times New Roman"/>
          <w:b w:val="0"/>
          <w:bCs w:val="0"/>
          <w:szCs w:val="32"/>
        </w:rPr>
        <w:t>措施16</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全面对接粤港澳大湾区</w:t>
      </w:r>
      <w:bookmarkEnd w:id="39"/>
      <w:bookmarkEnd w:id="40"/>
      <w:bookmarkEnd w:id="41"/>
      <w:bookmarkEnd w:id="42"/>
      <w:bookmarkEnd w:id="43"/>
      <w:bookmarkEnd w:id="44"/>
      <w:bookmarkEnd w:id="45"/>
      <w:bookmarkEnd w:id="46"/>
      <w:bookmarkEnd w:id="47"/>
      <w:bookmarkEnd w:id="48"/>
      <w:bookmarkEnd w:id="49"/>
      <w:bookmarkEnd w:id="50"/>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color w:val="000000" w:themeColor="text1"/>
          <w:szCs w:val="32"/>
          <w14:textFill>
            <w14:solidFill>
              <w14:schemeClr w14:val="tx1"/>
            </w14:solidFill>
          </w14:textFill>
        </w:rPr>
      </w:pPr>
      <w:bookmarkStart w:id="51" w:name="_Toc1288"/>
      <w:r>
        <w:rPr>
          <w:rFonts w:hint="default" w:ascii="Times New Roman" w:hAnsi="Times New Roman" w:eastAsia="仿宋_GB2312" w:cs="Times New Roman"/>
          <w:b w:val="0"/>
          <w:bCs w:val="0"/>
          <w:color w:val="000000" w:themeColor="text1"/>
          <w:szCs w:val="32"/>
          <w14:textFill>
            <w14:solidFill>
              <w14:schemeClr w14:val="tx1"/>
            </w14:solidFill>
          </w14:textFill>
        </w:rPr>
        <w:t>一是全方位对接粤港澳大湾区。加大基础设施互联互通，完善对接粤港澳大湾区的交通体系，推动与粤港澳大湾区产业进行补链式对接、联动式发展，精准对接新一代信息技术产业、先进装备制造业、新材料产业、新能源等产业，与大数据、大物流产业融合发展。二是创新与粤港澳大湾区合作模式。拓展推进“飞地经济”园区建设，积极引进粤港澳大湾区企业在柳东新区创建“飞地园区”“科创飞地”，主动推动人才交流，大力鼓励人才赴港澳交流学习。三是积极融入粤桂黔滇高铁经济示范带。主动对接粤桂黔滇高铁经济示范带合作城市，推动粤桂黔滇高铁经济示范带试验区（柳州）广西园建设，建立与广东园、贵州园联动机制，强化产业项目对接和要素集聚，强化在产能合作、对外贸易、科研创新、人才交流、金融服务、文化旅游等方面深化合作。</w:t>
      </w:r>
      <w:bookmarkEnd w:id="51"/>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52" w:name="_Toc29162"/>
      <w:r>
        <w:rPr>
          <w:rFonts w:hint="default" w:ascii="Times New Roman" w:hAnsi="Times New Roman" w:eastAsia="仿宋_GB2312" w:cs="Times New Roman"/>
          <w:b w:val="0"/>
          <w:bCs w:val="0"/>
          <w:szCs w:val="32"/>
        </w:rPr>
        <w:t>任务五、</w:t>
      </w:r>
      <w:r>
        <w:rPr>
          <w:rFonts w:hint="default" w:ascii="Times New Roman" w:hAnsi="Times New Roman" w:eastAsia="仿宋_GB2312" w:cs="Times New Roman"/>
          <w:b w:val="0"/>
          <w:bCs w:val="0"/>
          <w:color w:val="000000" w:themeColor="text1"/>
          <w:szCs w:val="32"/>
          <w14:textFill>
            <w14:solidFill>
              <w14:schemeClr w14:val="tx1"/>
            </w14:solidFill>
          </w14:textFill>
        </w:rPr>
        <w:t>共治共建共享，打造民生幸福和谐家园</w:t>
      </w:r>
      <w:bookmarkEnd w:id="52"/>
    </w:p>
    <w:p>
      <w:pPr>
        <w:keepLines w:val="0"/>
        <w:pageBreakBefore w:val="0"/>
        <w:kinsoku/>
        <w:wordWrap/>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Cs w:val="32"/>
          <w14:textFill>
            <w14:solidFill>
              <w14:schemeClr w14:val="tx1"/>
            </w14:solidFill>
          </w14:textFill>
        </w:rPr>
        <w:t>坚持依法治理、系统治理、智慧治理，强化城市公共安全保障能力。致力于增进人民群众福祉，尽力而为、量力而行，筑牢织密民生保障底线，不断增强新区人民群众获得感、幸福感、安全感，促进人的全面发展和社会全面进步。</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53" w:name="_Toc29326"/>
      <w:r>
        <w:rPr>
          <w:rFonts w:hint="default" w:ascii="Times New Roman" w:hAnsi="Times New Roman" w:eastAsia="仿宋_GB2312" w:cs="Times New Roman"/>
          <w:b w:val="0"/>
          <w:bCs w:val="0"/>
          <w:szCs w:val="32"/>
        </w:rPr>
        <w:t>措施17</w:t>
      </w:r>
      <w:r>
        <w:rPr>
          <w:rFonts w:hint="eastAsia" w:ascii="Times New Roman" w:hAnsi="Times New Roman" w:eastAsia="仿宋_GB2312" w:cs="Times New Roman"/>
          <w:b w:val="0"/>
          <w:bCs w:val="0"/>
          <w:szCs w:val="32"/>
          <w:lang w:eastAsia="zh-CN"/>
        </w:rPr>
        <w:t>：</w:t>
      </w:r>
      <w:r>
        <w:rPr>
          <w:rFonts w:hint="default" w:ascii="Times New Roman" w:hAnsi="Times New Roman" w:eastAsia="仿宋_GB2312" w:cs="Times New Roman"/>
          <w:b w:val="0"/>
          <w:bCs w:val="0"/>
          <w:szCs w:val="32"/>
        </w:rPr>
        <w:t>社会治理共建共治共享</w:t>
      </w:r>
      <w:bookmarkEnd w:id="53"/>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是增强党组织在基层的领导力和动员力。推动基层党建质量和水平整体提升。实现由过去以农村管理为主到以城市管理为主的过渡，加快镇改街、村改居的工作进度。二是推进法治柳东建设。坚持依法治区、依法执政、依法行政，推进法治政府、法治社会一体建设。深化“平安柳东”创建。及时化解社会矛盾，加强群体性事件处置能力，全力维护社会和谐稳定。三是促进基层治理智慧化精细化。推动社会治理现代化“智治”，加强智慧城市应用推广。以“一中心两化”为抓手，提升区级一体化联合指挥效能。四是加快社会信用体系建设。加快推进建立与新区现代治理体系相适应的社会信用体系。推进信用数据开放共享，提供更为全面实时的信用信息。</w:t>
      </w:r>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bookmarkStart w:id="54" w:name="_Toc30683"/>
      <w:bookmarkStart w:id="55" w:name="_Toc15028"/>
      <w:bookmarkStart w:id="56" w:name="_Toc13475"/>
      <w:bookmarkStart w:id="57" w:name="_Toc9126"/>
      <w:bookmarkStart w:id="58" w:name="_Toc30818"/>
      <w:bookmarkStart w:id="59" w:name="_Toc75341683"/>
      <w:bookmarkStart w:id="60" w:name="_Toc21667"/>
      <w:bookmarkStart w:id="61" w:name="_Toc5901"/>
      <w:bookmarkStart w:id="62" w:name="_Toc25108"/>
      <w:bookmarkStart w:id="63" w:name="_Toc3209"/>
      <w:r>
        <w:rPr>
          <w:rFonts w:hint="default" w:ascii="Times New Roman" w:hAnsi="Times New Roman" w:eastAsia="仿宋_GB2312" w:cs="Times New Roman"/>
          <w:b w:val="0"/>
          <w:bCs w:val="0"/>
          <w:szCs w:val="32"/>
        </w:rPr>
        <w:t>措施18</w:t>
      </w:r>
      <w:r>
        <w:rPr>
          <w:rFonts w:hint="eastAsia" w:ascii="Times New Roman" w:hAnsi="Times New Roman" w:cs="Times New Roman"/>
          <w:b w:val="0"/>
          <w:bCs w:val="0"/>
          <w:szCs w:val="32"/>
          <w:lang w:eastAsia="zh-CN"/>
        </w:rPr>
        <w:t>：</w:t>
      </w:r>
      <w:r>
        <w:rPr>
          <w:rFonts w:hint="default" w:ascii="Times New Roman" w:hAnsi="Times New Roman" w:eastAsia="仿宋_GB2312" w:cs="Times New Roman"/>
          <w:b w:val="0"/>
          <w:bCs w:val="0"/>
        </w:rPr>
        <w:t>加强社会公共安全建设</w:t>
      </w:r>
      <w:bookmarkEnd w:id="54"/>
      <w:bookmarkEnd w:id="55"/>
      <w:bookmarkEnd w:id="56"/>
      <w:bookmarkEnd w:id="57"/>
      <w:bookmarkEnd w:id="58"/>
      <w:bookmarkEnd w:id="59"/>
      <w:bookmarkEnd w:id="60"/>
      <w:bookmarkEnd w:id="61"/>
      <w:bookmarkEnd w:id="62"/>
      <w:bookmarkEnd w:id="63"/>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一是启动“韧性城区”建设。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从城市规划、应急保障体系、应急基础建设和社会应急治理能力等方面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构建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新区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“韧性城区”。</w:t>
      </w:r>
      <w:r>
        <w:rPr>
          <w:rFonts w:hint="default" w:ascii="Times New Roman" w:hAnsi="Times New Roman" w:eastAsia="仿宋_GB2312" w:cs="Times New Roman"/>
          <w:b w:val="0"/>
          <w:bCs w:val="0"/>
        </w:rPr>
        <w:t>二是夯实安全生产基石。坚持安全发展、坚守安全红线，严格落实重大安全风险“一票否决”制度。压实企业安全生产主体责任。加强安全生产监测预警和智慧安监信息化建设与使用。三是加强食品药品安全保障。实施“双安双创”示范引领行动，适度扩大农产品质量安全监管范围和加大监管力度。建成“制度+科技+责任”的食品药品安全智慧监管体系。</w:t>
      </w:r>
      <w:bookmarkStart w:id="64" w:name="_Toc28581"/>
      <w:bookmarkStart w:id="65" w:name="_Toc33173320"/>
      <w:bookmarkStart w:id="66" w:name="_Toc13801"/>
      <w:bookmarkStart w:id="67" w:name="_Toc16227"/>
      <w:bookmarkStart w:id="68" w:name="_Toc31954"/>
      <w:bookmarkStart w:id="69" w:name="_Toc75341684"/>
      <w:bookmarkStart w:id="70" w:name="_Toc17121"/>
      <w:bookmarkStart w:id="71" w:name="_Toc13917"/>
      <w:bookmarkStart w:id="72" w:name="_Toc18708"/>
      <w:bookmarkStart w:id="73" w:name="_Toc22232"/>
      <w:bookmarkStart w:id="74" w:name="_Toc16478"/>
      <w:bookmarkStart w:id="75" w:name="_Toc4419"/>
      <w:bookmarkStart w:id="76" w:name="_Toc332201397"/>
      <w:bookmarkStart w:id="77" w:name="_Toc2332"/>
      <w:bookmarkStart w:id="78" w:name="_Toc328"/>
      <w:bookmarkStart w:id="79" w:name="_Toc20420"/>
      <w:bookmarkStart w:id="80" w:name="_Toc16725"/>
      <w:bookmarkStart w:id="81" w:name="_Toc7833"/>
      <w:bookmarkStart w:id="82" w:name="_Toc31808"/>
      <w:bookmarkStart w:id="83" w:name="_Toc30998"/>
      <w:bookmarkStart w:id="84" w:name="_Toc2565"/>
      <w:bookmarkStart w:id="85" w:name="_Toc21307"/>
      <w:bookmarkStart w:id="86" w:name="_Toc330025448"/>
      <w:bookmarkStart w:id="87" w:name="_Toc12150"/>
      <w:bookmarkStart w:id="88" w:name="_Toc23221"/>
      <w:bookmarkStart w:id="89" w:name="_Toc26946"/>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Cs w:val="32"/>
        </w:rPr>
        <w:t>措施19</w:t>
      </w:r>
      <w:r>
        <w:rPr>
          <w:rFonts w:hint="eastAsia" w:ascii="Times New Roman" w:hAnsi="Times New Roman" w:cs="Times New Roman"/>
          <w:b w:val="0"/>
          <w:bCs w:val="0"/>
          <w:szCs w:val="32"/>
          <w:lang w:eastAsia="zh-CN"/>
        </w:rPr>
        <w:t>：</w:t>
      </w:r>
      <w:r>
        <w:rPr>
          <w:rFonts w:hint="default" w:ascii="Times New Roman" w:hAnsi="Times New Roman" w:eastAsia="仿宋_GB2312" w:cs="Times New Roman"/>
          <w:b w:val="0"/>
          <w:bCs w:val="0"/>
        </w:rPr>
        <w:t>加大均衡优质公共服务</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Start w:id="90" w:name="_Toc39937318"/>
      <w:bookmarkStart w:id="91" w:name="_Toc40022587"/>
      <w:bookmarkStart w:id="92" w:name="_Toc39963117"/>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一是高标准办好新区基础教育。建立“广覆盖、保基本、多形式、有质量”的学前教育服务体系，增加学前教育公办学位。提升义务教育水平</w:t>
      </w:r>
      <w:bookmarkEnd w:id="90"/>
      <w:bookmarkEnd w:id="91"/>
      <w:bookmarkEnd w:id="92"/>
      <w:r>
        <w:rPr>
          <w:rFonts w:hint="default" w:ascii="Times New Roman" w:hAnsi="Times New Roman" w:eastAsia="仿宋_GB2312" w:cs="Times New Roman"/>
          <w:b w:val="0"/>
          <w:bCs w:val="0"/>
        </w:rPr>
        <w:t>，持续扩大优质教育资源覆盖面。重视弱势群体教育权利，推进特殊教育融合发展。二是推动高教职教创新提质发展。支持高等院校构建区域领先的应用型学科体系，着力解决产业“卡脖子”关键技术需求。促进教育链、人才链、产业链和创新链有机衔接。</w:t>
      </w:r>
      <w:bookmarkStart w:id="93" w:name="_Toc332201398"/>
      <w:bookmarkStart w:id="94" w:name="_Toc330025449"/>
      <w:r>
        <w:rPr>
          <w:rFonts w:hint="default" w:ascii="Times New Roman" w:hAnsi="Times New Roman" w:eastAsia="仿宋_GB2312" w:cs="Times New Roman"/>
          <w:b w:val="0"/>
          <w:bCs w:val="0"/>
        </w:rPr>
        <w:t>三是提高医疗卫生服务水平</w:t>
      </w:r>
      <w:bookmarkEnd w:id="93"/>
      <w:bookmarkEnd w:id="94"/>
      <w:r>
        <w:rPr>
          <w:rFonts w:hint="default" w:ascii="Times New Roman" w:hAnsi="Times New Roman" w:eastAsia="仿宋_GB2312" w:cs="Times New Roman"/>
          <w:b w:val="0"/>
          <w:bCs w:val="0"/>
        </w:rPr>
        <w:t>。建设健康柳东，加大新区医疗机构和社区卫生服务中心的布局建设，增强基层医疗卫生服务能力。</w:t>
      </w:r>
      <w:bookmarkStart w:id="95" w:name="_Toc330025450"/>
      <w:bookmarkStart w:id="96" w:name="_Toc332201399"/>
      <w:r>
        <w:rPr>
          <w:rFonts w:hint="default" w:ascii="Times New Roman" w:hAnsi="Times New Roman" w:eastAsia="仿宋_GB2312" w:cs="Times New Roman"/>
          <w:b w:val="0"/>
          <w:bCs w:val="0"/>
        </w:rPr>
        <w:t>四是繁荣城乡公共文体事业</w:t>
      </w:r>
      <w:bookmarkEnd w:id="95"/>
      <w:bookmarkEnd w:id="96"/>
      <w:r>
        <w:rPr>
          <w:rFonts w:hint="default" w:ascii="Times New Roman" w:hAnsi="Times New Roman" w:eastAsia="仿宋_GB2312" w:cs="Times New Roman"/>
          <w:b w:val="0"/>
          <w:bCs w:val="0"/>
        </w:rPr>
        <w:t>。大力促进文体惠民。开展全面健身运动。争取大型体育品牌赛事，积极引进和打造体育品牌。</w:t>
      </w:r>
      <w:bookmarkStart w:id="97" w:name="_Toc39937339"/>
      <w:bookmarkStart w:id="98" w:name="_Toc39963138"/>
      <w:bookmarkStart w:id="99" w:name="_Toc40022608"/>
      <w:r>
        <w:rPr>
          <w:rFonts w:hint="default" w:ascii="Times New Roman" w:hAnsi="Times New Roman" w:eastAsia="仿宋_GB2312" w:cs="Times New Roman"/>
          <w:b w:val="0"/>
          <w:bCs w:val="0"/>
        </w:rPr>
        <w:t>五是打造文明关爱柳东新区</w:t>
      </w:r>
      <w:bookmarkEnd w:id="97"/>
      <w:bookmarkEnd w:id="98"/>
      <w:bookmarkEnd w:id="99"/>
      <w:r>
        <w:rPr>
          <w:rFonts w:hint="default" w:ascii="Times New Roman" w:hAnsi="Times New Roman" w:eastAsia="仿宋_GB2312" w:cs="Times New Roman"/>
          <w:b w:val="0"/>
          <w:bCs w:val="0"/>
        </w:rPr>
        <w:t>。创建全市首个妇女儿童友好型城区，实施三岁以下婴幼儿照护服务发展行动计划，建设各类儿童社会实践基地。</w:t>
      </w:r>
      <w:bookmarkStart w:id="100" w:name="_Toc40022609"/>
      <w:bookmarkStart w:id="101" w:name="_Toc39963139"/>
      <w:bookmarkStart w:id="102" w:name="_Toc39937340"/>
      <w:r>
        <w:rPr>
          <w:rFonts w:hint="default" w:ascii="Times New Roman" w:hAnsi="Times New Roman" w:eastAsia="仿宋_GB2312" w:cs="Times New Roman"/>
          <w:b w:val="0"/>
          <w:bCs w:val="0"/>
        </w:rPr>
        <w:t>关爱残障人士，大力推进慈善事业发展</w:t>
      </w:r>
      <w:bookmarkEnd w:id="100"/>
      <w:bookmarkEnd w:id="101"/>
      <w:bookmarkEnd w:id="102"/>
      <w:r>
        <w:rPr>
          <w:rFonts w:hint="default" w:ascii="Times New Roman" w:hAnsi="Times New Roman" w:eastAsia="仿宋_GB2312" w:cs="Times New Roman"/>
          <w:b w:val="0"/>
          <w:bCs w:val="0"/>
        </w:rPr>
        <w:t>，开展各类志愿服务工作，推动“西部计划”。</w:t>
      </w:r>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bookmarkStart w:id="103" w:name="_Toc25100"/>
      <w:bookmarkStart w:id="104" w:name="_Toc16323"/>
      <w:bookmarkStart w:id="105" w:name="_Toc18552"/>
      <w:bookmarkStart w:id="106" w:name="_Toc9921"/>
      <w:bookmarkStart w:id="107" w:name="_Toc3629"/>
      <w:bookmarkStart w:id="108" w:name="_Toc3564"/>
      <w:bookmarkStart w:id="109" w:name="_Toc19123"/>
      <w:bookmarkStart w:id="110" w:name="_Toc2506"/>
      <w:bookmarkStart w:id="111" w:name="_Toc4526"/>
      <w:bookmarkStart w:id="112" w:name="_Toc18183"/>
      <w:bookmarkStart w:id="113" w:name="_Toc22928"/>
      <w:bookmarkStart w:id="114" w:name="_Toc5954"/>
      <w:bookmarkStart w:id="115" w:name="_Toc8773"/>
      <w:bookmarkStart w:id="116" w:name="_Toc75341685"/>
      <w:bookmarkStart w:id="117" w:name="_Toc27846"/>
      <w:bookmarkStart w:id="118" w:name="_Toc4850"/>
      <w:bookmarkStart w:id="119" w:name="_Toc444451225"/>
      <w:bookmarkStart w:id="120" w:name="_Toc29366"/>
      <w:bookmarkStart w:id="121" w:name="_Toc18994"/>
      <w:bookmarkStart w:id="122" w:name="_Toc137"/>
      <w:bookmarkStart w:id="123" w:name="_Toc28982"/>
      <w:bookmarkStart w:id="124" w:name="_Toc10103"/>
      <w:bookmarkStart w:id="125" w:name="_Toc17507"/>
      <w:r>
        <w:rPr>
          <w:rFonts w:hint="default" w:ascii="Times New Roman" w:hAnsi="Times New Roman" w:eastAsia="仿宋_GB2312" w:cs="Times New Roman"/>
          <w:b w:val="0"/>
          <w:bCs w:val="0"/>
          <w:szCs w:val="32"/>
        </w:rPr>
        <w:t>措施20</w:t>
      </w:r>
      <w:r>
        <w:rPr>
          <w:rFonts w:hint="eastAsia" w:ascii="Times New Roman" w:hAnsi="Times New Roman" w:cs="Times New Roman"/>
          <w:b w:val="0"/>
          <w:bCs w:val="0"/>
          <w:szCs w:val="32"/>
          <w:lang w:eastAsia="zh-CN"/>
        </w:rPr>
        <w:t>：</w:t>
      </w:r>
      <w:r>
        <w:rPr>
          <w:rFonts w:hint="default" w:ascii="Times New Roman" w:hAnsi="Times New Roman" w:eastAsia="仿宋_GB2312" w:cs="Times New Roman"/>
          <w:b w:val="0"/>
          <w:bCs w:val="0"/>
        </w:rPr>
        <w:t>构建有温度的社会保障</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bookmarkStart w:id="126" w:name="_Toc330025451"/>
      <w:bookmarkStart w:id="127" w:name="_Toc332201400"/>
      <w:r>
        <w:rPr>
          <w:rFonts w:hint="default" w:ascii="Times New Roman" w:hAnsi="Times New Roman" w:eastAsia="仿宋_GB2312" w:cs="Times New Roman"/>
          <w:b w:val="0"/>
          <w:bCs w:val="0"/>
        </w:rPr>
        <w:t>一是着力完善社会保障体系。实现更加充分和更高质量就业，提供普惠性、均等化的终身职业技能培训。构建多层次社会保障网，深入推进全民参保计划。二是重视青年发展保障。维护青年发展权益，促进青年全面发展。落实“广西青空间”服务青少年成长发展项目。三是加强老龄服务保障。推动新区养老事业和养老产业协同发展。</w:t>
      </w:r>
      <w:bookmarkEnd w:id="126"/>
      <w:bookmarkEnd w:id="127"/>
      <w:r>
        <w:rPr>
          <w:rFonts w:hint="default" w:ascii="Times New Roman" w:hAnsi="Times New Roman" w:eastAsia="仿宋_GB2312" w:cs="Times New Roman"/>
          <w:b w:val="0"/>
          <w:bCs w:val="0"/>
        </w:rPr>
        <w:t>四是推进保障性住房工作。持续加大住宅、租赁住房、保障性住房供应力度。建设15分钟社区生活圈、友好型社区。五是强化新区社会救助保障。</w:t>
      </w:r>
    </w:p>
    <w:p>
      <w:pPr>
        <w:keepLines w:val="0"/>
        <w:pageBreakBefore w:val="0"/>
        <w:kinsoku/>
        <w:wordWrap/>
        <w:topLinePunct w:val="0"/>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b w:val="0"/>
          <w:bCs w:val="0"/>
          <w:szCs w:val="32"/>
        </w:rPr>
      </w:pPr>
      <w:bookmarkStart w:id="128" w:name="_Toc5046"/>
      <w:r>
        <w:rPr>
          <w:rFonts w:hint="default" w:ascii="Times New Roman" w:hAnsi="Times New Roman" w:eastAsia="仿宋_GB2312" w:cs="Times New Roman"/>
          <w:b w:val="0"/>
          <w:bCs w:val="0"/>
          <w:szCs w:val="32"/>
        </w:rPr>
        <w:t>任务六、</w:t>
      </w:r>
      <w:r>
        <w:rPr>
          <w:rFonts w:hint="default" w:ascii="Times New Roman" w:hAnsi="Times New Roman" w:eastAsia="仿宋_GB2312" w:cs="Times New Roman"/>
          <w:b w:val="0"/>
          <w:bCs w:val="0"/>
          <w:color w:val="000000" w:themeColor="text1"/>
          <w:szCs w:val="32"/>
          <w14:textFill>
            <w14:solidFill>
              <w14:schemeClr w14:val="tx1"/>
            </w14:solidFill>
          </w14:textFill>
        </w:rPr>
        <w:t>涵养好山好水，构建生态美好典范区</w:t>
      </w:r>
      <w:bookmarkEnd w:id="128"/>
    </w:p>
    <w:p>
      <w:pPr>
        <w:keepLines w:val="0"/>
        <w:pageBreakBefore w:val="0"/>
        <w:kinsoku/>
        <w:wordWrap/>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Cs w:val="32"/>
          <w14:textFill>
            <w14:solidFill>
              <w14:schemeClr w14:val="tx1"/>
            </w14:solidFill>
          </w14:textFill>
        </w:rPr>
      </w:pPr>
      <w:r>
        <w:rPr>
          <w:rFonts w:hint="default" w:ascii="Times New Roman" w:hAnsi="Times New Roman" w:eastAsia="仿宋_GB2312" w:cs="Times New Roman"/>
          <w:b w:val="0"/>
          <w:bCs w:val="0"/>
          <w:color w:val="000000" w:themeColor="text1"/>
          <w:szCs w:val="32"/>
          <w14:textFill>
            <w14:solidFill>
              <w14:schemeClr w14:val="tx1"/>
            </w14:solidFill>
          </w14:textFill>
        </w:rPr>
        <w:t>贯彻落实</w:t>
      </w:r>
      <w:r>
        <w:rPr>
          <w:rFonts w:hint="eastAsia" w:ascii="Times New Roman" w:hAnsi="Times New Roman" w:eastAsia="仿宋_GB2312" w:cs="Times New Roman"/>
          <w:b w:val="0"/>
          <w:bCs w:val="0"/>
          <w:color w:val="000000" w:themeColor="text1"/>
          <w:szCs w:val="32"/>
          <w:lang w:eastAsia="zh-CN"/>
          <w14:textFill>
            <w14:solidFill>
              <w14:schemeClr w14:val="tx1"/>
            </w14:solidFill>
          </w14:textFill>
        </w:rPr>
        <w:t>习近平生态文明思想</w:t>
      </w:r>
      <w:r>
        <w:rPr>
          <w:rFonts w:hint="default" w:ascii="Times New Roman" w:hAnsi="Times New Roman" w:eastAsia="仿宋_GB2312" w:cs="Times New Roman"/>
          <w:b w:val="0"/>
          <w:bCs w:val="0"/>
          <w:color w:val="000000" w:themeColor="text1"/>
          <w:szCs w:val="32"/>
          <w14:textFill>
            <w14:solidFill>
              <w14:schemeClr w14:val="tx1"/>
            </w14:solidFill>
          </w14:textFill>
        </w:rPr>
        <w:t>，践行绿色发展理念，加强生态环境保护与修复，强化污染防治，促进生产生活绿色低碳发展，打造全国高新区生态文明建设典范。</w:t>
      </w:r>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Cs w:val="32"/>
        </w:rPr>
        <w:t>措施21</w:t>
      </w:r>
      <w:r>
        <w:rPr>
          <w:rFonts w:hint="eastAsia" w:ascii="Times New Roman" w:hAnsi="Times New Roman" w:cs="Times New Roman"/>
          <w:b w:val="0"/>
          <w:bCs w:val="0"/>
          <w:szCs w:val="32"/>
          <w:lang w:eastAsia="zh-CN"/>
        </w:rPr>
        <w:t>：</w:t>
      </w:r>
      <w:r>
        <w:rPr>
          <w:rFonts w:hint="default" w:ascii="Times New Roman" w:hAnsi="Times New Roman" w:eastAsia="仿宋_GB2312" w:cs="Times New Roman"/>
          <w:b w:val="0"/>
          <w:bCs w:val="0"/>
        </w:rPr>
        <w:t>打造生态美丽柳东新区</w:t>
      </w:r>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是以生态文明引领新区品质发展。凝聚各方面合力，将新区建设成为宜居、宜业、宜游的汽车城市花园。二是探索自然资源保护利用新模式。深化自然资源管理制度改革，建立完善自然资源有偿使用制度，编制自然资源资产负债表。三是打造全域特色生态休闲空间。规划建设柳东新区山水天际线，构建城市山水主轴。实施水系景观品质提升工程。强化新区绿地生态景观格局，构建公园城市绿地体系。</w:t>
      </w:r>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措施22</w:t>
      </w:r>
      <w:r>
        <w:rPr>
          <w:rFonts w:hint="eastAsia" w:ascii="Times New Roman" w:hAnsi="Times New Roman" w:cs="Times New Roman"/>
          <w:b w:val="0"/>
          <w:bCs w:val="0"/>
          <w:szCs w:val="32"/>
          <w:lang w:eastAsia="zh-CN"/>
        </w:rPr>
        <w:t>：</w:t>
      </w:r>
      <w:r>
        <w:rPr>
          <w:rFonts w:hint="default" w:ascii="Times New Roman" w:hAnsi="Times New Roman" w:eastAsia="仿宋_GB2312" w:cs="Times New Roman"/>
          <w:b w:val="0"/>
          <w:bCs w:val="0"/>
          <w:szCs w:val="32"/>
        </w:rPr>
        <w:t>加强生态环境治理保护</w:t>
      </w:r>
    </w:p>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一是强化生态环境治理力度。大力进行环境综合治理，强化水土综合防治的责任制度，加强对人口集中村屯的污水治理，合理设置新区污水系统服务分区。</w:t>
      </w:r>
      <w:bookmarkStart w:id="129" w:name="_Toc324862884"/>
      <w:bookmarkStart w:id="130" w:name="_Toc321356037"/>
      <w:bookmarkStart w:id="131" w:name="_Toc321864905"/>
      <w:bookmarkStart w:id="132" w:name="_Toc329166138"/>
      <w:bookmarkStart w:id="133" w:name="_Toc332201410"/>
      <w:bookmarkStart w:id="134" w:name="_Toc319943280"/>
      <w:bookmarkStart w:id="135" w:name="_Toc321385414"/>
      <w:bookmarkStart w:id="136" w:name="_Toc295658239"/>
      <w:r>
        <w:rPr>
          <w:rFonts w:hint="default" w:ascii="Times New Roman" w:hAnsi="Times New Roman" w:eastAsia="仿宋_GB2312" w:cs="Times New Roman"/>
          <w:b w:val="0"/>
          <w:bCs w:val="0"/>
        </w:rPr>
        <w:t>二是推进大气噪声污染防治。全面整治工业生产及基础建设排放的大气污染物，强力落实扬尘防控措施，强化机动车尾气治理，严控噪声污染严重的企业，加强交通噪声防治，加强社区噪声管理。三是扎实推进“无废城区”建设。对标国内国际先进标杆，实行减量、处置、执法、管控四轮并驱，争创柳州“无废城区”建设典范。四是着力提高土壤环境质量。</w:t>
      </w:r>
    </w:p>
    <w:bookmarkEnd w:id="129"/>
    <w:bookmarkEnd w:id="130"/>
    <w:bookmarkEnd w:id="131"/>
    <w:bookmarkEnd w:id="132"/>
    <w:bookmarkEnd w:id="133"/>
    <w:bookmarkEnd w:id="134"/>
    <w:bookmarkEnd w:id="135"/>
    <w:bookmarkEnd w:id="136"/>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bookmarkStart w:id="137" w:name="_Toc3472"/>
      <w:bookmarkStart w:id="138" w:name="_Toc11346"/>
      <w:bookmarkStart w:id="139" w:name="_Toc23113"/>
      <w:bookmarkStart w:id="140" w:name="_Toc9654"/>
      <w:bookmarkStart w:id="141" w:name="_Toc102"/>
      <w:bookmarkStart w:id="142" w:name="_Toc75341689"/>
      <w:bookmarkStart w:id="143" w:name="_Toc27583"/>
      <w:bookmarkStart w:id="144" w:name="_Toc8156"/>
      <w:bookmarkStart w:id="145" w:name="_Toc18225"/>
      <w:bookmarkStart w:id="146" w:name="_Toc12821"/>
      <w:bookmarkStart w:id="147" w:name="_Toc31648"/>
      <w:bookmarkStart w:id="148" w:name="_Toc12908"/>
      <w:bookmarkStart w:id="149" w:name="_Toc9228"/>
      <w:bookmarkStart w:id="150" w:name="_Toc26424"/>
      <w:bookmarkStart w:id="151" w:name="_Toc16255"/>
      <w:bookmarkStart w:id="152" w:name="_Toc28532"/>
      <w:bookmarkStart w:id="153" w:name="_Toc6010"/>
      <w:bookmarkStart w:id="154" w:name="_Toc28039"/>
      <w:bookmarkStart w:id="155" w:name="_Toc15274"/>
      <w:bookmarkStart w:id="156" w:name="_Toc16896"/>
      <w:bookmarkStart w:id="157" w:name="_Toc15359"/>
      <w:bookmarkStart w:id="158" w:name="_Toc29687"/>
      <w:r>
        <w:rPr>
          <w:rFonts w:hint="default" w:ascii="Times New Roman" w:hAnsi="Times New Roman" w:eastAsia="仿宋_GB2312" w:cs="Times New Roman"/>
          <w:b w:val="0"/>
          <w:bCs w:val="0"/>
          <w:szCs w:val="32"/>
        </w:rPr>
        <w:t>措施23</w:t>
      </w:r>
      <w:r>
        <w:rPr>
          <w:rFonts w:hint="eastAsia" w:ascii="Times New Roman" w:hAnsi="Times New Roman" w:cs="Times New Roman"/>
          <w:b w:val="0"/>
          <w:bCs w:val="0"/>
          <w:szCs w:val="32"/>
          <w:lang w:eastAsia="zh-CN"/>
        </w:rPr>
        <w:t>：</w:t>
      </w:r>
      <w:r>
        <w:rPr>
          <w:rFonts w:hint="default" w:ascii="Times New Roman" w:hAnsi="Times New Roman" w:eastAsia="仿宋_GB2312" w:cs="Times New Roman"/>
          <w:b w:val="0"/>
          <w:bCs w:val="0"/>
        </w:rPr>
        <w:t>积极推动绿色低碳发展</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Pr>
        <w:pStyle w:val="2"/>
        <w:keepLines w:val="0"/>
        <w:pageBreakBefore w:val="0"/>
        <w:kinsoku/>
        <w:wordWrap/>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一是推广绿色生产方式。严格执行产业园区能耗、用地、环保、安全、质量标准，创建生态工业园区。二是加强建筑节能减排。到2025年，新区新增绿色建筑面积750万平方米，新区党政机关办公楼按二星级规模建设。三是倡导低碳文明生活。倡导低碳生产、低碳生活和低碳消费方式，开展“低碳机关”“低碳学校”“低碳园区”“低碳企业”和“低碳社区”等创建活动。四是打造节水标杆城区。“十四五”期间，节水型小区覆盖率达到30%以上。五是推动新区智慧环保建设。实现对全区污染源排放、环境质量的一体化实时感知，强化生态环境问题精准监管和协同处置的能力。</w:t>
      </w:r>
    </w:p>
    <w:p>
      <w:pPr>
        <w:keepLines w:val="0"/>
        <w:pageBreakBefore w:val="0"/>
        <w:kinsoku/>
        <w:wordWrap/>
        <w:topLinePunct w:val="0"/>
        <w:autoSpaceDE/>
        <w:autoSpaceDN/>
        <w:bidi w:val="0"/>
        <w:snapToGrid/>
        <w:spacing w:line="560" w:lineRule="exact"/>
        <w:ind w:firstLine="640" w:firstLineChars="200"/>
        <w:jc w:val="both"/>
        <w:textAlignment w:val="auto"/>
        <w:rPr>
          <w:rFonts w:hint="eastAsia" w:ascii="仿宋_GB2312" w:eastAsia="仿宋_GB2312" w:cs="仿宋_GB2312"/>
          <w:szCs w:val="32"/>
        </w:rPr>
      </w:pPr>
      <w:r>
        <w:rPr>
          <w:rFonts w:hint="default" w:ascii="Times New Roman" w:hAnsi="Times New Roman" w:eastAsia="仿宋_GB2312" w:cs="Times New Roman"/>
          <w:b w:val="0"/>
          <w:bCs w:val="0"/>
          <w:szCs w:val="32"/>
        </w:rPr>
        <w:t>为保证规划总体目标和主要任务的顺利完成，专门提出第九章：保障措施与机制。要加党的核心领导作用，强化规划实施组织保障，加强规划衔接和细化，强化规划实施的重大项目支撑、重大政策协同和重大举措落实。《柳东新区国民经济和社会发展第十四个五年规划和2035年远景目标纲要》具有法律效力。要加强规划组织实施，强化规划督查考核机制，举全区之力，凝聚全体市民智慧，完成未来五年的各项任务，实现“十四五”规划的宏伟蓝图。</w:t>
      </w:r>
    </w:p>
    <w:p/>
    <w:sectPr>
      <w:footerReference r:id="rId3" w:type="default"/>
      <w:pgSz w:w="11906" w:h="16838"/>
      <w:pgMar w:top="1984" w:right="1587"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mNkODRhYzUzMTRjMDBkNTE5MzVlNGVlZDc2ODcifQ=="/>
  </w:docVars>
  <w:rsids>
    <w:rsidRoot w:val="00AB2F86"/>
    <w:rsid w:val="00001542"/>
    <w:rsid w:val="00002656"/>
    <w:rsid w:val="000053D8"/>
    <w:rsid w:val="00012E72"/>
    <w:rsid w:val="000429EB"/>
    <w:rsid w:val="00064EDC"/>
    <w:rsid w:val="000675AB"/>
    <w:rsid w:val="000814AA"/>
    <w:rsid w:val="000824DE"/>
    <w:rsid w:val="00095800"/>
    <w:rsid w:val="00095AE0"/>
    <w:rsid w:val="000A352A"/>
    <w:rsid w:val="000A3B89"/>
    <w:rsid w:val="000A3CF6"/>
    <w:rsid w:val="000B12E4"/>
    <w:rsid w:val="000B52BF"/>
    <w:rsid w:val="000B5338"/>
    <w:rsid w:val="000C4EA6"/>
    <w:rsid w:val="000D1EB3"/>
    <w:rsid w:val="000D70BC"/>
    <w:rsid w:val="000E4158"/>
    <w:rsid w:val="000F24D5"/>
    <w:rsid w:val="000F49B2"/>
    <w:rsid w:val="000F539F"/>
    <w:rsid w:val="000F5CA7"/>
    <w:rsid w:val="000F6A9F"/>
    <w:rsid w:val="000F791A"/>
    <w:rsid w:val="001017C9"/>
    <w:rsid w:val="00104130"/>
    <w:rsid w:val="00121C44"/>
    <w:rsid w:val="00124271"/>
    <w:rsid w:val="00137FF8"/>
    <w:rsid w:val="00140026"/>
    <w:rsid w:val="001507E6"/>
    <w:rsid w:val="00152364"/>
    <w:rsid w:val="0015474A"/>
    <w:rsid w:val="001576A8"/>
    <w:rsid w:val="001612FA"/>
    <w:rsid w:val="0016146F"/>
    <w:rsid w:val="00174F59"/>
    <w:rsid w:val="00183AB8"/>
    <w:rsid w:val="00184F2B"/>
    <w:rsid w:val="001860AC"/>
    <w:rsid w:val="00194EC4"/>
    <w:rsid w:val="001A55F2"/>
    <w:rsid w:val="001B4900"/>
    <w:rsid w:val="001B5A4F"/>
    <w:rsid w:val="001B7427"/>
    <w:rsid w:val="001C1726"/>
    <w:rsid w:val="001C2C92"/>
    <w:rsid w:val="001D2158"/>
    <w:rsid w:val="001D5DAE"/>
    <w:rsid w:val="001E64D5"/>
    <w:rsid w:val="001E67D8"/>
    <w:rsid w:val="001E7729"/>
    <w:rsid w:val="001F15A7"/>
    <w:rsid w:val="001F2524"/>
    <w:rsid w:val="001F7AC3"/>
    <w:rsid w:val="001F7BA3"/>
    <w:rsid w:val="002003E7"/>
    <w:rsid w:val="00203AF4"/>
    <w:rsid w:val="002057FA"/>
    <w:rsid w:val="00206384"/>
    <w:rsid w:val="00206A71"/>
    <w:rsid w:val="002145A2"/>
    <w:rsid w:val="0021554F"/>
    <w:rsid w:val="002155CB"/>
    <w:rsid w:val="00222D92"/>
    <w:rsid w:val="00227D15"/>
    <w:rsid w:val="00232D5E"/>
    <w:rsid w:val="00235B22"/>
    <w:rsid w:val="00235BF1"/>
    <w:rsid w:val="002507D6"/>
    <w:rsid w:val="002520FF"/>
    <w:rsid w:val="002576C1"/>
    <w:rsid w:val="0026089A"/>
    <w:rsid w:val="002639DB"/>
    <w:rsid w:val="00265512"/>
    <w:rsid w:val="00265F0F"/>
    <w:rsid w:val="0027085B"/>
    <w:rsid w:val="00273FAC"/>
    <w:rsid w:val="002775BB"/>
    <w:rsid w:val="00282B7B"/>
    <w:rsid w:val="00285185"/>
    <w:rsid w:val="00292F4B"/>
    <w:rsid w:val="002941E2"/>
    <w:rsid w:val="002A44D4"/>
    <w:rsid w:val="002B0DC7"/>
    <w:rsid w:val="002B7DBA"/>
    <w:rsid w:val="002C3529"/>
    <w:rsid w:val="002D01AC"/>
    <w:rsid w:val="002D205A"/>
    <w:rsid w:val="002D21B0"/>
    <w:rsid w:val="002D5064"/>
    <w:rsid w:val="002D6A06"/>
    <w:rsid w:val="002E2015"/>
    <w:rsid w:val="002E2C5C"/>
    <w:rsid w:val="002F3662"/>
    <w:rsid w:val="002F6C97"/>
    <w:rsid w:val="002F7B34"/>
    <w:rsid w:val="00303031"/>
    <w:rsid w:val="00306A49"/>
    <w:rsid w:val="00315738"/>
    <w:rsid w:val="0032013C"/>
    <w:rsid w:val="00321D73"/>
    <w:rsid w:val="003255F6"/>
    <w:rsid w:val="003264C9"/>
    <w:rsid w:val="00331B3D"/>
    <w:rsid w:val="0035234E"/>
    <w:rsid w:val="00386925"/>
    <w:rsid w:val="00386E48"/>
    <w:rsid w:val="00390179"/>
    <w:rsid w:val="003904FF"/>
    <w:rsid w:val="003B02D5"/>
    <w:rsid w:val="003B03E8"/>
    <w:rsid w:val="003C4C3F"/>
    <w:rsid w:val="003C6D01"/>
    <w:rsid w:val="003D5614"/>
    <w:rsid w:val="003D7BF5"/>
    <w:rsid w:val="003F13CB"/>
    <w:rsid w:val="003F26D9"/>
    <w:rsid w:val="003F48F7"/>
    <w:rsid w:val="003F57A8"/>
    <w:rsid w:val="0040752C"/>
    <w:rsid w:val="00412F68"/>
    <w:rsid w:val="00413B97"/>
    <w:rsid w:val="00416268"/>
    <w:rsid w:val="004253E5"/>
    <w:rsid w:val="0043464D"/>
    <w:rsid w:val="00444406"/>
    <w:rsid w:val="0044458B"/>
    <w:rsid w:val="004445E3"/>
    <w:rsid w:val="00445A30"/>
    <w:rsid w:val="00450870"/>
    <w:rsid w:val="004527BA"/>
    <w:rsid w:val="00455343"/>
    <w:rsid w:val="00455458"/>
    <w:rsid w:val="00463A0D"/>
    <w:rsid w:val="00465886"/>
    <w:rsid w:val="00473F87"/>
    <w:rsid w:val="004815B8"/>
    <w:rsid w:val="0048485B"/>
    <w:rsid w:val="00491CEA"/>
    <w:rsid w:val="004A00B7"/>
    <w:rsid w:val="004C1183"/>
    <w:rsid w:val="004C17C8"/>
    <w:rsid w:val="004C1AFF"/>
    <w:rsid w:val="004C2F82"/>
    <w:rsid w:val="004C5CC8"/>
    <w:rsid w:val="004D1598"/>
    <w:rsid w:val="004F417B"/>
    <w:rsid w:val="00514FDF"/>
    <w:rsid w:val="00530FC4"/>
    <w:rsid w:val="00537688"/>
    <w:rsid w:val="0054038A"/>
    <w:rsid w:val="00544920"/>
    <w:rsid w:val="00551D46"/>
    <w:rsid w:val="00556ECD"/>
    <w:rsid w:val="00560BF9"/>
    <w:rsid w:val="00563093"/>
    <w:rsid w:val="00563D65"/>
    <w:rsid w:val="00572255"/>
    <w:rsid w:val="005809A8"/>
    <w:rsid w:val="00586719"/>
    <w:rsid w:val="0059035B"/>
    <w:rsid w:val="0059082B"/>
    <w:rsid w:val="00591DB1"/>
    <w:rsid w:val="00592E0A"/>
    <w:rsid w:val="005A577F"/>
    <w:rsid w:val="005B51E8"/>
    <w:rsid w:val="005C03D7"/>
    <w:rsid w:val="005C2437"/>
    <w:rsid w:val="005C46CE"/>
    <w:rsid w:val="005C6B76"/>
    <w:rsid w:val="005C6BEC"/>
    <w:rsid w:val="005C7EF5"/>
    <w:rsid w:val="005D025C"/>
    <w:rsid w:val="005D40DE"/>
    <w:rsid w:val="005D488D"/>
    <w:rsid w:val="005D4D50"/>
    <w:rsid w:val="005D6373"/>
    <w:rsid w:val="005D644D"/>
    <w:rsid w:val="005E3B3D"/>
    <w:rsid w:val="005E4C56"/>
    <w:rsid w:val="005E5451"/>
    <w:rsid w:val="005E5481"/>
    <w:rsid w:val="005E7A5E"/>
    <w:rsid w:val="005F0412"/>
    <w:rsid w:val="005F346E"/>
    <w:rsid w:val="005F4D3E"/>
    <w:rsid w:val="006024A5"/>
    <w:rsid w:val="00612C40"/>
    <w:rsid w:val="00614E98"/>
    <w:rsid w:val="00616352"/>
    <w:rsid w:val="00616400"/>
    <w:rsid w:val="0061707B"/>
    <w:rsid w:val="00617858"/>
    <w:rsid w:val="00617F88"/>
    <w:rsid w:val="00623B0D"/>
    <w:rsid w:val="00625D0A"/>
    <w:rsid w:val="0063113A"/>
    <w:rsid w:val="006336BE"/>
    <w:rsid w:val="006412EE"/>
    <w:rsid w:val="00643939"/>
    <w:rsid w:val="00643C54"/>
    <w:rsid w:val="00644F0F"/>
    <w:rsid w:val="00646C2C"/>
    <w:rsid w:val="00650C39"/>
    <w:rsid w:val="00656490"/>
    <w:rsid w:val="006571AB"/>
    <w:rsid w:val="006612B3"/>
    <w:rsid w:val="00667C33"/>
    <w:rsid w:val="00670327"/>
    <w:rsid w:val="006743C1"/>
    <w:rsid w:val="00674876"/>
    <w:rsid w:val="006749BF"/>
    <w:rsid w:val="00684ACC"/>
    <w:rsid w:val="006B3578"/>
    <w:rsid w:val="006C2CDE"/>
    <w:rsid w:val="006C3C12"/>
    <w:rsid w:val="006D09A6"/>
    <w:rsid w:val="006D458A"/>
    <w:rsid w:val="006D5732"/>
    <w:rsid w:val="006E3711"/>
    <w:rsid w:val="006F36A9"/>
    <w:rsid w:val="006F5E13"/>
    <w:rsid w:val="00700457"/>
    <w:rsid w:val="00700844"/>
    <w:rsid w:val="00711450"/>
    <w:rsid w:val="007145DC"/>
    <w:rsid w:val="00717F9E"/>
    <w:rsid w:val="00724D58"/>
    <w:rsid w:val="007270E9"/>
    <w:rsid w:val="00737EE3"/>
    <w:rsid w:val="00751B93"/>
    <w:rsid w:val="00753E77"/>
    <w:rsid w:val="00756B2B"/>
    <w:rsid w:val="0076290E"/>
    <w:rsid w:val="00764E11"/>
    <w:rsid w:val="007752F5"/>
    <w:rsid w:val="007802B0"/>
    <w:rsid w:val="0078481C"/>
    <w:rsid w:val="00786AA1"/>
    <w:rsid w:val="007914D4"/>
    <w:rsid w:val="007B7EC3"/>
    <w:rsid w:val="007C78D5"/>
    <w:rsid w:val="007E4908"/>
    <w:rsid w:val="007F481E"/>
    <w:rsid w:val="007F4EB7"/>
    <w:rsid w:val="008008CF"/>
    <w:rsid w:val="008014BF"/>
    <w:rsid w:val="00805439"/>
    <w:rsid w:val="00810980"/>
    <w:rsid w:val="00811987"/>
    <w:rsid w:val="00824F84"/>
    <w:rsid w:val="008421EA"/>
    <w:rsid w:val="00846853"/>
    <w:rsid w:val="0085428D"/>
    <w:rsid w:val="00866081"/>
    <w:rsid w:val="008706FB"/>
    <w:rsid w:val="00871776"/>
    <w:rsid w:val="008748EF"/>
    <w:rsid w:val="00883F1A"/>
    <w:rsid w:val="008877DE"/>
    <w:rsid w:val="008C32DA"/>
    <w:rsid w:val="008C373B"/>
    <w:rsid w:val="008C4ECB"/>
    <w:rsid w:val="008C51ED"/>
    <w:rsid w:val="008D0999"/>
    <w:rsid w:val="008E17AB"/>
    <w:rsid w:val="008E1D16"/>
    <w:rsid w:val="008E4622"/>
    <w:rsid w:val="008F20E9"/>
    <w:rsid w:val="008F657E"/>
    <w:rsid w:val="008F7925"/>
    <w:rsid w:val="009063B5"/>
    <w:rsid w:val="00906652"/>
    <w:rsid w:val="00906924"/>
    <w:rsid w:val="00913D2C"/>
    <w:rsid w:val="009258AD"/>
    <w:rsid w:val="00926D06"/>
    <w:rsid w:val="00933610"/>
    <w:rsid w:val="00937B3D"/>
    <w:rsid w:val="0094082F"/>
    <w:rsid w:val="0095462F"/>
    <w:rsid w:val="00956234"/>
    <w:rsid w:val="0096361A"/>
    <w:rsid w:val="009639E4"/>
    <w:rsid w:val="00971831"/>
    <w:rsid w:val="00971F27"/>
    <w:rsid w:val="0097412C"/>
    <w:rsid w:val="009802E0"/>
    <w:rsid w:val="00980F09"/>
    <w:rsid w:val="00985249"/>
    <w:rsid w:val="00987FD8"/>
    <w:rsid w:val="00994FA7"/>
    <w:rsid w:val="009971C7"/>
    <w:rsid w:val="00997994"/>
    <w:rsid w:val="009B1C78"/>
    <w:rsid w:val="009B1DCC"/>
    <w:rsid w:val="009B48C4"/>
    <w:rsid w:val="009D0FA8"/>
    <w:rsid w:val="009D10C9"/>
    <w:rsid w:val="009D2DBF"/>
    <w:rsid w:val="009D6923"/>
    <w:rsid w:val="009D6CBB"/>
    <w:rsid w:val="009E3FAB"/>
    <w:rsid w:val="009E67E3"/>
    <w:rsid w:val="009E6F74"/>
    <w:rsid w:val="009F6F28"/>
    <w:rsid w:val="00A139EB"/>
    <w:rsid w:val="00A179CE"/>
    <w:rsid w:val="00A34BCC"/>
    <w:rsid w:val="00A34E37"/>
    <w:rsid w:val="00A357E2"/>
    <w:rsid w:val="00A45A38"/>
    <w:rsid w:val="00A47A59"/>
    <w:rsid w:val="00A56E71"/>
    <w:rsid w:val="00A60ACF"/>
    <w:rsid w:val="00A62A14"/>
    <w:rsid w:val="00A63D8F"/>
    <w:rsid w:val="00A6536E"/>
    <w:rsid w:val="00A6645B"/>
    <w:rsid w:val="00A7155F"/>
    <w:rsid w:val="00A71C67"/>
    <w:rsid w:val="00A76D0C"/>
    <w:rsid w:val="00A812BF"/>
    <w:rsid w:val="00A838B4"/>
    <w:rsid w:val="00A8739C"/>
    <w:rsid w:val="00A92863"/>
    <w:rsid w:val="00AA1ECD"/>
    <w:rsid w:val="00AA5EDE"/>
    <w:rsid w:val="00AB2F86"/>
    <w:rsid w:val="00AB5365"/>
    <w:rsid w:val="00AC057B"/>
    <w:rsid w:val="00AC2C91"/>
    <w:rsid w:val="00AC5C4E"/>
    <w:rsid w:val="00AC5F3B"/>
    <w:rsid w:val="00AC68F2"/>
    <w:rsid w:val="00AC6BBB"/>
    <w:rsid w:val="00AD0E7D"/>
    <w:rsid w:val="00AD194B"/>
    <w:rsid w:val="00AD4D6F"/>
    <w:rsid w:val="00AD6E7E"/>
    <w:rsid w:val="00AF2302"/>
    <w:rsid w:val="00AF49F1"/>
    <w:rsid w:val="00B03453"/>
    <w:rsid w:val="00B22803"/>
    <w:rsid w:val="00B32964"/>
    <w:rsid w:val="00B40CE8"/>
    <w:rsid w:val="00B41004"/>
    <w:rsid w:val="00B42149"/>
    <w:rsid w:val="00B43892"/>
    <w:rsid w:val="00B54A57"/>
    <w:rsid w:val="00B5603A"/>
    <w:rsid w:val="00B60AED"/>
    <w:rsid w:val="00B67EDD"/>
    <w:rsid w:val="00B7008F"/>
    <w:rsid w:val="00B728FE"/>
    <w:rsid w:val="00B77157"/>
    <w:rsid w:val="00B77334"/>
    <w:rsid w:val="00B83F52"/>
    <w:rsid w:val="00B84F37"/>
    <w:rsid w:val="00B90703"/>
    <w:rsid w:val="00B91FCC"/>
    <w:rsid w:val="00BA0F93"/>
    <w:rsid w:val="00BB054B"/>
    <w:rsid w:val="00BD205E"/>
    <w:rsid w:val="00BD5CFD"/>
    <w:rsid w:val="00BD6320"/>
    <w:rsid w:val="00BD7944"/>
    <w:rsid w:val="00BE0F35"/>
    <w:rsid w:val="00BE135D"/>
    <w:rsid w:val="00BE673F"/>
    <w:rsid w:val="00C05E9A"/>
    <w:rsid w:val="00C179A9"/>
    <w:rsid w:val="00C20CD3"/>
    <w:rsid w:val="00C302C4"/>
    <w:rsid w:val="00C3099C"/>
    <w:rsid w:val="00C377CF"/>
    <w:rsid w:val="00C40691"/>
    <w:rsid w:val="00C47314"/>
    <w:rsid w:val="00C50E97"/>
    <w:rsid w:val="00C53FED"/>
    <w:rsid w:val="00C66F67"/>
    <w:rsid w:val="00C674F7"/>
    <w:rsid w:val="00C8027F"/>
    <w:rsid w:val="00C87E52"/>
    <w:rsid w:val="00C90272"/>
    <w:rsid w:val="00C91E6C"/>
    <w:rsid w:val="00C9467B"/>
    <w:rsid w:val="00C94E2F"/>
    <w:rsid w:val="00CB3C03"/>
    <w:rsid w:val="00CC067A"/>
    <w:rsid w:val="00CE5AE8"/>
    <w:rsid w:val="00CE5F2D"/>
    <w:rsid w:val="00CF6D9F"/>
    <w:rsid w:val="00D010BD"/>
    <w:rsid w:val="00D0491A"/>
    <w:rsid w:val="00D055EB"/>
    <w:rsid w:val="00D06583"/>
    <w:rsid w:val="00D213F7"/>
    <w:rsid w:val="00D23422"/>
    <w:rsid w:val="00D255CF"/>
    <w:rsid w:val="00D27529"/>
    <w:rsid w:val="00D33A58"/>
    <w:rsid w:val="00D3571A"/>
    <w:rsid w:val="00D36C2D"/>
    <w:rsid w:val="00D41BD0"/>
    <w:rsid w:val="00D530C1"/>
    <w:rsid w:val="00D54D12"/>
    <w:rsid w:val="00D675B5"/>
    <w:rsid w:val="00D679A2"/>
    <w:rsid w:val="00D73A50"/>
    <w:rsid w:val="00D80AC2"/>
    <w:rsid w:val="00D82BB8"/>
    <w:rsid w:val="00D849DA"/>
    <w:rsid w:val="00D91A22"/>
    <w:rsid w:val="00DA27D2"/>
    <w:rsid w:val="00DB65A7"/>
    <w:rsid w:val="00DC6F4C"/>
    <w:rsid w:val="00DC7189"/>
    <w:rsid w:val="00DD21DB"/>
    <w:rsid w:val="00DE6BC7"/>
    <w:rsid w:val="00DF3C8E"/>
    <w:rsid w:val="00E00B57"/>
    <w:rsid w:val="00E0346A"/>
    <w:rsid w:val="00E04E4D"/>
    <w:rsid w:val="00E13E4E"/>
    <w:rsid w:val="00E16F3E"/>
    <w:rsid w:val="00E27753"/>
    <w:rsid w:val="00E325DF"/>
    <w:rsid w:val="00E32C01"/>
    <w:rsid w:val="00E36194"/>
    <w:rsid w:val="00E37695"/>
    <w:rsid w:val="00E421F2"/>
    <w:rsid w:val="00E50856"/>
    <w:rsid w:val="00E616D4"/>
    <w:rsid w:val="00E62381"/>
    <w:rsid w:val="00E650F0"/>
    <w:rsid w:val="00E83CBA"/>
    <w:rsid w:val="00E86C92"/>
    <w:rsid w:val="00E94EF3"/>
    <w:rsid w:val="00E95332"/>
    <w:rsid w:val="00E9682D"/>
    <w:rsid w:val="00EA011F"/>
    <w:rsid w:val="00EA17A8"/>
    <w:rsid w:val="00EA1EDA"/>
    <w:rsid w:val="00EA2ED3"/>
    <w:rsid w:val="00EA7D68"/>
    <w:rsid w:val="00EB5D98"/>
    <w:rsid w:val="00EB6228"/>
    <w:rsid w:val="00EC2847"/>
    <w:rsid w:val="00EC54D9"/>
    <w:rsid w:val="00EC5F4A"/>
    <w:rsid w:val="00ED6802"/>
    <w:rsid w:val="00ED7640"/>
    <w:rsid w:val="00EE219E"/>
    <w:rsid w:val="00EE2BC1"/>
    <w:rsid w:val="00EE69DE"/>
    <w:rsid w:val="00EF5D89"/>
    <w:rsid w:val="00F00C88"/>
    <w:rsid w:val="00F073A7"/>
    <w:rsid w:val="00F10F21"/>
    <w:rsid w:val="00F12E97"/>
    <w:rsid w:val="00F1389B"/>
    <w:rsid w:val="00F154B6"/>
    <w:rsid w:val="00F21AA7"/>
    <w:rsid w:val="00F26A8B"/>
    <w:rsid w:val="00F345E4"/>
    <w:rsid w:val="00F4159A"/>
    <w:rsid w:val="00F4661D"/>
    <w:rsid w:val="00F53732"/>
    <w:rsid w:val="00F556F4"/>
    <w:rsid w:val="00F616DC"/>
    <w:rsid w:val="00F64C19"/>
    <w:rsid w:val="00F67539"/>
    <w:rsid w:val="00F74774"/>
    <w:rsid w:val="00F76A72"/>
    <w:rsid w:val="00F77D51"/>
    <w:rsid w:val="00F80382"/>
    <w:rsid w:val="00F8271E"/>
    <w:rsid w:val="00F83941"/>
    <w:rsid w:val="00F85227"/>
    <w:rsid w:val="00F862C0"/>
    <w:rsid w:val="00F9163F"/>
    <w:rsid w:val="00F95C6F"/>
    <w:rsid w:val="00F96732"/>
    <w:rsid w:val="00FA3274"/>
    <w:rsid w:val="00FB0331"/>
    <w:rsid w:val="00FB62CB"/>
    <w:rsid w:val="00FC08A4"/>
    <w:rsid w:val="00FC155A"/>
    <w:rsid w:val="00FC6528"/>
    <w:rsid w:val="00FC7D65"/>
    <w:rsid w:val="00FC7DE4"/>
    <w:rsid w:val="00FD23FD"/>
    <w:rsid w:val="00FD3AA2"/>
    <w:rsid w:val="00FE19A1"/>
    <w:rsid w:val="00FE2B66"/>
    <w:rsid w:val="00FF0149"/>
    <w:rsid w:val="00FF6B0F"/>
    <w:rsid w:val="08E566B1"/>
    <w:rsid w:val="0C3B3D31"/>
    <w:rsid w:val="0D6E0360"/>
    <w:rsid w:val="0DA5640A"/>
    <w:rsid w:val="0DFB0488"/>
    <w:rsid w:val="182057A4"/>
    <w:rsid w:val="1DB46452"/>
    <w:rsid w:val="1EC938C3"/>
    <w:rsid w:val="27261707"/>
    <w:rsid w:val="282461B2"/>
    <w:rsid w:val="2D321245"/>
    <w:rsid w:val="2E7B5A3A"/>
    <w:rsid w:val="318977A6"/>
    <w:rsid w:val="332E6789"/>
    <w:rsid w:val="33A008D4"/>
    <w:rsid w:val="340E6E70"/>
    <w:rsid w:val="37203FE6"/>
    <w:rsid w:val="3D533C1E"/>
    <w:rsid w:val="3D90072E"/>
    <w:rsid w:val="486869F1"/>
    <w:rsid w:val="49FC655C"/>
    <w:rsid w:val="512A7D19"/>
    <w:rsid w:val="52474831"/>
    <w:rsid w:val="623328C6"/>
    <w:rsid w:val="62784174"/>
    <w:rsid w:val="763F7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rFonts w:eastAsia="仿宋_GB2312"/>
      <w:b/>
      <w:bCs/>
      <w:kern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unhideWhenUsed/>
    <w:qFormat/>
    <w:uiPriority w:val="9"/>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ascii="Times New Roman" w:hAnsi="Times New Roman" w:eastAsia="仿宋_GB2312"/>
    </w:rPr>
  </w:style>
  <w:style w:type="paragraph" w:styleId="6">
    <w:name w:val="Document Map"/>
    <w:basedOn w:val="1"/>
    <w:link w:val="21"/>
    <w:semiHidden/>
    <w:unhideWhenUsed/>
    <w:qFormat/>
    <w:uiPriority w:val="99"/>
    <w:rPr>
      <w:rFonts w:ascii="宋体" w:eastAsia="宋体"/>
      <w:sz w:val="18"/>
      <w:szCs w:val="18"/>
    </w:rPr>
  </w:style>
  <w:style w:type="paragraph" w:styleId="7">
    <w:name w:val="Body Text"/>
    <w:basedOn w:val="1"/>
    <w:next w:val="1"/>
    <w:qFormat/>
    <w:uiPriority w:val="0"/>
    <w:pPr>
      <w:spacing w:after="120"/>
    </w:pPr>
    <w:rPr>
      <w:kern w:val="0"/>
    </w:rPr>
  </w:style>
  <w:style w:type="paragraph" w:styleId="8">
    <w:name w:val="Plain Text"/>
    <w:basedOn w:val="1"/>
    <w:unhideWhenUsed/>
    <w:qFormat/>
    <w:uiPriority w:val="99"/>
    <w:rPr>
      <w:rFonts w:ascii="宋体" w:hAnsi="Courier New" w:eastAsia="宋体" w:cs="Courier New"/>
      <w:szCs w:val="21"/>
    </w:rPr>
  </w:style>
  <w:style w:type="paragraph" w:styleId="9">
    <w:name w:val="Balloon Text"/>
    <w:basedOn w:val="1"/>
    <w:link w:val="23"/>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6">
    <w:name w:val="Hyperlink"/>
    <w:basedOn w:val="15"/>
    <w:unhideWhenUsed/>
    <w:qFormat/>
    <w:uiPriority w:val="0"/>
    <w:rPr>
      <w:color w:val="000000"/>
      <w:u w:val="none"/>
    </w:r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标题 1 Char"/>
    <w:basedOn w:val="15"/>
    <w:link w:val="3"/>
    <w:qFormat/>
    <w:uiPriority w:val="9"/>
    <w:rPr>
      <w:rFonts w:eastAsia="仿宋_GB2312"/>
      <w:b/>
      <w:bCs/>
      <w:kern w:val="44"/>
      <w:szCs w:val="44"/>
    </w:rPr>
  </w:style>
  <w:style w:type="character" w:customStyle="1" w:styleId="20">
    <w:name w:val="标题 2 Char"/>
    <w:basedOn w:val="15"/>
    <w:link w:val="4"/>
    <w:qFormat/>
    <w:uiPriority w:val="9"/>
    <w:rPr>
      <w:rFonts w:asciiTheme="majorHAnsi" w:hAnsiTheme="majorHAnsi" w:eastAsiaTheme="majorEastAsia" w:cstheme="majorBidi"/>
      <w:b/>
      <w:bCs/>
    </w:rPr>
  </w:style>
  <w:style w:type="character" w:customStyle="1" w:styleId="21">
    <w:name w:val="文档结构图 Char"/>
    <w:basedOn w:val="15"/>
    <w:link w:val="6"/>
    <w:semiHidden/>
    <w:qFormat/>
    <w:uiPriority w:val="99"/>
    <w:rPr>
      <w:rFonts w:ascii="宋体" w:eastAsia="宋体"/>
      <w:sz w:val="18"/>
      <w:szCs w:val="18"/>
    </w:rPr>
  </w:style>
  <w:style w:type="paragraph" w:styleId="22">
    <w:name w:val="List Paragraph"/>
    <w:basedOn w:val="1"/>
    <w:qFormat/>
    <w:uiPriority w:val="34"/>
    <w:pPr>
      <w:ind w:firstLine="420" w:firstLineChars="200"/>
    </w:pPr>
  </w:style>
  <w:style w:type="character" w:customStyle="1" w:styleId="23">
    <w:name w:val="批注框文本 Char"/>
    <w:basedOn w:val="15"/>
    <w:link w:val="9"/>
    <w:semiHidden/>
    <w:qFormat/>
    <w:uiPriority w:val="99"/>
    <w:rPr>
      <w:sz w:val="18"/>
      <w:szCs w:val="18"/>
    </w:rPr>
  </w:style>
  <w:style w:type="character" w:customStyle="1" w:styleId="24">
    <w:name w:val="Body text|1_"/>
    <w:basedOn w:val="15"/>
    <w:link w:val="25"/>
    <w:qFormat/>
    <w:uiPriority w:val="0"/>
    <w:rPr>
      <w:rFonts w:ascii="宋体" w:hAnsi="宋体" w:eastAsia="宋体" w:cs="宋体"/>
      <w:lang w:val="zh-TW" w:eastAsia="zh-TW" w:bidi="zh-TW"/>
    </w:rPr>
  </w:style>
  <w:style w:type="paragraph" w:customStyle="1" w:styleId="25">
    <w:name w:val="Body text|1"/>
    <w:basedOn w:val="1"/>
    <w:link w:val="24"/>
    <w:qFormat/>
    <w:uiPriority w:val="0"/>
    <w:pPr>
      <w:spacing w:line="360" w:lineRule="auto"/>
      <w:ind w:firstLine="400"/>
      <w:jc w:val="left"/>
    </w:pPr>
    <w:rPr>
      <w:rFonts w:ascii="宋体" w:hAnsi="宋体" w:eastAsia="宋体" w:cs="宋体"/>
      <w:szCs w:val="32"/>
      <w:lang w:val="zh-TW" w:eastAsia="zh-TW" w:bidi="zh-TW"/>
    </w:rPr>
  </w:style>
  <w:style w:type="paragraph" w:customStyle="1" w:styleId="26">
    <w:name w:val="样式 纯文本 + 黑体 首行缩进:  2 字符 Char"/>
    <w:basedOn w:val="8"/>
    <w:qFormat/>
    <w:uiPriority w:val="0"/>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11362</Words>
  <Characters>11508</Characters>
  <Lines>83</Lines>
  <Paragraphs>23</Paragraphs>
  <TotalTime>1</TotalTime>
  <ScaleCrop>false</ScaleCrop>
  <LinksUpToDate>false</LinksUpToDate>
  <CharactersWithSpaces>11511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2021-01-10T17:26:00Z</dcterms:created>
  <dc:creator>lenovo</dc:creator>
  <cp:lastModifiedBy>BroCColi</cp:lastModifiedBy>
  <cp:lastPrinted>2016-02-22T07:58:00Z</cp:lastPrinted>
  <dcterms:modified xsi:type="dcterms:W3CDTF">2024-12-10T07:19:28Z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311605DF99BD44028BD5F7B080D073AA</vt:lpwstr>
  </property>
</Properties>
</file>