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柳东新区管理委员会（柳州高新技术产业开发区管理委员会）2021年度预算执行和其他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财政财务收支审计查出问题整改情况</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（2022年11月15</w:t>
      </w:r>
      <w:bookmarkStart w:id="0" w:name="_GoBack"/>
      <w:bookmarkEnd w:id="0"/>
      <w:r>
        <w:rPr>
          <w:rFonts w:hint="eastAsia" w:ascii="仿宋_GB2312" w:hAnsi="仿宋_GB2312" w:eastAsia="仿宋_GB2312" w:cs="仿宋_GB2312"/>
          <w:sz w:val="32"/>
          <w:szCs w:val="32"/>
          <w:lang w:val="en-US" w:eastAsia="zh-CN"/>
        </w:rPr>
        <w:t>日公告）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仿宋_GB2312" w:hAnsi="仿宋_GB2312" w:eastAsia="仿宋_GB2312" w:cs="仿宋_GB2312"/>
          <w:sz w:val="32"/>
          <w:szCs w:val="40"/>
          <w:lang w:val="en-US" w:eastAsia="zh-CN"/>
        </w:rPr>
        <w:t>柳州市审计局于2022年3月14日至5月31日派出审计组对新区2021年度预算执行和其他财政财务收支情况进行审计，并将审计情况向我委反馈。针对审计反馈问题，管委会高度重视，多措并举推进整改工作：一是提高政治站位，切实发挥政府推动审计整改工作的抓手作用，立即组织财政局及各相关部门开展审计整改工作；二是明确责任分工，全面梳理整改事项，认真落实审计整改主体责任，</w:t>
      </w:r>
      <w:r>
        <w:rPr>
          <w:rFonts w:hint="eastAsia" w:ascii="Times New Roman" w:hAnsi="Times New Roman" w:eastAsia="仿宋_GB2312"/>
          <w:sz w:val="32"/>
          <w:lang w:val="en-US" w:eastAsia="zh-CN"/>
        </w:rPr>
        <w:t>明确整改任务目标和工作要求；三是坚持问题导向，用好审计成果推动问题解决，坚持清单化推进，对难点问题认真分析原因，全力攻坚突破，不折不扣完成各项整改任务，及时报送整改结果；四是建立长效机制，健全完善制度体系。截至2022年10月，柳东新区已完成问题整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lang w:val="en-US" w:eastAsia="zh-CN"/>
        </w:rPr>
      </w:pPr>
      <w:r>
        <w:rPr>
          <w:rFonts w:hint="eastAsia" w:ascii="黑体" w:hAnsi="黑体" w:eastAsia="黑体" w:cs="黑体"/>
          <w:sz w:val="32"/>
          <w:lang w:val="en-US" w:eastAsia="zh-CN"/>
        </w:rPr>
        <w:t>财政预算管理方面</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eastAsia"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政府采购预算编制不够完善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针对审计提出2021年柳东新区社会事务局、雒容镇第二中学、雒容中学年初申报固定资产采购预算时部分采购预算未同时编入政府采购预算，少编政府采购预算问题，新区目前已完成整改。一是加强政府采购预算编制管理。督促各预算单位严格执行《中华人民共和国政府采购法》及其实施条例等政府采购法律法规，属于政府采购的项目必须编制政府采购预算，做到“应编尽编、应采尽采”。通过年度预算调整要求各部门完善年度政府采购预算，将年初预算未列入或本年度新增项目应进行政府采购的同步填报政府采购预算调整表。二是加强政府采购预算执行管理。规范部门政府采购行为，严禁无预算超预算开展政府采购。加强工作联动，将资金管理与政府采购管理相结合，加强部门政府采购资金来源审核，未落实资金来源或未编制政府采购预算的，不得进行政府采购。</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部分项目未同步设置绩效目标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针对审计提出2021年度柳东新区管理委员会财政局、应急局、建设局、社会事务局4个部门10个项目预算在编报预算时未同步设置绩效目标问题，新区目前已完成整改。一是</w:t>
      </w:r>
      <w:r>
        <w:rPr>
          <w:rFonts w:hint="eastAsia" w:ascii="Times New Roman" w:hAnsi="Times New Roman" w:eastAsia="仿宋_GB2312"/>
          <w:color w:val="auto"/>
          <w:sz w:val="32"/>
          <w:szCs w:val="32"/>
          <w:highlight w:val="none"/>
          <w:lang w:val="en-US" w:eastAsia="zh-CN"/>
        </w:rPr>
        <w:t>要求4部门对10个项目预算补充填报《部门预算项目支出绩效申报表》以及绩效自评报告，设定各项指标，并将申报意见反馈至部门。二是加强预算绩效管理。依托预算管理一体化系统，在编制年度预算时，要求各预算部门申报预算项目时必须同步申报预算绩效目标，否则不予安排预算，进一步推动新区预算绩效目标管理全覆盖。同时，积极开展预算绩效管理培训，邀请专家</w:t>
      </w:r>
      <w:r>
        <w:rPr>
          <w:rFonts w:hint="default" w:ascii="Times New Roman" w:hAnsi="Times New Roman" w:eastAsia="仿宋_GB2312"/>
          <w:color w:val="auto"/>
          <w:sz w:val="32"/>
          <w:szCs w:val="32"/>
          <w:highlight w:val="none"/>
        </w:rPr>
        <w:t>围绕</w:t>
      </w:r>
      <w:r>
        <w:rPr>
          <w:rFonts w:ascii="Times New Roman" w:hAnsi="Times New Roman" w:eastAsia="仿宋_GB2312"/>
          <w:color w:val="auto"/>
          <w:sz w:val="32"/>
          <w:szCs w:val="32"/>
          <w:highlight w:val="none"/>
        </w:rPr>
        <w:t>预算绩效管理目标的申报、设定、自评报告撰写等具体操作流程进行</w:t>
      </w:r>
      <w:r>
        <w:rPr>
          <w:rFonts w:hint="default" w:ascii="Times New Roman" w:hAnsi="Times New Roman" w:eastAsia="仿宋_GB2312"/>
          <w:color w:val="auto"/>
          <w:sz w:val="32"/>
          <w:szCs w:val="32"/>
          <w:highlight w:val="none"/>
        </w:rPr>
        <w:t>讲解</w:t>
      </w:r>
      <w:r>
        <w:rPr>
          <w:rFonts w:ascii="Times New Roman" w:hAnsi="Times New Roman" w:eastAsia="仿宋_GB2312"/>
          <w:color w:val="auto"/>
          <w:sz w:val="32"/>
          <w:szCs w:val="32"/>
          <w:highlight w:val="none"/>
        </w:rPr>
        <w:t>，进一步提高各部门人员的理论</w:t>
      </w:r>
      <w:r>
        <w:rPr>
          <w:rFonts w:hint="default" w:ascii="Times New Roman" w:hAnsi="Times New Roman" w:eastAsia="仿宋_GB2312"/>
          <w:color w:val="auto"/>
          <w:sz w:val="32"/>
          <w:szCs w:val="32"/>
          <w:highlight w:val="none"/>
        </w:rPr>
        <w:t>水平</w:t>
      </w:r>
      <w:r>
        <w:rPr>
          <w:rFonts w:ascii="Times New Roman" w:hAnsi="Times New Roman" w:eastAsia="仿宋_GB2312"/>
          <w:color w:val="auto"/>
          <w:sz w:val="32"/>
          <w:szCs w:val="32"/>
          <w:highlight w:val="none"/>
        </w:rPr>
        <w:t>和业务能力，</w:t>
      </w:r>
      <w:r>
        <w:rPr>
          <w:rFonts w:hint="default" w:ascii="Times New Roman" w:hAnsi="Times New Roman" w:eastAsia="仿宋_GB2312"/>
          <w:color w:val="auto"/>
          <w:sz w:val="32"/>
          <w:szCs w:val="32"/>
          <w:highlight w:val="none"/>
        </w:rPr>
        <w:t>逐</w:t>
      </w:r>
      <w:r>
        <w:rPr>
          <w:rFonts w:hint="default" w:ascii="Times New Roman" w:hAnsi="Times New Roman" w:eastAsia="仿宋_GB2312"/>
          <w:color w:val="auto"/>
          <w:sz w:val="32"/>
          <w:szCs w:val="32"/>
          <w:highlight w:val="none"/>
          <w:lang w:eastAsia="zh-CN"/>
        </w:rPr>
        <w:t>步</w:t>
      </w:r>
      <w:r>
        <w:rPr>
          <w:rFonts w:ascii="Times New Roman" w:hAnsi="Times New Roman" w:eastAsia="仿宋_GB2312"/>
          <w:color w:val="auto"/>
          <w:sz w:val="32"/>
          <w:szCs w:val="32"/>
          <w:highlight w:val="none"/>
        </w:rPr>
        <w:t>规范预算绩效指标设定。</w:t>
      </w:r>
    </w:p>
    <w:p>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sz w:val="32"/>
          <w:lang w:val="en-US" w:eastAsia="zh-CN"/>
        </w:rPr>
      </w:pPr>
      <w:r>
        <w:rPr>
          <w:rFonts w:hint="eastAsia" w:ascii="楷体_GB2312" w:hAnsi="楷体_GB2312" w:eastAsia="楷体_GB2312" w:cs="楷体_GB2312"/>
          <w:b/>
          <w:bCs/>
          <w:sz w:val="32"/>
          <w:lang w:val="en-US" w:eastAsia="zh-CN"/>
        </w:rPr>
        <w:t>未清理历史遗留闲置资金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针对审计提出洛埠镇政府、柳州高新技术创业服务中心存在历史遗留闲置资金未上缴国库问题，在审计期间，</w:t>
      </w:r>
      <w:r>
        <w:rPr>
          <w:rFonts w:hint="default" w:ascii="Times New Roman" w:hAnsi="Times New Roman" w:eastAsia="仿宋_GB2312"/>
          <w:color w:val="auto"/>
          <w:sz w:val="32"/>
          <w:highlight w:val="none"/>
        </w:rPr>
        <w:t>按照“边审计、边整改”的原则</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新区管委会</w:t>
      </w:r>
      <w:r>
        <w:rPr>
          <w:rFonts w:hint="eastAsia" w:ascii="Times New Roman" w:hAnsi="Times New Roman" w:eastAsia="仿宋_GB2312"/>
          <w:sz w:val="32"/>
          <w:lang w:val="en-US" w:eastAsia="zh-CN"/>
        </w:rPr>
        <w:t>立即要求洛埠镇政府、柳州高新技术创业服务中心将历史遗留闲置资金上缴新区国库，目前已完成整改。</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黑体" w:hAnsi="黑体" w:eastAsia="黑体" w:cs="黑体"/>
          <w:sz w:val="32"/>
          <w:lang w:val="en-US" w:eastAsia="zh-CN"/>
        </w:rPr>
        <w:t>部门预算执行方面</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lang w:val="en-US" w:eastAsia="zh-CN"/>
        </w:rPr>
      </w:pPr>
      <w:r>
        <w:rPr>
          <w:rFonts w:hint="eastAsia" w:ascii="楷体_GB2312" w:hAnsi="楷体_GB2312" w:eastAsia="楷体_GB2312" w:cs="楷体_GB2312"/>
          <w:b/>
          <w:bCs/>
          <w:sz w:val="32"/>
          <w:lang w:val="en-US" w:eastAsia="zh-CN"/>
        </w:rPr>
        <w:t>部分项目预算执行率低，预算结余较大</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针对审计提出2021年度雒容镇9个项目资金和柳州市科技和大数据发展局部门6个预算项目资金使用效率不高问题，新区已完成整改。一是对于执行率低的项目资金，于当年年终已全部收回财政，不再结转下年使用。二是大力督促各预算部门加快项目预算资金执行进度，</w:t>
      </w:r>
      <w:r>
        <w:rPr>
          <w:rFonts w:hint="default" w:ascii="Times New Roman" w:hAnsi="Times New Roman" w:eastAsia="仿宋_GB2312"/>
          <w:color w:val="auto"/>
          <w:sz w:val="32"/>
          <w:highlight w:val="none"/>
        </w:rPr>
        <w:t>认真做好项目预算执行和各项前期准备，确保各资金按时拨付到位</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三是</w:t>
      </w:r>
      <w:r>
        <w:rPr>
          <w:rFonts w:hint="eastAsia" w:ascii="Times New Roman" w:hAnsi="Times New Roman" w:eastAsia="仿宋_GB2312"/>
          <w:sz w:val="32"/>
          <w:lang w:val="en-US" w:eastAsia="zh-CN"/>
        </w:rPr>
        <w:t>通过年度预算调整要求预算部门对由于其他原因无法实施的项目或年度预算执行率较低的项目一律调减预算金额，将预算资金收回财政统筹安排。</w:t>
      </w:r>
    </w:p>
    <w:p>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固定资产管理不规范</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b/>
          <w:bCs/>
          <w:sz w:val="32"/>
          <w:lang w:val="en-US" w:eastAsia="zh-CN"/>
        </w:rPr>
      </w:pPr>
      <w:r>
        <w:rPr>
          <w:rFonts w:hint="eastAsia" w:ascii="Times New Roman" w:hAnsi="Times New Roman" w:eastAsia="仿宋_GB2312"/>
          <w:b/>
          <w:bCs/>
          <w:sz w:val="32"/>
          <w:lang w:val="en-US" w:eastAsia="zh-CN"/>
        </w:rPr>
        <w:t>新购固定资产未入固定资产帐</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针对审计提出2021年绩效办等部门新购固定资产未入固定资产账问题，柳东新区已完成整改。一是在审计期间，</w:t>
      </w:r>
      <w:r>
        <w:rPr>
          <w:rFonts w:hint="default" w:ascii="Times New Roman" w:hAnsi="Times New Roman" w:eastAsia="仿宋_GB2312"/>
          <w:color w:val="auto"/>
          <w:sz w:val="32"/>
          <w:highlight w:val="none"/>
        </w:rPr>
        <w:t>按照“边审计、边整改”的原则</w:t>
      </w:r>
      <w:r>
        <w:rPr>
          <w:rFonts w:hint="eastAsia" w:ascii="Times New Roman" w:hAnsi="Times New Roman" w:eastAsia="仿宋_GB2312"/>
          <w:color w:val="auto"/>
          <w:sz w:val="32"/>
          <w:highlight w:val="none"/>
          <w:lang w:eastAsia="zh-CN"/>
        </w:rPr>
        <w:t>，</w:t>
      </w:r>
      <w:r>
        <w:rPr>
          <w:rFonts w:hint="eastAsia" w:ascii="Times New Roman" w:hAnsi="Times New Roman" w:eastAsia="仿宋_GB2312"/>
          <w:color w:val="auto"/>
          <w:sz w:val="32"/>
          <w:highlight w:val="none"/>
          <w:lang w:val="en-US" w:eastAsia="zh-CN"/>
        </w:rPr>
        <w:t>已将新购固定资产录入固定资产账。二是进一步规范固定资产管理体系，加强固定资产的跟踪管理，加强财政核算管理，要求固定资产管理责任部门设置固定资产台账，认真做好资产管理工作，及时将固定资产变动情况录入系统。</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b/>
          <w:bCs/>
          <w:sz w:val="32"/>
          <w:lang w:val="en-US" w:eastAsia="zh-CN"/>
        </w:rPr>
      </w:pPr>
      <w:r>
        <w:rPr>
          <w:rFonts w:hint="eastAsia" w:ascii="Times New Roman" w:hAnsi="Times New Roman" w:eastAsia="仿宋_GB2312"/>
          <w:b/>
          <w:bCs/>
          <w:sz w:val="32"/>
          <w:lang w:val="en-US" w:eastAsia="zh-CN"/>
        </w:rPr>
        <w:t>部分固定资产账实不符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针对审计提出柳东新区第二实验小学部分固定资产存在账实不符，未及时办理资产调拨手续问题，柳东新区已完成整改。一是督促柳东新区教育局立即办理资产调拨手续，柳东新区第二实验小学已将其调拨资产计入固定资产账。二是加强固定资产清查和登记工作，定期对固定资产进行盘点清查，确保账实相符、账账相符。</w:t>
      </w:r>
    </w:p>
    <w:p>
      <w:pPr>
        <w:keepNext w:val="0"/>
        <w:keepLines w:val="0"/>
        <w:pageBreakBefore w:val="0"/>
        <w:widowControl w:val="0"/>
        <w:numPr>
          <w:ilvl w:val="0"/>
          <w:numId w:val="4"/>
        </w:numPr>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b/>
          <w:bCs/>
          <w:sz w:val="32"/>
          <w:lang w:val="en-US" w:eastAsia="zh-CN"/>
        </w:rPr>
      </w:pPr>
      <w:r>
        <w:rPr>
          <w:rFonts w:hint="eastAsia" w:ascii="Times New Roman" w:hAnsi="Times New Roman" w:eastAsia="仿宋_GB2312"/>
          <w:b/>
          <w:bCs/>
          <w:sz w:val="32"/>
          <w:lang w:val="en-US" w:eastAsia="zh-CN"/>
        </w:rPr>
        <w:t>已竣工固定资产未纳入固定资产管理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针对审计提出柳东新区实验小学、柳州铁一中学（初中部）、雒容镇中心幼儿园、雒容镇第二小学、柳东新区第二实验小学等6所学校校舍已竣工验收并投入使用，学校的财务账、固定资产系统均未将该资产纳入固定资产管理问题，目前已完成整改。</w:t>
      </w:r>
      <w:r>
        <w:rPr>
          <w:rFonts w:hint="eastAsia" w:ascii="Times New Roman" w:hAnsi="Times New Roman" w:eastAsia="仿宋_GB2312"/>
          <w:sz w:val="32"/>
          <w:highlight w:val="none"/>
          <w:lang w:val="en-US" w:eastAsia="zh-CN"/>
        </w:rPr>
        <w:t>一是进行资产暂估入账。由于项目尚未完成竣工结算及决算，无法进行资产移交，故按资产暂估价计入固定资产。目前，六所学校已完成校舍设施的暂估入账工作，已将其纳入学校资产账管理。二是加强与东城集团沟通，尽快办理学校项目竣工结算和决算并进行资产移交，有关单位做好账务调整及衔接工作，确保账账、账实相符。</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lang w:val="en-US" w:eastAsia="zh-CN"/>
        </w:rPr>
      </w:pPr>
      <w:r>
        <w:rPr>
          <w:rFonts w:hint="eastAsia" w:ascii="黑体" w:hAnsi="黑体" w:eastAsia="黑体" w:cs="黑体"/>
          <w:sz w:val="32"/>
          <w:lang w:val="en-US" w:eastAsia="zh-CN"/>
        </w:rPr>
        <w:t>建设项目管理存在的问题</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sz w:val="32"/>
          <w:lang w:val="en-US" w:eastAsia="zh-CN"/>
        </w:rPr>
      </w:pPr>
      <w:r>
        <w:rPr>
          <w:rFonts w:hint="eastAsia" w:ascii="楷体_GB2312" w:hAnsi="楷体_GB2312" w:eastAsia="楷体_GB2312" w:cs="楷体_GB2312"/>
          <w:b/>
          <w:bCs/>
          <w:sz w:val="32"/>
          <w:lang w:val="en-US" w:eastAsia="zh-CN"/>
        </w:rPr>
        <w:t>项目合同签订不规范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sz w:val="32"/>
          <w:lang w:val="en-US" w:eastAsia="zh-CN"/>
        </w:rPr>
      </w:pPr>
      <w:r>
        <w:rPr>
          <w:rFonts w:hint="eastAsia" w:ascii="Times New Roman" w:hAnsi="Times New Roman" w:eastAsia="仿宋_GB2312"/>
          <w:sz w:val="32"/>
          <w:lang w:val="en-US" w:eastAsia="zh-CN"/>
        </w:rPr>
        <w:t>针对审计提出雒容镇水利站签订的项目合同协议书中计划开工日期、计划竣工日期、合同价格形式、签订地点、合同生效时间、合同份数等重要内容留空问题，柳东新区已完成整改。一是督促雒容镇水利站对项目合同进行全面检查，对签订不规范的合同统一整改，完善合同要件的填写，目前已补充完善合同留空内容。二是督促雒容镇政府完善内控制度，规范合同管理的实施程序和控制要求。雒容镇已修订合同管理内控制度，进一步完善合同管理流程及细化管理要求，堵塞合同管理漏洞，防范合同管理风险。</w:t>
      </w:r>
    </w:p>
    <w:p>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firstLine="643" w:firstLineChars="200"/>
        <w:textAlignment w:val="auto"/>
        <w:rPr>
          <w:rFonts w:hint="default" w:ascii="楷体_GB2312" w:hAnsi="楷体_GB2312" w:eastAsia="楷体_GB2312" w:cs="楷体_GB2312"/>
          <w:b/>
          <w:bCs/>
          <w:sz w:val="32"/>
          <w:lang w:val="en-US" w:eastAsia="zh-CN"/>
        </w:rPr>
      </w:pPr>
      <w:r>
        <w:rPr>
          <w:rFonts w:hint="eastAsia" w:ascii="楷体_GB2312" w:hAnsi="楷体_GB2312" w:eastAsia="楷体_GB2312" w:cs="楷体_GB2312"/>
          <w:b/>
          <w:bCs/>
          <w:sz w:val="32"/>
          <w:lang w:val="en-US" w:eastAsia="zh-CN"/>
        </w:rPr>
        <w:t>部分已竣工验收项目的竣工资料不全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sz w:val="32"/>
          <w:lang w:val="en-US" w:eastAsia="zh-CN"/>
        </w:rPr>
      </w:pPr>
      <w:r>
        <w:rPr>
          <w:rFonts w:hint="eastAsia" w:ascii="Times New Roman" w:hAnsi="Times New Roman" w:eastAsia="仿宋_GB2312"/>
          <w:sz w:val="32"/>
          <w:lang w:val="en-US" w:eastAsia="zh-CN"/>
        </w:rPr>
        <w:t>针对审计提出雒容镇竹车河大正屯、生化屯河段河道治理工程、雒容镇连丰村甫口屯、回忆屯等7个乡村风貌提升设施完善型项目工程已完成竣工验收，竣工资料缺少工程竣工报告，以建设工程质量竣工验收意见书代替工程竣工报告问题，目前已完成整改。一是督促雒容镇政府规范验收程序，完善工程竣工资料，目前雒容镇竹车河大正屯、生化屯河段河道治理工程、雒容镇连丰村甫口屯、回忆屯等7个乡村风貌提升设施完善型项目工程已提供竣工报告，竣工资料齐全。二是督促雒容镇政府完善内控制度，加强对工程项目的管理，确保项目建设合法合规。雒容镇已修订建设项目管理内控制度，规范建设项目全流程管理细则，严格规范合同各项条款，进一步提高工程项目管理水平。</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sz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right="525" w:rightChars="250" w:firstLine="0" w:firstLineChars="0"/>
        <w:jc w:val="center"/>
        <w:textAlignment w:val="auto"/>
        <w:rPr>
          <w:rFonts w:hint="eastAsia" w:ascii="Times New Roman" w:hAnsi="Times New Roman" w:eastAsia="仿宋_GB2312"/>
          <w:sz w:val="32"/>
          <w:szCs w:val="28"/>
          <w:lang w:val="en-US" w:eastAsia="zh-CN"/>
        </w:rPr>
      </w:pPr>
      <w:r>
        <w:rPr>
          <w:rFonts w:hint="eastAsia" w:ascii="Times New Roman" w:hAnsi="Times New Roman" w:eastAsia="仿宋_GB2312"/>
          <w:sz w:val="32"/>
          <w:szCs w:val="28"/>
          <w:lang w:val="en-US" w:eastAsia="zh-CN"/>
        </w:rPr>
        <w:t xml:space="preserve">                   柳东新区管理委员会（柳州高</w:t>
      </w:r>
    </w:p>
    <w:p>
      <w:pPr>
        <w:keepNext w:val="0"/>
        <w:keepLines w:val="0"/>
        <w:pageBreakBefore w:val="0"/>
        <w:widowControl w:val="0"/>
        <w:kinsoku/>
        <w:wordWrap/>
        <w:overflowPunct/>
        <w:topLinePunct w:val="0"/>
        <w:autoSpaceDE/>
        <w:autoSpaceDN/>
        <w:bidi w:val="0"/>
        <w:adjustRightInd/>
        <w:snapToGrid/>
        <w:spacing w:line="560" w:lineRule="exact"/>
        <w:ind w:right="525" w:rightChars="250" w:firstLine="0" w:firstLineChars="0"/>
        <w:jc w:val="right"/>
        <w:textAlignment w:val="auto"/>
        <w:rPr>
          <w:rFonts w:hint="default" w:ascii="Times New Roman" w:hAnsi="Times New Roman" w:eastAsia="仿宋_GB2312"/>
          <w:sz w:val="32"/>
          <w:lang w:val="en-US" w:eastAsia="zh-CN"/>
        </w:rPr>
      </w:pPr>
      <w:r>
        <w:rPr>
          <w:rFonts w:hint="eastAsia" w:ascii="Times New Roman" w:hAnsi="Times New Roman" w:eastAsia="仿宋_GB2312"/>
          <w:sz w:val="32"/>
          <w:szCs w:val="28"/>
          <w:lang w:val="en-US" w:eastAsia="zh-CN"/>
        </w:rPr>
        <w:t>新技术产业开发区管理委员会）</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3D58B4"/>
    <w:multiLevelType w:val="singleLevel"/>
    <w:tmpl w:val="823D58B4"/>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1">
    <w:nsid w:val="B62E0437"/>
    <w:multiLevelType w:val="singleLevel"/>
    <w:tmpl w:val="B62E0437"/>
    <w:lvl w:ilvl="0" w:tentative="0">
      <w:start w:val="1"/>
      <w:numFmt w:val="decimal"/>
      <w:suff w:val="nothing"/>
      <w:lvlText w:val="%1、"/>
      <w:lvlJc w:val="left"/>
      <w:rPr>
        <w:rFonts w:hint="default" w:ascii="Times New Roman" w:hAnsi="Times New Roman" w:cs="Times New Roman"/>
      </w:rPr>
    </w:lvl>
  </w:abstractNum>
  <w:abstractNum w:abstractNumId="2">
    <w:nsid w:val="09C6D6B1"/>
    <w:multiLevelType w:val="singleLevel"/>
    <w:tmpl w:val="09C6D6B1"/>
    <w:lvl w:ilvl="0" w:tentative="0">
      <w:start w:val="1"/>
      <w:numFmt w:val="chineseCounting"/>
      <w:suff w:val="nothing"/>
      <w:lvlText w:val="%1、"/>
      <w:lvlJc w:val="left"/>
      <w:rPr>
        <w:rFonts w:hint="eastAsia" w:ascii="黑体" w:hAnsi="黑体" w:eastAsia="黑体" w:cs="黑体"/>
        <w:sz w:val="32"/>
        <w:szCs w:val="32"/>
      </w:rPr>
    </w:lvl>
  </w:abstractNum>
  <w:abstractNum w:abstractNumId="3">
    <w:nsid w:val="3B898603"/>
    <w:multiLevelType w:val="singleLevel"/>
    <w:tmpl w:val="3B898603"/>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41579190"/>
    <w:multiLevelType w:val="singleLevel"/>
    <w:tmpl w:val="41579190"/>
    <w:lvl w:ilvl="0" w:tentative="0">
      <w:start w:val="1"/>
      <w:numFmt w:val="chineseCounting"/>
      <w:suff w:val="nothing"/>
      <w:lvlText w:val="（%1）"/>
      <w:lvlJc w:val="left"/>
      <w:rPr>
        <w:rFonts w:hint="eastAsia" w:ascii="楷体_GB2312" w:hAnsi="楷体_GB2312" w:eastAsia="楷体_GB2312" w:cs="楷体_GB2312"/>
        <w:b/>
        <w:bCs/>
        <w:sz w:val="32"/>
        <w:szCs w:val="32"/>
      </w:rPr>
    </w:lvl>
  </w:abstractNum>
  <w:num w:numId="1">
    <w:abstractNumId w:val="2"/>
  </w:num>
  <w:num w:numId="2">
    <w:abstractNumId w:val="0"/>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AxYmUzMDBkNTJmMmViYTgwYzdhOTE4MDFkMGNkNjAifQ=="/>
  </w:docVars>
  <w:rsids>
    <w:rsidRoot w:val="31C83C8A"/>
    <w:rsid w:val="00EA6018"/>
    <w:rsid w:val="01E74B34"/>
    <w:rsid w:val="049C7145"/>
    <w:rsid w:val="059843B9"/>
    <w:rsid w:val="06AB0798"/>
    <w:rsid w:val="07520F1A"/>
    <w:rsid w:val="0A7657E7"/>
    <w:rsid w:val="0B4A7D9E"/>
    <w:rsid w:val="0B986348"/>
    <w:rsid w:val="0BB93EBC"/>
    <w:rsid w:val="104F0D23"/>
    <w:rsid w:val="133B4C77"/>
    <w:rsid w:val="15FE3CC8"/>
    <w:rsid w:val="18526327"/>
    <w:rsid w:val="189352D5"/>
    <w:rsid w:val="19784920"/>
    <w:rsid w:val="1A7B1FBB"/>
    <w:rsid w:val="1AD610B3"/>
    <w:rsid w:val="1CFF6D16"/>
    <w:rsid w:val="1F446C62"/>
    <w:rsid w:val="1F990B3D"/>
    <w:rsid w:val="1FDF698A"/>
    <w:rsid w:val="20E701EC"/>
    <w:rsid w:val="213B2CB1"/>
    <w:rsid w:val="23111551"/>
    <w:rsid w:val="27D96C0D"/>
    <w:rsid w:val="29E74A0E"/>
    <w:rsid w:val="2A500919"/>
    <w:rsid w:val="2BDD46C6"/>
    <w:rsid w:val="2E935F83"/>
    <w:rsid w:val="2ED560ED"/>
    <w:rsid w:val="31AF2660"/>
    <w:rsid w:val="31C83C8A"/>
    <w:rsid w:val="360C6FA2"/>
    <w:rsid w:val="37852686"/>
    <w:rsid w:val="3810372D"/>
    <w:rsid w:val="383511CC"/>
    <w:rsid w:val="3AC06644"/>
    <w:rsid w:val="3B0E569C"/>
    <w:rsid w:val="3CD962AF"/>
    <w:rsid w:val="3EEB6944"/>
    <w:rsid w:val="40204729"/>
    <w:rsid w:val="403F3A45"/>
    <w:rsid w:val="42B41CD5"/>
    <w:rsid w:val="465B295F"/>
    <w:rsid w:val="46707184"/>
    <w:rsid w:val="4C96016C"/>
    <w:rsid w:val="4E4A5793"/>
    <w:rsid w:val="4EAC328B"/>
    <w:rsid w:val="4FF47665"/>
    <w:rsid w:val="532B08CB"/>
    <w:rsid w:val="57057710"/>
    <w:rsid w:val="573726C7"/>
    <w:rsid w:val="58440164"/>
    <w:rsid w:val="5873125E"/>
    <w:rsid w:val="59F91D02"/>
    <w:rsid w:val="5A003153"/>
    <w:rsid w:val="5AED59B2"/>
    <w:rsid w:val="5AF820D3"/>
    <w:rsid w:val="5E1A6A61"/>
    <w:rsid w:val="5E2D6DBA"/>
    <w:rsid w:val="5F114A37"/>
    <w:rsid w:val="61182ED5"/>
    <w:rsid w:val="61BC2CCC"/>
    <w:rsid w:val="63D81B91"/>
    <w:rsid w:val="640E65BA"/>
    <w:rsid w:val="641F3316"/>
    <w:rsid w:val="696F20FA"/>
    <w:rsid w:val="6D6435A6"/>
    <w:rsid w:val="6FD02AC5"/>
    <w:rsid w:val="756A7029"/>
    <w:rsid w:val="76C90B35"/>
    <w:rsid w:val="78D15FE5"/>
    <w:rsid w:val="78E60579"/>
    <w:rsid w:val="78FB1F5D"/>
    <w:rsid w:val="7AF661D7"/>
    <w:rsid w:val="7D8B620F"/>
    <w:rsid w:val="7DB810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2604</Words>
  <Characters>2638</Characters>
  <Lines>0</Lines>
  <Paragraphs>0</Paragraphs>
  <TotalTime>4</TotalTime>
  <ScaleCrop>false</ScaleCrop>
  <LinksUpToDate>false</LinksUpToDate>
  <CharactersWithSpaces>2657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2022-09-14T02:36:00Z</dcterms:created>
  <dc:creator>李欣</dc:creator>
  <cp:lastModifiedBy>李欣</cp:lastModifiedBy>
  <dcterms:modified xsi:type="dcterms:W3CDTF">2022-11-17T06:42:50Z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994B422A30E04AFD84A8B01C17A18FD2</vt:lpwstr>
  </property>
</Properties>
</file>