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58E0E">
      <w:pPr>
        <w:rPr>
          <w:rFonts w:ascii="仿宋_GB2312" w:hAnsi="仿宋_GB2312" w:eastAsia="仿宋_GB2312" w:cs="仿宋_GB2312"/>
          <w:color w:val="auto"/>
          <w:sz w:val="36"/>
          <w:szCs w:val="36"/>
        </w:rPr>
      </w:pPr>
    </w:p>
    <w:p w14:paraId="4A5989B0">
      <w:pPr>
        <w:rPr>
          <w:rFonts w:hint="eastAsia" w:ascii="仿宋_GB2312" w:hAnsi="仿宋_GB2312" w:eastAsia="仿宋_GB2312" w:cs="仿宋_GB2312"/>
          <w:color w:val="auto"/>
          <w:sz w:val="36"/>
          <w:szCs w:val="36"/>
        </w:rPr>
      </w:pPr>
    </w:p>
    <w:p w14:paraId="59E858AE">
      <w:pPr>
        <w:adjustRightInd w:val="0"/>
        <w:snapToGrid w:val="0"/>
        <w:jc w:val="center"/>
        <w:outlineLvl w:val="0"/>
        <w:rPr>
          <w:rFonts w:hint="eastAsia" w:ascii="方正小标宋_GBK" w:eastAsia="方正小标宋_GBK"/>
          <w:bCs/>
          <w:color w:val="auto"/>
          <w:sz w:val="72"/>
          <w:szCs w:val="72"/>
        </w:rPr>
      </w:pPr>
      <w:bookmarkStart w:id="0" w:name="_Toc1417"/>
      <w:bookmarkStart w:id="1" w:name="_Toc26278"/>
      <w:r>
        <w:rPr>
          <w:rFonts w:hint="eastAsia" w:ascii="方正小标宋_GBK" w:eastAsia="方正小标宋_GBK"/>
          <w:bCs/>
          <w:color w:val="auto"/>
          <w:sz w:val="72"/>
          <w:szCs w:val="72"/>
        </w:rPr>
        <w:t>建设项目环境影响报告表</w:t>
      </w:r>
      <w:bookmarkEnd w:id="0"/>
    </w:p>
    <w:p w14:paraId="7117B28D">
      <w:pPr>
        <w:adjustRightInd w:val="0"/>
        <w:snapToGrid w:val="0"/>
        <w:spacing w:before="192" w:beforeLines="80"/>
        <w:jc w:val="center"/>
        <w:rPr>
          <w:rFonts w:hint="eastAsia" w:ascii="楷体_GB2312" w:eastAsia="楷体_GB2312"/>
          <w:bCs/>
          <w:color w:val="auto"/>
          <w:sz w:val="48"/>
          <w:szCs w:val="48"/>
        </w:rPr>
      </w:pPr>
      <w:r>
        <w:rPr>
          <w:rFonts w:hint="eastAsia" w:ascii="楷体_GB2312" w:eastAsia="楷体_GB2312"/>
          <w:bCs/>
          <w:color w:val="auto"/>
          <w:sz w:val="48"/>
          <w:szCs w:val="48"/>
        </w:rPr>
        <w:t>（污染影响类）</w:t>
      </w:r>
    </w:p>
    <w:p w14:paraId="6772955A">
      <w:pPr>
        <w:adjustRightInd w:val="0"/>
        <w:snapToGrid w:val="0"/>
        <w:spacing w:line="288" w:lineRule="auto"/>
        <w:jc w:val="center"/>
        <w:outlineLvl w:val="9"/>
        <w:rPr>
          <w:rFonts w:hint="eastAsia" w:ascii="华文仿宋" w:hAnsi="华文仿宋" w:eastAsia="华文仿宋" w:cs="华文仿宋"/>
          <w:color w:val="auto"/>
          <w:kern w:val="44"/>
          <w:sz w:val="44"/>
          <w:szCs w:val="44"/>
          <w:lang w:eastAsia="zh-CN"/>
        </w:rPr>
      </w:pPr>
      <w:r>
        <w:rPr>
          <w:rFonts w:hint="eastAsia" w:ascii="华文仿宋" w:hAnsi="华文仿宋" w:eastAsia="华文仿宋" w:cs="华文仿宋"/>
          <w:color w:val="auto"/>
          <w:kern w:val="44"/>
          <w:sz w:val="44"/>
          <w:szCs w:val="44"/>
          <w:lang w:eastAsia="zh-CN"/>
        </w:rPr>
        <w:t>（</w:t>
      </w:r>
      <w:r>
        <w:rPr>
          <w:rFonts w:hint="eastAsia" w:ascii="华文仿宋" w:hAnsi="华文仿宋" w:eastAsia="华文仿宋" w:cs="华文仿宋"/>
          <w:color w:val="auto"/>
          <w:kern w:val="44"/>
          <w:sz w:val="44"/>
          <w:szCs w:val="44"/>
          <w:lang w:val="en-US" w:eastAsia="zh-CN"/>
        </w:rPr>
        <w:t>送审稿</w:t>
      </w:r>
      <w:r>
        <w:rPr>
          <w:rFonts w:hint="eastAsia" w:ascii="华文仿宋" w:hAnsi="华文仿宋" w:eastAsia="华文仿宋" w:cs="华文仿宋"/>
          <w:color w:val="auto"/>
          <w:kern w:val="44"/>
          <w:sz w:val="44"/>
          <w:szCs w:val="44"/>
          <w:lang w:eastAsia="zh-CN"/>
        </w:rPr>
        <w:t>）</w:t>
      </w:r>
    </w:p>
    <w:p w14:paraId="64B82484">
      <w:pPr>
        <w:jc w:val="center"/>
        <w:rPr>
          <w:rFonts w:eastAsia="仿宋"/>
          <w:color w:val="auto"/>
          <w:sz w:val="52"/>
          <w:szCs w:val="52"/>
        </w:rPr>
      </w:pPr>
    </w:p>
    <w:p w14:paraId="213EC4F7">
      <w:pPr>
        <w:ind w:firstLine="1040"/>
        <w:rPr>
          <w:rFonts w:eastAsia="仿宋"/>
          <w:color w:val="auto"/>
          <w:sz w:val="44"/>
          <w:szCs w:val="44"/>
        </w:rPr>
      </w:pPr>
    </w:p>
    <w:p w14:paraId="2E592C37">
      <w:pPr>
        <w:ind w:firstLine="1040"/>
        <w:rPr>
          <w:rFonts w:eastAsia="仿宋"/>
          <w:color w:val="auto"/>
          <w:sz w:val="44"/>
          <w:szCs w:val="44"/>
        </w:rPr>
      </w:pPr>
    </w:p>
    <w:p w14:paraId="149ACB8C">
      <w:pPr>
        <w:ind w:firstLine="1040"/>
        <w:rPr>
          <w:rFonts w:eastAsia="仿宋"/>
          <w:color w:val="auto"/>
          <w:sz w:val="44"/>
          <w:szCs w:val="44"/>
        </w:rPr>
      </w:pPr>
    </w:p>
    <w:p w14:paraId="2B908006">
      <w:pPr>
        <w:ind w:firstLine="1040"/>
        <w:rPr>
          <w:rFonts w:hint="eastAsia" w:eastAsia="仿宋"/>
          <w:color w:val="auto"/>
          <w:sz w:val="44"/>
          <w:szCs w:val="44"/>
          <w:lang w:val="en-US" w:eastAsia="zh-CN"/>
        </w:rPr>
      </w:pPr>
    </w:p>
    <w:p w14:paraId="14B17CFA">
      <w:pPr>
        <w:adjustRightInd w:val="0"/>
        <w:snapToGrid w:val="0"/>
        <w:spacing w:line="288" w:lineRule="auto"/>
        <w:ind w:left="0" w:leftChars="0" w:firstLine="420" w:firstLineChars="0"/>
        <w:rPr>
          <w:rFonts w:hint="eastAsia" w:ascii="仿宋_GB2312" w:eastAsia="仿宋_GB2312"/>
          <w:color w:val="auto"/>
          <w:sz w:val="36"/>
          <w:szCs w:val="36"/>
          <w:u w:val="single"/>
        </w:rPr>
      </w:pPr>
      <w:r>
        <w:rPr>
          <w:rFonts w:hint="eastAsia" w:ascii="仿宋_GB2312" w:eastAsia="仿宋_GB2312"/>
          <w:color w:val="auto"/>
          <w:sz w:val="36"/>
          <w:szCs w:val="36"/>
        </w:rPr>
        <w:t>项目名称：</w:t>
      </w:r>
      <w:r>
        <w:rPr>
          <w:rFonts w:hint="eastAsia" w:ascii="仿宋_GB2312" w:eastAsia="仿宋_GB2312"/>
          <w:color w:val="auto"/>
          <w:sz w:val="36"/>
          <w:szCs w:val="36"/>
          <w:u w:val="single"/>
          <w:lang w:val="en-US" w:eastAsia="zh-CN"/>
        </w:rPr>
        <w:t xml:space="preserve">      </w:t>
      </w:r>
      <w:r>
        <w:rPr>
          <w:rFonts w:hint="eastAsia" w:ascii="仿宋_GB2312" w:eastAsia="仿宋_GB2312"/>
          <w:color w:val="auto"/>
          <w:sz w:val="36"/>
          <w:szCs w:val="36"/>
          <w:u w:val="single"/>
        </w:rPr>
        <w:t>首驱助动车制造377项目</w:t>
      </w:r>
      <w:r>
        <w:rPr>
          <w:rFonts w:hint="eastAsia" w:ascii="仿宋_GB2312" w:eastAsia="仿宋_GB2312"/>
          <w:color w:val="auto"/>
          <w:sz w:val="36"/>
          <w:szCs w:val="36"/>
          <w:u w:val="single"/>
          <w:lang w:val="en-US" w:eastAsia="zh-CN"/>
        </w:rPr>
        <w:t xml:space="preserve">   </w:t>
      </w:r>
      <w:r>
        <w:rPr>
          <w:rFonts w:hint="eastAsia" w:ascii="仿宋_GB2312" w:eastAsia="仿宋_GB2312"/>
          <w:color w:val="auto"/>
          <w:sz w:val="36"/>
          <w:szCs w:val="36"/>
          <w:u w:val="single"/>
        </w:rPr>
        <w:t xml:space="preserve">     </w:t>
      </w:r>
    </w:p>
    <w:p w14:paraId="2D4CFB9E">
      <w:pPr>
        <w:adjustRightInd w:val="0"/>
        <w:snapToGrid w:val="0"/>
        <w:spacing w:line="288" w:lineRule="auto"/>
        <w:ind w:left="0" w:leftChars="0" w:firstLine="420" w:firstLineChars="0"/>
        <w:rPr>
          <w:rFonts w:hint="eastAsia" w:ascii="仿宋_GB2312" w:eastAsia="仿宋_GB2312"/>
          <w:color w:val="auto"/>
          <w:sz w:val="36"/>
          <w:szCs w:val="36"/>
          <w:u w:val="single"/>
          <w:lang w:val="en-US" w:eastAsia="zh-CN"/>
        </w:rPr>
      </w:pPr>
      <w:r>
        <w:rPr>
          <w:rFonts w:hint="eastAsia" w:ascii="仿宋_GB2312" w:eastAsia="仿宋_GB2312"/>
          <w:color w:val="auto"/>
          <w:sz w:val="36"/>
          <w:szCs w:val="36"/>
        </w:rPr>
        <w:t>建设单位：</w:t>
      </w:r>
      <w:r>
        <w:rPr>
          <w:rFonts w:hint="eastAsia" w:ascii="仿宋_GB2312" w:eastAsia="仿宋_GB2312"/>
          <w:color w:val="auto"/>
          <w:sz w:val="36"/>
          <w:szCs w:val="36"/>
          <w:u w:val="single"/>
        </w:rPr>
        <w:t xml:space="preserve"> </w:t>
      </w:r>
      <w:r>
        <w:rPr>
          <w:rFonts w:hint="eastAsia" w:ascii="仿宋_GB2312" w:eastAsia="仿宋_GB2312"/>
          <w:color w:val="auto"/>
          <w:sz w:val="36"/>
          <w:szCs w:val="36"/>
          <w:u w:val="single"/>
          <w:lang w:val="en-US" w:eastAsia="zh-CN"/>
        </w:rPr>
        <w:t xml:space="preserve">   </w:t>
      </w:r>
      <w:r>
        <w:rPr>
          <w:rFonts w:hint="eastAsia" w:ascii="仿宋_GB2312" w:eastAsia="仿宋_GB2312"/>
          <w:color w:val="auto"/>
          <w:sz w:val="36"/>
          <w:szCs w:val="36"/>
          <w:u w:val="single"/>
        </w:rPr>
        <w:t xml:space="preserve">无界妙控（柳州）制造有限公司   </w:t>
      </w:r>
      <w:r>
        <w:rPr>
          <w:rFonts w:hint="eastAsia" w:ascii="仿宋_GB2312" w:eastAsia="仿宋_GB2312"/>
          <w:color w:val="auto"/>
          <w:sz w:val="36"/>
          <w:szCs w:val="36"/>
          <w:u w:val="single"/>
          <w:lang w:val="en-US" w:eastAsia="zh-CN"/>
        </w:rPr>
        <w:t xml:space="preserve"> </w:t>
      </w:r>
    </w:p>
    <w:p w14:paraId="403788D7">
      <w:pPr>
        <w:adjustRightInd w:val="0"/>
        <w:snapToGrid w:val="0"/>
        <w:spacing w:line="288" w:lineRule="auto"/>
        <w:ind w:left="0" w:leftChars="0" w:firstLine="420" w:firstLineChars="0"/>
        <w:rPr>
          <w:rFonts w:hint="eastAsia" w:ascii="仿宋_GB2312" w:eastAsia="仿宋_GB2312"/>
          <w:color w:val="auto"/>
          <w:sz w:val="36"/>
          <w:szCs w:val="36"/>
          <w:u w:val="single"/>
        </w:rPr>
      </w:pPr>
      <w:r>
        <w:rPr>
          <w:rFonts w:hint="eastAsia" w:ascii="仿宋_GB2312" w:eastAsia="仿宋_GB2312"/>
          <w:color w:val="auto"/>
          <w:sz w:val="36"/>
          <w:szCs w:val="36"/>
        </w:rPr>
        <w:t>编制日期：</w:t>
      </w:r>
      <w:r>
        <w:rPr>
          <w:rFonts w:hint="eastAsia" w:ascii="仿宋_GB2312" w:eastAsia="仿宋_GB2312"/>
          <w:color w:val="auto"/>
          <w:sz w:val="36"/>
          <w:szCs w:val="36"/>
          <w:u w:val="single"/>
        </w:rPr>
        <w:t xml:space="preserve"> </w:t>
      </w:r>
      <w:r>
        <w:rPr>
          <w:rFonts w:ascii="仿宋_GB2312" w:eastAsia="仿宋_GB2312"/>
          <w:color w:val="auto"/>
          <w:sz w:val="36"/>
          <w:szCs w:val="36"/>
          <w:u w:val="single"/>
        </w:rPr>
        <w:t xml:space="preserve">  </w:t>
      </w:r>
      <w:r>
        <w:rPr>
          <w:rFonts w:hint="eastAsia" w:ascii="仿宋_GB2312" w:eastAsia="仿宋_GB2312"/>
          <w:color w:val="auto"/>
          <w:sz w:val="36"/>
          <w:szCs w:val="36"/>
          <w:u w:val="single"/>
          <w:lang w:val="en-US" w:eastAsia="zh-CN"/>
        </w:rPr>
        <w:t xml:space="preserve">     </w:t>
      </w:r>
      <w:r>
        <w:rPr>
          <w:rFonts w:hint="eastAsia" w:ascii="仿宋_GB2312" w:eastAsia="仿宋_GB2312"/>
          <w:color w:val="auto"/>
          <w:sz w:val="36"/>
          <w:szCs w:val="36"/>
          <w:u w:val="single"/>
        </w:rPr>
        <w:t>二〇二</w:t>
      </w:r>
      <w:r>
        <w:rPr>
          <w:rFonts w:hint="eastAsia" w:ascii="仿宋_GB2312" w:eastAsia="仿宋_GB2312"/>
          <w:color w:val="auto"/>
          <w:sz w:val="36"/>
          <w:szCs w:val="36"/>
          <w:u w:val="single"/>
          <w:lang w:val="en-US" w:eastAsia="zh-CN"/>
        </w:rPr>
        <w:t>六</w:t>
      </w:r>
      <w:r>
        <w:rPr>
          <w:rFonts w:hint="eastAsia" w:ascii="仿宋_GB2312" w:eastAsia="仿宋_GB2312"/>
          <w:color w:val="auto"/>
          <w:sz w:val="36"/>
          <w:szCs w:val="36"/>
          <w:u w:val="single"/>
        </w:rPr>
        <w:t>年</w:t>
      </w:r>
      <w:r>
        <w:rPr>
          <w:rFonts w:hint="eastAsia" w:ascii="仿宋_GB2312" w:eastAsia="仿宋_GB2312"/>
          <w:color w:val="auto"/>
          <w:sz w:val="36"/>
          <w:szCs w:val="36"/>
          <w:u w:val="single"/>
          <w:lang w:val="en-US" w:eastAsia="zh-CN"/>
        </w:rPr>
        <w:t>七</w:t>
      </w:r>
      <w:r>
        <w:rPr>
          <w:rFonts w:hint="eastAsia" w:ascii="仿宋_GB2312" w:eastAsia="仿宋_GB2312"/>
          <w:color w:val="auto"/>
          <w:sz w:val="36"/>
          <w:szCs w:val="36"/>
          <w:u w:val="single"/>
        </w:rPr>
        <w:t xml:space="preserve">月       </w:t>
      </w:r>
      <w:r>
        <w:rPr>
          <w:rFonts w:ascii="仿宋_GB2312" w:eastAsia="仿宋_GB2312"/>
          <w:color w:val="auto"/>
          <w:sz w:val="36"/>
          <w:szCs w:val="36"/>
          <w:u w:val="single"/>
        </w:rPr>
        <w:t xml:space="preserve">      </w:t>
      </w:r>
      <w:r>
        <w:rPr>
          <w:rFonts w:hint="eastAsia" w:ascii="仿宋_GB2312" w:eastAsia="仿宋_GB2312"/>
          <w:color w:val="auto"/>
          <w:sz w:val="36"/>
          <w:szCs w:val="36"/>
          <w:u w:val="single"/>
        </w:rPr>
        <w:t xml:space="preserve"> </w:t>
      </w:r>
    </w:p>
    <w:p w14:paraId="067B5BE1">
      <w:pPr>
        <w:adjustRightInd w:val="0"/>
        <w:snapToGrid w:val="0"/>
        <w:spacing w:line="288" w:lineRule="auto"/>
        <w:ind w:firstLine="1040"/>
        <w:rPr>
          <w:rFonts w:ascii="仿宋_GB2312" w:eastAsia="仿宋_GB2312"/>
          <w:color w:val="auto"/>
          <w:sz w:val="36"/>
          <w:szCs w:val="36"/>
          <w:u w:val="single"/>
        </w:rPr>
      </w:pPr>
      <w:bookmarkStart w:id="2" w:name="_Hlk57884087"/>
    </w:p>
    <w:p w14:paraId="416D5530">
      <w:pPr>
        <w:adjustRightInd w:val="0"/>
        <w:snapToGrid w:val="0"/>
        <w:spacing w:line="288" w:lineRule="auto"/>
        <w:ind w:firstLine="1040"/>
        <w:rPr>
          <w:rFonts w:ascii="仿宋_GB2312" w:eastAsia="仿宋_GB2312"/>
          <w:color w:val="auto"/>
          <w:sz w:val="36"/>
          <w:szCs w:val="36"/>
        </w:rPr>
      </w:pPr>
    </w:p>
    <w:p w14:paraId="0BDF597C">
      <w:pPr>
        <w:adjustRightInd w:val="0"/>
        <w:snapToGrid w:val="0"/>
        <w:spacing w:line="288" w:lineRule="auto"/>
        <w:ind w:firstLine="1040"/>
        <w:rPr>
          <w:rFonts w:ascii="仿宋_GB2312" w:eastAsia="仿宋_GB2312"/>
          <w:color w:val="auto"/>
          <w:sz w:val="36"/>
          <w:szCs w:val="36"/>
        </w:rPr>
      </w:pPr>
    </w:p>
    <w:p w14:paraId="702E3D14">
      <w:pPr>
        <w:adjustRightInd w:val="0"/>
        <w:snapToGrid w:val="0"/>
        <w:spacing w:line="288" w:lineRule="auto"/>
        <w:ind w:firstLine="1040"/>
        <w:rPr>
          <w:rFonts w:hint="eastAsia" w:ascii="仿宋_GB2312" w:eastAsia="仿宋_GB2312"/>
          <w:color w:val="auto"/>
          <w:sz w:val="36"/>
          <w:szCs w:val="36"/>
        </w:rPr>
      </w:pPr>
    </w:p>
    <w:p w14:paraId="5439DEF4">
      <w:pPr>
        <w:adjustRightInd w:val="0"/>
        <w:snapToGrid w:val="0"/>
        <w:spacing w:line="288" w:lineRule="auto"/>
        <w:ind w:firstLine="1040"/>
        <w:rPr>
          <w:rFonts w:hint="eastAsia" w:ascii="仿宋_GB2312" w:eastAsia="仿宋_GB2312"/>
          <w:color w:val="auto"/>
          <w:sz w:val="36"/>
          <w:szCs w:val="36"/>
        </w:rPr>
      </w:pPr>
    </w:p>
    <w:bookmarkEnd w:id="2"/>
    <w:p w14:paraId="0639DEA6">
      <w:pPr>
        <w:adjustRightInd w:val="0"/>
        <w:snapToGrid w:val="0"/>
        <w:spacing w:line="288" w:lineRule="auto"/>
        <w:jc w:val="center"/>
        <w:rPr>
          <w:rFonts w:hint="eastAsia" w:ascii="楷体_GB2312" w:eastAsia="楷体_GB2312"/>
          <w:color w:val="auto"/>
          <w:sz w:val="36"/>
          <w:szCs w:val="36"/>
          <w:lang w:val="en-US" w:eastAsia="zh-CN"/>
        </w:rPr>
      </w:pPr>
    </w:p>
    <w:p w14:paraId="33C429FC">
      <w:pPr>
        <w:adjustRightInd w:val="0"/>
        <w:snapToGrid w:val="0"/>
        <w:spacing w:line="288" w:lineRule="auto"/>
        <w:jc w:val="center"/>
        <w:rPr>
          <w:rFonts w:hint="eastAsia" w:ascii="楷体_GB2312" w:eastAsia="楷体_GB2312"/>
          <w:color w:val="auto"/>
          <w:sz w:val="36"/>
          <w:szCs w:val="36"/>
          <w:lang w:val="en-US" w:eastAsia="zh-CN"/>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r>
        <w:rPr>
          <w:rFonts w:hint="eastAsia" w:ascii="楷体_GB2312" w:eastAsia="楷体_GB2312"/>
          <w:color w:val="auto"/>
          <w:sz w:val="36"/>
          <w:szCs w:val="36"/>
          <w:lang w:val="en-US" w:eastAsia="zh-CN"/>
        </w:rPr>
        <w:t>中华人民共和国生态环境部制</w:t>
      </w:r>
    </w:p>
    <w:p w14:paraId="18DF2835">
      <w:pPr>
        <w:pStyle w:val="13"/>
        <w:rPr>
          <w:rFonts w:hint="eastAsia"/>
          <w:color w:val="auto"/>
          <w:lang w:val="en-US" w:eastAsia="zh-CN"/>
        </w:rPr>
        <w:sectPr>
          <w:pgSz w:w="11906" w:h="16838"/>
          <w:pgMar w:top="1701" w:right="1531" w:bottom="1701"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r>
        <w:rPr>
          <w:rFonts w:hint="eastAsia"/>
          <w:color w:val="auto"/>
          <w:lang w:val="en-US" w:eastAsia="zh-CN"/>
        </w:rPr>
        <w:drawing>
          <wp:inline distT="0" distB="0" distL="114300" distR="114300">
            <wp:extent cx="5606415" cy="7929245"/>
            <wp:effectExtent l="0" t="0" r="13335" b="14605"/>
            <wp:docPr id="10" name="图片 10" descr="首驱资质 (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首驱资质 (1)_01"/>
                    <pic:cNvPicPr>
                      <a:picLocks noChangeAspect="1"/>
                    </pic:cNvPicPr>
                  </pic:nvPicPr>
                  <pic:blipFill>
                    <a:blip r:embed="rId10"/>
                    <a:stretch>
                      <a:fillRect/>
                    </a:stretch>
                  </pic:blipFill>
                  <pic:spPr>
                    <a:xfrm>
                      <a:off x="0" y="0"/>
                      <a:ext cx="5606415" cy="7929245"/>
                    </a:xfrm>
                    <a:prstGeom prst="rect">
                      <a:avLst/>
                    </a:prstGeom>
                  </pic:spPr>
                </pic:pic>
              </a:graphicData>
            </a:graphic>
          </wp:inline>
        </w:drawing>
      </w:r>
      <w:r>
        <w:rPr>
          <w:rFonts w:hint="eastAsia"/>
          <w:color w:val="auto"/>
          <w:lang w:val="en-US" w:eastAsia="zh-CN"/>
        </w:rPr>
        <w:drawing>
          <wp:inline distT="0" distB="0" distL="114300" distR="114300">
            <wp:extent cx="5606415" cy="7929245"/>
            <wp:effectExtent l="0" t="0" r="13335" b="14605"/>
            <wp:docPr id="9" name="图片 9" descr="编制单位和编制人员情况表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编制单位和编制人员情况表_01"/>
                    <pic:cNvPicPr>
                      <a:picLocks noChangeAspect="1"/>
                    </pic:cNvPicPr>
                  </pic:nvPicPr>
                  <pic:blipFill>
                    <a:blip r:embed="rId11"/>
                    <a:stretch>
                      <a:fillRect/>
                    </a:stretch>
                  </pic:blipFill>
                  <pic:spPr>
                    <a:xfrm>
                      <a:off x="0" y="0"/>
                      <a:ext cx="5606415" cy="7929245"/>
                    </a:xfrm>
                    <a:prstGeom prst="rect">
                      <a:avLst/>
                    </a:prstGeom>
                  </pic:spPr>
                </pic:pic>
              </a:graphicData>
            </a:graphic>
          </wp:inline>
        </w:drawing>
      </w:r>
    </w:p>
    <w:p w14:paraId="1F845225">
      <w:pPr>
        <w:pStyle w:val="13"/>
        <w:rPr>
          <w:rFonts w:hint="eastAsia"/>
          <w:color w:val="auto"/>
          <w:lang w:val="en-US" w:eastAsia="zh-CN"/>
        </w:rPr>
        <w:sectPr>
          <w:pgSz w:w="16838" w:h="11906" w:orient="landscape"/>
          <w:pgMar w:top="1531" w:right="1701" w:bottom="1531" w:left="1701" w:header="851" w:footer="1077" w:gutter="0"/>
          <w:pgBorders>
            <w:top w:val="none" w:sz="0" w:space="0"/>
            <w:left w:val="none" w:sz="0" w:space="0"/>
            <w:bottom w:val="none" w:sz="0" w:space="0"/>
            <w:right w:val="none" w:sz="0" w:space="0"/>
          </w:pgBorders>
          <w:pgNumType w:fmt="decimal" w:start="3"/>
          <w:cols w:space="720" w:num="1"/>
          <w:docGrid w:linePitch="312" w:charSpace="0"/>
        </w:sectPr>
      </w:pPr>
      <w:r>
        <w:rPr>
          <w:rFonts w:hint="default"/>
          <w:color w:val="auto"/>
          <w:lang w:val="en-US" w:eastAsia="zh-CN"/>
        </w:rPr>
        <w:drawing>
          <wp:inline distT="0" distB="0" distL="114300" distR="114300">
            <wp:extent cx="7930515" cy="5605780"/>
            <wp:effectExtent l="0" t="0" r="13335" b="13970"/>
            <wp:docPr id="12" name="图片 12" descr="工程师证(首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工程师证(首驱)"/>
                    <pic:cNvPicPr>
                      <a:picLocks noChangeAspect="1"/>
                    </pic:cNvPicPr>
                  </pic:nvPicPr>
                  <pic:blipFill>
                    <a:blip r:embed="rId12"/>
                    <a:stretch>
                      <a:fillRect/>
                    </a:stretch>
                  </pic:blipFill>
                  <pic:spPr>
                    <a:xfrm>
                      <a:off x="0" y="0"/>
                      <a:ext cx="7930515" cy="5605780"/>
                    </a:xfrm>
                    <a:prstGeom prst="rect">
                      <a:avLst/>
                    </a:prstGeom>
                  </pic:spPr>
                </pic:pic>
              </a:graphicData>
            </a:graphic>
          </wp:inline>
        </w:drawing>
      </w:r>
      <w:r>
        <w:rPr>
          <w:rFonts w:hint="default"/>
          <w:color w:val="auto"/>
          <w:lang w:val="en-US" w:eastAsia="zh-CN"/>
        </w:rPr>
        <w:drawing>
          <wp:inline distT="0" distB="0" distL="114300" distR="114300">
            <wp:extent cx="7927975" cy="5608320"/>
            <wp:effectExtent l="0" t="0" r="15875" b="11430"/>
            <wp:docPr id="109" name="图片 109" descr="中夏营业执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中夏营业执照"/>
                    <pic:cNvPicPr>
                      <a:picLocks noChangeAspect="1"/>
                    </pic:cNvPicPr>
                  </pic:nvPicPr>
                  <pic:blipFill>
                    <a:blip r:embed="rId13"/>
                    <a:stretch>
                      <a:fillRect/>
                    </a:stretch>
                  </pic:blipFill>
                  <pic:spPr>
                    <a:xfrm>
                      <a:off x="0" y="0"/>
                      <a:ext cx="7927975" cy="5608320"/>
                    </a:xfrm>
                    <a:prstGeom prst="rect">
                      <a:avLst/>
                    </a:prstGeom>
                  </pic:spPr>
                </pic:pic>
              </a:graphicData>
            </a:graphic>
          </wp:inline>
        </w:drawing>
      </w:r>
    </w:p>
    <w:p w14:paraId="1C539F60">
      <w:pPr>
        <w:bidi w:val="0"/>
        <w:rPr>
          <w:rFonts w:hint="default"/>
          <w:color w:val="auto"/>
          <w:lang w:val="en-US" w:eastAsia="zh-CN"/>
        </w:rPr>
      </w:pPr>
    </w:p>
    <w:p w14:paraId="2799DD33">
      <w:pPr>
        <w:rPr>
          <w:rFonts w:hint="default" w:ascii="仿宋_GB2312" w:eastAsia="仿宋_GB2312"/>
          <w:color w:val="auto"/>
          <w:sz w:val="36"/>
          <w:szCs w:val="36"/>
          <w:lang w:val="en-US" w:eastAsia="zh-CN"/>
        </w:rPr>
      </w:pPr>
    </w:p>
    <w:tbl>
      <w:tblPr>
        <w:tblStyle w:val="3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10"/>
        <w:gridCol w:w="4529"/>
      </w:tblGrid>
      <w:tr w14:paraId="2DC31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6" w:hRule="atLeast"/>
          <w:jc w:val="center"/>
        </w:trPr>
        <w:tc>
          <w:tcPr>
            <w:tcW w:w="4710" w:type="dxa"/>
            <w:noWrap w:val="0"/>
            <w:vAlign w:val="center"/>
          </w:tcPr>
          <w:p w14:paraId="4B4DF8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kern w:val="0"/>
                <w:sz w:val="21"/>
                <w:szCs w:val="21"/>
                <w:highlight w:val="none"/>
                <w:u w:val="none" w:color="auto"/>
                <w:lang w:eastAsia="zh-CN" w:bidi="ar"/>
              </w:rPr>
            </w:pPr>
            <w:r>
              <w:rPr>
                <w:rFonts w:hint="eastAsia" w:ascii="Times New Roman" w:hAnsi="Times New Roman" w:eastAsia="宋体" w:cs="Times New Roman"/>
                <w:color w:val="auto"/>
                <w:kern w:val="0"/>
                <w:sz w:val="21"/>
                <w:szCs w:val="21"/>
                <w:highlight w:val="none"/>
                <w:u w:val="none" w:color="auto"/>
                <w:lang w:eastAsia="zh-CN" w:bidi="ar"/>
              </w:rPr>
              <w:drawing>
                <wp:inline distT="0" distB="0" distL="114300" distR="114300">
                  <wp:extent cx="2809240" cy="2106930"/>
                  <wp:effectExtent l="0" t="0" r="10160" b="7620"/>
                  <wp:docPr id="23" name="图片 23" descr="c6c6cbe5c6078b767f6b03753bc96c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6c6cbe5c6078b767f6b03753bc96c0a"/>
                          <pic:cNvPicPr>
                            <a:picLocks noChangeAspect="1"/>
                          </pic:cNvPicPr>
                        </pic:nvPicPr>
                        <pic:blipFill>
                          <a:blip r:embed="rId14"/>
                          <a:stretch>
                            <a:fillRect/>
                          </a:stretch>
                        </pic:blipFill>
                        <pic:spPr>
                          <a:xfrm>
                            <a:off x="0" y="0"/>
                            <a:ext cx="2809240" cy="2106930"/>
                          </a:xfrm>
                          <a:prstGeom prst="rect">
                            <a:avLst/>
                          </a:prstGeom>
                        </pic:spPr>
                      </pic:pic>
                    </a:graphicData>
                  </a:graphic>
                </wp:inline>
              </w:drawing>
            </w:r>
          </w:p>
        </w:tc>
        <w:tc>
          <w:tcPr>
            <w:tcW w:w="4529" w:type="dxa"/>
            <w:noWrap w:val="0"/>
            <w:vAlign w:val="center"/>
          </w:tcPr>
          <w:p w14:paraId="53B1BA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u w:val="none" w:color="auto"/>
                <w:lang w:eastAsia="zh-CN" w:bidi="ar"/>
              </w:rPr>
            </w:pPr>
            <w:r>
              <w:rPr>
                <w:rFonts w:hint="default" w:ascii="Times New Roman" w:hAnsi="Times New Roman" w:eastAsia="宋体" w:cs="Times New Roman"/>
                <w:color w:val="auto"/>
                <w:kern w:val="0"/>
                <w:sz w:val="21"/>
                <w:szCs w:val="21"/>
                <w:highlight w:val="none"/>
                <w:u w:val="none" w:color="auto"/>
                <w:lang w:eastAsia="zh-CN" w:bidi="ar"/>
              </w:rPr>
              <w:drawing>
                <wp:inline distT="0" distB="0" distL="114300" distR="114300">
                  <wp:extent cx="2705100" cy="2028825"/>
                  <wp:effectExtent l="0" t="0" r="0" b="9525"/>
                  <wp:docPr id="3" name="图片 3" descr="18052952eed5307ac8020db9343a36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8052952eed5307ac8020db9343a36ec"/>
                          <pic:cNvPicPr>
                            <a:picLocks noChangeAspect="1"/>
                          </pic:cNvPicPr>
                        </pic:nvPicPr>
                        <pic:blipFill>
                          <a:blip r:embed="rId15"/>
                          <a:stretch>
                            <a:fillRect/>
                          </a:stretch>
                        </pic:blipFill>
                        <pic:spPr>
                          <a:xfrm>
                            <a:off x="0" y="0"/>
                            <a:ext cx="2705100" cy="2028825"/>
                          </a:xfrm>
                          <a:prstGeom prst="rect">
                            <a:avLst/>
                          </a:prstGeom>
                        </pic:spPr>
                      </pic:pic>
                    </a:graphicData>
                  </a:graphic>
                </wp:inline>
              </w:drawing>
            </w:r>
          </w:p>
        </w:tc>
      </w:tr>
      <w:tr w14:paraId="25C6A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4710" w:type="dxa"/>
            <w:noWrap w:val="0"/>
            <w:vAlign w:val="center"/>
          </w:tcPr>
          <w:p w14:paraId="08916C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u w:val="none" w:color="auto"/>
                <w:lang w:val="en-US" w:eastAsia="zh-CN" w:bidi="ar"/>
              </w:rPr>
            </w:pPr>
            <w:r>
              <w:rPr>
                <w:rFonts w:hint="eastAsia" w:ascii="Times New Roman" w:hAnsi="Times New Roman" w:cs="Times New Roman"/>
                <w:b w:val="0"/>
                <w:bCs w:val="0"/>
                <w:color w:val="auto"/>
                <w:kern w:val="0"/>
                <w:highlight w:val="none"/>
                <w:u w:val="none" w:color="auto"/>
                <w:lang w:val="en-US" w:eastAsia="zh-CN" w:bidi="ar"/>
              </w:rPr>
              <w:t>项目</w:t>
            </w:r>
            <w:r>
              <w:rPr>
                <w:rFonts w:hint="eastAsia" w:cs="Times New Roman"/>
                <w:b w:val="0"/>
                <w:bCs w:val="0"/>
                <w:color w:val="auto"/>
                <w:kern w:val="0"/>
                <w:highlight w:val="none"/>
                <w:u w:val="none" w:color="auto"/>
                <w:lang w:val="en-US" w:eastAsia="zh-CN" w:bidi="ar"/>
              </w:rPr>
              <w:t>生产线集气设施现状</w:t>
            </w:r>
            <w:r>
              <w:rPr>
                <w:rFonts w:hint="eastAsia" w:cs="Times New Roman"/>
                <w:b w:val="0"/>
                <w:bCs w:val="0"/>
                <w:color w:val="auto"/>
                <w:kern w:val="0"/>
                <w:highlight w:val="none"/>
                <w:u w:val="none" w:color="auto"/>
                <w:lang w:val="en-US" w:eastAsia="zh-CN" w:bidi="ar"/>
              </w:rPr>
              <w:t>（一）</w:t>
            </w:r>
          </w:p>
        </w:tc>
        <w:tc>
          <w:tcPr>
            <w:tcW w:w="4529" w:type="dxa"/>
            <w:noWrap w:val="0"/>
            <w:vAlign w:val="center"/>
          </w:tcPr>
          <w:p w14:paraId="16F293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4"/>
                <w:szCs w:val="24"/>
                <w:highlight w:val="none"/>
                <w:u w:val="none" w:color="auto"/>
                <w:lang w:val="en-US" w:eastAsia="zh-CN"/>
              </w:rPr>
            </w:pPr>
            <w:r>
              <w:rPr>
                <w:rFonts w:hint="eastAsia" w:ascii="Times New Roman" w:hAnsi="Times New Roman" w:cs="Times New Roman"/>
                <w:b w:val="0"/>
                <w:bCs w:val="0"/>
                <w:color w:val="auto"/>
                <w:kern w:val="0"/>
                <w:highlight w:val="none"/>
                <w:u w:val="none" w:color="auto"/>
                <w:lang w:val="en-US" w:eastAsia="zh-CN" w:bidi="ar"/>
              </w:rPr>
              <w:t>项目</w:t>
            </w:r>
            <w:r>
              <w:rPr>
                <w:rFonts w:hint="eastAsia" w:cs="Times New Roman"/>
                <w:b w:val="0"/>
                <w:bCs w:val="0"/>
                <w:color w:val="auto"/>
                <w:kern w:val="0"/>
                <w:highlight w:val="none"/>
                <w:u w:val="none" w:color="auto"/>
                <w:lang w:val="en-US" w:eastAsia="zh-CN" w:bidi="ar"/>
              </w:rPr>
              <w:t>生产线集气设施现状</w:t>
            </w:r>
            <w:r>
              <w:rPr>
                <w:rFonts w:hint="eastAsia" w:cs="Times New Roman"/>
                <w:b w:val="0"/>
                <w:bCs w:val="0"/>
                <w:color w:val="auto"/>
                <w:kern w:val="0"/>
                <w:highlight w:val="none"/>
                <w:u w:val="none" w:color="auto"/>
                <w:lang w:val="en-US" w:eastAsia="zh-CN" w:bidi="ar"/>
              </w:rPr>
              <w:t>（二）</w:t>
            </w:r>
          </w:p>
        </w:tc>
      </w:tr>
      <w:tr w14:paraId="15113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2" w:hRule="atLeast"/>
          <w:jc w:val="center"/>
        </w:trPr>
        <w:tc>
          <w:tcPr>
            <w:tcW w:w="4710" w:type="dxa"/>
            <w:noWrap w:val="0"/>
            <w:vAlign w:val="center"/>
          </w:tcPr>
          <w:p w14:paraId="71F18C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u w:val="none" w:color="auto"/>
                <w:lang w:eastAsia="zh-CN" w:bidi="ar"/>
              </w:rPr>
            </w:pPr>
            <w:r>
              <w:rPr>
                <w:rFonts w:hint="default" w:ascii="Times New Roman" w:hAnsi="Times New Roman" w:eastAsia="宋体" w:cs="Times New Roman"/>
                <w:color w:val="auto"/>
                <w:kern w:val="0"/>
                <w:sz w:val="21"/>
                <w:szCs w:val="21"/>
                <w:highlight w:val="none"/>
                <w:u w:val="none" w:color="auto"/>
                <w:lang w:eastAsia="zh-CN" w:bidi="ar"/>
              </w:rPr>
              <w:drawing>
                <wp:inline distT="0" distB="0" distL="114300" distR="114300">
                  <wp:extent cx="2809240" cy="2106930"/>
                  <wp:effectExtent l="0" t="0" r="10160" b="7620"/>
                  <wp:docPr id="19" name="图片 19" descr="4752875de0708811475d78abbf3fe0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4752875de0708811475d78abbf3fe0a5"/>
                          <pic:cNvPicPr>
                            <a:picLocks noChangeAspect="1"/>
                          </pic:cNvPicPr>
                        </pic:nvPicPr>
                        <pic:blipFill>
                          <a:blip r:embed="rId16"/>
                          <a:stretch>
                            <a:fillRect/>
                          </a:stretch>
                        </pic:blipFill>
                        <pic:spPr>
                          <a:xfrm>
                            <a:off x="0" y="0"/>
                            <a:ext cx="2809240" cy="2106930"/>
                          </a:xfrm>
                          <a:prstGeom prst="rect">
                            <a:avLst/>
                          </a:prstGeom>
                        </pic:spPr>
                      </pic:pic>
                    </a:graphicData>
                  </a:graphic>
                </wp:inline>
              </w:drawing>
            </w:r>
          </w:p>
        </w:tc>
        <w:tc>
          <w:tcPr>
            <w:tcW w:w="4529" w:type="dxa"/>
            <w:noWrap w:val="0"/>
            <w:vAlign w:val="center"/>
          </w:tcPr>
          <w:p w14:paraId="4F9E45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4"/>
                <w:szCs w:val="24"/>
                <w:highlight w:val="none"/>
                <w:u w:val="none" w:color="auto"/>
                <w:lang w:eastAsia="zh-CN"/>
              </w:rPr>
            </w:pPr>
            <w:r>
              <w:rPr>
                <w:rFonts w:hint="default" w:ascii="Times New Roman" w:hAnsi="Times New Roman" w:eastAsia="宋体" w:cs="Times New Roman"/>
                <w:color w:val="auto"/>
                <w:sz w:val="24"/>
                <w:szCs w:val="24"/>
                <w:highlight w:val="none"/>
                <w:u w:val="none" w:color="auto"/>
                <w:lang w:eastAsia="zh-CN"/>
              </w:rPr>
              <w:drawing>
                <wp:inline distT="0" distB="0" distL="114300" distR="114300">
                  <wp:extent cx="1699260" cy="2265045"/>
                  <wp:effectExtent l="0" t="0" r="15240" b="1905"/>
                  <wp:docPr id="20" name="图片 20" descr="1f8765c1e027cbf161b035dadb685d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f8765c1e027cbf161b035dadb685db7"/>
                          <pic:cNvPicPr>
                            <a:picLocks noChangeAspect="1"/>
                          </pic:cNvPicPr>
                        </pic:nvPicPr>
                        <pic:blipFill>
                          <a:blip r:embed="rId17"/>
                          <a:stretch>
                            <a:fillRect/>
                          </a:stretch>
                        </pic:blipFill>
                        <pic:spPr>
                          <a:xfrm>
                            <a:off x="0" y="0"/>
                            <a:ext cx="1699260" cy="2265045"/>
                          </a:xfrm>
                          <a:prstGeom prst="rect">
                            <a:avLst/>
                          </a:prstGeom>
                        </pic:spPr>
                      </pic:pic>
                    </a:graphicData>
                  </a:graphic>
                </wp:inline>
              </w:drawing>
            </w:r>
          </w:p>
        </w:tc>
      </w:tr>
      <w:tr w14:paraId="74EC1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4710" w:type="dxa"/>
            <w:noWrap w:val="0"/>
            <w:vAlign w:val="center"/>
          </w:tcPr>
          <w:p w14:paraId="509BDD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highlight w:val="none"/>
                <w:u w:val="none" w:color="auto"/>
                <w:lang w:val="en-US" w:eastAsia="zh-CN" w:bidi="ar"/>
              </w:rPr>
            </w:pPr>
            <w:r>
              <w:rPr>
                <w:rFonts w:hint="eastAsia" w:ascii="Times New Roman" w:hAnsi="Times New Roman" w:cs="Times New Roman"/>
                <w:b w:val="0"/>
                <w:bCs w:val="0"/>
                <w:color w:val="auto"/>
                <w:kern w:val="0"/>
                <w:highlight w:val="none"/>
                <w:u w:val="none" w:color="auto"/>
                <w:lang w:val="en-US" w:eastAsia="zh-CN" w:bidi="ar"/>
              </w:rPr>
              <w:t>项目</w:t>
            </w:r>
            <w:r>
              <w:rPr>
                <w:rFonts w:hint="eastAsia" w:cs="Times New Roman"/>
                <w:b w:val="0"/>
                <w:bCs w:val="0"/>
                <w:color w:val="auto"/>
                <w:kern w:val="0"/>
                <w:highlight w:val="none"/>
                <w:u w:val="none" w:color="auto"/>
                <w:lang w:val="en-US" w:eastAsia="zh-CN" w:bidi="ar"/>
              </w:rPr>
              <w:t>废气处理设施现状</w:t>
            </w:r>
          </w:p>
        </w:tc>
        <w:tc>
          <w:tcPr>
            <w:tcW w:w="4529" w:type="dxa"/>
            <w:noWrap w:val="0"/>
            <w:vAlign w:val="center"/>
          </w:tcPr>
          <w:p w14:paraId="5FE1B3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highlight w:val="none"/>
                <w:u w:val="none" w:color="auto"/>
                <w:lang w:val="en-US" w:eastAsia="zh-CN" w:bidi="ar"/>
              </w:rPr>
            </w:pPr>
            <w:r>
              <w:rPr>
                <w:rFonts w:hint="eastAsia" w:ascii="Times New Roman" w:hAnsi="Times New Roman" w:cs="Times New Roman"/>
                <w:b w:val="0"/>
                <w:bCs w:val="0"/>
                <w:color w:val="auto"/>
                <w:kern w:val="0"/>
                <w:highlight w:val="none"/>
                <w:u w:val="none" w:color="auto"/>
                <w:lang w:val="en-US" w:eastAsia="zh-CN" w:bidi="ar"/>
              </w:rPr>
              <w:t>项目</w:t>
            </w:r>
            <w:r>
              <w:rPr>
                <w:rFonts w:hint="eastAsia" w:cs="Times New Roman"/>
                <w:b w:val="0"/>
                <w:bCs w:val="0"/>
                <w:color w:val="auto"/>
                <w:kern w:val="0"/>
                <w:highlight w:val="none"/>
                <w:u w:val="none" w:color="auto"/>
                <w:lang w:val="en-US" w:eastAsia="zh-CN" w:bidi="ar"/>
              </w:rPr>
              <w:t>排气筒现状</w:t>
            </w:r>
          </w:p>
        </w:tc>
      </w:tr>
      <w:tr w14:paraId="7094D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9" w:hRule="atLeast"/>
          <w:jc w:val="center"/>
        </w:trPr>
        <w:tc>
          <w:tcPr>
            <w:tcW w:w="4710" w:type="dxa"/>
            <w:noWrap w:val="0"/>
            <w:vAlign w:val="center"/>
          </w:tcPr>
          <w:p w14:paraId="74CFE6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kern w:val="0"/>
                <w:sz w:val="21"/>
                <w:szCs w:val="21"/>
                <w:highlight w:val="none"/>
                <w:u w:val="none" w:color="auto"/>
                <w:lang w:eastAsia="zh-CN" w:bidi="ar"/>
              </w:rPr>
            </w:pPr>
            <w:r>
              <w:rPr>
                <w:rFonts w:hint="default" w:ascii="Times New Roman" w:hAnsi="Times New Roman" w:eastAsia="宋体" w:cs="Times New Roman"/>
                <w:b w:val="0"/>
                <w:bCs w:val="0"/>
                <w:color w:val="auto"/>
                <w:kern w:val="0"/>
                <w:sz w:val="21"/>
                <w:szCs w:val="21"/>
                <w:highlight w:val="none"/>
                <w:u w:val="none" w:color="auto"/>
                <w:lang w:bidi="ar"/>
              </w:rPr>
              <w:drawing>
                <wp:inline distT="0" distB="0" distL="114300" distR="114300">
                  <wp:extent cx="2809240" cy="2106930"/>
                  <wp:effectExtent l="0" t="0" r="10160" b="7620"/>
                  <wp:docPr id="21" name="图片 21" descr="4ab764743d9e2efa6d5ccd5be723b2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4ab764743d9e2efa6d5ccd5be723b21c"/>
                          <pic:cNvPicPr>
                            <a:picLocks noChangeAspect="1"/>
                          </pic:cNvPicPr>
                        </pic:nvPicPr>
                        <pic:blipFill>
                          <a:blip r:embed="rId18"/>
                          <a:stretch>
                            <a:fillRect/>
                          </a:stretch>
                        </pic:blipFill>
                        <pic:spPr>
                          <a:xfrm>
                            <a:off x="0" y="0"/>
                            <a:ext cx="2809240" cy="2106930"/>
                          </a:xfrm>
                          <a:prstGeom prst="rect">
                            <a:avLst/>
                          </a:prstGeom>
                        </pic:spPr>
                      </pic:pic>
                    </a:graphicData>
                  </a:graphic>
                </wp:inline>
              </w:drawing>
            </w:r>
            <w:r>
              <w:rPr>
                <w:rFonts w:hint="default" w:ascii="Times New Roman" w:hAnsi="Times New Roman" w:eastAsia="宋体" w:cs="Times New Roman"/>
                <w:b w:val="0"/>
                <w:bCs w:val="0"/>
                <w:color w:val="auto"/>
                <w:kern w:val="0"/>
                <w:sz w:val="21"/>
                <w:szCs w:val="21"/>
                <w:highlight w:val="none"/>
                <w:u w:val="none" w:color="auto"/>
                <w:lang w:bidi="ar"/>
              </w:rPr>
              <w:drawing>
                <wp:inline distT="0" distB="0" distL="114300" distR="114300">
                  <wp:extent cx="635" cy="0"/>
                  <wp:effectExtent l="0" t="0" r="0" b="0"/>
                  <wp:docPr id="5" name="图片 7" descr="南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南面1"/>
                          <pic:cNvPicPr>
                            <a:picLocks noChangeAspect="1"/>
                          </pic:cNvPicPr>
                        </pic:nvPicPr>
                        <pic:blipFill>
                          <a:blip r:embed="rId19"/>
                          <a:stretch>
                            <a:fillRect/>
                          </a:stretch>
                        </pic:blipFill>
                        <pic:spPr>
                          <a:xfrm>
                            <a:off x="0" y="0"/>
                            <a:ext cx="635" cy="0"/>
                          </a:xfrm>
                          <a:prstGeom prst="rect">
                            <a:avLst/>
                          </a:prstGeom>
                          <a:noFill/>
                          <a:ln>
                            <a:noFill/>
                          </a:ln>
                        </pic:spPr>
                      </pic:pic>
                    </a:graphicData>
                  </a:graphic>
                </wp:inline>
              </w:drawing>
            </w:r>
          </w:p>
        </w:tc>
        <w:tc>
          <w:tcPr>
            <w:tcW w:w="4529" w:type="dxa"/>
            <w:noWrap w:val="0"/>
            <w:vAlign w:val="center"/>
          </w:tcPr>
          <w:p w14:paraId="07806C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u w:val="none" w:color="auto"/>
                <w:lang w:eastAsia="zh-CN" w:bidi="ar"/>
              </w:rPr>
            </w:pPr>
            <w:r>
              <w:rPr>
                <w:rFonts w:hint="default" w:ascii="Times New Roman" w:hAnsi="Times New Roman" w:eastAsia="宋体" w:cs="Times New Roman"/>
                <w:b w:val="0"/>
                <w:bCs w:val="0"/>
                <w:color w:val="auto"/>
                <w:kern w:val="0"/>
                <w:sz w:val="21"/>
                <w:szCs w:val="21"/>
                <w:highlight w:val="none"/>
                <w:u w:val="none" w:color="auto"/>
                <w:lang w:eastAsia="zh-CN" w:bidi="ar"/>
              </w:rPr>
              <w:drawing>
                <wp:inline distT="0" distB="0" distL="114300" distR="114300">
                  <wp:extent cx="2729865" cy="2046605"/>
                  <wp:effectExtent l="0" t="0" r="13335" b="10795"/>
                  <wp:docPr id="1" name="图片 1" descr="26f476c3b77de6133a9933f6e81e41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6f476c3b77de6133a9933f6e81e418f"/>
                          <pic:cNvPicPr>
                            <a:picLocks noChangeAspect="1"/>
                          </pic:cNvPicPr>
                        </pic:nvPicPr>
                        <pic:blipFill>
                          <a:blip r:embed="rId20"/>
                          <a:stretch>
                            <a:fillRect/>
                          </a:stretch>
                        </pic:blipFill>
                        <pic:spPr>
                          <a:xfrm>
                            <a:off x="0" y="0"/>
                            <a:ext cx="2729865" cy="2046605"/>
                          </a:xfrm>
                          <a:prstGeom prst="rect">
                            <a:avLst/>
                          </a:prstGeom>
                        </pic:spPr>
                      </pic:pic>
                    </a:graphicData>
                  </a:graphic>
                </wp:inline>
              </w:drawing>
            </w:r>
          </w:p>
        </w:tc>
      </w:tr>
      <w:tr w14:paraId="11CC2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4710" w:type="dxa"/>
            <w:noWrap w:val="0"/>
            <w:vAlign w:val="center"/>
          </w:tcPr>
          <w:p w14:paraId="120603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highlight w:val="none"/>
                <w:u w:val="none" w:color="auto"/>
                <w:lang w:val="en-US" w:eastAsia="zh-CN" w:bidi="ar"/>
              </w:rPr>
            </w:pPr>
            <w:r>
              <w:rPr>
                <w:rFonts w:hint="eastAsia" w:ascii="Times New Roman" w:hAnsi="Times New Roman" w:cs="Times New Roman"/>
                <w:b w:val="0"/>
                <w:bCs w:val="0"/>
                <w:color w:val="auto"/>
                <w:kern w:val="0"/>
                <w:highlight w:val="none"/>
                <w:u w:val="none" w:color="auto"/>
                <w:lang w:val="en-US" w:eastAsia="zh-CN" w:bidi="ar"/>
              </w:rPr>
              <w:t>项目</w:t>
            </w:r>
            <w:r>
              <w:rPr>
                <w:rFonts w:hint="eastAsia" w:cs="Times New Roman"/>
                <w:b w:val="0"/>
                <w:bCs w:val="0"/>
                <w:color w:val="auto"/>
                <w:kern w:val="0"/>
                <w:highlight w:val="none"/>
                <w:u w:val="none" w:color="auto"/>
                <w:lang w:val="en-US" w:eastAsia="zh-CN" w:bidi="ar"/>
              </w:rPr>
              <w:t>污水处理站现状</w:t>
            </w:r>
          </w:p>
        </w:tc>
        <w:tc>
          <w:tcPr>
            <w:tcW w:w="4529" w:type="dxa"/>
            <w:noWrap w:val="0"/>
            <w:vAlign w:val="center"/>
          </w:tcPr>
          <w:p w14:paraId="6F2EC4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highlight w:val="none"/>
                <w:u w:val="none" w:color="auto"/>
                <w:lang w:val="en-US" w:eastAsia="zh-CN" w:bidi="ar"/>
              </w:rPr>
            </w:pPr>
            <w:r>
              <w:rPr>
                <w:rFonts w:hint="eastAsia" w:ascii="Times New Roman" w:hAnsi="Times New Roman" w:cs="Times New Roman"/>
                <w:b w:val="0"/>
                <w:bCs w:val="0"/>
                <w:color w:val="auto"/>
                <w:kern w:val="0"/>
                <w:highlight w:val="none"/>
                <w:u w:val="none" w:color="auto"/>
                <w:lang w:val="en-US" w:eastAsia="zh-CN" w:bidi="ar"/>
              </w:rPr>
              <w:t>项目编制主持人现场踏勘照片</w:t>
            </w:r>
          </w:p>
        </w:tc>
      </w:tr>
      <w:tr w14:paraId="2EAF3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9239" w:type="dxa"/>
            <w:gridSpan w:val="2"/>
            <w:noWrap w:val="0"/>
            <w:vAlign w:val="center"/>
          </w:tcPr>
          <w:p w14:paraId="1B744B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u w:val="none" w:color="auto"/>
                <w:lang w:bidi="ar"/>
              </w:rPr>
            </w:pPr>
            <w:r>
              <w:rPr>
                <w:rFonts w:hint="default" w:ascii="Times New Roman" w:hAnsi="Times New Roman" w:eastAsia="宋体" w:cs="Times New Roman"/>
                <w:b/>
                <w:bCs/>
                <w:color w:val="auto"/>
                <w:kern w:val="0"/>
                <w:highlight w:val="none"/>
                <w:u w:val="none" w:color="auto"/>
                <w:lang w:bidi="ar"/>
              </w:rPr>
              <w:t>项目</w:t>
            </w:r>
            <w:r>
              <w:rPr>
                <w:rFonts w:hint="default" w:ascii="Times New Roman" w:hAnsi="Times New Roman" w:eastAsia="宋体" w:cs="Times New Roman"/>
                <w:b/>
                <w:bCs/>
                <w:color w:val="auto"/>
                <w:kern w:val="0"/>
                <w:highlight w:val="none"/>
                <w:u w:val="none" w:color="auto"/>
                <w:lang w:val="en-US" w:eastAsia="zh-CN" w:bidi="ar"/>
              </w:rPr>
              <w:t>周边</w:t>
            </w:r>
            <w:r>
              <w:rPr>
                <w:rFonts w:hint="default" w:ascii="Times New Roman" w:hAnsi="Times New Roman" w:eastAsia="宋体" w:cs="Times New Roman"/>
                <w:b/>
                <w:bCs/>
                <w:color w:val="auto"/>
                <w:kern w:val="0"/>
                <w:highlight w:val="none"/>
                <w:u w:val="none" w:color="auto"/>
                <w:lang w:bidi="ar"/>
              </w:rPr>
              <w:t>环境现状图</w:t>
            </w:r>
          </w:p>
        </w:tc>
      </w:tr>
    </w:tbl>
    <w:p w14:paraId="02EB83FD">
      <w:pPr>
        <w:rPr>
          <w:rFonts w:ascii="仿宋_GB2312" w:eastAsia="仿宋_GB2312"/>
          <w:color w:val="auto"/>
          <w:sz w:val="36"/>
          <w:szCs w:val="36"/>
        </w:rPr>
      </w:pPr>
      <w:r>
        <w:rPr>
          <w:rFonts w:ascii="仿宋_GB2312" w:eastAsia="仿宋_GB2312"/>
          <w:color w:val="auto"/>
          <w:sz w:val="36"/>
          <w:szCs w:val="36"/>
        </w:rPr>
        <w:br w:type="page"/>
      </w:r>
    </w:p>
    <w:p w14:paraId="033F2023">
      <w:pPr>
        <w:adjustRightInd w:val="0"/>
        <w:snapToGrid w:val="0"/>
        <w:spacing w:line="288" w:lineRule="auto"/>
        <w:ind w:firstLine="1040"/>
        <w:rPr>
          <w:rFonts w:ascii="仿宋_GB2312" w:eastAsia="仿宋_GB2312"/>
          <w:color w:val="auto"/>
          <w:sz w:val="36"/>
          <w:szCs w:val="36"/>
        </w:rPr>
        <w:sectPr>
          <w:pgSz w:w="11906" w:h="16838"/>
          <w:pgMar w:top="1701" w:right="1531" w:bottom="1701"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p>
    <w:p w14:paraId="0ED2F018">
      <w:pPr>
        <w:jc w:val="center"/>
        <w:rPr>
          <w:rFonts w:hint="default" w:ascii="Times New Roman" w:hAnsi="Times New Roman" w:eastAsia="宋体" w:cs="Times New Roman"/>
          <w:b/>
          <w:bCs/>
          <w:color w:val="auto"/>
          <w:sz w:val="28"/>
          <w:szCs w:val="36"/>
        </w:rPr>
      </w:pPr>
      <w:r>
        <w:rPr>
          <w:rFonts w:hint="default" w:ascii="Times New Roman" w:hAnsi="Times New Roman" w:eastAsia="宋体" w:cs="Times New Roman"/>
          <w:b/>
          <w:bCs/>
          <w:color w:val="auto"/>
          <w:sz w:val="32"/>
          <w:szCs w:val="32"/>
        </w:rPr>
        <w:t>目 录</w:t>
      </w:r>
    </w:p>
    <w:p w14:paraId="6C42CE8F">
      <w:pPr>
        <w:pStyle w:val="28"/>
        <w:tabs>
          <w:tab w:val="right" w:leader="dot" w:pos="8844"/>
        </w:tabs>
        <w:rPr>
          <w:rFonts w:hint="default" w:ascii="Times New Roman" w:hAnsi="Times New Roman" w:eastAsia="宋体" w:cs="Times New Roman"/>
          <w:color w:val="auto"/>
        </w:rPr>
      </w:pP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TOC \o "1-1" \h \u </w:instrText>
      </w:r>
      <w:r>
        <w:rPr>
          <w:rFonts w:hint="default" w:ascii="Times New Roman" w:hAnsi="Times New Roman" w:eastAsia="宋体" w:cs="Times New Roman"/>
          <w:color w:val="auto"/>
        </w:rPr>
        <w:fldChar w:fldCharType="separate"/>
      </w:r>
    </w:p>
    <w:p w14:paraId="28FC9B85">
      <w:pPr>
        <w:pStyle w:val="28"/>
        <w:tabs>
          <w:tab w:val="right" w:leader="dot" w:pos="8844"/>
        </w:tabs>
        <w:rPr>
          <w:color w:val="auto"/>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TOC \o "1-1" \h \u </w:instrText>
      </w:r>
      <w:r>
        <w:rPr>
          <w:rFonts w:hint="default" w:ascii="Times New Roman" w:hAnsi="Times New Roman" w:eastAsia="宋体" w:cs="Times New Roman"/>
          <w:color w:val="auto"/>
          <w:sz w:val="24"/>
          <w:szCs w:val="24"/>
        </w:rPr>
        <w:fldChar w:fldCharType="separate"/>
      </w:r>
    </w:p>
    <w:p w14:paraId="24EA6320">
      <w:pPr>
        <w:pStyle w:val="2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\l _Toc26278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snapToGrid w:val="0"/>
          <w:color w:val="auto"/>
          <w:sz w:val="24"/>
          <w:szCs w:val="24"/>
        </w:rPr>
        <w:t>一、建设项目基本情况</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_Toc26278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3</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rPr>
        <w:fldChar w:fldCharType="end"/>
      </w:r>
    </w:p>
    <w:p w14:paraId="6D71DF4E">
      <w:pPr>
        <w:pStyle w:val="2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\l _Toc16028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snapToGrid w:val="0"/>
          <w:color w:val="auto"/>
          <w:sz w:val="24"/>
          <w:szCs w:val="24"/>
        </w:rPr>
        <w:t>二、建设项目工程分析</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_Toc16028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12</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rPr>
        <w:fldChar w:fldCharType="end"/>
      </w:r>
    </w:p>
    <w:p w14:paraId="4423E691">
      <w:pPr>
        <w:pStyle w:val="2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\l _Toc5348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snapToGrid w:val="0"/>
          <w:color w:val="auto"/>
          <w:sz w:val="24"/>
          <w:szCs w:val="24"/>
        </w:rPr>
        <w:t>三、区域环境质量现状、环境保护目标及评价标准</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_Toc5348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40</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rPr>
        <w:fldChar w:fldCharType="end"/>
      </w:r>
    </w:p>
    <w:p w14:paraId="06869B5E">
      <w:pPr>
        <w:pStyle w:val="2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\l _Toc24607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snapToGrid w:val="0"/>
          <w:color w:val="auto"/>
          <w:sz w:val="24"/>
          <w:szCs w:val="24"/>
        </w:rPr>
        <w:t>四、主要环境影响和保护措施</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_Toc24607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46</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rPr>
        <w:fldChar w:fldCharType="end"/>
      </w:r>
    </w:p>
    <w:p w14:paraId="54742314">
      <w:pPr>
        <w:pStyle w:val="2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\l _Toc980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snapToGrid w:val="0"/>
          <w:color w:val="auto"/>
          <w:sz w:val="24"/>
          <w:szCs w:val="24"/>
        </w:rPr>
        <w:t>五、环境保护措施监督检查清单</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_Toc980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90</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rPr>
        <w:fldChar w:fldCharType="end"/>
      </w:r>
    </w:p>
    <w:p w14:paraId="188B0E10">
      <w:pPr>
        <w:pStyle w:val="2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\l _Toc18151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snapToGrid w:val="0"/>
          <w:color w:val="auto"/>
          <w:sz w:val="24"/>
          <w:szCs w:val="24"/>
        </w:rPr>
        <w:t>六、结论</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_Toc18151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92</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rPr>
        <w:fldChar w:fldCharType="end"/>
      </w:r>
    </w:p>
    <w:p w14:paraId="6C997516">
      <w:pPr>
        <w:pStyle w:val="28"/>
        <w:tabs>
          <w:tab w:val="right" w:leader="dot" w:pos="8844"/>
        </w:tabs>
        <w:rPr>
          <w:color w:val="auto"/>
        </w:rPr>
      </w:pPr>
    </w:p>
    <w:p w14:paraId="1FBE2182">
      <w:pPr>
        <w:snapToGrid w:val="0"/>
        <w:spacing w:line="360" w:lineRule="auto"/>
        <w:rPr>
          <w:rFonts w:hint="default" w:ascii="Times New Roman" w:hAnsi="Times New Roman" w:eastAsia="宋体" w:cs="Times New Roman"/>
          <w:color w:val="auto"/>
        </w:rPr>
      </w:pPr>
      <w:r>
        <w:rPr>
          <w:rFonts w:hint="default" w:ascii="Times New Roman" w:hAnsi="Times New Roman" w:eastAsia="宋体" w:cs="Times New Roman"/>
          <w:color w:val="auto"/>
        </w:rPr>
        <w:fldChar w:fldCharType="end"/>
      </w:r>
    </w:p>
    <w:p w14:paraId="2F55086A">
      <w:pPr>
        <w:snapToGrid w:val="0"/>
        <w:spacing w:line="360" w:lineRule="auto"/>
        <w:rPr>
          <w:rFonts w:hint="default" w:ascii="Times New Roman" w:hAnsi="Times New Roman" w:eastAsia="宋体" w:cs="Times New Roman"/>
          <w:color w:val="auto"/>
        </w:rPr>
      </w:pPr>
    </w:p>
    <w:p w14:paraId="51D65C0F">
      <w:pPr>
        <w:snapToGrid w:val="0"/>
        <w:spacing w:line="360" w:lineRule="auto"/>
        <w:rPr>
          <w:rFonts w:hint="default" w:ascii="Times New Roman" w:hAnsi="Times New Roman" w:eastAsia="宋体" w:cs="Times New Roman"/>
          <w:color w:val="auto"/>
        </w:rPr>
      </w:pPr>
    </w:p>
    <w:p w14:paraId="303E069F">
      <w:pPr>
        <w:snapToGrid w:val="0"/>
        <w:spacing w:line="360" w:lineRule="auto"/>
        <w:rPr>
          <w:rFonts w:hint="default" w:ascii="Times New Roman" w:hAnsi="Times New Roman" w:eastAsia="宋体" w:cs="Times New Roman"/>
          <w:color w:val="auto"/>
          <w:sz w:val="24"/>
        </w:rPr>
      </w:pPr>
    </w:p>
    <w:p w14:paraId="2873A995">
      <w:pPr>
        <w:pStyle w:val="36"/>
        <w:snapToGrid/>
        <w:spacing w:before="0" w:after="0" w:line="360" w:lineRule="auto"/>
        <w:ind w:right="0"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fldChar w:fldCharType="end"/>
      </w:r>
    </w:p>
    <w:p w14:paraId="04D591E6">
      <w:pPr>
        <w:pStyle w:val="36"/>
        <w:snapToGrid/>
        <w:spacing w:before="0" w:after="0" w:line="360" w:lineRule="auto"/>
        <w:ind w:right="0" w:firstLine="0" w:firstLineChars="0"/>
        <w:rPr>
          <w:rFonts w:hint="default" w:ascii="Times New Roman" w:hAnsi="Times New Roman" w:eastAsia="宋体" w:cs="Times New Roman"/>
          <w:color w:val="auto"/>
        </w:rPr>
      </w:pPr>
    </w:p>
    <w:p w14:paraId="57B2DAF7">
      <w:pPr>
        <w:pStyle w:val="36"/>
        <w:snapToGrid/>
        <w:spacing w:before="0" w:after="0" w:line="360" w:lineRule="auto"/>
        <w:ind w:right="0" w:firstLine="0" w:firstLineChars="0"/>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附图：</w:t>
      </w:r>
    </w:p>
    <w:p w14:paraId="6A612039">
      <w:pPr>
        <w:pStyle w:val="36"/>
        <w:snapToGrid/>
        <w:spacing w:before="0" w:after="0" w:line="360" w:lineRule="auto"/>
        <w:ind w:right="0"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附图1 项目地理位置图</w:t>
      </w:r>
    </w:p>
    <w:p w14:paraId="7662DD04">
      <w:pPr>
        <w:pStyle w:val="36"/>
        <w:snapToGrid/>
        <w:spacing w:before="0" w:after="0" w:line="360" w:lineRule="auto"/>
        <w:ind w:right="0" w:firstLine="0" w:firstLineChars="0"/>
        <w:rPr>
          <w:color w:val="auto"/>
          <w:sz w:val="24"/>
          <w:szCs w:val="24"/>
        </w:rPr>
      </w:pPr>
      <w:r>
        <w:rPr>
          <w:rFonts w:hint="default" w:ascii="Times New Roman" w:hAnsi="Times New Roman" w:eastAsia="宋体" w:cs="Times New Roman"/>
          <w:color w:val="auto"/>
          <w:sz w:val="24"/>
          <w:szCs w:val="24"/>
        </w:rPr>
        <w:t>附图2</w:t>
      </w:r>
      <w:r>
        <w:rPr>
          <w:rFonts w:hint="eastAsia" w:cs="Times New Roman"/>
          <w:color w:val="auto"/>
          <w:sz w:val="24"/>
          <w:szCs w:val="24"/>
          <w:lang w:val="en-US" w:eastAsia="zh-CN"/>
        </w:rPr>
        <w:t>-1</w:t>
      </w:r>
      <w:r>
        <w:rPr>
          <w:rFonts w:hint="default" w:ascii="Times New Roman" w:hAnsi="Times New Roman" w:eastAsia="宋体" w:cs="Times New Roman"/>
          <w:color w:val="auto"/>
          <w:sz w:val="24"/>
          <w:szCs w:val="24"/>
        </w:rPr>
        <w:t xml:space="preserve"> 项目2号厂房总平面布置图</w:t>
      </w:r>
      <w:r>
        <w:rPr>
          <w:rFonts w:hint="eastAsia"/>
          <w:color w:val="auto"/>
          <w:sz w:val="24"/>
          <w:szCs w:val="24"/>
          <w:lang w:val="en-US" w:eastAsia="zh-CN"/>
        </w:rPr>
        <w:t xml:space="preserve"> </w:t>
      </w:r>
    </w:p>
    <w:p w14:paraId="713EE152">
      <w:pPr>
        <w:pStyle w:val="36"/>
        <w:snapToGrid/>
        <w:spacing w:before="0" w:after="0" w:line="360" w:lineRule="auto"/>
        <w:ind w:right="0" w:firstLine="0" w:firstLineChars="0"/>
        <w:rPr>
          <w:color w:val="auto"/>
          <w:sz w:val="24"/>
          <w:szCs w:val="24"/>
        </w:rPr>
      </w:pPr>
      <w:r>
        <w:rPr>
          <w:rFonts w:hint="eastAsia"/>
          <w:color w:val="auto"/>
          <w:sz w:val="24"/>
          <w:szCs w:val="24"/>
          <w:lang w:val="en-US" w:eastAsia="zh-CN"/>
        </w:rPr>
        <w:t>附图2-2：项目2号厂房生产区总平面布置</w:t>
      </w:r>
      <w:r>
        <w:rPr>
          <w:rFonts w:hint="default" w:ascii="Times New Roman" w:hAnsi="Times New Roman" w:eastAsia="宋体" w:cs="Times New Roman"/>
          <w:color w:val="auto"/>
          <w:sz w:val="24"/>
          <w:szCs w:val="24"/>
        </w:rPr>
        <w:t>图</w:t>
      </w:r>
    </w:p>
    <w:p w14:paraId="54F2EA09">
      <w:pPr>
        <w:pStyle w:val="36"/>
        <w:snapToGrid/>
        <w:spacing w:before="0" w:after="0" w:line="360" w:lineRule="auto"/>
        <w:ind w:right="0" w:firstLine="0" w:firstLineChars="0"/>
        <w:rPr>
          <w:rFonts w:hint="default" w:ascii="Times New Roman" w:hAnsi="Times New Roman" w:eastAsia="宋体" w:cs="Times New Roman"/>
          <w:color w:val="auto"/>
          <w:sz w:val="24"/>
          <w:szCs w:val="24"/>
        </w:rPr>
      </w:pPr>
      <w:r>
        <w:rPr>
          <w:rFonts w:hint="eastAsia"/>
          <w:color w:val="auto"/>
          <w:sz w:val="24"/>
          <w:szCs w:val="24"/>
          <w:lang w:val="en-US" w:eastAsia="zh-CN"/>
        </w:rPr>
        <w:t>附图2-3  项目</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号厂房总平面布置图</w:t>
      </w:r>
      <w:r>
        <w:rPr>
          <w:rFonts w:hint="eastAsia" w:cs="Times New Roman"/>
          <w:color w:val="auto"/>
          <w:sz w:val="24"/>
          <w:szCs w:val="24"/>
          <w:lang w:eastAsia="zh-CN"/>
        </w:rPr>
        <w:t>。</w:t>
      </w:r>
    </w:p>
    <w:p w14:paraId="03B5B083">
      <w:pPr>
        <w:pStyle w:val="36"/>
        <w:snapToGrid/>
        <w:spacing w:before="0" w:after="0" w:line="360" w:lineRule="auto"/>
        <w:ind w:right="0"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附图3</w:t>
      </w:r>
      <w:r>
        <w:rPr>
          <w:rFonts w:hint="eastAsia" w:cs="Times New Roman"/>
          <w:color w:val="auto"/>
          <w:sz w:val="24"/>
          <w:szCs w:val="24"/>
          <w:lang w:val="en-US" w:eastAsia="zh-CN"/>
        </w:rPr>
        <w:t xml:space="preserve"> </w:t>
      </w:r>
      <w:r>
        <w:rPr>
          <w:rFonts w:hint="default" w:ascii="Times New Roman" w:hAnsi="Times New Roman" w:eastAsia="宋体" w:cs="Times New Roman"/>
          <w:color w:val="auto"/>
          <w:sz w:val="24"/>
          <w:szCs w:val="24"/>
        </w:rPr>
        <w:t>项目周边环境示意图</w:t>
      </w:r>
    </w:p>
    <w:p w14:paraId="20AB493F">
      <w:pPr>
        <w:pStyle w:val="36"/>
        <w:snapToGrid/>
        <w:spacing w:before="0" w:after="0" w:line="360" w:lineRule="auto"/>
        <w:ind w:right="0"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附图4</w:t>
      </w:r>
      <w:r>
        <w:rPr>
          <w:rFonts w:hint="default" w:ascii="Times New Roman" w:hAnsi="Times New Roman" w:cs="Times New Roman"/>
          <w:color w:val="auto"/>
          <w:sz w:val="24"/>
          <w:szCs w:val="24"/>
          <w:lang w:val="en-US" w:eastAsia="zh-CN"/>
        </w:rPr>
        <w:t xml:space="preserve"> </w:t>
      </w:r>
      <w:r>
        <w:rPr>
          <w:rFonts w:hint="default" w:ascii="Times New Roman" w:hAnsi="Times New Roman" w:eastAsia="宋体" w:cs="Times New Roman"/>
          <w:color w:val="auto"/>
          <w:sz w:val="24"/>
          <w:szCs w:val="24"/>
        </w:rPr>
        <w:t>项目监测点位示意图</w:t>
      </w:r>
    </w:p>
    <w:p w14:paraId="2F803932">
      <w:pPr>
        <w:pStyle w:val="36"/>
        <w:snapToGrid/>
        <w:spacing w:before="0" w:after="0" w:line="360" w:lineRule="auto"/>
        <w:ind w:right="0" w:firstLine="0" w:firstLineChars="0"/>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z w:val="24"/>
          <w:szCs w:val="24"/>
        </w:rPr>
        <w:t xml:space="preserve">附图5 </w:t>
      </w:r>
      <w:r>
        <w:rPr>
          <w:rFonts w:hint="default" w:ascii="Times New Roman" w:hAnsi="Times New Roman" w:eastAsia="宋体" w:cs="Times New Roman"/>
          <w:color w:val="auto"/>
          <w:spacing w:val="-2"/>
          <w:sz w:val="24"/>
          <w:szCs w:val="24"/>
        </w:rPr>
        <w:t>柳州市柳东新区花岭北片区控制性详细规划图</w:t>
      </w:r>
    </w:p>
    <w:p w14:paraId="1A2F46AD">
      <w:pPr>
        <w:pStyle w:val="36"/>
        <w:snapToGrid/>
        <w:spacing w:before="0" w:after="0" w:line="360" w:lineRule="auto"/>
        <w:ind w:right="0" w:firstLine="0" w:firstLineChars="0"/>
        <w:rPr>
          <w:rFonts w:hint="default" w:ascii="Times New Roman" w:hAnsi="Times New Roman" w:eastAsia="宋体" w:cs="Times New Roman"/>
          <w:color w:val="auto"/>
          <w:spacing w:val="-2"/>
          <w:sz w:val="24"/>
          <w:szCs w:val="24"/>
          <w:lang w:val="en-US" w:eastAsia="zh-CN"/>
        </w:rPr>
      </w:pPr>
      <w:r>
        <w:rPr>
          <w:rFonts w:hint="default" w:ascii="Times New Roman" w:hAnsi="Times New Roman" w:eastAsia="宋体" w:cs="Times New Roman"/>
          <w:color w:val="auto"/>
          <w:spacing w:val="-2"/>
          <w:sz w:val="24"/>
          <w:szCs w:val="24"/>
          <w:lang w:val="en-US" w:eastAsia="zh-CN"/>
        </w:rPr>
        <w:t>附图6 柳州市国土空间总体规划</w:t>
      </w:r>
      <w:r>
        <w:rPr>
          <w:rFonts w:hint="eastAsia" w:cs="Times New Roman"/>
          <w:color w:val="auto"/>
          <w:spacing w:val="-2"/>
          <w:sz w:val="24"/>
          <w:szCs w:val="24"/>
          <w:lang w:val="en-US" w:eastAsia="zh-CN"/>
        </w:rPr>
        <w:t>（</w:t>
      </w:r>
      <w:r>
        <w:rPr>
          <w:rFonts w:hint="default" w:ascii="Times New Roman" w:hAnsi="Times New Roman" w:eastAsia="宋体" w:cs="Times New Roman"/>
          <w:color w:val="auto"/>
          <w:spacing w:val="-2"/>
          <w:sz w:val="24"/>
          <w:szCs w:val="24"/>
          <w:lang w:val="en-US" w:eastAsia="zh-CN"/>
        </w:rPr>
        <w:t>2021</w:t>
      </w:r>
      <w:r>
        <w:rPr>
          <w:rFonts w:hint="eastAsia" w:cs="Times New Roman"/>
          <w:color w:val="auto"/>
          <w:spacing w:val="-2"/>
          <w:sz w:val="24"/>
          <w:szCs w:val="24"/>
          <w:lang w:val="en-US" w:eastAsia="zh-CN"/>
        </w:rPr>
        <w:t>—</w:t>
      </w:r>
      <w:r>
        <w:rPr>
          <w:rFonts w:hint="default" w:ascii="Times New Roman" w:hAnsi="Times New Roman" w:eastAsia="宋体" w:cs="Times New Roman"/>
          <w:color w:val="auto"/>
          <w:spacing w:val="-2"/>
          <w:sz w:val="24"/>
          <w:szCs w:val="24"/>
          <w:lang w:val="en-US" w:eastAsia="zh-CN"/>
        </w:rPr>
        <w:t>2035年</w:t>
      </w:r>
      <w:r>
        <w:rPr>
          <w:rFonts w:hint="eastAsia" w:cs="Times New Roman"/>
          <w:color w:val="auto"/>
          <w:spacing w:val="-2"/>
          <w:sz w:val="24"/>
          <w:szCs w:val="24"/>
          <w:lang w:val="en-US" w:eastAsia="zh-CN"/>
        </w:rPr>
        <w:t>）－</w:t>
      </w:r>
      <w:r>
        <w:rPr>
          <w:rFonts w:hint="default" w:ascii="Times New Roman" w:hAnsi="Times New Roman" w:eastAsia="宋体" w:cs="Times New Roman"/>
          <w:color w:val="auto"/>
          <w:spacing w:val="-2"/>
          <w:sz w:val="24"/>
          <w:szCs w:val="24"/>
          <w:lang w:val="en-US" w:eastAsia="zh-CN"/>
        </w:rPr>
        <w:t>土地使用规划图</w:t>
      </w:r>
    </w:p>
    <w:p w14:paraId="1708C796">
      <w:pPr>
        <w:pStyle w:val="36"/>
        <w:snapToGrid/>
        <w:spacing w:before="0" w:after="0" w:line="360" w:lineRule="auto"/>
        <w:ind w:right="0" w:firstLine="0" w:firstLineChars="0"/>
        <w:rPr>
          <w:color w:val="auto"/>
        </w:rPr>
      </w:pPr>
      <w:r>
        <w:rPr>
          <w:rFonts w:hint="default" w:ascii="Times New Roman" w:hAnsi="Times New Roman" w:eastAsia="宋体" w:cs="Times New Roman"/>
          <w:color w:val="auto"/>
          <w:spacing w:val="-2"/>
          <w:sz w:val="24"/>
          <w:szCs w:val="24"/>
          <w:lang w:val="en-US" w:eastAsia="zh-CN"/>
        </w:rPr>
        <w:t>附图7 柳州市城区声功能区划图</w:t>
      </w:r>
    </w:p>
    <w:p w14:paraId="263B5B3A">
      <w:pPr>
        <w:pStyle w:val="36"/>
        <w:snapToGrid/>
        <w:spacing w:before="0" w:after="0" w:line="360" w:lineRule="auto"/>
        <w:ind w:right="0" w:firstLine="0" w:firstLineChars="0"/>
        <w:rPr>
          <w:rFonts w:hint="default" w:ascii="Times New Roman" w:hAnsi="Times New Roman" w:eastAsia="宋体" w:cs="Times New Roman"/>
          <w:color w:val="auto"/>
          <w:spacing w:val="-2"/>
          <w:sz w:val="24"/>
          <w:szCs w:val="24"/>
          <w:lang w:val="en-US" w:eastAsia="zh-CN"/>
        </w:rPr>
      </w:pPr>
      <w:r>
        <w:rPr>
          <w:rFonts w:hint="eastAsia" w:ascii="宋体" w:hAnsi="宋体" w:eastAsia="宋体" w:cs="宋体"/>
          <w:color w:val="auto"/>
          <w:spacing w:val="-2"/>
          <w:sz w:val="24"/>
          <w:szCs w:val="24"/>
          <w:lang w:val="en-US" w:eastAsia="zh-CN"/>
        </w:rPr>
        <w:t>附</w:t>
      </w:r>
      <w:r>
        <w:rPr>
          <w:rFonts w:hint="default" w:ascii="Times New Roman" w:hAnsi="Times New Roman" w:eastAsia="宋体" w:cs="Times New Roman"/>
          <w:color w:val="auto"/>
          <w:spacing w:val="-2"/>
          <w:sz w:val="24"/>
          <w:szCs w:val="24"/>
          <w:lang w:val="en-US" w:eastAsia="zh-CN"/>
        </w:rPr>
        <w:t>图8 柳州市城市区域环境空气功能区划分示意图</w:t>
      </w:r>
    </w:p>
    <w:p w14:paraId="203ED2DF">
      <w:pPr>
        <w:pStyle w:val="36"/>
        <w:snapToGrid/>
        <w:spacing w:before="0" w:after="0" w:line="360" w:lineRule="auto"/>
        <w:ind w:right="0" w:firstLine="0" w:firstLineChars="0"/>
        <w:rPr>
          <w:rFonts w:hint="default" w:ascii="Times New Roman" w:hAnsi="Times New Roman" w:cs="Times New Roman"/>
          <w:color w:val="auto"/>
          <w:spacing w:val="-2"/>
          <w:sz w:val="24"/>
          <w:szCs w:val="24"/>
          <w:lang w:val="en-US" w:eastAsia="zh-CN"/>
        </w:rPr>
      </w:pPr>
      <w:r>
        <w:rPr>
          <w:rFonts w:hint="default" w:ascii="Times New Roman" w:hAnsi="Times New Roman" w:cs="Times New Roman"/>
          <w:color w:val="auto"/>
          <w:spacing w:val="-2"/>
          <w:sz w:val="24"/>
          <w:szCs w:val="24"/>
          <w:lang w:val="en-US" w:eastAsia="zh-CN"/>
        </w:rPr>
        <w:t>附图9 项目厂外污水走向图</w:t>
      </w:r>
    </w:p>
    <w:p w14:paraId="67D98785">
      <w:pPr>
        <w:pStyle w:val="36"/>
        <w:snapToGrid/>
        <w:spacing w:before="0" w:after="0" w:line="360" w:lineRule="auto"/>
        <w:ind w:right="0" w:firstLine="0" w:firstLineChars="0"/>
        <w:rPr>
          <w:rFonts w:hint="eastAsia" w:ascii="Times New Roman" w:hAnsi="Times New Roman" w:eastAsia="宋体" w:cs="Times New Roman"/>
          <w:color w:val="auto"/>
          <w:sz w:val="24"/>
          <w:szCs w:val="24"/>
          <w:highlight w:val="none"/>
          <w:lang w:eastAsia="zh-CN"/>
        </w:rPr>
      </w:pPr>
      <w:r>
        <w:rPr>
          <w:rFonts w:hint="eastAsia" w:ascii="Times New Roman" w:hAnsi="Times New Roman" w:cs="Times New Roman"/>
          <w:color w:val="auto"/>
          <w:spacing w:val="-2"/>
          <w:sz w:val="24"/>
          <w:szCs w:val="24"/>
          <w:highlight w:val="none"/>
          <w:lang w:val="en-US" w:eastAsia="zh-CN"/>
        </w:rPr>
        <w:t>附图10 项目厂区</w:t>
      </w:r>
      <w:r>
        <w:rPr>
          <w:rFonts w:hint="eastAsia" w:cs="Times New Roman"/>
          <w:color w:val="auto"/>
          <w:spacing w:val="-2"/>
          <w:sz w:val="24"/>
          <w:szCs w:val="24"/>
          <w:highlight w:val="none"/>
          <w:lang w:val="en-US" w:eastAsia="zh-CN"/>
        </w:rPr>
        <w:t>雨</w:t>
      </w:r>
      <w:r>
        <w:rPr>
          <w:rFonts w:hint="eastAsia" w:ascii="Times New Roman" w:hAnsi="Times New Roman" w:cs="Times New Roman"/>
          <w:color w:val="auto"/>
          <w:spacing w:val="-2"/>
          <w:sz w:val="24"/>
          <w:szCs w:val="24"/>
          <w:highlight w:val="none"/>
          <w:lang w:val="en-US" w:eastAsia="zh-CN"/>
        </w:rPr>
        <w:t>污水走向图</w:t>
      </w:r>
    </w:p>
    <w:p w14:paraId="2137E0BC">
      <w:pPr>
        <w:pStyle w:val="36"/>
        <w:snapToGrid/>
        <w:spacing w:before="0" w:after="0" w:line="360" w:lineRule="auto"/>
        <w:ind w:right="0" w:firstLine="0" w:firstLineChars="0"/>
        <w:rPr>
          <w:rFonts w:hint="default" w:ascii="Times New Roman" w:hAnsi="Times New Roman" w:eastAsia="宋体" w:cs="Times New Roman"/>
          <w:color w:val="auto"/>
          <w:sz w:val="24"/>
          <w:szCs w:val="24"/>
        </w:rPr>
      </w:pPr>
    </w:p>
    <w:p w14:paraId="469D0D1D">
      <w:pPr>
        <w:pStyle w:val="37"/>
        <w:rPr>
          <w:rFonts w:hint="default" w:ascii="Times New Roman" w:hAnsi="Times New Roman" w:eastAsia="宋体" w:cs="Times New Roman"/>
          <w:color w:val="auto"/>
          <w:sz w:val="24"/>
          <w:szCs w:val="24"/>
        </w:rPr>
      </w:pPr>
    </w:p>
    <w:p w14:paraId="4D3ACDD2">
      <w:pPr>
        <w:rPr>
          <w:rFonts w:hint="default"/>
          <w:color w:val="auto"/>
        </w:rPr>
      </w:pPr>
    </w:p>
    <w:p w14:paraId="12600E62">
      <w:pPr>
        <w:pStyle w:val="36"/>
        <w:snapToGrid/>
        <w:spacing w:before="0" w:after="0" w:line="360" w:lineRule="auto"/>
        <w:ind w:right="0" w:firstLine="0" w:firstLineChars="0"/>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附件：</w:t>
      </w:r>
    </w:p>
    <w:p w14:paraId="34D06120">
      <w:pPr>
        <w:pStyle w:val="36"/>
        <w:snapToGrid/>
        <w:spacing w:before="0" w:after="0" w:line="360" w:lineRule="auto"/>
        <w:ind w:right="0"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附件1</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t>项目环评委托书</w:t>
      </w:r>
    </w:p>
    <w:p w14:paraId="4F1B9708">
      <w:pPr>
        <w:pStyle w:val="36"/>
        <w:snapToGrid/>
        <w:spacing w:before="0" w:after="0" w:line="360" w:lineRule="auto"/>
        <w:ind w:right="0"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附件2</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t>项目备案证明</w:t>
      </w:r>
    </w:p>
    <w:p w14:paraId="19BAA9EF">
      <w:pPr>
        <w:pStyle w:val="36"/>
        <w:snapToGrid/>
        <w:spacing w:before="0" w:after="0" w:line="360" w:lineRule="auto"/>
        <w:ind w:right="0" w:firstLine="0" w:firstLineChars="0"/>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rPr>
        <w:t>附件</w:t>
      </w:r>
      <w:r>
        <w:rPr>
          <w:rFonts w:hint="default" w:ascii="Times New Roman" w:hAnsi="Times New Roman" w:eastAsia="宋体" w:cs="Times New Roman"/>
          <w:color w:val="auto"/>
          <w:kern w:val="2"/>
          <w:sz w:val="24"/>
          <w:szCs w:val="24"/>
          <w:lang w:val="en-US" w:eastAsia="zh-CN"/>
        </w:rPr>
        <w:t>3</w:t>
      </w:r>
      <w:r>
        <w:rPr>
          <w:rFonts w:hint="default" w:ascii="Times New Roman" w:hAnsi="Times New Roman" w:eastAsia="宋体" w:cs="Times New Roman"/>
          <w:color w:val="auto"/>
          <w:kern w:val="2"/>
          <w:sz w:val="24"/>
          <w:szCs w:val="24"/>
        </w:rPr>
        <w:t xml:space="preserve"> 环氧电泳漆涂料成分报告</w:t>
      </w:r>
    </w:p>
    <w:p w14:paraId="2371B03D">
      <w:pPr>
        <w:snapToGrid w:val="0"/>
        <w:spacing w:line="360" w:lineRule="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附件</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 xml:space="preserve"> </w:t>
      </w:r>
      <w:r>
        <w:rPr>
          <w:rFonts w:hint="default" w:ascii="Times New Roman" w:hAnsi="Times New Roman" w:eastAsia="宋体" w:cs="Times New Roman"/>
          <w:color w:val="auto"/>
          <w:sz w:val="24"/>
          <w:szCs w:val="24"/>
          <w:lang w:val="en-US" w:eastAsia="zh-CN"/>
        </w:rPr>
        <w:t>表调剂成分报告</w:t>
      </w:r>
    </w:p>
    <w:p w14:paraId="5CBBF62A">
      <w:pPr>
        <w:snapToGrid w:val="0"/>
        <w:spacing w:line="360" w:lineRule="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附件5 除油粉成分报告</w:t>
      </w:r>
    </w:p>
    <w:p w14:paraId="761D15E8">
      <w:pPr>
        <w:snapToGrid w:val="0"/>
        <w:spacing w:line="360" w:lineRule="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附件6 促进剂成分报告</w:t>
      </w:r>
    </w:p>
    <w:p w14:paraId="13892509">
      <w:pPr>
        <w:snapToGrid w:val="0"/>
        <w:spacing w:line="360" w:lineRule="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附件7</w:t>
      </w:r>
      <w:r>
        <w:rPr>
          <w:rFonts w:hint="eastAsia"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脱脂剂成分报告</w:t>
      </w:r>
    </w:p>
    <w:p w14:paraId="3119B09D">
      <w:pPr>
        <w:snapToGrid w:val="0"/>
        <w:spacing w:line="360" w:lineRule="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附件8</w:t>
      </w:r>
      <w:r>
        <w:rPr>
          <w:rFonts w:hint="eastAsia"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脱脂助剂</w:t>
      </w:r>
    </w:p>
    <w:p w14:paraId="7EABFF7D">
      <w:pPr>
        <w:snapToGrid w:val="0"/>
        <w:spacing w:line="360" w:lineRule="auto"/>
        <w:rPr>
          <w:rFonts w:hint="eastAsia" w:cs="Times New Roman"/>
          <w:color w:val="auto"/>
          <w:sz w:val="24"/>
          <w:szCs w:val="24"/>
          <w:lang w:val="en-US" w:eastAsia="zh-CN"/>
        </w:rPr>
      </w:pPr>
      <w:r>
        <w:rPr>
          <w:rFonts w:hint="eastAsia" w:cs="Times New Roman"/>
          <w:color w:val="auto"/>
          <w:sz w:val="24"/>
          <w:szCs w:val="24"/>
          <w:lang w:val="en-US" w:eastAsia="zh-CN"/>
        </w:rPr>
        <w:t>附件9 无镍磷化剂成分报告</w:t>
      </w:r>
    </w:p>
    <w:p w14:paraId="793D18C7">
      <w:pPr>
        <w:snapToGrid w:val="0"/>
        <w:spacing w:line="360" w:lineRule="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附件10土地证</w:t>
      </w:r>
    </w:p>
    <w:p w14:paraId="10EFA7C8">
      <w:pPr>
        <w:snapToGrid w:val="0"/>
        <w:spacing w:line="360" w:lineRule="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附件</w:t>
      </w:r>
      <w:r>
        <w:rPr>
          <w:rFonts w:hint="eastAsia" w:cs="Times New Roman"/>
          <w:color w:val="auto"/>
          <w:sz w:val="24"/>
          <w:szCs w:val="24"/>
          <w:lang w:val="en-US" w:eastAsia="zh-CN"/>
        </w:rPr>
        <w:t>11</w:t>
      </w:r>
      <w:r>
        <w:rPr>
          <w:rFonts w:hint="default" w:ascii="Times New Roman" w:hAnsi="Times New Roman" w:eastAsia="宋体" w:cs="Times New Roman"/>
          <w:color w:val="auto"/>
          <w:sz w:val="24"/>
          <w:szCs w:val="24"/>
          <w:lang w:val="en-US" w:eastAsia="zh-CN"/>
        </w:rPr>
        <w:t xml:space="preserve"> 营业执照</w:t>
      </w:r>
    </w:p>
    <w:p w14:paraId="71A8652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附件</w:t>
      </w:r>
      <w:r>
        <w:rPr>
          <w:rFonts w:hint="eastAsia" w:cs="Times New Roman"/>
          <w:color w:val="auto"/>
          <w:sz w:val="24"/>
          <w:szCs w:val="24"/>
          <w:lang w:val="en-US" w:eastAsia="zh-CN"/>
        </w:rPr>
        <w:t>12</w:t>
      </w:r>
      <w:r>
        <w:rPr>
          <w:rFonts w:hint="default" w:ascii="Times New Roman" w:hAnsi="Times New Roman" w:eastAsia="宋体" w:cs="Times New Roman"/>
          <w:color w:val="auto"/>
          <w:sz w:val="24"/>
          <w:szCs w:val="24"/>
          <w:lang w:val="en-US" w:eastAsia="zh-CN"/>
        </w:rPr>
        <w:t xml:space="preserve"> </w:t>
      </w:r>
      <w:r>
        <w:rPr>
          <w:rFonts w:hint="eastAsia" w:cs="Times New Roman"/>
          <w:color w:val="auto"/>
          <w:sz w:val="24"/>
          <w:szCs w:val="24"/>
          <w:lang w:val="en-US" w:eastAsia="zh-CN"/>
        </w:rPr>
        <w:t>监测报告</w:t>
      </w:r>
    </w:p>
    <w:p w14:paraId="76613ED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附件</w:t>
      </w:r>
      <w:r>
        <w:rPr>
          <w:rFonts w:hint="default" w:ascii="Times New Roman" w:hAnsi="Times New Roman" w:cs="Times New Roman"/>
          <w:color w:val="auto"/>
          <w:sz w:val="24"/>
          <w:szCs w:val="24"/>
          <w:lang w:val="en-US" w:eastAsia="zh-CN"/>
        </w:rPr>
        <w:t>13</w:t>
      </w:r>
      <w:r>
        <w:rPr>
          <w:rFonts w:hint="default" w:ascii="Times New Roman" w:hAnsi="Times New Roman" w:eastAsia="宋体" w:cs="Times New Roman"/>
          <w:color w:val="auto"/>
          <w:spacing w:val="-1"/>
          <w:sz w:val="24"/>
          <w:szCs w:val="24"/>
        </w:rPr>
        <w:t>关于印发广西柳州汽车城总体规划</w:t>
      </w:r>
      <w:r>
        <w:rPr>
          <w:rFonts w:hint="eastAsia" w:cs="Times New Roman"/>
          <w:color w:val="auto"/>
          <w:spacing w:val="-1"/>
          <w:sz w:val="24"/>
          <w:szCs w:val="24"/>
          <w:lang w:eastAsia="zh-CN"/>
        </w:rPr>
        <w:t>（</w:t>
      </w:r>
      <w:r>
        <w:rPr>
          <w:rFonts w:hint="default" w:ascii="Times New Roman" w:hAnsi="Times New Roman" w:eastAsia="宋体" w:cs="Times New Roman"/>
          <w:color w:val="auto"/>
          <w:spacing w:val="-1"/>
          <w:sz w:val="24"/>
          <w:szCs w:val="24"/>
        </w:rPr>
        <w:t>2010-2030</w:t>
      </w:r>
      <w:r>
        <w:rPr>
          <w:rFonts w:hint="eastAsia" w:cs="Times New Roman"/>
          <w:color w:val="auto"/>
          <w:spacing w:val="-1"/>
          <w:sz w:val="24"/>
          <w:szCs w:val="24"/>
          <w:lang w:eastAsia="zh-CN"/>
        </w:rPr>
        <w:t>）</w:t>
      </w:r>
      <w:r>
        <w:rPr>
          <w:rFonts w:hint="default" w:ascii="Times New Roman" w:hAnsi="Times New Roman" w:eastAsia="宋体" w:cs="Times New Roman"/>
          <w:color w:val="auto"/>
          <w:spacing w:val="-1"/>
          <w:sz w:val="24"/>
          <w:szCs w:val="24"/>
        </w:rPr>
        <w:t>环境影响报告书审查意见的函（桂环函〔2012〕1294号）</w:t>
      </w:r>
    </w:p>
    <w:p w14:paraId="4DDA5E5F">
      <w:pPr>
        <w:pStyle w:val="7"/>
        <w:keepNext w:val="0"/>
        <w:keepLines w:val="0"/>
        <w:pageBreakBefore w:val="0"/>
        <w:widowControl w:val="0"/>
        <w:kinsoku/>
        <w:wordWrap/>
        <w:overflowPunct/>
        <w:topLinePunct w:val="0"/>
        <w:autoSpaceDE/>
        <w:autoSpaceDN/>
        <w:bidi w:val="0"/>
        <w:adjustRightInd/>
        <w:spacing w:line="360" w:lineRule="auto"/>
        <w:ind w:left="0" w:leftChars="0" w:firstLine="0" w:firstLineChars="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附件14广西柳州汽车城总体规划</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2010-2030</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环境影响跟踪评价报告书技术论证意见</w:t>
      </w:r>
    </w:p>
    <w:p w14:paraId="01B61ED9">
      <w:pPr>
        <w:pStyle w:val="7"/>
        <w:keepNext w:val="0"/>
        <w:keepLines w:val="0"/>
        <w:pageBreakBefore w:val="0"/>
        <w:widowControl w:val="0"/>
        <w:kinsoku/>
        <w:wordWrap/>
        <w:overflowPunct/>
        <w:topLinePunct w:val="0"/>
        <w:autoSpaceDE/>
        <w:autoSpaceDN/>
        <w:bidi w:val="0"/>
        <w:adjustRightInd/>
        <w:spacing w:line="360" w:lineRule="auto"/>
        <w:ind w:left="0" w:leftChars="0" w:firstLine="0" w:firstLineChars="0"/>
        <w:textAlignment w:val="auto"/>
        <w:rPr>
          <w:rFonts w:hint="eastAsia" w:cs="Times New Roman"/>
          <w:color w:val="auto"/>
          <w:sz w:val="24"/>
          <w:szCs w:val="24"/>
          <w:lang w:val="en-US" w:eastAsia="zh-CN"/>
        </w:rPr>
      </w:pPr>
      <w:r>
        <w:rPr>
          <w:rFonts w:hint="eastAsia" w:cs="Times New Roman"/>
          <w:color w:val="auto"/>
          <w:sz w:val="24"/>
          <w:szCs w:val="24"/>
          <w:lang w:val="en-US" w:eastAsia="zh-CN"/>
        </w:rPr>
        <w:t>附件15关于首驱助动车制造377项目研判初步结论</w:t>
      </w:r>
    </w:p>
    <w:p w14:paraId="5CFA3BB7">
      <w:pPr>
        <w:pStyle w:val="7"/>
        <w:keepNext w:val="0"/>
        <w:keepLines w:val="0"/>
        <w:pageBreakBefore w:val="0"/>
        <w:widowControl w:val="0"/>
        <w:kinsoku/>
        <w:wordWrap/>
        <w:overflowPunct/>
        <w:topLinePunct w:val="0"/>
        <w:autoSpaceDE/>
        <w:autoSpaceDN/>
        <w:bidi w:val="0"/>
        <w:adjustRightInd/>
        <w:spacing w:line="360" w:lineRule="auto"/>
        <w:ind w:left="0" w:leftChars="0" w:firstLine="0" w:firstLineChars="0"/>
        <w:textAlignment w:val="auto"/>
        <w:rPr>
          <w:rFonts w:hint="eastAsia" w:cs="Times New Roman"/>
          <w:color w:val="auto"/>
          <w:sz w:val="24"/>
          <w:szCs w:val="24"/>
          <w:lang w:val="en-US" w:eastAsia="zh-CN"/>
        </w:rPr>
      </w:pPr>
      <w:r>
        <w:rPr>
          <w:rFonts w:hint="eastAsia" w:cs="Times New Roman"/>
          <w:color w:val="auto"/>
          <w:sz w:val="24"/>
          <w:szCs w:val="24"/>
          <w:lang w:val="en-US" w:eastAsia="zh-CN"/>
        </w:rPr>
        <w:t>附件16租赁合同</w:t>
      </w:r>
    </w:p>
    <w:p w14:paraId="0E5AB83E">
      <w:pPr>
        <w:pStyle w:val="7"/>
        <w:keepNext w:val="0"/>
        <w:keepLines w:val="0"/>
        <w:pageBreakBefore w:val="0"/>
        <w:widowControl w:val="0"/>
        <w:kinsoku/>
        <w:wordWrap/>
        <w:overflowPunct/>
        <w:topLinePunct w:val="0"/>
        <w:autoSpaceDE/>
        <w:autoSpaceDN/>
        <w:bidi w:val="0"/>
        <w:adjustRightInd/>
        <w:spacing w:line="360" w:lineRule="auto"/>
        <w:ind w:left="0" w:leftChars="0" w:firstLine="0" w:firstLineChars="0"/>
        <w:textAlignment w:val="auto"/>
        <w:rPr>
          <w:rFonts w:hint="eastAsia" w:cs="Times New Roman"/>
          <w:color w:val="auto"/>
          <w:sz w:val="24"/>
          <w:szCs w:val="24"/>
          <w:lang w:val="en-US" w:eastAsia="zh-CN"/>
        </w:rPr>
      </w:pPr>
      <w:r>
        <w:rPr>
          <w:rFonts w:hint="eastAsia" w:cs="Times New Roman"/>
          <w:color w:val="auto"/>
          <w:sz w:val="24"/>
          <w:szCs w:val="24"/>
          <w:lang w:val="en-US" w:eastAsia="zh-CN"/>
        </w:rPr>
        <w:t>附件17 柳州市柳东新区生态环境局生态环境问题帮扶通知</w:t>
      </w:r>
    </w:p>
    <w:p w14:paraId="14A8312A">
      <w:pPr>
        <w:pStyle w:val="7"/>
        <w:keepNext w:val="0"/>
        <w:keepLines w:val="0"/>
        <w:pageBreakBefore w:val="0"/>
        <w:widowControl w:val="0"/>
        <w:kinsoku/>
        <w:wordWrap/>
        <w:overflowPunct/>
        <w:topLinePunct w:val="0"/>
        <w:autoSpaceDE/>
        <w:autoSpaceDN/>
        <w:bidi w:val="0"/>
        <w:adjustRightInd/>
        <w:spacing w:line="360" w:lineRule="auto"/>
        <w:ind w:left="0" w:leftChars="0" w:firstLine="0" w:firstLineChars="0"/>
        <w:textAlignment w:val="auto"/>
        <w:rPr>
          <w:rFonts w:hint="eastAsia" w:cs="Times New Roman"/>
          <w:color w:val="auto"/>
          <w:sz w:val="24"/>
          <w:szCs w:val="24"/>
          <w:lang w:val="en-US" w:eastAsia="zh-CN"/>
        </w:rPr>
      </w:pPr>
      <w:r>
        <w:rPr>
          <w:rFonts w:hint="eastAsia" w:cs="Times New Roman"/>
          <w:color w:val="auto"/>
          <w:sz w:val="24"/>
          <w:szCs w:val="24"/>
          <w:lang w:val="en-US" w:eastAsia="zh-CN"/>
        </w:rPr>
        <w:t>附件18 喷粉粉料成分报告</w:t>
      </w:r>
    </w:p>
    <w:p w14:paraId="1C0E4840">
      <w:pPr>
        <w:pStyle w:val="7"/>
        <w:keepNext w:val="0"/>
        <w:keepLines w:val="0"/>
        <w:pageBreakBefore w:val="0"/>
        <w:widowControl w:val="0"/>
        <w:kinsoku/>
        <w:wordWrap/>
        <w:overflowPunct/>
        <w:topLinePunct w:val="0"/>
        <w:autoSpaceDE/>
        <w:autoSpaceDN/>
        <w:bidi w:val="0"/>
        <w:adjustRightInd/>
        <w:spacing w:line="360" w:lineRule="auto"/>
        <w:ind w:left="0" w:leftChars="0" w:firstLine="0" w:firstLineChars="0"/>
        <w:textAlignment w:val="auto"/>
        <w:rPr>
          <w:rFonts w:hint="default" w:ascii="Times New Roman" w:hAnsi="Times New Roman" w:eastAsia="宋体" w:cs="Times New Roman"/>
          <w:color w:val="auto"/>
          <w:sz w:val="24"/>
          <w:szCs w:val="24"/>
          <w:lang w:val="en-US" w:eastAsia="zh-CN"/>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r>
        <w:rPr>
          <w:rFonts w:hint="eastAsia" w:cs="Times New Roman"/>
          <w:color w:val="auto"/>
          <w:sz w:val="24"/>
          <w:szCs w:val="24"/>
          <w:lang w:val="en-US" w:eastAsia="zh-CN"/>
        </w:rPr>
        <w:t>附件19 危险废物处置协议</w:t>
      </w:r>
    </w:p>
    <w:p w14:paraId="421AB3D6">
      <w:pPr>
        <w:pStyle w:val="34"/>
        <w:jc w:val="center"/>
        <w:outlineLvl w:val="0"/>
        <w:rPr>
          <w:rFonts w:hint="eastAsia" w:ascii="黑体" w:hAnsi="黑体" w:eastAsia="黑体"/>
          <w:snapToGrid w:val="0"/>
          <w:color w:val="auto"/>
          <w:sz w:val="30"/>
          <w:szCs w:val="30"/>
        </w:rPr>
      </w:pPr>
      <w:r>
        <w:rPr>
          <w:rFonts w:hint="eastAsia" w:ascii="黑体" w:hAnsi="黑体" w:eastAsia="黑体"/>
          <w:snapToGrid w:val="0"/>
          <w:color w:val="auto"/>
          <w:sz w:val="30"/>
          <w:szCs w:val="30"/>
        </w:rPr>
        <w:t>一、建设项目基本情况</w:t>
      </w:r>
      <w:bookmarkEnd w:id="1"/>
    </w:p>
    <w:tbl>
      <w:tblPr>
        <w:tblStyle w:val="3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444"/>
        <w:gridCol w:w="2482"/>
        <w:gridCol w:w="1917"/>
        <w:gridCol w:w="3027"/>
      </w:tblGrid>
      <w:tr w14:paraId="5FD579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44" w:type="dxa"/>
            <w:noWrap w:val="0"/>
            <w:tcMar>
              <w:top w:w="16" w:type="dxa"/>
              <w:left w:w="16" w:type="dxa"/>
              <w:right w:w="16" w:type="dxa"/>
            </w:tcMar>
            <w:vAlign w:val="center"/>
          </w:tcPr>
          <w:p w14:paraId="6A3B9D87">
            <w:pPr>
              <w:adjustRightInd w:val="0"/>
              <w:snapToGrid w:val="0"/>
              <w:jc w:val="center"/>
              <w:rPr>
                <w:rFonts w:ascii="宋体" w:hAnsi="宋体" w:cs="宋体"/>
                <w:color w:val="auto"/>
                <w:sz w:val="24"/>
                <w:szCs w:val="24"/>
              </w:rPr>
            </w:pPr>
            <w:r>
              <w:rPr>
                <w:rFonts w:hint="eastAsia" w:ascii="宋体" w:hAnsi="宋体" w:cs="宋体"/>
                <w:color w:val="auto"/>
                <w:sz w:val="24"/>
                <w:szCs w:val="24"/>
              </w:rPr>
              <w:t>建设项目名称</w:t>
            </w:r>
          </w:p>
        </w:tc>
        <w:tc>
          <w:tcPr>
            <w:tcW w:w="7426" w:type="dxa"/>
            <w:gridSpan w:val="3"/>
            <w:noWrap w:val="0"/>
            <w:vAlign w:val="center"/>
          </w:tcPr>
          <w:p w14:paraId="1613FF45">
            <w:pPr>
              <w:adjustRightInd w:val="0"/>
              <w:snapToGrid w:val="0"/>
              <w:jc w:val="center"/>
              <w:rPr>
                <w:rFonts w:hint="eastAsia" w:ascii="宋体" w:hAnsi="宋体" w:eastAsia="宋体" w:cs="宋体"/>
                <w:color w:val="auto"/>
                <w:sz w:val="24"/>
                <w:szCs w:val="24"/>
                <w:lang w:eastAsia="zh-CN"/>
              </w:rPr>
            </w:pPr>
            <w:r>
              <w:rPr>
                <w:rFonts w:hint="eastAsia" w:cs="Times New Roman"/>
                <w:color w:val="auto"/>
                <w:sz w:val="24"/>
                <w:szCs w:val="24"/>
                <w:lang w:eastAsia="zh-CN"/>
              </w:rPr>
              <w:t>首驱助动车制造377项目</w:t>
            </w:r>
          </w:p>
        </w:tc>
      </w:tr>
      <w:tr w14:paraId="7FB5BE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44" w:type="dxa"/>
            <w:noWrap w:val="0"/>
            <w:tcMar>
              <w:top w:w="16" w:type="dxa"/>
              <w:left w:w="16" w:type="dxa"/>
              <w:right w:w="16" w:type="dxa"/>
            </w:tcMar>
            <w:vAlign w:val="center"/>
          </w:tcPr>
          <w:p w14:paraId="63AE6075">
            <w:pPr>
              <w:adjustRightInd w:val="0"/>
              <w:snapToGrid w:val="0"/>
              <w:jc w:val="center"/>
              <w:rPr>
                <w:rFonts w:ascii="宋体" w:hAnsi="宋体" w:cs="宋体"/>
                <w:color w:val="auto"/>
                <w:sz w:val="24"/>
                <w:szCs w:val="24"/>
              </w:rPr>
            </w:pPr>
            <w:r>
              <w:rPr>
                <w:rFonts w:hint="eastAsia" w:ascii="宋体" w:hAnsi="宋体" w:cs="宋体"/>
                <w:color w:val="auto"/>
                <w:sz w:val="24"/>
                <w:szCs w:val="24"/>
              </w:rPr>
              <w:t>项目代码</w:t>
            </w:r>
          </w:p>
        </w:tc>
        <w:tc>
          <w:tcPr>
            <w:tcW w:w="7426" w:type="dxa"/>
            <w:gridSpan w:val="3"/>
            <w:noWrap w:val="0"/>
            <w:vAlign w:val="center"/>
          </w:tcPr>
          <w:p w14:paraId="3DD61442">
            <w:pPr>
              <w:adjustRightInd w:val="0"/>
              <w:snapToGrid w:val="0"/>
              <w:jc w:val="center"/>
              <w:rPr>
                <w:rFonts w:hint="eastAsia" w:ascii="宋体" w:hAnsi="宋体" w:eastAsia="宋体" w:cs="宋体"/>
                <w:color w:val="auto"/>
                <w:sz w:val="24"/>
                <w:szCs w:val="24"/>
                <w:lang w:eastAsia="zh-CN"/>
              </w:rPr>
            </w:pPr>
            <w:r>
              <w:rPr>
                <w:rFonts w:hint="eastAsia" w:cs="Times New Roman"/>
                <w:color w:val="auto"/>
                <w:sz w:val="24"/>
                <w:szCs w:val="24"/>
                <w:lang w:eastAsia="zh-CN"/>
              </w:rPr>
              <w:t>2606-450211-04-01-995095</w:t>
            </w:r>
          </w:p>
        </w:tc>
      </w:tr>
      <w:tr w14:paraId="31D565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1444" w:type="dxa"/>
            <w:noWrap w:val="0"/>
            <w:tcMar>
              <w:top w:w="16" w:type="dxa"/>
              <w:left w:w="16" w:type="dxa"/>
              <w:right w:w="16" w:type="dxa"/>
            </w:tcMar>
            <w:vAlign w:val="center"/>
          </w:tcPr>
          <w:p w14:paraId="2E9FB99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建设单位联系人</w:t>
            </w:r>
          </w:p>
        </w:tc>
        <w:tc>
          <w:tcPr>
            <w:tcW w:w="2482" w:type="dxa"/>
            <w:noWrap w:val="0"/>
            <w:vAlign w:val="center"/>
          </w:tcPr>
          <w:p w14:paraId="6DD5231D">
            <w:pPr>
              <w:adjustRightInd w:val="0"/>
              <w:snapToGrid w:val="0"/>
              <w:jc w:val="center"/>
              <w:rPr>
                <w:rFonts w:hint="default" w:ascii="宋体" w:hAnsi="宋体" w:eastAsia="宋体" w:cs="宋体"/>
                <w:color w:val="auto"/>
                <w:sz w:val="24"/>
                <w:szCs w:val="24"/>
                <w:lang w:val="en-US" w:eastAsia="zh-CN"/>
              </w:rPr>
            </w:pPr>
          </w:p>
        </w:tc>
        <w:tc>
          <w:tcPr>
            <w:tcW w:w="1917" w:type="dxa"/>
            <w:noWrap w:val="0"/>
            <w:vAlign w:val="center"/>
          </w:tcPr>
          <w:p w14:paraId="63F84E80">
            <w:pPr>
              <w:adjustRightInd w:val="0"/>
              <w:snapToGrid w:val="0"/>
              <w:jc w:val="center"/>
              <w:rPr>
                <w:rFonts w:ascii="宋体" w:hAnsi="宋体" w:cs="宋体"/>
                <w:color w:val="auto"/>
                <w:sz w:val="24"/>
                <w:szCs w:val="24"/>
              </w:rPr>
            </w:pPr>
            <w:r>
              <w:rPr>
                <w:rFonts w:hint="eastAsia" w:ascii="宋体" w:hAnsi="宋体" w:cs="宋体"/>
                <w:color w:val="auto"/>
                <w:sz w:val="24"/>
                <w:szCs w:val="24"/>
              </w:rPr>
              <w:t>联系方式</w:t>
            </w:r>
          </w:p>
        </w:tc>
        <w:tc>
          <w:tcPr>
            <w:tcW w:w="3027" w:type="dxa"/>
            <w:noWrap w:val="0"/>
            <w:vAlign w:val="center"/>
          </w:tcPr>
          <w:p w14:paraId="3C15CE69">
            <w:pPr>
              <w:adjustRightInd w:val="0"/>
              <w:snapToGrid w:val="0"/>
              <w:jc w:val="center"/>
              <w:rPr>
                <w:rFonts w:hint="default" w:ascii="宋体" w:hAnsi="宋体" w:eastAsia="宋体" w:cs="宋体"/>
                <w:color w:val="auto"/>
                <w:sz w:val="24"/>
                <w:szCs w:val="24"/>
                <w:lang w:val="en-US" w:eastAsia="zh-CN"/>
              </w:rPr>
            </w:pPr>
          </w:p>
        </w:tc>
      </w:tr>
      <w:tr w14:paraId="1DF22B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44" w:type="dxa"/>
            <w:noWrap w:val="0"/>
            <w:tcMar>
              <w:top w:w="16" w:type="dxa"/>
              <w:left w:w="16" w:type="dxa"/>
              <w:right w:w="16" w:type="dxa"/>
            </w:tcMar>
            <w:vAlign w:val="center"/>
          </w:tcPr>
          <w:p w14:paraId="21F93A5D">
            <w:pPr>
              <w:adjustRightInd w:val="0"/>
              <w:snapToGrid w:val="0"/>
              <w:jc w:val="center"/>
              <w:rPr>
                <w:rFonts w:ascii="宋体" w:hAnsi="宋体" w:cs="宋体"/>
                <w:color w:val="auto"/>
                <w:sz w:val="24"/>
                <w:szCs w:val="24"/>
              </w:rPr>
            </w:pPr>
            <w:r>
              <w:rPr>
                <w:rFonts w:hint="eastAsia" w:ascii="宋体" w:hAnsi="宋体" w:cs="宋体"/>
                <w:color w:val="auto"/>
                <w:sz w:val="24"/>
                <w:szCs w:val="24"/>
              </w:rPr>
              <w:t>建设地点</w:t>
            </w:r>
          </w:p>
        </w:tc>
        <w:tc>
          <w:tcPr>
            <w:tcW w:w="7426" w:type="dxa"/>
            <w:gridSpan w:val="3"/>
            <w:noWrap w:val="0"/>
            <w:vAlign w:val="center"/>
          </w:tcPr>
          <w:p w14:paraId="1213D695">
            <w:pPr>
              <w:adjustRightInd w:val="0"/>
              <w:snapToGrid w:val="0"/>
              <w:jc w:val="both"/>
              <w:rPr>
                <w:rFonts w:ascii="宋体" w:hAnsi="宋体" w:cs="宋体"/>
                <w:color w:val="auto"/>
                <w:sz w:val="24"/>
                <w:szCs w:val="24"/>
              </w:rPr>
            </w:pPr>
            <w:r>
              <w:rPr>
                <w:rFonts w:hint="eastAsia" w:ascii="Times New Roman" w:hAnsi="Times New Roman" w:cs="Times New Roman"/>
                <w:color w:val="auto"/>
                <w:sz w:val="24"/>
                <w:szCs w:val="24"/>
                <w:u w:val="none"/>
                <w:lang w:val="en-US" w:eastAsia="zh-CN"/>
              </w:rPr>
              <w:t>广西壮族自治区</w:t>
            </w:r>
            <w:r>
              <w:rPr>
                <w:rFonts w:hint="default" w:ascii="Times New Roman" w:hAnsi="Times New Roman" w:cs="Times New Roman"/>
                <w:color w:val="auto"/>
                <w:sz w:val="24"/>
                <w:szCs w:val="24"/>
                <w:u w:val="none"/>
                <w:lang w:val="en-US" w:eastAsia="zh-CN"/>
              </w:rPr>
              <w:t>柳州市雒容镇秀水二路一号三号厂房1层及二号厂房1层东3跨部分、东4跨部分的厂房</w:t>
            </w:r>
          </w:p>
        </w:tc>
      </w:tr>
      <w:tr w14:paraId="067CA8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44" w:type="dxa"/>
            <w:noWrap w:val="0"/>
            <w:tcMar>
              <w:top w:w="16" w:type="dxa"/>
              <w:left w:w="16" w:type="dxa"/>
              <w:right w:w="16" w:type="dxa"/>
            </w:tcMar>
            <w:vAlign w:val="center"/>
          </w:tcPr>
          <w:p w14:paraId="375ABC94">
            <w:pPr>
              <w:adjustRightInd w:val="0"/>
              <w:snapToGrid w:val="0"/>
              <w:jc w:val="center"/>
              <w:rPr>
                <w:rFonts w:ascii="宋体" w:hAnsi="宋体" w:cs="宋体"/>
                <w:color w:val="auto"/>
                <w:sz w:val="24"/>
                <w:szCs w:val="24"/>
              </w:rPr>
            </w:pPr>
            <w:r>
              <w:rPr>
                <w:rFonts w:hint="eastAsia" w:ascii="宋体" w:hAnsi="宋体" w:cs="宋体"/>
                <w:color w:val="auto"/>
                <w:sz w:val="24"/>
                <w:szCs w:val="24"/>
              </w:rPr>
              <w:t>地理坐标</w:t>
            </w:r>
          </w:p>
        </w:tc>
        <w:tc>
          <w:tcPr>
            <w:tcW w:w="7426" w:type="dxa"/>
            <w:gridSpan w:val="3"/>
            <w:noWrap w:val="0"/>
            <w:vAlign w:val="center"/>
          </w:tcPr>
          <w:p w14:paraId="3E980EBA">
            <w:pPr>
              <w:jc w:val="center"/>
              <w:rPr>
                <w:rFonts w:hint="eastAsia" w:ascii="宋体" w:hAnsi="宋体" w:eastAsia="宋体" w:cs="宋体"/>
                <w:color w:val="auto"/>
                <w:sz w:val="24"/>
                <w:szCs w:val="24"/>
                <w:lang w:val="en-US" w:eastAsia="zh-CN"/>
              </w:rPr>
            </w:pPr>
            <w:r>
              <w:rPr>
                <w:rFonts w:hint="eastAsia"/>
                <w:color w:val="auto"/>
                <w:sz w:val="24"/>
                <w:szCs w:val="24"/>
                <w:highlight w:val="none"/>
                <w:u w:val="single"/>
                <w:shd w:val="clear" w:color="auto" w:fill="auto"/>
                <w:lang w:val="en-US" w:eastAsia="zh-CN"/>
              </w:rPr>
              <w:t>E</w:t>
            </w:r>
            <w:r>
              <w:rPr>
                <w:color w:val="auto"/>
                <w:sz w:val="24"/>
                <w:szCs w:val="24"/>
                <w:highlight w:val="none"/>
                <w:u w:val="single"/>
                <w:shd w:val="clear" w:color="auto" w:fill="auto"/>
              </w:rPr>
              <w:t>109</w:t>
            </w:r>
            <w:r>
              <w:rPr>
                <w:color w:val="auto"/>
                <w:sz w:val="24"/>
                <w:szCs w:val="24"/>
                <w:highlight w:val="none"/>
                <w:shd w:val="clear" w:color="auto" w:fill="auto"/>
              </w:rPr>
              <w:t>度</w:t>
            </w:r>
            <w:r>
              <w:rPr>
                <w:rFonts w:hint="eastAsia"/>
                <w:color w:val="auto"/>
                <w:sz w:val="24"/>
                <w:szCs w:val="24"/>
                <w:highlight w:val="none"/>
                <w:u w:val="single"/>
                <w:shd w:val="clear" w:color="auto" w:fill="auto"/>
                <w:lang w:val="en-US" w:eastAsia="zh-CN"/>
              </w:rPr>
              <w:t>34</w:t>
            </w:r>
            <w:r>
              <w:rPr>
                <w:color w:val="auto"/>
                <w:sz w:val="24"/>
                <w:szCs w:val="24"/>
                <w:highlight w:val="none"/>
                <w:shd w:val="clear" w:color="auto" w:fill="auto"/>
              </w:rPr>
              <w:t>分</w:t>
            </w:r>
            <w:r>
              <w:rPr>
                <w:rFonts w:hint="eastAsia"/>
                <w:color w:val="auto"/>
                <w:sz w:val="24"/>
                <w:szCs w:val="24"/>
                <w:highlight w:val="none"/>
                <w:u w:val="single"/>
                <w:shd w:val="clear" w:color="auto" w:fill="auto"/>
                <w:lang w:val="en-US" w:eastAsia="zh-CN"/>
              </w:rPr>
              <w:t>36.943</w:t>
            </w:r>
            <w:r>
              <w:rPr>
                <w:color w:val="auto"/>
                <w:sz w:val="24"/>
                <w:szCs w:val="24"/>
                <w:highlight w:val="none"/>
                <w:shd w:val="clear" w:color="auto" w:fill="auto"/>
              </w:rPr>
              <w:t>秒，</w:t>
            </w:r>
            <w:r>
              <w:rPr>
                <w:rFonts w:hint="eastAsia"/>
                <w:color w:val="auto"/>
                <w:sz w:val="24"/>
                <w:szCs w:val="24"/>
                <w:highlight w:val="none"/>
                <w:shd w:val="clear" w:color="auto" w:fill="auto"/>
                <w:lang w:val="en-US" w:eastAsia="zh-CN"/>
              </w:rPr>
              <w:t>N</w:t>
            </w:r>
            <w:r>
              <w:rPr>
                <w:color w:val="auto"/>
                <w:sz w:val="24"/>
                <w:szCs w:val="24"/>
                <w:highlight w:val="none"/>
                <w:u w:val="single"/>
                <w:shd w:val="clear" w:color="auto" w:fill="auto"/>
              </w:rPr>
              <w:t>2</w:t>
            </w:r>
            <w:r>
              <w:rPr>
                <w:rFonts w:hint="eastAsia"/>
                <w:color w:val="auto"/>
                <w:sz w:val="24"/>
                <w:szCs w:val="24"/>
                <w:highlight w:val="none"/>
                <w:u w:val="single"/>
                <w:shd w:val="clear" w:color="auto" w:fill="auto"/>
                <w:lang w:val="en-US" w:eastAsia="zh-CN"/>
              </w:rPr>
              <w:t>4</w:t>
            </w:r>
            <w:r>
              <w:rPr>
                <w:color w:val="auto"/>
                <w:sz w:val="24"/>
                <w:szCs w:val="24"/>
                <w:highlight w:val="none"/>
                <w:shd w:val="clear" w:color="auto" w:fill="auto"/>
              </w:rPr>
              <w:t>度</w:t>
            </w:r>
            <w:r>
              <w:rPr>
                <w:rFonts w:hint="eastAsia"/>
                <w:color w:val="auto"/>
                <w:sz w:val="24"/>
                <w:szCs w:val="24"/>
                <w:highlight w:val="none"/>
                <w:u w:val="single"/>
                <w:shd w:val="clear" w:color="auto" w:fill="auto"/>
                <w:lang w:val="en-US" w:eastAsia="zh-CN"/>
              </w:rPr>
              <w:t>26</w:t>
            </w:r>
            <w:r>
              <w:rPr>
                <w:color w:val="auto"/>
                <w:sz w:val="24"/>
                <w:szCs w:val="24"/>
                <w:highlight w:val="none"/>
                <w:shd w:val="clear" w:color="auto" w:fill="auto"/>
              </w:rPr>
              <w:t>分</w:t>
            </w:r>
            <w:r>
              <w:rPr>
                <w:rFonts w:hint="eastAsia"/>
                <w:color w:val="auto"/>
                <w:sz w:val="24"/>
                <w:szCs w:val="24"/>
                <w:highlight w:val="none"/>
                <w:u w:val="single"/>
                <w:shd w:val="clear" w:color="auto" w:fill="auto"/>
                <w:lang w:val="en-US" w:eastAsia="zh-CN"/>
              </w:rPr>
              <w:t>14.559</w:t>
            </w:r>
            <w:r>
              <w:rPr>
                <w:color w:val="auto"/>
                <w:sz w:val="24"/>
                <w:szCs w:val="24"/>
                <w:highlight w:val="none"/>
                <w:shd w:val="clear" w:color="auto" w:fill="auto"/>
              </w:rPr>
              <w:t>秒</w:t>
            </w:r>
          </w:p>
        </w:tc>
      </w:tr>
      <w:tr w14:paraId="08E0F9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444" w:type="dxa"/>
            <w:noWrap w:val="0"/>
            <w:tcMar>
              <w:top w:w="16" w:type="dxa"/>
              <w:left w:w="16" w:type="dxa"/>
              <w:right w:w="16" w:type="dxa"/>
            </w:tcMar>
            <w:vAlign w:val="center"/>
          </w:tcPr>
          <w:p w14:paraId="3F40918D">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国民经济</w:t>
            </w:r>
          </w:p>
          <w:p w14:paraId="6ED09138">
            <w:pPr>
              <w:adjustRightInd w:val="0"/>
              <w:snapToGrid w:val="0"/>
              <w:jc w:val="center"/>
              <w:rPr>
                <w:rFonts w:ascii="宋体" w:hAnsi="宋体" w:cs="宋体"/>
                <w:color w:val="auto"/>
                <w:sz w:val="24"/>
                <w:szCs w:val="24"/>
              </w:rPr>
            </w:pPr>
            <w:r>
              <w:rPr>
                <w:rFonts w:hint="eastAsia" w:ascii="宋体" w:hAnsi="宋体" w:cs="宋体"/>
                <w:color w:val="auto"/>
                <w:sz w:val="24"/>
                <w:szCs w:val="24"/>
              </w:rPr>
              <w:t>行业类别</w:t>
            </w:r>
          </w:p>
        </w:tc>
        <w:tc>
          <w:tcPr>
            <w:tcW w:w="2482" w:type="dxa"/>
            <w:noWrap w:val="0"/>
            <w:vAlign w:val="center"/>
          </w:tcPr>
          <w:p w14:paraId="5F898482">
            <w:pPr>
              <w:adjustRightInd w:val="0"/>
              <w:snapToGrid w:val="0"/>
              <w:jc w:val="center"/>
              <w:rPr>
                <w:rFonts w:hint="default" w:ascii="宋体" w:hAnsi="宋体" w:eastAsia="宋体" w:cs="宋体"/>
                <w:color w:val="auto"/>
                <w:sz w:val="24"/>
                <w:szCs w:val="24"/>
                <w:lang w:val="en-US" w:eastAsia="zh-CN"/>
              </w:rPr>
            </w:pPr>
            <w:r>
              <w:rPr>
                <w:rFonts w:hint="eastAsia"/>
                <w:color w:val="auto"/>
                <w:sz w:val="24"/>
                <w:szCs w:val="24"/>
                <w:lang w:val="en-US" w:eastAsia="zh-CN"/>
              </w:rPr>
              <w:t>C3770助动车制造</w:t>
            </w:r>
          </w:p>
        </w:tc>
        <w:tc>
          <w:tcPr>
            <w:tcW w:w="1917" w:type="dxa"/>
            <w:noWrap w:val="0"/>
            <w:vAlign w:val="center"/>
          </w:tcPr>
          <w:p w14:paraId="55DB0BBB">
            <w:pPr>
              <w:adjustRightInd w:val="0"/>
              <w:snapToGrid w:val="0"/>
              <w:jc w:val="center"/>
              <w:rPr>
                <w:color w:val="auto"/>
                <w:sz w:val="24"/>
                <w:szCs w:val="24"/>
              </w:rPr>
            </w:pPr>
            <w:r>
              <w:rPr>
                <w:color w:val="auto"/>
                <w:sz w:val="24"/>
                <w:szCs w:val="24"/>
              </w:rPr>
              <w:t>建设项目</w:t>
            </w:r>
          </w:p>
          <w:p w14:paraId="0E192A11">
            <w:pPr>
              <w:adjustRightInd w:val="0"/>
              <w:snapToGrid w:val="0"/>
              <w:jc w:val="center"/>
              <w:rPr>
                <w:rFonts w:ascii="宋体" w:hAnsi="宋体" w:cs="宋体"/>
                <w:color w:val="auto"/>
                <w:sz w:val="24"/>
                <w:szCs w:val="24"/>
              </w:rPr>
            </w:pPr>
            <w:r>
              <w:rPr>
                <w:color w:val="auto"/>
                <w:sz w:val="24"/>
                <w:szCs w:val="24"/>
              </w:rPr>
              <w:t>行业类别</w:t>
            </w:r>
          </w:p>
        </w:tc>
        <w:tc>
          <w:tcPr>
            <w:tcW w:w="3027" w:type="dxa"/>
            <w:noWrap w:val="0"/>
            <w:vAlign w:val="center"/>
          </w:tcPr>
          <w:p w14:paraId="7CDB19D8">
            <w:pPr>
              <w:adjustRightInd w:val="0"/>
              <w:snapToGrid w:val="0"/>
              <w:jc w:val="both"/>
              <w:rPr>
                <w:rFonts w:hint="default" w:ascii="宋体" w:hAnsi="宋体" w:eastAsia="宋体" w:cs="宋体"/>
                <w:color w:val="auto"/>
                <w:sz w:val="24"/>
                <w:szCs w:val="24"/>
                <w:lang w:val="en-US" w:eastAsia="zh-CN"/>
              </w:rPr>
            </w:pPr>
            <w:r>
              <w:rPr>
                <w:rFonts w:hint="default" w:ascii="Times New Roman" w:hAnsi="Times New Roman" w:eastAsia="宋体" w:cs="Times New Roman"/>
                <w:color w:val="auto"/>
                <w:sz w:val="24"/>
                <w:szCs w:val="24"/>
                <w:lang w:val="en-US" w:eastAsia="zh-CN"/>
              </w:rPr>
              <w:t>三十四、铁路、船舶、航空航天和其他运输设备制造业</w:t>
            </w:r>
            <w:r>
              <w:rPr>
                <w:rFonts w:hint="default" w:ascii="Times New Roman" w:hAnsi="Times New Roman" w:cs="Times New Roman"/>
                <w:color w:val="auto"/>
                <w:sz w:val="24"/>
                <w:szCs w:val="24"/>
                <w:lang w:val="en-US" w:eastAsia="zh-CN"/>
              </w:rPr>
              <w:t>-76助动车制造377-其他</w:t>
            </w:r>
          </w:p>
        </w:tc>
      </w:tr>
      <w:tr w14:paraId="496E8D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444" w:type="dxa"/>
            <w:noWrap w:val="0"/>
            <w:tcMar>
              <w:top w:w="16" w:type="dxa"/>
              <w:left w:w="16" w:type="dxa"/>
              <w:right w:w="16" w:type="dxa"/>
            </w:tcMar>
            <w:vAlign w:val="center"/>
          </w:tcPr>
          <w:p w14:paraId="23265BB4">
            <w:pPr>
              <w:adjustRightInd w:val="0"/>
              <w:snapToGrid w:val="0"/>
              <w:jc w:val="center"/>
              <w:rPr>
                <w:rFonts w:ascii="宋体" w:hAnsi="宋体" w:cs="宋体"/>
                <w:color w:val="auto"/>
                <w:sz w:val="24"/>
                <w:szCs w:val="24"/>
              </w:rPr>
            </w:pPr>
            <w:r>
              <w:rPr>
                <w:rFonts w:hint="eastAsia" w:ascii="宋体" w:hAnsi="宋体" w:cs="宋体"/>
                <w:color w:val="auto"/>
                <w:sz w:val="24"/>
                <w:szCs w:val="24"/>
              </w:rPr>
              <w:t>建设性质</w:t>
            </w:r>
          </w:p>
        </w:tc>
        <w:tc>
          <w:tcPr>
            <w:tcW w:w="2482" w:type="dxa"/>
            <w:noWrap w:val="0"/>
            <w:vAlign w:val="center"/>
          </w:tcPr>
          <w:p w14:paraId="45CE1D46">
            <w:pPr>
              <w:jc w:val="left"/>
              <w:rPr>
                <w:rFonts w:ascii="宋体" w:hAnsi="宋体" w:cs="宋体"/>
                <w:color w:val="auto"/>
                <w:sz w:val="24"/>
                <w:szCs w:val="24"/>
              </w:rPr>
            </w:pPr>
            <w:r>
              <w:rPr>
                <w:rFonts w:hint="eastAsia" w:ascii="宋体" w:hAnsi="宋体" w:cs="宋体"/>
                <w:color w:val="auto"/>
                <w:sz w:val="24"/>
                <w:szCs w:val="24"/>
              </w:rPr>
              <w:sym w:font="Wingdings 2" w:char="0052"/>
            </w:r>
            <w:r>
              <w:rPr>
                <w:rFonts w:hint="eastAsia" w:ascii="宋体" w:hAnsi="宋体" w:cs="宋体"/>
                <w:color w:val="auto"/>
                <w:sz w:val="24"/>
                <w:szCs w:val="24"/>
              </w:rPr>
              <w:t>新建（迁建）</w:t>
            </w:r>
          </w:p>
          <w:p w14:paraId="62727386">
            <w:pPr>
              <w:jc w:val="left"/>
              <w:rPr>
                <w:rFonts w:hint="eastAsia" w:ascii="宋体" w:hAnsi="宋体" w:cs="宋体"/>
                <w:color w:val="auto"/>
                <w:sz w:val="24"/>
                <w:szCs w:val="24"/>
              </w:rPr>
            </w:pPr>
            <w:r>
              <w:rPr>
                <w:rFonts w:hint="eastAsia" w:ascii="宋体" w:hAnsi="宋体" w:cs="宋体"/>
                <w:color w:val="auto"/>
                <w:sz w:val="24"/>
                <w:szCs w:val="24"/>
              </w:rPr>
              <w:sym w:font="Wingdings 2" w:char="00A3"/>
            </w:r>
            <w:r>
              <w:rPr>
                <w:rFonts w:hint="eastAsia" w:ascii="宋体" w:hAnsi="宋体" w:cs="宋体"/>
                <w:color w:val="auto"/>
                <w:sz w:val="24"/>
                <w:szCs w:val="24"/>
              </w:rPr>
              <w:t>改建</w:t>
            </w:r>
          </w:p>
          <w:p w14:paraId="5F709671">
            <w:pPr>
              <w:jc w:val="left"/>
              <w:rPr>
                <w:rFonts w:hint="eastAsia" w:ascii="宋体" w:hAnsi="宋体" w:cs="宋体"/>
                <w:color w:val="auto"/>
                <w:sz w:val="24"/>
                <w:szCs w:val="24"/>
              </w:rPr>
            </w:pPr>
            <w:r>
              <w:rPr>
                <w:rFonts w:hint="eastAsia" w:ascii="宋体" w:hAnsi="宋体" w:cs="宋体"/>
                <w:color w:val="auto"/>
                <w:sz w:val="24"/>
                <w:szCs w:val="24"/>
              </w:rPr>
              <w:t>□扩建</w:t>
            </w:r>
          </w:p>
          <w:p w14:paraId="273EC585">
            <w:pPr>
              <w:jc w:val="left"/>
              <w:rPr>
                <w:rFonts w:ascii="宋体" w:hAnsi="宋体" w:cs="宋体"/>
                <w:color w:val="auto"/>
                <w:sz w:val="24"/>
                <w:szCs w:val="24"/>
              </w:rPr>
            </w:pPr>
            <w:r>
              <w:rPr>
                <w:rFonts w:hint="eastAsia" w:ascii="宋体" w:hAnsi="宋体" w:cs="宋体"/>
                <w:color w:val="auto"/>
                <w:sz w:val="24"/>
                <w:szCs w:val="24"/>
              </w:rPr>
              <w:t>□技术改造</w:t>
            </w:r>
          </w:p>
        </w:tc>
        <w:tc>
          <w:tcPr>
            <w:tcW w:w="1917" w:type="dxa"/>
            <w:noWrap w:val="0"/>
            <w:vAlign w:val="center"/>
          </w:tcPr>
          <w:p w14:paraId="21A3060B">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建设项目</w:t>
            </w:r>
          </w:p>
          <w:p w14:paraId="3BA17686">
            <w:pPr>
              <w:adjustRightInd w:val="0"/>
              <w:snapToGrid w:val="0"/>
              <w:jc w:val="center"/>
              <w:rPr>
                <w:rFonts w:ascii="宋体" w:hAnsi="宋体" w:cs="宋体"/>
                <w:color w:val="auto"/>
                <w:sz w:val="24"/>
                <w:szCs w:val="24"/>
              </w:rPr>
            </w:pPr>
            <w:r>
              <w:rPr>
                <w:rFonts w:hint="eastAsia" w:ascii="宋体" w:hAnsi="宋体" w:cs="宋体"/>
                <w:color w:val="auto"/>
                <w:sz w:val="24"/>
                <w:szCs w:val="24"/>
              </w:rPr>
              <w:t>申报情形</w:t>
            </w:r>
          </w:p>
        </w:tc>
        <w:tc>
          <w:tcPr>
            <w:tcW w:w="3027" w:type="dxa"/>
            <w:noWrap w:val="0"/>
            <w:vAlign w:val="center"/>
          </w:tcPr>
          <w:p w14:paraId="3F05584D">
            <w:pPr>
              <w:jc w:val="left"/>
              <w:rPr>
                <w:rFonts w:ascii="宋体" w:hAnsi="宋体" w:cs="宋体"/>
                <w:color w:val="auto"/>
                <w:sz w:val="24"/>
                <w:szCs w:val="24"/>
              </w:rPr>
            </w:pPr>
            <w:r>
              <w:rPr>
                <w:rFonts w:hint="eastAsia" w:ascii="宋体" w:hAnsi="宋体" w:cs="宋体"/>
                <w:color w:val="auto"/>
                <w:sz w:val="24"/>
                <w:szCs w:val="24"/>
              </w:rPr>
              <w:sym w:font="Wingdings 2" w:char="0052"/>
            </w:r>
            <w:r>
              <w:rPr>
                <w:rFonts w:hint="eastAsia" w:ascii="宋体" w:hAnsi="宋体" w:cs="宋体"/>
                <w:color w:val="auto"/>
                <w:sz w:val="24"/>
                <w:szCs w:val="24"/>
              </w:rPr>
              <w:t>首次申报项目</w:t>
            </w:r>
            <w:r>
              <w:rPr>
                <w:rFonts w:ascii="宋体" w:hAnsi="宋体" w:cs="宋体"/>
                <w:color w:val="auto"/>
                <w:sz w:val="24"/>
                <w:szCs w:val="24"/>
              </w:rPr>
              <w:t xml:space="preserve">             </w:t>
            </w:r>
          </w:p>
          <w:p w14:paraId="71D59D77">
            <w:pPr>
              <w:jc w:val="left"/>
              <w:rPr>
                <w:rFonts w:ascii="宋体" w:hAnsi="宋体" w:cs="宋体"/>
                <w:color w:val="auto"/>
                <w:sz w:val="24"/>
                <w:szCs w:val="24"/>
              </w:rPr>
            </w:pPr>
            <w:r>
              <w:rPr>
                <w:rFonts w:hint="eastAsia" w:ascii="宋体" w:hAnsi="宋体" w:cs="宋体"/>
                <w:color w:val="auto"/>
                <w:sz w:val="24"/>
                <w:szCs w:val="24"/>
              </w:rPr>
              <w:t>□不予批准后再次申报项目</w:t>
            </w:r>
          </w:p>
          <w:p w14:paraId="39603B7B">
            <w:pPr>
              <w:jc w:val="left"/>
              <w:rPr>
                <w:rFonts w:ascii="宋体" w:hAnsi="宋体" w:cs="宋体"/>
                <w:color w:val="auto"/>
                <w:sz w:val="24"/>
                <w:szCs w:val="24"/>
              </w:rPr>
            </w:pPr>
            <w:r>
              <w:rPr>
                <w:rFonts w:hint="eastAsia" w:ascii="宋体" w:hAnsi="宋体" w:cs="宋体"/>
                <w:color w:val="auto"/>
                <w:sz w:val="24"/>
                <w:szCs w:val="24"/>
              </w:rPr>
              <w:t>□超五年重新审核项目</w:t>
            </w:r>
            <w:r>
              <w:rPr>
                <w:rFonts w:ascii="宋体" w:hAnsi="宋体" w:cs="宋体"/>
                <w:color w:val="auto"/>
                <w:sz w:val="24"/>
                <w:szCs w:val="24"/>
              </w:rPr>
              <w:t xml:space="preserve">     </w:t>
            </w:r>
          </w:p>
          <w:p w14:paraId="07B98B3F">
            <w:pPr>
              <w:jc w:val="left"/>
              <w:rPr>
                <w:rFonts w:ascii="宋体" w:hAnsi="宋体" w:cs="宋体"/>
                <w:color w:val="auto"/>
                <w:sz w:val="24"/>
                <w:szCs w:val="24"/>
              </w:rPr>
            </w:pPr>
            <w:r>
              <w:rPr>
                <w:rFonts w:hint="eastAsia" w:ascii="宋体" w:hAnsi="宋体" w:cs="宋体"/>
                <w:color w:val="auto"/>
                <w:sz w:val="24"/>
                <w:szCs w:val="24"/>
              </w:rPr>
              <w:t>□重大变动重新报批项目</w:t>
            </w:r>
          </w:p>
        </w:tc>
      </w:tr>
      <w:tr w14:paraId="1AAC9B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444" w:type="dxa"/>
            <w:noWrap w:val="0"/>
            <w:tcMar>
              <w:top w:w="16" w:type="dxa"/>
              <w:left w:w="16" w:type="dxa"/>
              <w:right w:w="16" w:type="dxa"/>
            </w:tcMar>
            <w:vAlign w:val="center"/>
          </w:tcPr>
          <w:p w14:paraId="4957C4DB">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项目审批（核准</w:t>
            </w:r>
            <w:r>
              <w:rPr>
                <w:rFonts w:ascii="宋体" w:hAnsi="宋体" w:cs="宋体"/>
                <w:color w:val="auto"/>
                <w:sz w:val="24"/>
                <w:szCs w:val="24"/>
              </w:rPr>
              <w:t>/</w:t>
            </w:r>
          </w:p>
          <w:p w14:paraId="14EBB6A3">
            <w:pPr>
              <w:adjustRightInd w:val="0"/>
              <w:snapToGrid w:val="0"/>
              <w:jc w:val="center"/>
              <w:rPr>
                <w:rFonts w:ascii="宋体" w:hAnsi="宋体" w:cs="宋体"/>
                <w:color w:val="auto"/>
                <w:sz w:val="24"/>
                <w:szCs w:val="24"/>
              </w:rPr>
            </w:pPr>
            <w:r>
              <w:rPr>
                <w:rFonts w:hint="eastAsia" w:ascii="宋体" w:hAnsi="宋体" w:cs="宋体"/>
                <w:color w:val="auto"/>
                <w:sz w:val="24"/>
                <w:szCs w:val="24"/>
              </w:rPr>
              <w:t>备案）部门（选填）</w:t>
            </w:r>
          </w:p>
        </w:tc>
        <w:tc>
          <w:tcPr>
            <w:tcW w:w="2482" w:type="dxa"/>
            <w:noWrap w:val="0"/>
            <w:vAlign w:val="center"/>
          </w:tcPr>
          <w:p w14:paraId="6C1493EF">
            <w:pPr>
              <w:adjustRightInd w:val="0"/>
              <w:snapToGrid w:val="0"/>
              <w:jc w:val="center"/>
              <w:rPr>
                <w:rFonts w:ascii="宋体" w:hAnsi="宋体" w:cs="宋体"/>
                <w:color w:val="auto"/>
                <w:sz w:val="24"/>
                <w:szCs w:val="24"/>
              </w:rPr>
            </w:pPr>
            <w:r>
              <w:rPr>
                <w:rFonts w:hint="eastAsia" w:ascii="宋体" w:hAnsi="宋体" w:cs="宋体"/>
                <w:color w:val="auto"/>
                <w:sz w:val="24"/>
                <w:szCs w:val="24"/>
              </w:rPr>
              <w:t>柳东新区发改</w:t>
            </w:r>
          </w:p>
        </w:tc>
        <w:tc>
          <w:tcPr>
            <w:tcW w:w="1917" w:type="dxa"/>
            <w:noWrap w:val="0"/>
            <w:vAlign w:val="center"/>
          </w:tcPr>
          <w:p w14:paraId="223D0336">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项目审批（核准</w:t>
            </w:r>
            <w:r>
              <w:rPr>
                <w:rFonts w:ascii="宋体" w:hAnsi="宋体" w:cs="宋体"/>
                <w:color w:val="auto"/>
                <w:sz w:val="24"/>
                <w:szCs w:val="24"/>
              </w:rPr>
              <w:t>/</w:t>
            </w:r>
          </w:p>
          <w:p w14:paraId="5EB64AC6">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备案）文号（选填）</w:t>
            </w:r>
          </w:p>
        </w:tc>
        <w:tc>
          <w:tcPr>
            <w:tcW w:w="3027" w:type="dxa"/>
            <w:noWrap w:val="0"/>
            <w:vAlign w:val="center"/>
          </w:tcPr>
          <w:p w14:paraId="3018E0EF">
            <w:pPr>
              <w:adjustRightInd w:val="0"/>
              <w:snapToGrid w:val="0"/>
              <w:jc w:val="center"/>
              <w:rPr>
                <w:rFonts w:hint="eastAsia" w:ascii="宋体" w:hAnsi="宋体" w:eastAsia="宋体" w:cs="宋体"/>
                <w:color w:val="auto"/>
                <w:sz w:val="24"/>
                <w:szCs w:val="24"/>
                <w:lang w:eastAsia="zh-CN"/>
              </w:rPr>
            </w:pPr>
            <w:r>
              <w:rPr>
                <w:rFonts w:hint="eastAsia" w:cs="Times New Roman"/>
                <w:color w:val="auto"/>
                <w:sz w:val="24"/>
                <w:szCs w:val="24"/>
                <w:lang w:eastAsia="zh-CN"/>
              </w:rPr>
              <w:t>2606-450211-04-01-995095</w:t>
            </w:r>
          </w:p>
        </w:tc>
      </w:tr>
      <w:tr w14:paraId="3FA359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44" w:type="dxa"/>
            <w:noWrap w:val="0"/>
            <w:tcMar>
              <w:top w:w="16" w:type="dxa"/>
              <w:left w:w="16" w:type="dxa"/>
              <w:right w:w="16" w:type="dxa"/>
            </w:tcMar>
            <w:vAlign w:val="center"/>
          </w:tcPr>
          <w:p w14:paraId="46873AEE">
            <w:pPr>
              <w:adjustRightInd w:val="0"/>
              <w:snapToGrid w:val="0"/>
              <w:jc w:val="center"/>
              <w:rPr>
                <w:rFonts w:ascii="宋体" w:hAnsi="宋体" w:cs="宋体"/>
                <w:color w:val="auto"/>
                <w:sz w:val="24"/>
                <w:szCs w:val="24"/>
              </w:rPr>
            </w:pPr>
            <w:r>
              <w:rPr>
                <w:rFonts w:hint="eastAsia" w:ascii="宋体" w:hAnsi="宋体" w:cs="宋体"/>
                <w:color w:val="auto"/>
                <w:sz w:val="24"/>
                <w:szCs w:val="24"/>
              </w:rPr>
              <w:t>总投资（万元）</w:t>
            </w:r>
          </w:p>
        </w:tc>
        <w:tc>
          <w:tcPr>
            <w:tcW w:w="2482" w:type="dxa"/>
            <w:noWrap w:val="0"/>
            <w:vAlign w:val="center"/>
          </w:tcPr>
          <w:p w14:paraId="3BB6DC36">
            <w:pPr>
              <w:adjustRightInd w:val="0"/>
              <w:snapToGrid w:val="0"/>
              <w:jc w:val="center"/>
              <w:rPr>
                <w:rFonts w:hint="default" w:ascii="宋体" w:hAnsi="宋体" w:eastAsia="宋体" w:cs="宋体"/>
                <w:color w:val="auto"/>
                <w:sz w:val="24"/>
                <w:szCs w:val="24"/>
                <w:lang w:val="en-US" w:eastAsia="zh-CN"/>
              </w:rPr>
            </w:pPr>
            <w:r>
              <w:rPr>
                <w:rFonts w:hint="eastAsia" w:cs="Times New Roman"/>
                <w:color w:val="auto"/>
                <w:sz w:val="24"/>
                <w:szCs w:val="24"/>
                <w:lang w:val="en-US" w:eastAsia="zh-CN"/>
              </w:rPr>
              <w:t>54800</w:t>
            </w:r>
          </w:p>
        </w:tc>
        <w:tc>
          <w:tcPr>
            <w:tcW w:w="1917" w:type="dxa"/>
            <w:noWrap w:val="0"/>
            <w:tcMar>
              <w:top w:w="16" w:type="dxa"/>
              <w:left w:w="16" w:type="dxa"/>
              <w:right w:w="16" w:type="dxa"/>
            </w:tcMar>
            <w:vAlign w:val="center"/>
          </w:tcPr>
          <w:p w14:paraId="639F7B37">
            <w:pPr>
              <w:adjustRightInd w:val="0"/>
              <w:snapToGrid w:val="0"/>
              <w:jc w:val="center"/>
              <w:rPr>
                <w:rFonts w:ascii="宋体" w:hAnsi="宋体" w:cs="宋体"/>
                <w:color w:val="auto"/>
                <w:sz w:val="24"/>
                <w:szCs w:val="24"/>
              </w:rPr>
            </w:pPr>
            <w:r>
              <w:rPr>
                <w:rFonts w:hint="eastAsia" w:ascii="宋体" w:hAnsi="宋体" w:cs="宋体"/>
                <w:color w:val="auto"/>
                <w:sz w:val="24"/>
                <w:szCs w:val="24"/>
              </w:rPr>
              <w:t>环保投资（万元）</w:t>
            </w:r>
          </w:p>
        </w:tc>
        <w:tc>
          <w:tcPr>
            <w:tcW w:w="3027" w:type="dxa"/>
            <w:noWrap w:val="0"/>
            <w:vAlign w:val="center"/>
          </w:tcPr>
          <w:p w14:paraId="4CAF880F">
            <w:pPr>
              <w:adjustRightInd w:val="0"/>
              <w:snapToGrid w:val="0"/>
              <w:jc w:val="center"/>
              <w:rPr>
                <w:rFonts w:hint="default" w:ascii="宋体" w:hAnsi="宋体" w:eastAsia="宋体" w:cs="宋体"/>
                <w:color w:val="auto"/>
                <w:sz w:val="24"/>
                <w:szCs w:val="24"/>
                <w:lang w:val="en-US" w:eastAsia="zh-CN"/>
              </w:rPr>
            </w:pPr>
            <w:r>
              <w:rPr>
                <w:rFonts w:hint="eastAsia" w:cs="Times New Roman"/>
                <w:color w:val="auto"/>
                <w:sz w:val="24"/>
                <w:szCs w:val="24"/>
                <w:lang w:val="en-US" w:eastAsia="zh-CN"/>
              </w:rPr>
              <w:t>231.1</w:t>
            </w:r>
          </w:p>
        </w:tc>
      </w:tr>
      <w:tr w14:paraId="62880E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44" w:type="dxa"/>
            <w:noWrap w:val="0"/>
            <w:tcMar>
              <w:top w:w="16" w:type="dxa"/>
              <w:left w:w="16" w:type="dxa"/>
              <w:right w:w="16" w:type="dxa"/>
            </w:tcMar>
            <w:vAlign w:val="center"/>
          </w:tcPr>
          <w:p w14:paraId="58CEFA46">
            <w:pPr>
              <w:adjustRightInd w:val="0"/>
              <w:snapToGrid w:val="0"/>
              <w:jc w:val="center"/>
              <w:rPr>
                <w:rFonts w:ascii="宋体" w:hAnsi="宋体" w:cs="宋体"/>
                <w:color w:val="auto"/>
                <w:sz w:val="24"/>
                <w:szCs w:val="24"/>
              </w:rPr>
            </w:pPr>
            <w:r>
              <w:rPr>
                <w:rFonts w:hint="eastAsia" w:ascii="宋体" w:hAnsi="宋体" w:cs="宋体"/>
                <w:color w:val="auto"/>
                <w:sz w:val="24"/>
                <w:szCs w:val="24"/>
              </w:rPr>
              <w:t>环保投资占比（</w:t>
            </w:r>
            <w:r>
              <w:rPr>
                <w:rFonts w:ascii="宋体" w:hAnsi="宋体" w:cs="宋体"/>
                <w:color w:val="auto"/>
                <w:sz w:val="24"/>
                <w:szCs w:val="24"/>
              </w:rPr>
              <w:t>%</w:t>
            </w:r>
            <w:r>
              <w:rPr>
                <w:rFonts w:hint="eastAsia" w:ascii="宋体" w:hAnsi="宋体" w:cs="宋体"/>
                <w:color w:val="auto"/>
                <w:sz w:val="24"/>
                <w:szCs w:val="24"/>
              </w:rPr>
              <w:t>）</w:t>
            </w:r>
          </w:p>
        </w:tc>
        <w:tc>
          <w:tcPr>
            <w:tcW w:w="2482" w:type="dxa"/>
            <w:noWrap w:val="0"/>
            <w:vAlign w:val="center"/>
          </w:tcPr>
          <w:p w14:paraId="460FFCD6">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0.42</w:t>
            </w:r>
          </w:p>
        </w:tc>
        <w:tc>
          <w:tcPr>
            <w:tcW w:w="1917" w:type="dxa"/>
            <w:noWrap w:val="0"/>
            <w:tcMar>
              <w:top w:w="16" w:type="dxa"/>
              <w:left w:w="16" w:type="dxa"/>
              <w:right w:w="16" w:type="dxa"/>
            </w:tcMar>
            <w:vAlign w:val="center"/>
          </w:tcPr>
          <w:p w14:paraId="524D4CAF">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施工工期</w:t>
            </w:r>
          </w:p>
        </w:tc>
        <w:tc>
          <w:tcPr>
            <w:tcW w:w="3027" w:type="dxa"/>
            <w:noWrap w:val="0"/>
            <w:vAlign w:val="center"/>
          </w:tcPr>
          <w:p w14:paraId="6A02E3D6">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4</w:t>
            </w:r>
            <w:r>
              <w:rPr>
                <w:rFonts w:hint="default" w:ascii="Times New Roman" w:hAnsi="Times New Roman" w:cs="Times New Roman"/>
                <w:color w:val="auto"/>
                <w:sz w:val="24"/>
                <w:szCs w:val="24"/>
                <w:lang w:eastAsia="zh-CN"/>
              </w:rPr>
              <w:t>个月</w:t>
            </w:r>
          </w:p>
        </w:tc>
      </w:tr>
      <w:tr w14:paraId="6C7C42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44" w:type="dxa"/>
            <w:noWrap w:val="0"/>
            <w:tcMar>
              <w:top w:w="16" w:type="dxa"/>
              <w:left w:w="16" w:type="dxa"/>
              <w:right w:w="16" w:type="dxa"/>
            </w:tcMar>
            <w:vAlign w:val="center"/>
          </w:tcPr>
          <w:p w14:paraId="2B2FCA63">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是否开工建设</w:t>
            </w:r>
          </w:p>
        </w:tc>
        <w:tc>
          <w:tcPr>
            <w:tcW w:w="2482" w:type="dxa"/>
            <w:noWrap w:val="0"/>
            <w:vAlign w:val="center"/>
          </w:tcPr>
          <w:p w14:paraId="5AE66E55">
            <w:pPr>
              <w:adjustRightInd w:val="0"/>
              <w:snapToGrid w:val="0"/>
              <w:rPr>
                <w:color w:val="auto"/>
                <w:sz w:val="24"/>
                <w:szCs w:val="24"/>
              </w:rPr>
            </w:pPr>
            <w:r>
              <w:rPr>
                <w:color w:val="auto"/>
                <w:sz w:val="24"/>
                <w:szCs w:val="24"/>
              </w:rPr>
              <w:sym w:font="Wingdings 2" w:char="00A3"/>
            </w:r>
            <w:r>
              <w:rPr>
                <w:color w:val="auto"/>
                <w:sz w:val="24"/>
                <w:szCs w:val="24"/>
              </w:rPr>
              <w:t>否</w:t>
            </w:r>
          </w:p>
          <w:p w14:paraId="34FCFFAC">
            <w:pPr>
              <w:adjustRightInd w:val="0"/>
              <w:snapToGrid w:val="0"/>
              <w:rPr>
                <w:rFonts w:hint="default" w:ascii="宋体" w:hAnsi="宋体" w:eastAsia="宋体" w:cs="宋体"/>
                <w:color w:val="auto"/>
                <w:sz w:val="24"/>
                <w:szCs w:val="24"/>
                <w:lang w:val="en-US" w:eastAsia="zh-CN"/>
              </w:rPr>
            </w:pPr>
            <w:r>
              <w:rPr>
                <w:color w:val="auto"/>
                <w:sz w:val="24"/>
                <w:szCs w:val="24"/>
              </w:rPr>
              <w:sym w:font="Wingdings 2" w:char="0052"/>
            </w:r>
            <w:r>
              <w:rPr>
                <w:color w:val="auto"/>
                <w:sz w:val="24"/>
                <w:szCs w:val="24"/>
              </w:rPr>
              <w:t>是</w:t>
            </w:r>
            <w:r>
              <w:rPr>
                <w:rFonts w:hint="eastAsia"/>
                <w:color w:val="auto"/>
                <w:lang w:eastAsia="zh-CN"/>
              </w:rPr>
              <w:t>：</w:t>
            </w:r>
            <w:r>
              <w:rPr>
                <w:rFonts w:hint="eastAsia"/>
                <w:color w:val="auto"/>
                <w:lang w:val="en-US" w:eastAsia="zh-CN"/>
              </w:rPr>
              <w:t>项目已建成，已正常生产，未受到处罚。</w:t>
            </w:r>
          </w:p>
        </w:tc>
        <w:tc>
          <w:tcPr>
            <w:tcW w:w="1917" w:type="dxa"/>
            <w:noWrap w:val="0"/>
            <w:tcMar>
              <w:top w:w="16" w:type="dxa"/>
              <w:left w:w="16" w:type="dxa"/>
              <w:right w:w="16" w:type="dxa"/>
            </w:tcMar>
            <w:vAlign w:val="center"/>
          </w:tcPr>
          <w:p w14:paraId="0A1BA95A">
            <w:pPr>
              <w:adjustRightInd w:val="0"/>
              <w:snapToGrid w:val="0"/>
              <w:jc w:val="center"/>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用地（用海）</w:t>
            </w:r>
          </w:p>
          <w:p w14:paraId="7559D471">
            <w:pPr>
              <w:adjustRightInd w:val="0"/>
              <w:snapToGrid w:val="0"/>
              <w:jc w:val="center"/>
              <w:rPr>
                <w:rFonts w:hint="eastAsia" w:ascii="宋体" w:hAnsi="宋体" w:cs="宋体"/>
                <w:color w:val="auto"/>
                <w:sz w:val="24"/>
                <w:szCs w:val="24"/>
              </w:rPr>
            </w:pPr>
            <w:r>
              <w:rPr>
                <w:rFonts w:hint="default" w:ascii="Times New Roman" w:hAnsi="Times New Roman" w:cs="Times New Roman"/>
                <w:color w:val="auto"/>
                <w:spacing w:val="-6"/>
                <w:sz w:val="24"/>
                <w:szCs w:val="24"/>
              </w:rPr>
              <w:t>面积（m</w:t>
            </w:r>
            <w:r>
              <w:rPr>
                <w:rFonts w:hint="default" w:ascii="Times New Roman" w:hAnsi="Times New Roman" w:cs="Times New Roman"/>
                <w:color w:val="auto"/>
                <w:spacing w:val="-6"/>
                <w:sz w:val="24"/>
                <w:szCs w:val="24"/>
                <w:vertAlign w:val="superscript"/>
              </w:rPr>
              <w:t>2</w:t>
            </w:r>
            <w:r>
              <w:rPr>
                <w:rFonts w:hint="default" w:ascii="Times New Roman" w:hAnsi="Times New Roman" w:cs="Times New Roman"/>
                <w:color w:val="auto"/>
                <w:spacing w:val="-6"/>
                <w:sz w:val="24"/>
                <w:szCs w:val="24"/>
              </w:rPr>
              <w:t>）</w:t>
            </w:r>
          </w:p>
        </w:tc>
        <w:tc>
          <w:tcPr>
            <w:tcW w:w="3027" w:type="dxa"/>
            <w:noWrap w:val="0"/>
            <w:vAlign w:val="center"/>
          </w:tcPr>
          <w:p w14:paraId="100187CD">
            <w:pPr>
              <w:adjustRightInd w:val="0"/>
              <w:snapToGrid w:val="0"/>
              <w:jc w:val="center"/>
              <w:rPr>
                <w:rFonts w:hint="default" w:ascii="宋体" w:hAnsi="宋体" w:eastAsia="宋体" w:cs="宋体"/>
                <w:color w:val="auto"/>
                <w:sz w:val="24"/>
                <w:szCs w:val="24"/>
                <w:lang w:val="en-US" w:eastAsia="zh-CN"/>
              </w:rPr>
            </w:pPr>
            <w:r>
              <w:rPr>
                <w:rFonts w:hint="eastAsia" w:cs="Times New Roman"/>
                <w:color w:val="auto"/>
                <w:sz w:val="24"/>
                <w:szCs w:val="24"/>
                <w:lang w:val="en-US" w:eastAsia="zh-CN"/>
              </w:rPr>
              <w:t>17581.53</w:t>
            </w:r>
          </w:p>
        </w:tc>
      </w:tr>
      <w:tr w14:paraId="005853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444" w:type="dxa"/>
            <w:noWrap w:val="0"/>
            <w:vAlign w:val="center"/>
          </w:tcPr>
          <w:p w14:paraId="75424FE7">
            <w:pPr>
              <w:autoSpaceDE w:val="0"/>
              <w:autoSpaceDN w:val="0"/>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专项评价设置情况</w:t>
            </w:r>
          </w:p>
        </w:tc>
        <w:tc>
          <w:tcPr>
            <w:tcW w:w="7426" w:type="dxa"/>
            <w:gridSpan w:val="3"/>
            <w:noWrap w:val="0"/>
            <w:vAlign w:val="center"/>
          </w:tcPr>
          <w:p w14:paraId="0B056977">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0"/>
              <w:rPr>
                <w:rFonts w:hint="eastAsia" w:cs="Times New Roman"/>
                <w:b/>
                <w:bCs/>
                <w:color w:val="auto"/>
                <w:kern w:val="0"/>
                <w:sz w:val="24"/>
                <w:szCs w:val="24"/>
                <w:lang w:val="en-US" w:eastAsia="zh-CN"/>
              </w:rPr>
            </w:pPr>
            <w:r>
              <w:rPr>
                <w:rFonts w:hint="eastAsia" w:cs="Times New Roman"/>
                <w:b/>
                <w:bCs/>
                <w:color w:val="auto"/>
                <w:kern w:val="0"/>
                <w:sz w:val="24"/>
                <w:szCs w:val="24"/>
                <w:lang w:val="en-US" w:eastAsia="zh-CN"/>
              </w:rPr>
              <w:t>表1-1 专项评价设置原则表</w:t>
            </w:r>
          </w:p>
          <w:tbl>
            <w:tblPr>
              <w:tblStyle w:val="40"/>
              <w:tblW w:w="72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3"/>
              <w:gridCol w:w="2403"/>
              <w:gridCol w:w="2404"/>
            </w:tblGrid>
            <w:tr w14:paraId="0D74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03" w:type="dxa"/>
                  <w:vAlign w:val="center"/>
                </w:tcPr>
                <w:p w14:paraId="35DAC6A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专项评价的类别</w:t>
                  </w:r>
                </w:p>
              </w:tc>
              <w:tc>
                <w:tcPr>
                  <w:tcW w:w="2403" w:type="dxa"/>
                  <w:vAlign w:val="center"/>
                </w:tcPr>
                <w:p w14:paraId="4462915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设置原则</w:t>
                  </w:r>
                </w:p>
              </w:tc>
              <w:tc>
                <w:tcPr>
                  <w:tcW w:w="2404" w:type="dxa"/>
                  <w:vAlign w:val="center"/>
                </w:tcPr>
                <w:p w14:paraId="4F803FB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本项目情况</w:t>
                  </w:r>
                </w:p>
              </w:tc>
            </w:tr>
            <w:tr w14:paraId="26B94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3" w:type="dxa"/>
                  <w:vAlign w:val="center"/>
                </w:tcPr>
                <w:p w14:paraId="0C2BE9F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大气</w:t>
                  </w:r>
                </w:p>
              </w:tc>
              <w:tc>
                <w:tcPr>
                  <w:tcW w:w="2403" w:type="dxa"/>
                  <w:vAlign w:val="center"/>
                </w:tcPr>
                <w:p w14:paraId="1A171C84">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cs="Times New Roman"/>
                      <w:color w:val="auto"/>
                      <w:kern w:val="0"/>
                      <w:sz w:val="21"/>
                      <w:szCs w:val="21"/>
                      <w:vertAlign w:val="baseline"/>
                      <w:lang w:val="en-US" w:eastAsia="zh-CN"/>
                    </w:rPr>
                  </w:pPr>
                  <w:r>
                    <w:rPr>
                      <w:rFonts w:hint="default" w:cs="Times New Roman"/>
                      <w:color w:val="auto"/>
                      <w:kern w:val="0"/>
                      <w:sz w:val="21"/>
                      <w:szCs w:val="21"/>
                      <w:vertAlign w:val="baseline"/>
                      <w:lang w:val="en-US" w:eastAsia="zh-CN"/>
                    </w:rPr>
                    <w:t>排放废气含有毒有害污染物</w:t>
                  </w:r>
                  <w:r>
                    <w:rPr>
                      <w:rFonts w:hint="eastAsia" w:cs="Times New Roman"/>
                      <w:color w:val="auto"/>
                      <w:kern w:val="0"/>
                      <w:sz w:val="21"/>
                      <w:szCs w:val="21"/>
                      <w:vertAlign w:val="superscript"/>
                      <w:lang w:val="en-US" w:eastAsia="zh-CN"/>
                    </w:rPr>
                    <w:t>1</w:t>
                  </w:r>
                  <w:r>
                    <w:rPr>
                      <w:rFonts w:hint="default" w:cs="Times New Roman"/>
                      <w:color w:val="auto"/>
                      <w:kern w:val="0"/>
                      <w:sz w:val="21"/>
                      <w:szCs w:val="21"/>
                      <w:vertAlign w:val="baseline"/>
                      <w:lang w:val="en-US" w:eastAsia="zh-CN"/>
                    </w:rPr>
                    <w:t>、二噁英、苯并[a]芘、氰化物、氯气且厂界外500米范围内有环境空气保护目标</w:t>
                  </w:r>
                  <w:r>
                    <w:rPr>
                      <w:rFonts w:hint="eastAsia" w:cs="Times New Roman"/>
                      <w:color w:val="auto"/>
                      <w:kern w:val="0"/>
                      <w:sz w:val="21"/>
                      <w:szCs w:val="21"/>
                      <w:vertAlign w:val="superscript"/>
                      <w:lang w:val="en-US" w:eastAsia="zh-CN"/>
                    </w:rPr>
                    <w:t>2</w:t>
                  </w:r>
                  <w:r>
                    <w:rPr>
                      <w:rFonts w:hint="default" w:cs="Times New Roman"/>
                      <w:color w:val="auto"/>
                      <w:kern w:val="0"/>
                      <w:sz w:val="21"/>
                      <w:szCs w:val="21"/>
                      <w:vertAlign w:val="baseline"/>
                      <w:lang w:val="en-US" w:eastAsia="zh-CN"/>
                    </w:rPr>
                    <w:t>的建设项目</w:t>
                  </w:r>
                </w:p>
              </w:tc>
              <w:tc>
                <w:tcPr>
                  <w:tcW w:w="2404" w:type="dxa"/>
                  <w:vAlign w:val="center"/>
                </w:tcPr>
                <w:p w14:paraId="1FFAD31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本项目不涉及</w:t>
                  </w:r>
                </w:p>
              </w:tc>
            </w:tr>
            <w:tr w14:paraId="5DF3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3" w:type="dxa"/>
                  <w:vAlign w:val="center"/>
                </w:tcPr>
                <w:p w14:paraId="1B6DB64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地表水</w:t>
                  </w:r>
                </w:p>
              </w:tc>
              <w:tc>
                <w:tcPr>
                  <w:tcW w:w="2403" w:type="dxa"/>
                  <w:vAlign w:val="center"/>
                </w:tcPr>
                <w:p w14:paraId="785F79B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cs="Times New Roman"/>
                      <w:color w:val="auto"/>
                      <w:kern w:val="0"/>
                      <w:sz w:val="21"/>
                      <w:szCs w:val="21"/>
                      <w:vertAlign w:val="baseline"/>
                      <w:lang w:val="en-US" w:eastAsia="zh-CN"/>
                    </w:rPr>
                  </w:pPr>
                  <w:r>
                    <w:rPr>
                      <w:rFonts w:hint="default" w:cs="Times New Roman"/>
                      <w:color w:val="auto"/>
                      <w:kern w:val="0"/>
                      <w:sz w:val="21"/>
                      <w:szCs w:val="21"/>
                      <w:vertAlign w:val="baseline"/>
                      <w:lang w:val="en-US" w:eastAsia="zh-CN"/>
                    </w:rPr>
                    <w:t>新增工业废水直排建设项目(槽罐车外送污水处理厂的除外);新增废水直排的污水集中处理厂</w:t>
                  </w:r>
                </w:p>
              </w:tc>
              <w:tc>
                <w:tcPr>
                  <w:tcW w:w="2404" w:type="dxa"/>
                  <w:vAlign w:val="center"/>
                </w:tcPr>
                <w:p w14:paraId="04625F1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本项目不涉及</w:t>
                  </w:r>
                </w:p>
              </w:tc>
            </w:tr>
            <w:tr w14:paraId="4823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3" w:type="dxa"/>
                  <w:vAlign w:val="center"/>
                </w:tcPr>
                <w:p w14:paraId="69F1167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环境风险</w:t>
                  </w:r>
                </w:p>
              </w:tc>
              <w:tc>
                <w:tcPr>
                  <w:tcW w:w="2403" w:type="dxa"/>
                  <w:vAlign w:val="center"/>
                </w:tcPr>
                <w:p w14:paraId="10619ED7">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cs="Times New Roman"/>
                      <w:color w:val="auto"/>
                      <w:kern w:val="0"/>
                      <w:sz w:val="21"/>
                      <w:szCs w:val="21"/>
                      <w:vertAlign w:val="baseline"/>
                      <w:lang w:val="en-US" w:eastAsia="zh-CN"/>
                    </w:rPr>
                  </w:pPr>
                  <w:r>
                    <w:rPr>
                      <w:rFonts w:hint="default" w:cs="Times New Roman"/>
                      <w:color w:val="auto"/>
                      <w:kern w:val="0"/>
                      <w:sz w:val="21"/>
                      <w:szCs w:val="21"/>
                      <w:vertAlign w:val="baseline"/>
                      <w:lang w:val="en-US" w:eastAsia="zh-CN"/>
                    </w:rPr>
                    <w:t>有毒有害和易燃易爆危险物质存储量超过临界量</w:t>
                  </w:r>
                  <w:r>
                    <w:rPr>
                      <w:rFonts w:hint="eastAsia" w:cs="Times New Roman"/>
                      <w:color w:val="auto"/>
                      <w:kern w:val="0"/>
                      <w:sz w:val="21"/>
                      <w:szCs w:val="21"/>
                      <w:vertAlign w:val="superscript"/>
                      <w:lang w:val="en-US" w:eastAsia="zh-CN"/>
                    </w:rPr>
                    <w:t>3</w:t>
                  </w:r>
                  <w:r>
                    <w:rPr>
                      <w:rFonts w:hint="default" w:cs="Times New Roman"/>
                      <w:color w:val="auto"/>
                      <w:kern w:val="0"/>
                      <w:sz w:val="21"/>
                      <w:szCs w:val="21"/>
                      <w:vertAlign w:val="baseline"/>
                      <w:lang w:val="en-US" w:eastAsia="zh-CN"/>
                    </w:rPr>
                    <w:t>的建设项目</w:t>
                  </w:r>
                </w:p>
              </w:tc>
              <w:tc>
                <w:tcPr>
                  <w:tcW w:w="2404" w:type="dxa"/>
                  <w:vAlign w:val="center"/>
                </w:tcPr>
                <w:p w14:paraId="10D3F10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本项目不涉及</w:t>
                  </w:r>
                </w:p>
              </w:tc>
            </w:tr>
            <w:tr w14:paraId="511E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3" w:type="dxa"/>
                  <w:vAlign w:val="center"/>
                </w:tcPr>
                <w:p w14:paraId="06397AF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生态</w:t>
                  </w:r>
                </w:p>
              </w:tc>
              <w:tc>
                <w:tcPr>
                  <w:tcW w:w="2403" w:type="dxa"/>
                  <w:vAlign w:val="center"/>
                </w:tcPr>
                <w:p w14:paraId="0CAF71E3">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cs="Times New Roman"/>
                      <w:color w:val="auto"/>
                      <w:kern w:val="0"/>
                      <w:sz w:val="21"/>
                      <w:szCs w:val="21"/>
                      <w:vertAlign w:val="baseline"/>
                      <w:lang w:val="en-US" w:eastAsia="zh-CN"/>
                    </w:rPr>
                  </w:pPr>
                  <w:r>
                    <w:rPr>
                      <w:rFonts w:hint="default" w:cs="Times New Roman"/>
                      <w:color w:val="auto"/>
                      <w:kern w:val="0"/>
                      <w:sz w:val="21"/>
                      <w:szCs w:val="21"/>
                      <w:vertAlign w:val="baseline"/>
                      <w:lang w:val="en-US" w:eastAsia="zh-CN"/>
                    </w:rPr>
                    <w:t>取水口下游500米范围内有重要水生生物的自然产卵场、索饵场、越冬场和洄游通道的新增河道取水的污染类建设项目</w:t>
                  </w:r>
                </w:p>
              </w:tc>
              <w:tc>
                <w:tcPr>
                  <w:tcW w:w="2404" w:type="dxa"/>
                  <w:vAlign w:val="center"/>
                </w:tcPr>
                <w:p w14:paraId="1F1FCA3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本项目不涉及</w:t>
                  </w:r>
                </w:p>
              </w:tc>
            </w:tr>
            <w:tr w14:paraId="0223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3" w:type="dxa"/>
                  <w:vAlign w:val="center"/>
                </w:tcPr>
                <w:p w14:paraId="703B999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海洋</w:t>
                  </w:r>
                </w:p>
              </w:tc>
              <w:tc>
                <w:tcPr>
                  <w:tcW w:w="2403" w:type="dxa"/>
                  <w:vAlign w:val="center"/>
                </w:tcPr>
                <w:p w14:paraId="3155F114">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cs="Times New Roman"/>
                      <w:color w:val="auto"/>
                      <w:kern w:val="0"/>
                      <w:sz w:val="21"/>
                      <w:szCs w:val="21"/>
                      <w:vertAlign w:val="baseline"/>
                      <w:lang w:val="en-US" w:eastAsia="zh-CN"/>
                    </w:rPr>
                  </w:pPr>
                  <w:r>
                    <w:rPr>
                      <w:rFonts w:hint="default" w:cs="Times New Roman"/>
                      <w:color w:val="auto"/>
                      <w:kern w:val="0"/>
                      <w:sz w:val="21"/>
                      <w:szCs w:val="21"/>
                      <w:vertAlign w:val="baseline"/>
                      <w:lang w:val="en-US" w:eastAsia="zh-CN"/>
                    </w:rPr>
                    <w:t>直接向海排放污染物的海洋工程建设项目</w:t>
                  </w:r>
                </w:p>
              </w:tc>
              <w:tc>
                <w:tcPr>
                  <w:tcW w:w="2404" w:type="dxa"/>
                  <w:vAlign w:val="center"/>
                </w:tcPr>
                <w:p w14:paraId="285A629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本项目不涉及</w:t>
                  </w:r>
                </w:p>
              </w:tc>
            </w:tr>
            <w:tr w14:paraId="08E8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0" w:type="dxa"/>
                  <w:gridSpan w:val="3"/>
                  <w:vAlign w:val="center"/>
                </w:tcPr>
                <w:p w14:paraId="40859BC3">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cs="Times New Roman"/>
                      <w:color w:val="auto"/>
                      <w:kern w:val="0"/>
                      <w:sz w:val="21"/>
                      <w:szCs w:val="21"/>
                      <w:vertAlign w:val="baseline"/>
                      <w:lang w:val="en-US" w:eastAsia="zh-CN"/>
                    </w:rPr>
                  </w:pPr>
                  <w:r>
                    <w:rPr>
                      <w:rFonts w:hint="default" w:cs="Times New Roman"/>
                      <w:color w:val="auto"/>
                      <w:kern w:val="0"/>
                      <w:sz w:val="21"/>
                      <w:szCs w:val="21"/>
                      <w:vertAlign w:val="baseline"/>
                      <w:lang w:val="en-US" w:eastAsia="zh-CN"/>
                    </w:rPr>
                    <w:t>注</w:t>
                  </w:r>
                  <w:r>
                    <w:rPr>
                      <w:rFonts w:hint="eastAsia" w:cs="Times New Roman"/>
                      <w:color w:val="auto"/>
                      <w:kern w:val="0"/>
                      <w:sz w:val="21"/>
                      <w:szCs w:val="21"/>
                      <w:vertAlign w:val="baseline"/>
                      <w:lang w:val="en-US" w:eastAsia="zh-CN"/>
                    </w:rPr>
                    <w:t>：</w:t>
                  </w:r>
                </w:p>
                <w:p w14:paraId="5DDCFE18">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cs="Times New Roman"/>
                      <w:color w:val="auto"/>
                      <w:kern w:val="0"/>
                      <w:sz w:val="21"/>
                      <w:szCs w:val="21"/>
                      <w:vertAlign w:val="baseline"/>
                      <w:lang w:val="en-US" w:eastAsia="zh-CN"/>
                    </w:rPr>
                  </w:pPr>
                  <w:r>
                    <w:rPr>
                      <w:rFonts w:hint="default" w:cs="Times New Roman"/>
                      <w:color w:val="auto"/>
                      <w:kern w:val="0"/>
                      <w:sz w:val="21"/>
                      <w:szCs w:val="21"/>
                      <w:vertAlign w:val="baseline"/>
                      <w:lang w:val="en-US" w:eastAsia="zh-CN"/>
                    </w:rPr>
                    <w:t>1.废气中有毒有害污染物指纳入《有毒有害大气污染物名录》的污染物(不包括无排放标准的污染物)。</w:t>
                  </w:r>
                </w:p>
                <w:p w14:paraId="0EEE0649">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cs="Times New Roman"/>
                      <w:color w:val="auto"/>
                      <w:kern w:val="0"/>
                      <w:sz w:val="21"/>
                      <w:szCs w:val="21"/>
                      <w:vertAlign w:val="baseline"/>
                      <w:lang w:val="en-US" w:eastAsia="zh-CN"/>
                    </w:rPr>
                  </w:pPr>
                  <w:r>
                    <w:rPr>
                      <w:rFonts w:hint="default" w:cs="Times New Roman"/>
                      <w:color w:val="auto"/>
                      <w:kern w:val="0"/>
                      <w:sz w:val="21"/>
                      <w:szCs w:val="21"/>
                      <w:vertAlign w:val="baseline"/>
                      <w:lang w:val="en-US" w:eastAsia="zh-CN"/>
                    </w:rPr>
                    <w:t>2.环境空气保护目标指自然保护区、风景名胜区、居住区、文化区和农村地区中人群较集中的区域。</w:t>
                  </w:r>
                </w:p>
                <w:p w14:paraId="611C9EEC">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cs="Times New Roman"/>
                      <w:color w:val="auto"/>
                      <w:kern w:val="0"/>
                      <w:sz w:val="21"/>
                      <w:szCs w:val="21"/>
                      <w:vertAlign w:val="baseline"/>
                      <w:lang w:val="en-US" w:eastAsia="zh-CN"/>
                    </w:rPr>
                  </w:pPr>
                  <w:r>
                    <w:rPr>
                      <w:rFonts w:hint="default" w:cs="Times New Roman"/>
                      <w:color w:val="auto"/>
                      <w:kern w:val="0"/>
                      <w:sz w:val="21"/>
                      <w:szCs w:val="21"/>
                      <w:vertAlign w:val="baseline"/>
                      <w:lang w:val="en-US" w:eastAsia="zh-CN"/>
                    </w:rPr>
                    <w:t>3.临界量及其计算方法可参考《建设项目环境风险评价技术导则》(HJ169)附录B、附录C。</w:t>
                  </w:r>
                </w:p>
              </w:tc>
            </w:tr>
          </w:tbl>
          <w:p w14:paraId="5729418C">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0"/>
              <w:rPr>
                <w:rFonts w:hint="default" w:cs="Times New Roman"/>
                <w:color w:val="auto"/>
                <w:kern w:val="0"/>
                <w:sz w:val="24"/>
                <w:szCs w:val="24"/>
                <w:lang w:val="en-US" w:eastAsia="zh-CN"/>
              </w:rPr>
            </w:pPr>
          </w:p>
        </w:tc>
      </w:tr>
      <w:tr w14:paraId="5DD538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444" w:type="dxa"/>
            <w:noWrap w:val="0"/>
            <w:vAlign w:val="center"/>
          </w:tcPr>
          <w:p w14:paraId="50349EDC">
            <w:pPr>
              <w:autoSpaceDE w:val="0"/>
              <w:autoSpaceDN w:val="0"/>
              <w:adjustRightInd w:val="0"/>
              <w:snapToGrid w:val="0"/>
              <w:jc w:val="center"/>
              <w:rPr>
                <w:rFonts w:hint="eastAsia" w:ascii="宋体" w:hAnsi="宋体" w:cs="宋体"/>
                <w:color w:val="auto"/>
                <w:kern w:val="0"/>
                <w:sz w:val="24"/>
                <w:szCs w:val="24"/>
              </w:rPr>
            </w:pPr>
            <w:r>
              <w:rPr>
                <w:rFonts w:hint="eastAsia" w:ascii="宋体" w:hAnsi="宋体" w:cs="宋体"/>
                <w:color w:val="auto"/>
                <w:sz w:val="24"/>
                <w:szCs w:val="24"/>
              </w:rPr>
              <w:t>规划情况</w:t>
            </w:r>
          </w:p>
        </w:tc>
        <w:tc>
          <w:tcPr>
            <w:tcW w:w="7426" w:type="dxa"/>
            <w:gridSpan w:val="3"/>
            <w:noWrap w:val="0"/>
            <w:vAlign w:val="center"/>
          </w:tcPr>
          <w:p w14:paraId="2E5F16D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textAlignment w:val="auto"/>
              <w:rPr>
                <w:rFonts w:hint="eastAsia" w:cs="Times New Roman"/>
                <w:color w:val="auto"/>
                <w:kern w:val="0"/>
                <w:sz w:val="24"/>
                <w:szCs w:val="24"/>
                <w:lang w:val="en-US" w:eastAsia="zh-CN"/>
              </w:rPr>
            </w:pPr>
            <w:r>
              <w:rPr>
                <w:rFonts w:hint="eastAsia" w:cs="Times New Roman"/>
                <w:color w:val="auto"/>
                <w:kern w:val="0"/>
                <w:sz w:val="24"/>
                <w:szCs w:val="24"/>
                <w:lang w:val="en-US" w:eastAsia="zh-CN"/>
              </w:rPr>
              <w:t>1.规划文件：《广西柳州汽车城总体规划（2010-2030）》</w:t>
            </w:r>
          </w:p>
          <w:p w14:paraId="1124474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textAlignment w:val="auto"/>
              <w:rPr>
                <w:rFonts w:hint="eastAsia" w:cs="Times New Roman"/>
                <w:color w:val="auto"/>
                <w:kern w:val="0"/>
                <w:sz w:val="24"/>
                <w:szCs w:val="24"/>
                <w:lang w:val="en-US" w:eastAsia="zh-CN"/>
              </w:rPr>
            </w:pPr>
            <w:r>
              <w:rPr>
                <w:rFonts w:hint="eastAsia" w:cs="Times New Roman"/>
                <w:color w:val="auto"/>
                <w:kern w:val="0"/>
                <w:sz w:val="24"/>
                <w:szCs w:val="24"/>
                <w:lang w:val="en-US" w:eastAsia="zh-CN"/>
              </w:rPr>
              <w:t>审批机关：广西壮族自治区人民政府</w:t>
            </w:r>
          </w:p>
          <w:p w14:paraId="7C6891A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textAlignment w:val="auto"/>
              <w:rPr>
                <w:rFonts w:hint="eastAsia" w:cs="Times New Roman"/>
                <w:color w:val="auto"/>
                <w:kern w:val="0"/>
                <w:sz w:val="24"/>
                <w:szCs w:val="24"/>
                <w:lang w:val="en-US" w:eastAsia="zh-CN"/>
              </w:rPr>
            </w:pPr>
            <w:r>
              <w:rPr>
                <w:rFonts w:hint="eastAsia" w:cs="Times New Roman"/>
                <w:color w:val="auto"/>
                <w:kern w:val="0"/>
                <w:sz w:val="24"/>
                <w:szCs w:val="24"/>
                <w:lang w:val="en-US" w:eastAsia="zh-CN"/>
              </w:rPr>
              <w:t>审批文件及文号：2011年1月31日《广西柳州汽车城总体规划（2010-2030）》获得自治区人民政府原则上通过。</w:t>
            </w:r>
          </w:p>
          <w:p w14:paraId="4603151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textAlignment w:val="auto"/>
              <w:rPr>
                <w:rFonts w:hint="eastAsia" w:cs="Times New Roman"/>
                <w:color w:val="auto"/>
                <w:kern w:val="0"/>
                <w:sz w:val="24"/>
                <w:szCs w:val="24"/>
                <w:lang w:val="en-US" w:eastAsia="zh-CN"/>
              </w:rPr>
            </w:pPr>
            <w:r>
              <w:rPr>
                <w:rFonts w:hint="eastAsia" w:cs="Times New Roman"/>
                <w:color w:val="auto"/>
                <w:kern w:val="0"/>
                <w:sz w:val="24"/>
                <w:szCs w:val="24"/>
                <w:lang w:val="en-US" w:eastAsia="zh-CN"/>
              </w:rPr>
              <w:t>2.规划文件：《柳州市柳东新区花岭北片区控制性详细规划》</w:t>
            </w:r>
          </w:p>
          <w:p w14:paraId="46E890A6">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textAlignment w:val="auto"/>
              <w:rPr>
                <w:rFonts w:hint="eastAsia" w:cs="Times New Roman"/>
                <w:color w:val="auto"/>
                <w:kern w:val="0"/>
                <w:sz w:val="24"/>
                <w:szCs w:val="24"/>
                <w:lang w:val="en-US" w:eastAsia="zh-CN"/>
              </w:rPr>
            </w:pPr>
            <w:r>
              <w:rPr>
                <w:rFonts w:hint="eastAsia" w:cs="Times New Roman"/>
                <w:color w:val="auto"/>
                <w:kern w:val="0"/>
                <w:sz w:val="24"/>
                <w:szCs w:val="24"/>
                <w:lang w:val="en-US" w:eastAsia="zh-CN"/>
              </w:rPr>
              <w:t>审批机关：柳州市人民政府</w:t>
            </w:r>
          </w:p>
          <w:p w14:paraId="580AAD2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textAlignment w:val="auto"/>
              <w:rPr>
                <w:rFonts w:hint="eastAsia" w:cs="Times New Roman"/>
                <w:color w:val="auto"/>
                <w:kern w:val="0"/>
                <w:sz w:val="24"/>
                <w:szCs w:val="24"/>
                <w:lang w:val="en-US" w:eastAsia="zh-CN"/>
              </w:rPr>
            </w:pPr>
            <w:r>
              <w:rPr>
                <w:rFonts w:hint="eastAsia" w:cs="Times New Roman"/>
                <w:color w:val="auto"/>
                <w:kern w:val="0"/>
                <w:sz w:val="24"/>
                <w:szCs w:val="24"/>
                <w:lang w:val="en-US" w:eastAsia="zh-CN"/>
              </w:rPr>
              <w:t>审批文件及文号：2021年4月经柳州市人民政府批复实施（柳政函</w:t>
            </w:r>
          </w:p>
          <w:p w14:paraId="216F7EB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textAlignment w:val="auto"/>
              <w:rPr>
                <w:rFonts w:hint="eastAsia" w:ascii="Times New Roman" w:hAnsi="Times New Roman" w:eastAsia="宋体" w:cs="Times New Roman"/>
                <w:color w:val="auto"/>
                <w:kern w:val="0"/>
                <w:sz w:val="24"/>
                <w:szCs w:val="24"/>
                <w:lang w:eastAsia="zh-CN"/>
              </w:rPr>
            </w:pPr>
            <w:r>
              <w:rPr>
                <w:rFonts w:hint="eastAsia" w:cs="Times New Roman"/>
                <w:color w:val="auto"/>
                <w:kern w:val="0"/>
                <w:sz w:val="24"/>
                <w:szCs w:val="24"/>
                <w:lang w:val="en-US" w:eastAsia="zh-CN"/>
              </w:rPr>
              <w:t>〔2021〕149号）。</w:t>
            </w:r>
          </w:p>
        </w:tc>
      </w:tr>
      <w:tr w14:paraId="0A3A76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444" w:type="dxa"/>
            <w:noWrap w:val="0"/>
            <w:vAlign w:val="center"/>
          </w:tcPr>
          <w:p w14:paraId="6590A39A">
            <w:pPr>
              <w:adjustRightInd w:val="0"/>
              <w:snapToGrid w:val="0"/>
              <w:jc w:val="center"/>
              <w:rPr>
                <w:rFonts w:ascii="宋体" w:hAnsi="宋体" w:cs="宋体"/>
                <w:color w:val="auto"/>
                <w:sz w:val="24"/>
                <w:szCs w:val="24"/>
              </w:rPr>
            </w:pPr>
            <w:r>
              <w:rPr>
                <w:rFonts w:hint="eastAsia" w:ascii="宋体" w:hAnsi="宋体" w:cs="宋体"/>
                <w:color w:val="auto"/>
                <w:sz w:val="24"/>
                <w:szCs w:val="24"/>
              </w:rPr>
              <w:t>规划环境影响</w:t>
            </w:r>
          </w:p>
          <w:p w14:paraId="49858B9C">
            <w:pPr>
              <w:adjustRightInd w:val="0"/>
              <w:snapToGrid w:val="0"/>
              <w:jc w:val="center"/>
              <w:rPr>
                <w:rFonts w:hint="eastAsia" w:ascii="宋体" w:hAnsi="宋体" w:cs="宋体"/>
                <w:color w:val="auto"/>
                <w:kern w:val="0"/>
                <w:sz w:val="24"/>
                <w:szCs w:val="24"/>
              </w:rPr>
            </w:pPr>
            <w:r>
              <w:rPr>
                <w:rFonts w:hint="eastAsia" w:ascii="宋体" w:hAnsi="宋体" w:cs="宋体"/>
                <w:color w:val="auto"/>
                <w:sz w:val="24"/>
                <w:szCs w:val="24"/>
              </w:rPr>
              <w:t>评价情况</w:t>
            </w:r>
          </w:p>
        </w:tc>
        <w:tc>
          <w:tcPr>
            <w:tcW w:w="7426" w:type="dxa"/>
            <w:gridSpan w:val="3"/>
            <w:noWrap w:val="0"/>
            <w:vAlign w:val="center"/>
          </w:tcPr>
          <w:p w14:paraId="1803F676">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textAlignment w:val="auto"/>
              <w:rPr>
                <w:rFonts w:hint="eastAsia" w:cs="Times New Roman"/>
                <w:color w:val="auto"/>
                <w:kern w:val="0"/>
                <w:sz w:val="24"/>
                <w:szCs w:val="24"/>
                <w:lang w:val="en-US" w:eastAsia="zh-CN"/>
              </w:rPr>
            </w:pPr>
            <w:r>
              <w:rPr>
                <w:rFonts w:hint="eastAsia" w:cs="Times New Roman"/>
                <w:color w:val="auto"/>
                <w:kern w:val="0"/>
                <w:sz w:val="24"/>
                <w:szCs w:val="24"/>
                <w:lang w:val="en-US" w:eastAsia="zh-CN"/>
              </w:rPr>
              <w:t>规划环评名称：《广西柳州汽车城总体规划（2010-2030）环境影响报告书》；</w:t>
            </w:r>
          </w:p>
          <w:p w14:paraId="2B143FD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textAlignment w:val="auto"/>
              <w:rPr>
                <w:rFonts w:hint="eastAsia" w:cs="Times New Roman"/>
                <w:color w:val="auto"/>
                <w:kern w:val="0"/>
                <w:sz w:val="24"/>
                <w:szCs w:val="24"/>
                <w:lang w:val="en-US" w:eastAsia="zh-CN"/>
              </w:rPr>
            </w:pPr>
            <w:r>
              <w:rPr>
                <w:rFonts w:hint="eastAsia" w:cs="Times New Roman"/>
                <w:color w:val="auto"/>
                <w:kern w:val="0"/>
                <w:sz w:val="24"/>
                <w:szCs w:val="24"/>
                <w:lang w:val="en-US" w:eastAsia="zh-CN"/>
              </w:rPr>
              <w:t>审查机关：原广西壮族自治区环境保护厅</w:t>
            </w:r>
          </w:p>
          <w:p w14:paraId="653FE021">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textAlignment w:val="auto"/>
              <w:rPr>
                <w:rFonts w:hint="eastAsia" w:cs="Times New Roman"/>
                <w:color w:val="auto"/>
                <w:kern w:val="0"/>
                <w:sz w:val="24"/>
                <w:szCs w:val="24"/>
                <w:lang w:val="en-US" w:eastAsia="zh-CN"/>
              </w:rPr>
            </w:pPr>
            <w:r>
              <w:rPr>
                <w:rFonts w:hint="eastAsia" w:cs="Times New Roman"/>
                <w:color w:val="auto"/>
                <w:kern w:val="0"/>
                <w:sz w:val="24"/>
                <w:szCs w:val="24"/>
                <w:lang w:val="en-US" w:eastAsia="zh-CN"/>
              </w:rPr>
              <w:t>审查文件名称及文号：广西壮族自治区环境保护厅关于印发广西柳州汽车城总体规划（2010-2030）环境影响报告书审查意见的函（桂环函〔2012〕1294号）。</w:t>
            </w:r>
          </w:p>
          <w:p w14:paraId="224646E3">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imes New Roman" w:hAnsi="Times New Roman" w:eastAsia="宋体" w:cs="Times New Roman"/>
                <w:color w:val="auto"/>
                <w:kern w:val="0"/>
                <w:sz w:val="24"/>
                <w:szCs w:val="24"/>
                <w:lang w:eastAsia="zh-CN"/>
              </w:rPr>
            </w:pPr>
            <w:r>
              <w:rPr>
                <w:rFonts w:hint="eastAsia" w:cs="Times New Roman"/>
                <w:color w:val="auto"/>
                <w:kern w:val="0"/>
                <w:sz w:val="24"/>
                <w:szCs w:val="24"/>
                <w:lang w:val="en-US" w:eastAsia="zh-CN"/>
              </w:rPr>
              <w:t>2019年5月，柳州市柳东新区管理委员会委托广西柳环环保技术有限公司对广西柳州汽车城总体规划（2010-2030）进行环境影响跟踪评价，编制完成了《广西柳州汽车城总体规划（2010-2030）环境影响跟踪评价报告书》，通过技术审查。</w:t>
            </w:r>
          </w:p>
        </w:tc>
      </w:tr>
      <w:tr w14:paraId="154832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444" w:type="dxa"/>
            <w:noWrap w:val="0"/>
            <w:vAlign w:val="center"/>
          </w:tcPr>
          <w:p w14:paraId="7C851630">
            <w:pPr>
              <w:autoSpaceDE w:val="0"/>
              <w:autoSpaceDN w:val="0"/>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规划及规划环境影响评价符合性分析</w:t>
            </w:r>
          </w:p>
        </w:tc>
        <w:tc>
          <w:tcPr>
            <w:tcW w:w="7426" w:type="dxa"/>
            <w:gridSpan w:val="3"/>
            <w:noWrap w:val="0"/>
            <w:vAlign w:val="center"/>
          </w:tcPr>
          <w:p w14:paraId="04F6D501">
            <w:pPr>
              <w:tabs>
                <w:tab w:val="left" w:pos="624"/>
              </w:tabs>
              <w:spacing w:line="500" w:lineRule="exact"/>
              <w:ind w:firstLine="480" w:firstLineChars="200"/>
              <w:rPr>
                <w:rFonts w:hint="default"/>
                <w:color w:val="auto"/>
                <w:sz w:val="24"/>
                <w:highlight w:val="none"/>
                <w:shd w:val="clear" w:color="auto" w:fill="auto"/>
              </w:rPr>
            </w:pPr>
            <w:r>
              <w:rPr>
                <w:rFonts w:hint="default"/>
                <w:color w:val="auto"/>
                <w:sz w:val="24"/>
                <w:highlight w:val="none"/>
                <w:shd w:val="clear" w:color="auto" w:fill="auto"/>
              </w:rPr>
              <w:t>一、本项目与相关规划相符性分析</w:t>
            </w:r>
          </w:p>
          <w:p w14:paraId="2879DA43">
            <w:pPr>
              <w:tabs>
                <w:tab w:val="left" w:pos="624"/>
              </w:tabs>
              <w:spacing w:line="500" w:lineRule="exact"/>
              <w:ind w:firstLine="480" w:firstLineChars="200"/>
              <w:rPr>
                <w:rFonts w:hint="default"/>
                <w:color w:val="auto"/>
                <w:sz w:val="24"/>
                <w:highlight w:val="none"/>
                <w:shd w:val="clear" w:color="auto" w:fill="auto"/>
              </w:rPr>
            </w:pPr>
            <w:r>
              <w:rPr>
                <w:rFonts w:hint="default"/>
                <w:color w:val="auto"/>
                <w:sz w:val="24"/>
                <w:highlight w:val="none"/>
                <w:shd w:val="clear" w:color="auto" w:fill="auto"/>
              </w:rPr>
              <w:t>根据《广西柳州汽车城总体规划</w:t>
            </w:r>
            <w:r>
              <w:rPr>
                <w:rFonts w:hint="eastAsia"/>
                <w:color w:val="auto"/>
                <w:sz w:val="24"/>
                <w:highlight w:val="none"/>
                <w:shd w:val="clear" w:color="auto" w:fill="auto"/>
                <w:lang w:eastAsia="zh-CN"/>
              </w:rPr>
              <w:t>（</w:t>
            </w:r>
            <w:r>
              <w:rPr>
                <w:rFonts w:hint="default"/>
                <w:color w:val="auto"/>
                <w:sz w:val="24"/>
                <w:highlight w:val="none"/>
                <w:shd w:val="clear" w:color="auto" w:fill="auto"/>
              </w:rPr>
              <w:t>2010-2030</w:t>
            </w:r>
            <w:r>
              <w:rPr>
                <w:rFonts w:hint="eastAsia"/>
                <w:color w:val="auto"/>
                <w:sz w:val="24"/>
                <w:highlight w:val="none"/>
                <w:shd w:val="clear" w:color="auto" w:fill="auto"/>
                <w:lang w:eastAsia="zh-CN"/>
              </w:rPr>
              <w:t>）</w:t>
            </w:r>
            <w:r>
              <w:rPr>
                <w:rFonts w:hint="default"/>
                <w:color w:val="auto"/>
                <w:sz w:val="24"/>
                <w:highlight w:val="none"/>
                <w:shd w:val="clear" w:color="auto" w:fill="auto"/>
              </w:rPr>
              <w:t>》，区域定位为广西汽车产业基地，产业定位为以汽车整车和零配件生产为主导，以发展围绕汽车工业的产业为主。本项目生产</w:t>
            </w:r>
            <w:r>
              <w:rPr>
                <w:rFonts w:hint="eastAsia"/>
                <w:color w:val="auto"/>
                <w:sz w:val="24"/>
                <w:highlight w:val="none"/>
                <w:shd w:val="clear" w:color="auto" w:fill="auto"/>
                <w:lang w:val="en-US" w:eastAsia="zh-CN"/>
              </w:rPr>
              <w:t>电动助动车，为新能源产业</w:t>
            </w:r>
            <w:r>
              <w:rPr>
                <w:rFonts w:hint="default"/>
                <w:color w:val="auto"/>
                <w:sz w:val="24"/>
                <w:highlight w:val="none"/>
                <w:shd w:val="clear" w:color="auto" w:fill="auto"/>
              </w:rPr>
              <w:t>，</w:t>
            </w:r>
            <w:r>
              <w:rPr>
                <w:rFonts w:hint="eastAsia"/>
                <w:color w:val="auto"/>
                <w:sz w:val="24"/>
                <w:highlight w:val="none"/>
                <w:shd w:val="clear" w:color="auto" w:fill="auto"/>
                <w:lang w:val="en-US" w:eastAsia="zh-CN"/>
              </w:rPr>
              <w:t>属于配套</w:t>
            </w:r>
            <w:r>
              <w:rPr>
                <w:rFonts w:hint="default"/>
                <w:color w:val="auto"/>
                <w:sz w:val="24"/>
                <w:highlight w:val="none"/>
                <w:shd w:val="clear" w:color="auto" w:fill="auto"/>
              </w:rPr>
              <w:t>产业，符合汽车城产业定位。符合《广西柳州汽车城总体规划</w:t>
            </w:r>
            <w:r>
              <w:rPr>
                <w:rFonts w:hint="eastAsia"/>
                <w:color w:val="auto"/>
                <w:sz w:val="24"/>
                <w:highlight w:val="none"/>
                <w:shd w:val="clear" w:color="auto" w:fill="auto"/>
                <w:lang w:eastAsia="zh-CN"/>
              </w:rPr>
              <w:t>（</w:t>
            </w:r>
            <w:r>
              <w:rPr>
                <w:rFonts w:hint="default"/>
                <w:color w:val="auto"/>
                <w:sz w:val="24"/>
                <w:highlight w:val="none"/>
                <w:shd w:val="clear" w:color="auto" w:fill="auto"/>
              </w:rPr>
              <w:t>2010-2030</w:t>
            </w:r>
            <w:r>
              <w:rPr>
                <w:rFonts w:hint="eastAsia"/>
                <w:color w:val="auto"/>
                <w:sz w:val="24"/>
                <w:highlight w:val="none"/>
                <w:shd w:val="clear" w:color="auto" w:fill="auto"/>
                <w:lang w:eastAsia="zh-CN"/>
              </w:rPr>
              <w:t>）</w:t>
            </w:r>
            <w:r>
              <w:rPr>
                <w:rFonts w:hint="default"/>
                <w:color w:val="auto"/>
                <w:sz w:val="24"/>
                <w:highlight w:val="none"/>
                <w:shd w:val="clear" w:color="auto" w:fill="auto"/>
              </w:rPr>
              <w:t>》相关要求。</w:t>
            </w:r>
          </w:p>
          <w:p w14:paraId="7C443188">
            <w:pPr>
              <w:tabs>
                <w:tab w:val="left" w:pos="624"/>
              </w:tabs>
              <w:spacing w:line="500" w:lineRule="exact"/>
              <w:ind w:firstLine="480" w:firstLineChars="200"/>
              <w:rPr>
                <w:rFonts w:hint="default"/>
                <w:color w:val="auto"/>
                <w:sz w:val="24"/>
                <w:highlight w:val="none"/>
                <w:shd w:val="clear" w:color="auto" w:fill="auto"/>
              </w:rPr>
            </w:pPr>
            <w:r>
              <w:rPr>
                <w:rFonts w:hint="default"/>
                <w:color w:val="auto"/>
                <w:sz w:val="24"/>
                <w:highlight w:val="none"/>
                <w:shd w:val="clear" w:color="auto" w:fill="auto"/>
              </w:rPr>
              <w:t>根据《柳州市柳东新区花岭北片区控制性详细规划》产业政策，以汽车产业为主导，大力扶持新能源、新材料、环保、电子信息等高新技术产业，项目生产</w:t>
            </w:r>
            <w:r>
              <w:rPr>
                <w:rFonts w:hint="eastAsia"/>
                <w:color w:val="auto"/>
                <w:sz w:val="24"/>
                <w:highlight w:val="none"/>
                <w:shd w:val="clear" w:color="auto" w:fill="auto"/>
                <w:lang w:val="en-US" w:eastAsia="zh-CN"/>
              </w:rPr>
              <w:t>电动助动车</w:t>
            </w:r>
            <w:r>
              <w:rPr>
                <w:rFonts w:hint="default"/>
                <w:color w:val="auto"/>
                <w:sz w:val="24"/>
                <w:highlight w:val="none"/>
                <w:shd w:val="clear" w:color="auto" w:fill="auto"/>
              </w:rPr>
              <w:t>，为</w:t>
            </w:r>
            <w:r>
              <w:rPr>
                <w:rFonts w:hint="eastAsia"/>
                <w:color w:val="auto"/>
                <w:sz w:val="24"/>
                <w:highlight w:val="none"/>
                <w:shd w:val="clear" w:color="auto" w:fill="auto"/>
                <w:lang w:val="en-US" w:eastAsia="zh-CN"/>
              </w:rPr>
              <w:t>新能源产业</w:t>
            </w:r>
            <w:r>
              <w:rPr>
                <w:rFonts w:hint="default"/>
                <w:color w:val="auto"/>
                <w:sz w:val="24"/>
                <w:highlight w:val="none"/>
                <w:shd w:val="clear" w:color="auto" w:fill="auto"/>
              </w:rPr>
              <w:t>，符合产业规划。</w:t>
            </w:r>
          </w:p>
          <w:p w14:paraId="4AE9A194">
            <w:pPr>
              <w:tabs>
                <w:tab w:val="left" w:pos="624"/>
              </w:tabs>
              <w:spacing w:line="500" w:lineRule="exact"/>
              <w:ind w:firstLine="480" w:firstLineChars="200"/>
              <w:rPr>
                <w:rFonts w:hint="default"/>
                <w:color w:val="auto"/>
                <w:sz w:val="24"/>
                <w:highlight w:val="none"/>
                <w:shd w:val="clear" w:color="auto" w:fill="auto"/>
              </w:rPr>
            </w:pPr>
            <w:r>
              <w:rPr>
                <w:rFonts w:hint="default"/>
                <w:color w:val="auto"/>
                <w:sz w:val="24"/>
                <w:highlight w:val="none"/>
                <w:shd w:val="clear" w:color="auto" w:fill="auto"/>
              </w:rPr>
              <w:t>因此，项目的建设内容与性质与规划相符。</w:t>
            </w:r>
          </w:p>
          <w:p w14:paraId="3C4D948E">
            <w:pPr>
              <w:tabs>
                <w:tab w:val="left" w:pos="624"/>
              </w:tabs>
              <w:spacing w:line="500" w:lineRule="exact"/>
              <w:ind w:firstLine="480" w:firstLineChars="200"/>
              <w:rPr>
                <w:rFonts w:hint="default"/>
                <w:color w:val="auto"/>
                <w:sz w:val="24"/>
                <w:highlight w:val="none"/>
                <w:shd w:val="clear" w:color="auto" w:fill="auto"/>
              </w:rPr>
            </w:pPr>
            <w:r>
              <w:rPr>
                <w:rFonts w:hint="default"/>
                <w:color w:val="auto"/>
                <w:sz w:val="24"/>
                <w:highlight w:val="none"/>
                <w:shd w:val="clear" w:color="auto" w:fill="auto"/>
              </w:rPr>
              <w:t>二、本项目与规划环评及其审查意见的相符性分析</w:t>
            </w:r>
          </w:p>
          <w:p w14:paraId="276A6DA8">
            <w:pPr>
              <w:tabs>
                <w:tab w:val="left" w:pos="624"/>
              </w:tabs>
              <w:spacing w:line="500" w:lineRule="exact"/>
              <w:ind w:firstLine="480" w:firstLineChars="200"/>
              <w:rPr>
                <w:rFonts w:hint="default"/>
                <w:color w:val="auto"/>
                <w:sz w:val="24"/>
                <w:highlight w:val="none"/>
                <w:shd w:val="clear" w:color="auto" w:fill="auto"/>
              </w:rPr>
            </w:pPr>
            <w:r>
              <w:rPr>
                <w:rFonts w:hint="default"/>
                <w:color w:val="auto"/>
                <w:sz w:val="24"/>
                <w:highlight w:val="none"/>
                <w:shd w:val="clear" w:color="auto" w:fill="auto"/>
              </w:rPr>
              <w:t>根据《广西柳州汽车城总体规划（2010-2030）环境影响报告书》及审查意见，规划禁止制浆造纸、冶炼等行业进驻，现有此类企业要逐步实施搬迁，在搬迁前要加强环境管理，提高清洁生产水平、减少污染物排放，实施主要污染物排放总量控制，项目不得实施提升产能等扩建工程。制糖、化工等行业非规划主导产业，规划亦不禁止，此类企业在符合规划前提下可予以保留，但要不断加强管理，提升生产技术和污染治理水平，确保污染物达标排放。与规划主导产业无关的化学品行业，建议转型或搬迁。</w:t>
            </w:r>
          </w:p>
          <w:p w14:paraId="7902F1E6">
            <w:pPr>
              <w:tabs>
                <w:tab w:val="left" w:pos="624"/>
              </w:tabs>
              <w:spacing w:line="500" w:lineRule="exact"/>
              <w:ind w:firstLine="480" w:firstLineChars="200"/>
              <w:rPr>
                <w:rFonts w:hint="default"/>
                <w:color w:val="auto"/>
                <w:sz w:val="24"/>
                <w:highlight w:val="none"/>
                <w:shd w:val="clear" w:color="auto" w:fill="auto"/>
              </w:rPr>
            </w:pPr>
            <w:r>
              <w:rPr>
                <w:rFonts w:hint="default"/>
                <w:color w:val="auto"/>
                <w:sz w:val="24"/>
                <w:highlight w:val="none"/>
                <w:shd w:val="clear" w:color="auto" w:fill="auto"/>
              </w:rPr>
              <w:t>根据《广西柳州汽车城总体规划（2010-2030）环境影响跟踪评价报告书》及审查意见，为了实现广西柳州汽车城的可持续发展，推动规划区科技产业的进步，保护并改善区域环境，凡入区项目需符合产业导向：项目必须符合国家产业指导目录和《柳东新区国民经济和社会发展“十三五”规划纲要》（柳东管发〔2017〕277号）、《柳州高新技术产业开发区“十三五”发展规划纲要》（柳东管发〔2018〕5号）等发展规划，包括涉及：汽车及关键零部件、高端装备制造、电子信息、新能源、新材料等产业，生产性服务业、生活性服务业、公共服务业等第三产业和现代农业。</w:t>
            </w:r>
          </w:p>
          <w:p w14:paraId="2209CC20">
            <w:pPr>
              <w:tabs>
                <w:tab w:val="left" w:pos="624"/>
              </w:tabs>
              <w:spacing w:line="500" w:lineRule="exact"/>
              <w:ind w:firstLine="480" w:firstLineChars="200"/>
              <w:rPr>
                <w:rFonts w:hint="eastAsia"/>
                <w:color w:val="auto"/>
                <w:spacing w:val="-1"/>
                <w:sz w:val="24"/>
                <w:szCs w:val="24"/>
                <w:lang w:val="en-US" w:eastAsia="zh-CN"/>
              </w:rPr>
            </w:pPr>
            <w:r>
              <w:rPr>
                <w:rFonts w:hint="default"/>
                <w:color w:val="auto"/>
                <w:sz w:val="24"/>
                <w:highlight w:val="none"/>
                <w:shd w:val="clear" w:color="auto" w:fill="auto"/>
              </w:rPr>
              <w:t>本项目位于广西柳州汽车城，规划用地性质为工业用地，本项目生产</w:t>
            </w:r>
            <w:r>
              <w:rPr>
                <w:rFonts w:hint="eastAsia"/>
                <w:color w:val="auto"/>
                <w:sz w:val="24"/>
                <w:highlight w:val="none"/>
                <w:shd w:val="clear" w:color="auto" w:fill="auto"/>
                <w:lang w:val="en-US" w:eastAsia="zh-CN"/>
              </w:rPr>
              <w:t>电动助动车</w:t>
            </w:r>
            <w:r>
              <w:rPr>
                <w:rFonts w:hint="default"/>
                <w:color w:val="auto"/>
                <w:sz w:val="24"/>
                <w:highlight w:val="none"/>
                <w:shd w:val="clear" w:color="auto" w:fill="auto"/>
              </w:rPr>
              <w:t>，为</w:t>
            </w:r>
            <w:r>
              <w:rPr>
                <w:rFonts w:hint="default"/>
                <w:color w:val="auto"/>
                <w:sz w:val="24"/>
                <w:highlight w:val="none"/>
                <w:shd w:val="clear" w:color="auto" w:fill="auto"/>
                <w:lang w:val="en-US" w:eastAsia="zh-CN"/>
              </w:rPr>
              <w:t>新能源</w:t>
            </w:r>
            <w:r>
              <w:rPr>
                <w:rFonts w:hint="default"/>
                <w:color w:val="auto"/>
                <w:sz w:val="24"/>
                <w:highlight w:val="none"/>
                <w:shd w:val="clear" w:color="auto" w:fill="auto"/>
              </w:rPr>
              <w:t>产业，符合规划环评、跟踪环评及审查意见要求</w:t>
            </w:r>
            <w:r>
              <w:rPr>
                <w:rFonts w:hint="eastAsia"/>
                <w:color w:val="auto"/>
                <w:sz w:val="24"/>
                <w:highlight w:val="none"/>
                <w:shd w:val="clear" w:color="auto" w:fill="auto"/>
                <w:lang w:val="en-US" w:eastAsia="zh-CN"/>
              </w:rPr>
              <w:t>。</w:t>
            </w:r>
          </w:p>
        </w:tc>
      </w:tr>
      <w:tr w14:paraId="44AC95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44" w:type="dxa"/>
            <w:noWrap w:val="0"/>
            <w:vAlign w:val="center"/>
          </w:tcPr>
          <w:p w14:paraId="04A64730">
            <w:pPr>
              <w:autoSpaceDE w:val="0"/>
              <w:autoSpaceDN w:val="0"/>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其他符合性分析</w:t>
            </w:r>
          </w:p>
        </w:tc>
        <w:tc>
          <w:tcPr>
            <w:tcW w:w="7426" w:type="dxa"/>
            <w:gridSpan w:val="3"/>
            <w:noWrap w:val="0"/>
            <w:vAlign w:val="center"/>
          </w:tcPr>
          <w:p w14:paraId="7D98B428">
            <w:pPr>
              <w:autoSpaceDE w:val="0"/>
              <w:autoSpaceDN w:val="0"/>
              <w:adjustRightInd w:val="0"/>
              <w:snapToGrid w:val="0"/>
              <w:spacing w:line="500" w:lineRule="exact"/>
              <w:ind w:firstLine="480" w:firstLineChars="200"/>
              <w:jc w:val="left"/>
              <w:rPr>
                <w:color w:val="auto"/>
                <w:sz w:val="24"/>
                <w:highlight w:val="none"/>
                <w:shd w:val="clear" w:color="auto" w:fill="auto"/>
              </w:rPr>
            </w:pPr>
            <w:r>
              <w:rPr>
                <w:color w:val="auto"/>
                <w:sz w:val="24"/>
                <w:highlight w:val="none"/>
                <w:shd w:val="clear" w:color="auto" w:fill="auto"/>
              </w:rPr>
              <w:t>（1）产业政策相符性分析</w:t>
            </w:r>
          </w:p>
          <w:p w14:paraId="15283574">
            <w:pPr>
              <w:tabs>
                <w:tab w:val="left" w:pos="624"/>
              </w:tabs>
              <w:spacing w:line="500" w:lineRule="exact"/>
              <w:ind w:firstLine="480" w:firstLineChars="200"/>
              <w:rPr>
                <w:color w:val="auto"/>
                <w:sz w:val="24"/>
                <w:highlight w:val="none"/>
                <w:shd w:val="clear" w:color="auto" w:fill="auto"/>
              </w:rPr>
            </w:pPr>
            <w:r>
              <w:rPr>
                <w:color w:val="auto"/>
                <w:sz w:val="24"/>
                <w:highlight w:val="none"/>
                <w:shd w:val="clear" w:color="auto" w:fill="auto"/>
              </w:rPr>
              <w:t>根据《产业结构调整指导目录（2024 年本）》中的有关内容，本项目不属于鼓励类、限制类及淘汰类，属于允许建设项目，且项目已在广西投资项目在线审批监管平台登记备案，项目代码为：</w:t>
            </w:r>
            <w:r>
              <w:rPr>
                <w:rFonts w:hint="eastAsia"/>
                <w:color w:val="auto"/>
                <w:sz w:val="24"/>
                <w:highlight w:val="none"/>
                <w:shd w:val="clear" w:color="auto" w:fill="auto"/>
                <w:lang w:eastAsia="zh-CN"/>
              </w:rPr>
              <w:t>2606-450211-04-01-995095</w:t>
            </w:r>
            <w:r>
              <w:rPr>
                <w:color w:val="auto"/>
                <w:sz w:val="24"/>
                <w:highlight w:val="none"/>
                <w:shd w:val="clear" w:color="auto" w:fill="auto"/>
              </w:rPr>
              <w:t>。项目符合国家及地方产业政策要求。</w:t>
            </w:r>
          </w:p>
          <w:p w14:paraId="70D9CBC3">
            <w:pPr>
              <w:spacing w:line="500" w:lineRule="exact"/>
              <w:ind w:firstLine="480" w:firstLineChars="200"/>
              <w:rPr>
                <w:rFonts w:hint="eastAsia" w:ascii="Times New Roman" w:hAnsi="Times New Roman" w:eastAsia="宋体" w:cs="Times New Roman"/>
                <w:color w:val="auto"/>
                <w:kern w:val="2"/>
                <w:sz w:val="24"/>
                <w:szCs w:val="24"/>
                <w:highlight w:val="none"/>
                <w:shd w:val="clear" w:color="auto" w:fill="auto"/>
                <w:lang w:val="en-US" w:eastAsia="zh-CN" w:bidi="ar-SA"/>
              </w:rPr>
            </w:pPr>
            <w:r>
              <w:rPr>
                <w:rFonts w:hint="eastAsia" w:ascii="Times New Roman" w:hAnsi="Times New Roman" w:eastAsia="宋体" w:cs="Times New Roman"/>
                <w:color w:val="auto"/>
                <w:kern w:val="2"/>
                <w:sz w:val="24"/>
                <w:szCs w:val="24"/>
                <w:highlight w:val="none"/>
                <w:shd w:val="clear" w:color="auto" w:fill="auto"/>
                <w:lang w:val="en-US" w:eastAsia="zh-CN" w:bidi="ar-SA"/>
              </w:rPr>
              <w:t>（2）项目与柳州市国土空间规划“三区三线”相符性分析</w:t>
            </w:r>
          </w:p>
          <w:p w14:paraId="243FD017">
            <w:pPr>
              <w:spacing w:line="500" w:lineRule="exact"/>
              <w:ind w:firstLine="480" w:firstLineChars="200"/>
              <w:rPr>
                <w:rFonts w:hint="eastAsia" w:ascii="Times New Roman" w:hAnsi="Times New Roman" w:eastAsia="宋体" w:cs="Times New Roman"/>
                <w:color w:val="auto"/>
                <w:kern w:val="2"/>
                <w:sz w:val="24"/>
                <w:szCs w:val="24"/>
                <w:highlight w:val="none"/>
                <w:shd w:val="clear" w:color="auto" w:fill="auto"/>
                <w:lang w:val="en-US" w:eastAsia="zh-CN" w:bidi="ar-SA"/>
              </w:rPr>
            </w:pPr>
            <w:r>
              <w:rPr>
                <w:rFonts w:hint="eastAsia" w:ascii="Times New Roman" w:hAnsi="Times New Roman" w:eastAsia="宋体" w:cs="Times New Roman"/>
                <w:color w:val="auto"/>
                <w:kern w:val="2"/>
                <w:sz w:val="24"/>
                <w:szCs w:val="24"/>
                <w:highlight w:val="none"/>
                <w:shd w:val="clear" w:color="auto" w:fill="auto"/>
                <w:lang w:val="en-US" w:eastAsia="zh-CN" w:bidi="ar-SA"/>
              </w:rPr>
              <w:t>项目位于广西壮族自治区柳州市雒容镇秀水二路一号三号厂房1层及二号厂房1层东3跨部分、东4跨部分的厂房，根据柳州市自然资源和规划局发布的柳州市国土空间规划土地使用规划图，本项目</w:t>
            </w:r>
            <w:r>
              <w:rPr>
                <w:rFonts w:hint="eastAsia" w:cs="Times New Roman"/>
                <w:color w:val="auto"/>
                <w:kern w:val="2"/>
                <w:sz w:val="24"/>
                <w:szCs w:val="24"/>
                <w:highlight w:val="none"/>
                <w:shd w:val="clear" w:color="auto" w:fill="auto"/>
                <w:lang w:val="en-US" w:eastAsia="zh-CN" w:bidi="ar-SA"/>
              </w:rPr>
              <w:t>用地属于工业用地</w:t>
            </w:r>
            <w:r>
              <w:rPr>
                <w:rFonts w:hint="eastAsia" w:ascii="Times New Roman" w:hAnsi="Times New Roman" w:eastAsia="宋体" w:cs="Times New Roman"/>
                <w:color w:val="auto"/>
                <w:kern w:val="2"/>
                <w:sz w:val="24"/>
                <w:szCs w:val="24"/>
                <w:highlight w:val="none"/>
                <w:shd w:val="clear" w:color="auto" w:fill="auto"/>
                <w:lang w:val="en-US" w:eastAsia="zh-CN" w:bidi="ar-SA"/>
              </w:rPr>
              <w:t>，具体位置关系见附图</w:t>
            </w:r>
            <w:r>
              <w:rPr>
                <w:rFonts w:hint="eastAsia" w:cs="Times New Roman"/>
                <w:color w:val="auto"/>
                <w:kern w:val="2"/>
                <w:sz w:val="24"/>
                <w:szCs w:val="24"/>
                <w:highlight w:val="none"/>
                <w:shd w:val="clear" w:color="auto" w:fill="auto"/>
                <w:lang w:val="en-US" w:eastAsia="zh-CN" w:bidi="ar-SA"/>
              </w:rPr>
              <w:t>6</w:t>
            </w:r>
            <w:r>
              <w:rPr>
                <w:rFonts w:hint="eastAsia" w:ascii="Times New Roman" w:hAnsi="Times New Roman" w:eastAsia="宋体" w:cs="Times New Roman"/>
                <w:color w:val="auto"/>
                <w:kern w:val="2"/>
                <w:sz w:val="24"/>
                <w:szCs w:val="24"/>
                <w:highlight w:val="none"/>
                <w:shd w:val="clear" w:color="auto" w:fill="auto"/>
                <w:lang w:val="en-US" w:eastAsia="zh-CN" w:bidi="ar-SA"/>
              </w:rPr>
              <w:t>，因此项目与柳州市国土空间规划“三区三线”相符</w:t>
            </w:r>
            <w:r>
              <w:rPr>
                <w:rFonts w:hint="eastAsia" w:cs="Times New Roman"/>
                <w:color w:val="auto"/>
                <w:kern w:val="2"/>
                <w:sz w:val="24"/>
                <w:szCs w:val="24"/>
                <w:highlight w:val="none"/>
                <w:shd w:val="clear" w:color="auto" w:fill="auto"/>
                <w:lang w:val="en-US" w:eastAsia="zh-CN" w:bidi="ar-SA"/>
              </w:rPr>
              <w:t>。</w:t>
            </w:r>
          </w:p>
          <w:p w14:paraId="52911673">
            <w:pPr>
              <w:spacing w:line="500" w:lineRule="exact"/>
              <w:ind w:firstLine="480" w:firstLineChars="200"/>
              <w:rPr>
                <w:rFonts w:hint="eastAsia"/>
                <w:color w:val="auto"/>
                <w:sz w:val="24"/>
                <w:highlight w:val="none"/>
                <w:shd w:val="clear" w:color="auto" w:fill="auto"/>
              </w:rPr>
            </w:pPr>
            <w:r>
              <w:rPr>
                <w:rFonts w:hint="eastAsia"/>
                <w:color w:val="auto"/>
                <w:sz w:val="24"/>
                <w:highlight w:val="none"/>
                <w:shd w:val="clear" w:color="auto" w:fill="auto"/>
                <w:lang w:eastAsia="zh-CN"/>
              </w:rPr>
              <w:t>（</w:t>
            </w:r>
            <w:r>
              <w:rPr>
                <w:rFonts w:hint="eastAsia"/>
                <w:color w:val="auto"/>
                <w:sz w:val="24"/>
                <w:highlight w:val="none"/>
                <w:shd w:val="clear" w:color="auto" w:fill="auto"/>
                <w:lang w:val="en-US" w:eastAsia="zh-CN"/>
              </w:rPr>
              <w:t>3</w:t>
            </w:r>
            <w:r>
              <w:rPr>
                <w:rFonts w:hint="eastAsia"/>
                <w:color w:val="auto"/>
                <w:sz w:val="24"/>
                <w:highlight w:val="none"/>
                <w:shd w:val="clear" w:color="auto" w:fill="auto"/>
                <w:lang w:eastAsia="zh-CN"/>
              </w:rPr>
              <w:t>）</w:t>
            </w:r>
            <w:r>
              <w:rPr>
                <w:rFonts w:hint="eastAsia"/>
                <w:color w:val="auto"/>
                <w:sz w:val="24"/>
                <w:highlight w:val="none"/>
                <w:shd w:val="clear" w:color="auto" w:fill="auto"/>
              </w:rPr>
              <w:t>“三线一单”符合性分析</w:t>
            </w:r>
          </w:p>
          <w:p w14:paraId="3FE05E61">
            <w:pPr>
              <w:spacing w:line="500" w:lineRule="exact"/>
              <w:ind w:firstLine="480" w:firstLineChars="200"/>
              <w:rPr>
                <w:rFonts w:hint="eastAsia" w:eastAsia="宋体"/>
                <w:color w:val="auto"/>
                <w:sz w:val="24"/>
                <w:highlight w:val="none"/>
                <w:shd w:val="clear" w:color="auto" w:fill="auto"/>
                <w:lang w:eastAsia="zh-CN"/>
              </w:rPr>
            </w:pPr>
            <w:r>
              <w:rPr>
                <w:rFonts w:hint="eastAsia"/>
                <w:color w:val="auto"/>
                <w:sz w:val="24"/>
                <w:highlight w:val="none"/>
                <w:shd w:val="clear" w:color="auto" w:fill="auto"/>
              </w:rPr>
              <w:t>根据环境保护部文件环环评〔2016〕150 号要求以及根据《广西壮族自治区人民政府办公厅关于印发广西生态保护红线管理办法</w:t>
            </w:r>
            <w:r>
              <w:rPr>
                <w:rFonts w:hint="eastAsia"/>
                <w:color w:val="auto"/>
                <w:sz w:val="24"/>
                <w:highlight w:val="none"/>
                <w:shd w:val="clear" w:color="auto" w:fill="auto"/>
                <w:lang w:eastAsia="zh-CN"/>
              </w:rPr>
              <w:t>（</w:t>
            </w:r>
            <w:r>
              <w:rPr>
                <w:rFonts w:hint="eastAsia"/>
                <w:color w:val="auto"/>
                <w:sz w:val="24"/>
                <w:highlight w:val="none"/>
                <w:shd w:val="clear" w:color="auto" w:fill="auto"/>
              </w:rPr>
              <w:t>试行</w:t>
            </w:r>
            <w:r>
              <w:rPr>
                <w:rFonts w:hint="eastAsia"/>
                <w:color w:val="auto"/>
                <w:sz w:val="24"/>
                <w:highlight w:val="none"/>
                <w:shd w:val="clear" w:color="auto" w:fill="auto"/>
                <w:lang w:eastAsia="zh-CN"/>
              </w:rPr>
              <w:t>）</w:t>
            </w:r>
            <w:r>
              <w:rPr>
                <w:rFonts w:hint="eastAsia"/>
                <w:color w:val="auto"/>
                <w:sz w:val="24"/>
                <w:highlight w:val="none"/>
                <w:shd w:val="clear" w:color="auto" w:fill="auto"/>
              </w:rPr>
              <w:t>的通知》</w:t>
            </w:r>
            <w:r>
              <w:rPr>
                <w:rFonts w:hint="eastAsia"/>
                <w:color w:val="auto"/>
                <w:sz w:val="24"/>
                <w:highlight w:val="none"/>
                <w:shd w:val="clear" w:color="auto" w:fill="auto"/>
                <w:lang w:eastAsia="zh-CN"/>
              </w:rPr>
              <w:t>（</w:t>
            </w:r>
            <w:r>
              <w:rPr>
                <w:rFonts w:hint="eastAsia"/>
                <w:color w:val="auto"/>
                <w:sz w:val="24"/>
                <w:highlight w:val="none"/>
                <w:shd w:val="clear" w:color="auto" w:fill="auto"/>
              </w:rPr>
              <w:t>桂政办发〔2016〕152 号</w:t>
            </w:r>
            <w:r>
              <w:rPr>
                <w:rFonts w:hint="eastAsia"/>
                <w:color w:val="auto"/>
                <w:sz w:val="24"/>
                <w:highlight w:val="none"/>
                <w:shd w:val="clear" w:color="auto" w:fill="auto"/>
                <w:lang w:eastAsia="zh-CN"/>
              </w:rPr>
              <w:t>）</w:t>
            </w:r>
            <w:r>
              <w:rPr>
                <w:rFonts w:hint="eastAsia"/>
                <w:color w:val="auto"/>
                <w:sz w:val="24"/>
                <w:highlight w:val="none"/>
                <w:shd w:val="clear" w:color="auto" w:fill="auto"/>
              </w:rPr>
              <w:t>的规定，确定在以下区域内划定生态保护红线</w:t>
            </w:r>
            <w:r>
              <w:rPr>
                <w:rFonts w:hint="eastAsia"/>
                <w:color w:val="auto"/>
                <w:sz w:val="24"/>
                <w:highlight w:val="none"/>
                <w:shd w:val="clear" w:color="auto" w:fill="auto"/>
                <w:lang w:eastAsia="zh-CN"/>
              </w:rPr>
              <w:t>：</w:t>
            </w:r>
          </w:p>
          <w:p w14:paraId="1EA51D7E">
            <w:pPr>
              <w:autoSpaceDE w:val="0"/>
              <w:autoSpaceDN w:val="0"/>
              <w:adjustRightInd w:val="0"/>
              <w:snapToGrid w:val="0"/>
              <w:spacing w:line="500" w:lineRule="exact"/>
              <w:ind w:firstLine="480" w:firstLineChars="200"/>
              <w:rPr>
                <w:rFonts w:hint="eastAsia" w:ascii="Times New Roman" w:hAnsi="Times New Roman" w:eastAsia="宋体" w:cs="宋体"/>
                <w:snapToGrid w:val="0"/>
                <w:color w:val="auto"/>
                <w:kern w:val="0"/>
                <w:sz w:val="24"/>
                <w:shd w:val="clear" w:color="auto" w:fill="auto"/>
              </w:rPr>
            </w:pPr>
            <w:r>
              <w:rPr>
                <w:rFonts w:hint="eastAsia" w:cs="宋体"/>
                <w:snapToGrid w:val="0"/>
                <w:color w:val="auto"/>
                <w:kern w:val="0"/>
                <w:sz w:val="24"/>
                <w:shd w:val="clear" w:color="auto" w:fill="auto"/>
                <w:lang w:val="en-US" w:eastAsia="zh-CN"/>
              </w:rPr>
              <w:t>A</w:t>
            </w:r>
            <w:r>
              <w:rPr>
                <w:rFonts w:hint="eastAsia" w:ascii="Times New Roman" w:hAnsi="Times New Roman" w:eastAsia="宋体" w:cs="宋体"/>
                <w:snapToGrid w:val="0"/>
                <w:color w:val="auto"/>
                <w:kern w:val="0"/>
                <w:sz w:val="24"/>
                <w:shd w:val="clear" w:color="auto" w:fill="auto"/>
              </w:rPr>
              <w:t>广西生态保护红线：</w:t>
            </w:r>
          </w:p>
          <w:p w14:paraId="57496872">
            <w:pPr>
              <w:autoSpaceDE w:val="0"/>
              <w:autoSpaceDN w:val="0"/>
              <w:adjustRightInd w:val="0"/>
              <w:snapToGrid w:val="0"/>
              <w:spacing w:line="500" w:lineRule="exact"/>
              <w:ind w:firstLine="480" w:firstLineChars="200"/>
              <w:rPr>
                <w:rFonts w:hint="eastAsia" w:ascii="Times New Roman" w:hAnsi="Times New Roman" w:eastAsia="宋体" w:cs="宋体"/>
                <w:snapToGrid w:val="0"/>
                <w:color w:val="auto"/>
                <w:kern w:val="0"/>
                <w:sz w:val="24"/>
                <w:shd w:val="clear" w:color="auto" w:fill="auto"/>
              </w:rPr>
            </w:pPr>
            <w:r>
              <w:rPr>
                <w:rFonts w:hint="eastAsia" w:ascii="Times New Roman" w:hAnsi="Times New Roman" w:eastAsia="宋体" w:cs="宋体"/>
                <w:snapToGrid w:val="0"/>
                <w:color w:val="auto"/>
                <w:kern w:val="0"/>
                <w:sz w:val="24"/>
                <w:shd w:val="clear" w:color="auto" w:fill="auto"/>
              </w:rPr>
              <w:t>①重点生态功能区，包括重要的水源涵养、土壤保持和生物多样性保护等各类陆域和海域重点生态功能区，以及自然保护区、风景名胜区、森林公园、地质公园、湿地公园、饮用水源保护区和水土流失重点预防区等禁止或限制开发区域；</w:t>
            </w:r>
          </w:p>
          <w:p w14:paraId="6A4EDB34">
            <w:pPr>
              <w:autoSpaceDE w:val="0"/>
              <w:autoSpaceDN w:val="0"/>
              <w:adjustRightInd w:val="0"/>
              <w:snapToGrid w:val="0"/>
              <w:spacing w:line="500" w:lineRule="exact"/>
              <w:ind w:firstLine="480" w:firstLineChars="200"/>
              <w:rPr>
                <w:rFonts w:hint="eastAsia" w:ascii="Times New Roman" w:hAnsi="Times New Roman" w:eastAsia="宋体" w:cs="宋体"/>
                <w:snapToGrid w:val="0"/>
                <w:color w:val="auto"/>
                <w:kern w:val="0"/>
                <w:sz w:val="24"/>
                <w:shd w:val="clear" w:color="auto" w:fill="auto"/>
              </w:rPr>
            </w:pPr>
            <w:r>
              <w:rPr>
                <w:rFonts w:hint="eastAsia" w:ascii="Times New Roman" w:hAnsi="Times New Roman" w:eastAsia="宋体" w:cs="宋体"/>
                <w:snapToGrid w:val="0"/>
                <w:color w:val="auto"/>
                <w:kern w:val="0"/>
                <w:sz w:val="24"/>
                <w:shd w:val="clear" w:color="auto" w:fill="auto"/>
              </w:rPr>
              <w:t>②生态环境敏感区和脆弱区，包括水土流失、石漠</w:t>
            </w:r>
            <w:r>
              <w:rPr>
                <w:rFonts w:hint="eastAsia" w:cs="宋体"/>
                <w:snapToGrid w:val="0"/>
                <w:color w:val="auto"/>
                <w:kern w:val="0"/>
                <w:sz w:val="24"/>
                <w:shd w:val="clear" w:color="auto" w:fill="auto"/>
                <w:lang w:eastAsia="zh-CN"/>
              </w:rPr>
              <w:t>化等</w:t>
            </w:r>
            <w:r>
              <w:rPr>
                <w:rFonts w:hint="eastAsia" w:ascii="Times New Roman" w:hAnsi="Times New Roman" w:eastAsia="宋体" w:cs="宋体"/>
                <w:snapToGrid w:val="0"/>
                <w:color w:val="auto"/>
                <w:kern w:val="0"/>
                <w:sz w:val="24"/>
                <w:shd w:val="clear" w:color="auto" w:fill="auto"/>
              </w:rPr>
              <w:t>各类陆域敏感区和脆弱区，海岸带自然岸线、红树林、珊瑚礁、海草床等海域敏感区和脆弱区；</w:t>
            </w:r>
          </w:p>
          <w:p w14:paraId="538F9853">
            <w:pPr>
              <w:autoSpaceDE w:val="0"/>
              <w:autoSpaceDN w:val="0"/>
              <w:adjustRightInd w:val="0"/>
              <w:snapToGrid w:val="0"/>
              <w:spacing w:line="500" w:lineRule="exact"/>
              <w:ind w:firstLine="480" w:firstLineChars="200"/>
              <w:rPr>
                <w:rFonts w:hint="eastAsia" w:ascii="Times New Roman" w:hAnsi="Times New Roman" w:eastAsia="宋体" w:cs="宋体"/>
                <w:snapToGrid w:val="0"/>
                <w:color w:val="auto"/>
                <w:kern w:val="0"/>
                <w:sz w:val="24"/>
                <w:shd w:val="clear" w:color="auto" w:fill="auto"/>
              </w:rPr>
            </w:pPr>
            <w:r>
              <w:rPr>
                <w:rFonts w:hint="eastAsia" w:ascii="Times New Roman" w:hAnsi="Times New Roman" w:eastAsia="宋体" w:cs="宋体"/>
                <w:snapToGrid w:val="0"/>
                <w:color w:val="auto"/>
                <w:kern w:val="0"/>
                <w:sz w:val="24"/>
                <w:shd w:val="clear" w:color="auto" w:fill="auto"/>
              </w:rPr>
              <w:t>③其他未列入上述范围，但具有重要生态功能或生态环境敏感、脆弱的区域，包括生态公益林、重要湿地和极小种群生境等。按照保护和管理的严格程度，生态保护红线区分为一类管控区和二类管控区。一类管控区包含以下区域</w:t>
            </w:r>
            <w:r>
              <w:rPr>
                <w:rFonts w:hint="eastAsia" w:cs="宋体"/>
                <w:snapToGrid w:val="0"/>
                <w:color w:val="auto"/>
                <w:kern w:val="0"/>
                <w:sz w:val="24"/>
                <w:shd w:val="clear" w:color="auto" w:fill="auto"/>
                <w:lang w:eastAsia="zh-CN"/>
              </w:rPr>
              <w:t>：</w:t>
            </w:r>
            <w:r>
              <w:rPr>
                <w:rFonts w:hint="eastAsia" w:ascii="Times New Roman" w:hAnsi="Times New Roman" w:eastAsia="宋体" w:cs="宋体"/>
                <w:snapToGrid w:val="0"/>
                <w:color w:val="auto"/>
                <w:kern w:val="0"/>
                <w:sz w:val="24"/>
                <w:shd w:val="clear" w:color="auto" w:fill="auto"/>
              </w:rPr>
              <w:t>国家级自然保护区的核心区和缓冲区；地方级自然保护区的核心区；林业一级保护林地；县级以上集中式饮用水水源地一级保护区；国家重要湿地、国家湿地公园的湿地保育区；世界自然遗产地核心区；国家级风景名胜区核心区；国家级森林公园核心景观区、生态保育区；国家级海洋公园重点保护区、预留区；</w:t>
            </w:r>
            <w:r>
              <w:rPr>
                <w:rFonts w:hint="eastAsia" w:cs="宋体"/>
                <w:snapToGrid w:val="0"/>
                <w:color w:val="auto"/>
                <w:kern w:val="0"/>
                <w:sz w:val="24"/>
                <w:shd w:val="clear" w:color="auto" w:fill="auto"/>
                <w:lang w:val="en-US" w:eastAsia="zh-CN"/>
              </w:rPr>
              <w:t>保</w:t>
            </w:r>
            <w:r>
              <w:rPr>
                <w:rFonts w:hint="eastAsia" w:ascii="Times New Roman" w:hAnsi="Times New Roman" w:eastAsia="宋体" w:cs="宋体"/>
                <w:snapToGrid w:val="0"/>
                <w:color w:val="auto"/>
                <w:kern w:val="0"/>
                <w:sz w:val="24"/>
                <w:shd w:val="clear" w:color="auto" w:fill="auto"/>
              </w:rPr>
              <w:t>护区、预留区；地质公园中二级</w:t>
            </w:r>
            <w:r>
              <w:rPr>
                <w:rFonts w:hint="eastAsia" w:cs="宋体"/>
                <w:snapToGrid w:val="0"/>
                <w:color w:val="auto"/>
                <w:kern w:val="0"/>
                <w:sz w:val="24"/>
                <w:shd w:val="clear" w:color="auto" w:fill="auto"/>
                <w:lang w:eastAsia="zh-CN"/>
              </w:rPr>
              <w:t>（</w:t>
            </w:r>
            <w:r>
              <w:rPr>
                <w:rFonts w:hint="eastAsia" w:ascii="Times New Roman" w:hAnsi="Times New Roman" w:eastAsia="宋体" w:cs="宋体"/>
                <w:snapToGrid w:val="0"/>
                <w:color w:val="auto"/>
                <w:kern w:val="0"/>
                <w:sz w:val="24"/>
                <w:shd w:val="clear" w:color="auto" w:fill="auto"/>
              </w:rPr>
              <w:t>含</w:t>
            </w:r>
            <w:r>
              <w:rPr>
                <w:rFonts w:hint="eastAsia" w:cs="宋体"/>
                <w:snapToGrid w:val="0"/>
                <w:color w:val="auto"/>
                <w:kern w:val="0"/>
                <w:sz w:val="24"/>
                <w:shd w:val="clear" w:color="auto" w:fill="auto"/>
                <w:lang w:eastAsia="zh-CN"/>
              </w:rPr>
              <w:t>）</w:t>
            </w:r>
            <w:r>
              <w:rPr>
                <w:rFonts w:hint="eastAsia" w:ascii="Times New Roman" w:hAnsi="Times New Roman" w:eastAsia="宋体" w:cs="宋体"/>
                <w:snapToGrid w:val="0"/>
                <w:color w:val="auto"/>
                <w:kern w:val="0"/>
                <w:sz w:val="24"/>
                <w:shd w:val="clear" w:color="auto" w:fill="auto"/>
              </w:rPr>
              <w:t>以上地质遗迹保护区、国家级</w:t>
            </w:r>
            <w:r>
              <w:rPr>
                <w:rFonts w:hint="eastAsia" w:cs="宋体"/>
                <w:snapToGrid w:val="0"/>
                <w:color w:val="auto"/>
                <w:kern w:val="0"/>
                <w:sz w:val="24"/>
                <w:shd w:val="clear" w:color="auto" w:fill="auto"/>
                <w:lang w:eastAsia="zh-CN"/>
              </w:rPr>
              <w:t>（</w:t>
            </w:r>
            <w:r>
              <w:rPr>
                <w:rFonts w:hint="eastAsia" w:ascii="Times New Roman" w:hAnsi="Times New Roman" w:eastAsia="宋体" w:cs="宋体"/>
                <w:snapToGrid w:val="0"/>
                <w:color w:val="auto"/>
                <w:kern w:val="0"/>
                <w:sz w:val="24"/>
                <w:shd w:val="clear" w:color="auto" w:fill="auto"/>
              </w:rPr>
              <w:t>含</w:t>
            </w:r>
            <w:r>
              <w:rPr>
                <w:rFonts w:hint="eastAsia" w:cs="宋体"/>
                <w:snapToGrid w:val="0"/>
                <w:color w:val="auto"/>
                <w:kern w:val="0"/>
                <w:sz w:val="24"/>
                <w:shd w:val="clear" w:color="auto" w:fill="auto"/>
                <w:lang w:eastAsia="zh-CN"/>
              </w:rPr>
              <w:t>）</w:t>
            </w:r>
            <w:r>
              <w:rPr>
                <w:rFonts w:hint="eastAsia" w:ascii="Times New Roman" w:hAnsi="Times New Roman" w:eastAsia="宋体" w:cs="宋体"/>
                <w:snapToGrid w:val="0"/>
                <w:color w:val="auto"/>
                <w:kern w:val="0"/>
                <w:sz w:val="24"/>
                <w:shd w:val="clear" w:color="auto" w:fill="auto"/>
              </w:rPr>
              <w:t>以上地质遗迹保护区、国家级重要化石产地；极重度和重度石漠化区域。</w:t>
            </w:r>
          </w:p>
          <w:p w14:paraId="4FA5D574">
            <w:pPr>
              <w:autoSpaceDE w:val="0"/>
              <w:autoSpaceDN w:val="0"/>
              <w:adjustRightInd w:val="0"/>
              <w:snapToGrid w:val="0"/>
              <w:spacing w:line="500" w:lineRule="exact"/>
              <w:ind w:firstLine="480" w:firstLineChars="200"/>
              <w:rPr>
                <w:rFonts w:hint="eastAsia" w:ascii="Times New Roman" w:hAnsi="Times New Roman" w:eastAsia="宋体" w:cs="宋体"/>
                <w:snapToGrid w:val="0"/>
                <w:color w:val="auto"/>
                <w:kern w:val="0"/>
                <w:sz w:val="24"/>
                <w:shd w:val="clear" w:color="auto" w:fill="auto"/>
              </w:rPr>
            </w:pPr>
            <w:r>
              <w:rPr>
                <w:rFonts w:hint="eastAsia" w:ascii="Times New Roman" w:hAnsi="Times New Roman" w:eastAsia="宋体" w:cs="宋体"/>
                <w:snapToGrid w:val="0"/>
                <w:color w:val="auto"/>
                <w:kern w:val="0"/>
                <w:sz w:val="24"/>
                <w:shd w:val="clear" w:color="auto" w:fill="auto"/>
              </w:rPr>
              <w:t>未纳入一类管控区的生态保护红线区为二类管控区。项目位于</w:t>
            </w:r>
            <w:r>
              <w:rPr>
                <w:rFonts w:hint="eastAsia" w:ascii="Times New Roman" w:hAnsi="Times New Roman" w:eastAsia="宋体" w:cs="Times New Roman"/>
                <w:color w:val="auto"/>
                <w:kern w:val="2"/>
                <w:sz w:val="24"/>
                <w:szCs w:val="24"/>
                <w:highlight w:val="none"/>
                <w:shd w:val="clear" w:color="auto" w:fill="auto"/>
                <w:lang w:val="en-US" w:eastAsia="zh-CN" w:bidi="ar-SA"/>
              </w:rPr>
              <w:t>广西壮族自治区柳州市雒容镇秀水二路一号三号厂房1层及二号厂房1层东3跨部分、东4跨部分的厂房</w:t>
            </w:r>
            <w:r>
              <w:rPr>
                <w:rFonts w:hint="eastAsia" w:ascii="Times New Roman" w:hAnsi="Times New Roman" w:eastAsia="宋体" w:cs="宋体"/>
                <w:snapToGrid w:val="0"/>
                <w:color w:val="auto"/>
                <w:kern w:val="0"/>
                <w:sz w:val="24"/>
                <w:shd w:val="clear" w:color="auto" w:fill="auto"/>
              </w:rPr>
              <w:t>，属于柳州高新技术产业开发区，不属于生态保护红线范围。</w:t>
            </w:r>
          </w:p>
          <w:p w14:paraId="4ED641AD">
            <w:pPr>
              <w:autoSpaceDE w:val="0"/>
              <w:autoSpaceDN w:val="0"/>
              <w:adjustRightInd w:val="0"/>
              <w:snapToGrid w:val="0"/>
              <w:spacing w:line="500" w:lineRule="exact"/>
              <w:ind w:firstLine="480" w:firstLineChars="200"/>
              <w:rPr>
                <w:rFonts w:ascii="Times New Roman" w:hAnsi="Times New Roman" w:eastAsia="宋体" w:cs="宋体"/>
                <w:snapToGrid w:val="0"/>
                <w:color w:val="auto"/>
                <w:kern w:val="0"/>
                <w:sz w:val="24"/>
                <w:shd w:val="clear" w:color="auto" w:fill="auto"/>
              </w:rPr>
            </w:pPr>
            <w:r>
              <w:rPr>
                <w:rFonts w:hint="eastAsia" w:cs="宋体"/>
                <w:snapToGrid w:val="0"/>
                <w:color w:val="auto"/>
                <w:kern w:val="0"/>
                <w:sz w:val="24"/>
                <w:shd w:val="clear" w:color="auto" w:fill="auto"/>
                <w:lang w:val="en-US" w:eastAsia="zh-CN"/>
              </w:rPr>
              <w:t>B</w:t>
            </w:r>
            <w:r>
              <w:rPr>
                <w:rFonts w:hint="eastAsia" w:ascii="Times New Roman" w:hAnsi="Times New Roman" w:eastAsia="宋体" w:cs="宋体"/>
                <w:snapToGrid w:val="0"/>
                <w:color w:val="auto"/>
                <w:kern w:val="0"/>
                <w:sz w:val="24"/>
                <w:shd w:val="clear" w:color="auto" w:fill="auto"/>
              </w:rPr>
              <w:t>柳州生态保护红线</w:t>
            </w:r>
          </w:p>
          <w:p w14:paraId="29D3C211">
            <w:pPr>
              <w:autoSpaceDE w:val="0"/>
              <w:autoSpaceDN w:val="0"/>
              <w:adjustRightInd w:val="0"/>
              <w:snapToGrid w:val="0"/>
              <w:spacing w:line="500" w:lineRule="exact"/>
              <w:ind w:firstLine="480" w:firstLineChars="200"/>
              <w:rPr>
                <w:color w:val="auto"/>
                <w:kern w:val="0"/>
                <w:sz w:val="24"/>
                <w:highlight w:val="none"/>
                <w:shd w:val="clear" w:color="auto" w:fill="auto"/>
              </w:rPr>
            </w:pPr>
            <w:r>
              <w:rPr>
                <w:rFonts w:ascii="Times New Roman" w:hAnsi="Times New Roman" w:eastAsia="宋体" w:cs="宋体"/>
                <w:snapToGrid w:val="0"/>
                <w:color w:val="auto"/>
                <w:kern w:val="0"/>
                <w:sz w:val="24"/>
                <w:shd w:val="clear" w:color="auto" w:fill="auto"/>
              </w:rPr>
              <w:t>根据</w:t>
            </w:r>
            <w:r>
              <w:rPr>
                <w:rFonts w:hint="eastAsia" w:ascii="Times New Roman" w:hAnsi="Times New Roman" w:eastAsia="宋体" w:cs="Times New Roman"/>
                <w:snapToGrid w:val="0"/>
                <w:color w:val="auto"/>
                <w:kern w:val="0"/>
                <w:sz w:val="24"/>
                <w:szCs w:val="24"/>
                <w:shd w:val="clear" w:color="auto" w:fill="auto"/>
              </w:rPr>
              <w:t>《</w:t>
            </w:r>
            <w:r>
              <w:rPr>
                <w:rFonts w:hint="eastAsia" w:cs="Times New Roman"/>
                <w:snapToGrid w:val="0"/>
                <w:color w:val="auto"/>
                <w:kern w:val="0"/>
                <w:sz w:val="24"/>
                <w:szCs w:val="24"/>
                <w:shd w:val="clear" w:color="auto" w:fill="auto"/>
                <w:lang w:val="en-US" w:eastAsia="zh-CN"/>
              </w:rPr>
              <w:t>柳州</w:t>
            </w:r>
            <w:r>
              <w:rPr>
                <w:rFonts w:hint="eastAsia" w:ascii="Times New Roman" w:hAnsi="Times New Roman" w:eastAsia="宋体" w:cs="Times New Roman"/>
                <w:snapToGrid w:val="0"/>
                <w:color w:val="auto"/>
                <w:kern w:val="0"/>
                <w:sz w:val="24"/>
                <w:szCs w:val="24"/>
                <w:shd w:val="clear" w:color="auto" w:fill="auto"/>
              </w:rPr>
              <w:t>市生态环境局关于印发实施</w:t>
            </w:r>
            <w:r>
              <w:rPr>
                <w:rFonts w:hint="eastAsia" w:cs="Times New Roman"/>
                <w:snapToGrid w:val="0"/>
                <w:color w:val="auto"/>
                <w:kern w:val="0"/>
                <w:sz w:val="24"/>
                <w:szCs w:val="24"/>
                <w:shd w:val="clear" w:color="auto" w:fill="auto"/>
                <w:lang w:val="en-US" w:eastAsia="zh-CN"/>
              </w:rPr>
              <w:t>柳州</w:t>
            </w:r>
            <w:r>
              <w:rPr>
                <w:rFonts w:hint="eastAsia" w:ascii="Times New Roman" w:hAnsi="Times New Roman" w:eastAsia="宋体" w:cs="Times New Roman"/>
                <w:snapToGrid w:val="0"/>
                <w:color w:val="auto"/>
                <w:kern w:val="0"/>
                <w:sz w:val="24"/>
                <w:szCs w:val="24"/>
                <w:shd w:val="clear" w:color="auto" w:fill="auto"/>
              </w:rPr>
              <w:t>市生态环境分区管控动态更新成果（2023年）的通知》（柳环规〔2024〕1号）</w:t>
            </w:r>
            <w:r>
              <w:rPr>
                <w:rFonts w:hint="eastAsia" w:ascii="Times New Roman" w:hAnsi="Times New Roman" w:eastAsia="宋体" w:cs="Times New Roman"/>
                <w:snapToGrid w:val="0"/>
                <w:color w:val="auto"/>
                <w:kern w:val="0"/>
                <w:sz w:val="24"/>
                <w:szCs w:val="24"/>
                <w:shd w:val="clear" w:color="auto" w:fill="auto"/>
                <w:lang w:val="en-US" w:eastAsia="zh-CN"/>
              </w:rPr>
              <w:t>中的“图1</w:t>
            </w:r>
            <w:r>
              <w:rPr>
                <w:rFonts w:hint="eastAsia" w:cs="Times New Roman"/>
                <w:snapToGrid w:val="0"/>
                <w:color w:val="auto"/>
                <w:kern w:val="0"/>
                <w:sz w:val="24"/>
                <w:szCs w:val="24"/>
                <w:shd w:val="clear" w:color="auto" w:fill="auto"/>
                <w:lang w:val="en-US" w:eastAsia="zh-CN"/>
              </w:rPr>
              <w:t>柳州</w:t>
            </w:r>
            <w:r>
              <w:rPr>
                <w:rFonts w:ascii="Times New Roman" w:hAnsi="Times New Roman" w:eastAsia="宋体" w:cs="Times New Roman"/>
                <w:snapToGrid w:val="0"/>
                <w:color w:val="auto"/>
                <w:kern w:val="0"/>
                <w:sz w:val="24"/>
                <w:szCs w:val="24"/>
                <w:shd w:val="clear" w:color="auto" w:fill="auto"/>
                <w:lang w:val="en-US" w:eastAsia="zh-CN"/>
              </w:rPr>
              <w:t>市陆域生态环境管控单元分类图（</w:t>
            </w:r>
            <w:r>
              <w:rPr>
                <w:rFonts w:hint="default" w:ascii="Times New Roman" w:hAnsi="Times New Roman" w:eastAsia="宋体" w:cs="Times New Roman"/>
                <w:snapToGrid w:val="0"/>
                <w:color w:val="auto"/>
                <w:kern w:val="0"/>
                <w:sz w:val="24"/>
                <w:szCs w:val="24"/>
                <w:shd w:val="clear" w:color="auto" w:fill="auto"/>
                <w:lang w:val="en-US" w:eastAsia="zh-CN"/>
              </w:rPr>
              <w:t>2023</w:t>
            </w:r>
            <w:r>
              <w:rPr>
                <w:rFonts w:hint="eastAsia" w:ascii="Times New Roman" w:hAnsi="Times New Roman" w:eastAsia="宋体" w:cs="Times New Roman"/>
                <w:snapToGrid w:val="0"/>
                <w:color w:val="auto"/>
                <w:kern w:val="0"/>
                <w:sz w:val="24"/>
                <w:szCs w:val="24"/>
                <w:shd w:val="clear" w:color="auto" w:fill="auto"/>
                <w:lang w:val="en-US" w:eastAsia="zh-CN"/>
              </w:rPr>
              <w:t>年）”</w:t>
            </w:r>
            <w:r>
              <w:rPr>
                <w:rFonts w:ascii="Times New Roman" w:hAnsi="Times New Roman" w:eastAsia="宋体" w:cs="宋体"/>
                <w:snapToGrid w:val="0"/>
                <w:color w:val="auto"/>
                <w:kern w:val="0"/>
                <w:sz w:val="24"/>
                <w:shd w:val="clear" w:color="auto" w:fill="auto"/>
              </w:rPr>
              <w:t>，</w:t>
            </w:r>
            <w:r>
              <w:rPr>
                <w:rFonts w:hint="eastAsia" w:ascii="Times New Roman" w:hAnsi="Times New Roman" w:eastAsia="宋体" w:cs="宋体"/>
                <w:snapToGrid w:val="0"/>
                <w:color w:val="auto"/>
                <w:kern w:val="0"/>
                <w:sz w:val="24"/>
                <w:shd w:val="clear" w:color="auto" w:fill="auto"/>
                <w:lang w:val="en-US" w:eastAsia="zh-CN"/>
              </w:rPr>
              <w:t>以</w:t>
            </w:r>
            <w:r>
              <w:rPr>
                <w:rFonts w:hint="eastAsia" w:ascii="Times New Roman" w:hAnsi="Times New Roman" w:eastAsia="宋体" w:cs="宋体"/>
                <w:snapToGrid w:val="0"/>
                <w:color w:val="auto"/>
                <w:kern w:val="0"/>
                <w:sz w:val="24"/>
                <w:highlight w:val="none"/>
                <w:shd w:val="clear" w:color="auto" w:fill="auto"/>
                <w:lang w:val="en-US" w:eastAsia="zh-CN"/>
              </w:rPr>
              <w:t>及</w:t>
            </w:r>
            <w:r>
              <w:rPr>
                <w:rFonts w:hint="default" w:ascii="Times New Roman" w:hAnsi="Times New Roman" w:eastAsia="宋体" w:cs="Times New Roman"/>
                <w:snapToGrid w:val="0"/>
                <w:color w:val="auto"/>
                <w:spacing w:val="0"/>
                <w:kern w:val="0"/>
                <w:sz w:val="24"/>
                <w:highlight w:val="none"/>
                <w:shd w:val="clear" w:color="auto" w:fill="auto"/>
              </w:rPr>
              <w:t>根据《关于</w:t>
            </w:r>
            <w:r>
              <w:rPr>
                <w:rFonts w:hint="eastAsia" w:cs="Times New Roman"/>
                <w:color w:val="auto"/>
                <w:sz w:val="24"/>
                <w:szCs w:val="24"/>
                <w:lang w:eastAsia="zh-CN"/>
              </w:rPr>
              <w:t>首驱助动车制造377项目</w:t>
            </w:r>
            <w:r>
              <w:rPr>
                <w:rFonts w:hint="default" w:ascii="Times New Roman" w:hAnsi="Times New Roman" w:eastAsia="宋体" w:cs="Times New Roman"/>
                <w:snapToGrid w:val="0"/>
                <w:color w:val="auto"/>
                <w:spacing w:val="0"/>
                <w:kern w:val="0"/>
                <w:sz w:val="24"/>
                <w:highlight w:val="none"/>
                <w:shd w:val="clear" w:color="auto" w:fill="auto"/>
              </w:rPr>
              <w:t>研判初步结论》（见附件</w:t>
            </w:r>
            <w:r>
              <w:rPr>
                <w:rFonts w:hint="eastAsia" w:cs="Times New Roman"/>
                <w:snapToGrid w:val="0"/>
                <w:color w:val="auto"/>
                <w:spacing w:val="0"/>
                <w:kern w:val="0"/>
                <w:sz w:val="24"/>
                <w:highlight w:val="none"/>
                <w:shd w:val="clear" w:color="auto" w:fill="auto"/>
                <w:lang w:val="en-US" w:eastAsia="zh-CN"/>
              </w:rPr>
              <w:t>15</w:t>
            </w:r>
            <w:r>
              <w:rPr>
                <w:rFonts w:hint="default" w:ascii="Times New Roman" w:hAnsi="Times New Roman" w:eastAsia="宋体" w:cs="Times New Roman"/>
                <w:snapToGrid w:val="0"/>
                <w:color w:val="auto"/>
                <w:spacing w:val="0"/>
                <w:kern w:val="0"/>
                <w:sz w:val="24"/>
                <w:highlight w:val="none"/>
                <w:shd w:val="clear" w:color="auto" w:fill="auto"/>
              </w:rPr>
              <w:t>），</w:t>
            </w:r>
            <w:r>
              <w:rPr>
                <w:rFonts w:ascii="Times New Roman" w:hAnsi="Times New Roman" w:eastAsia="宋体" w:cs="宋体"/>
                <w:snapToGrid w:val="0"/>
                <w:color w:val="auto"/>
                <w:kern w:val="0"/>
                <w:sz w:val="24"/>
                <w:shd w:val="clear" w:color="auto" w:fill="auto"/>
              </w:rPr>
              <w:t>项目所在区域属于</w:t>
            </w:r>
            <w:r>
              <w:rPr>
                <w:rFonts w:hint="eastAsia" w:ascii="Times New Roman" w:hAnsi="Times New Roman" w:eastAsia="宋体" w:cs="宋体"/>
                <w:color w:val="auto"/>
                <w:kern w:val="0"/>
                <w:sz w:val="24"/>
                <w:szCs w:val="20"/>
                <w:shd w:val="clear" w:color="auto" w:fill="auto"/>
                <w:lang w:val="en-US" w:eastAsia="zh-CN"/>
              </w:rPr>
              <w:t>柳州高新技术产业开发区重点管控单元</w:t>
            </w:r>
            <w:r>
              <w:rPr>
                <w:rFonts w:hint="eastAsia" w:ascii="Times New Roman" w:hAnsi="Times New Roman" w:eastAsia="宋体" w:cs="宋体"/>
                <w:snapToGrid w:val="0"/>
                <w:color w:val="auto"/>
                <w:kern w:val="0"/>
                <w:sz w:val="24"/>
                <w:szCs w:val="20"/>
                <w:shd w:val="clear" w:color="auto" w:fill="auto"/>
                <w:lang w:val="en-US" w:eastAsia="zh-CN"/>
              </w:rPr>
              <w:t>（编码：</w:t>
            </w:r>
            <w:r>
              <w:rPr>
                <w:rFonts w:hint="default" w:ascii="Times New Roman" w:hAnsi="Times New Roman" w:eastAsia="宋体" w:cs="Times New Roman"/>
                <w:color w:val="auto"/>
                <w:kern w:val="0"/>
                <w:sz w:val="24"/>
                <w:szCs w:val="20"/>
                <w:shd w:val="clear" w:color="auto" w:fill="auto"/>
                <w:lang w:val="en-US" w:eastAsia="zh-CN"/>
              </w:rPr>
              <w:t>ZH45020320002</w:t>
            </w:r>
            <w:r>
              <w:rPr>
                <w:rFonts w:hint="eastAsia" w:ascii="Times New Roman" w:hAnsi="Times New Roman" w:eastAsia="宋体" w:cs="宋体"/>
                <w:snapToGrid w:val="0"/>
                <w:color w:val="auto"/>
                <w:kern w:val="0"/>
                <w:sz w:val="24"/>
                <w:szCs w:val="20"/>
                <w:shd w:val="clear" w:color="auto" w:fill="auto"/>
                <w:lang w:val="en-US" w:eastAsia="zh-CN"/>
              </w:rPr>
              <w:t>）</w:t>
            </w:r>
            <w:r>
              <w:rPr>
                <w:rFonts w:ascii="Times New Roman" w:hAnsi="Times New Roman" w:eastAsia="宋体" w:cs="宋体"/>
                <w:snapToGrid w:val="0"/>
                <w:color w:val="auto"/>
                <w:kern w:val="0"/>
                <w:sz w:val="24"/>
                <w:shd w:val="clear" w:color="auto" w:fill="auto"/>
              </w:rPr>
              <w:t>。</w:t>
            </w:r>
            <w:r>
              <w:rPr>
                <w:rFonts w:hint="eastAsia" w:ascii="Times New Roman" w:hAnsi="Times New Roman" w:eastAsia="宋体" w:cs="宋体"/>
                <w:snapToGrid w:val="0"/>
                <w:color w:val="auto"/>
                <w:kern w:val="0"/>
                <w:sz w:val="24"/>
                <w:shd w:val="clear" w:color="auto" w:fill="auto"/>
              </w:rPr>
              <w:t>根据</w:t>
            </w:r>
            <w:r>
              <w:rPr>
                <w:rFonts w:ascii="Times New Roman" w:hAnsi="Times New Roman" w:eastAsia="宋体" w:cs="宋体"/>
                <w:snapToGrid w:val="0"/>
                <w:color w:val="auto"/>
                <w:kern w:val="0"/>
                <w:sz w:val="24"/>
                <w:shd w:val="clear" w:color="auto" w:fill="auto"/>
              </w:rPr>
              <w:t>“</w:t>
            </w:r>
            <w:r>
              <w:rPr>
                <w:rFonts w:hint="eastAsia" w:cs="宋体"/>
                <w:snapToGrid w:val="0"/>
                <w:color w:val="auto"/>
                <w:kern w:val="0"/>
                <w:sz w:val="24"/>
                <w:shd w:val="clear" w:color="auto" w:fill="auto"/>
                <w:lang w:val="en-US" w:eastAsia="zh-CN"/>
              </w:rPr>
              <w:t>柳州</w:t>
            </w:r>
            <w:r>
              <w:rPr>
                <w:rFonts w:ascii="Times New Roman" w:hAnsi="Times New Roman" w:eastAsia="宋体" w:cs="宋体"/>
                <w:snapToGrid w:val="0"/>
                <w:color w:val="auto"/>
                <w:kern w:val="0"/>
                <w:sz w:val="24"/>
                <w:shd w:val="clear" w:color="auto" w:fill="auto"/>
              </w:rPr>
              <w:t>市生态环境准入及管控要求清单”，本项目不涉及清单上需要管控的行业及区域</w:t>
            </w:r>
            <w:r>
              <w:rPr>
                <w:rFonts w:hint="eastAsia" w:ascii="Times New Roman" w:hAnsi="Times New Roman" w:eastAsia="宋体" w:cs="宋体"/>
                <w:snapToGrid w:val="0"/>
                <w:color w:val="auto"/>
                <w:kern w:val="0"/>
                <w:sz w:val="24"/>
                <w:shd w:val="clear" w:color="auto" w:fill="auto"/>
              </w:rPr>
              <w:t>，不属于“限制入园的工业项目”及“禁止入园的工业项目”，具体生态环境准入及管控要求见表</w:t>
            </w:r>
            <w:r>
              <w:rPr>
                <w:color w:val="auto"/>
                <w:kern w:val="0"/>
                <w:sz w:val="24"/>
                <w:highlight w:val="none"/>
                <w:shd w:val="clear" w:color="auto" w:fill="auto"/>
              </w:rPr>
              <w:t>1-</w:t>
            </w:r>
            <w:r>
              <w:rPr>
                <w:rFonts w:hint="eastAsia"/>
                <w:color w:val="auto"/>
                <w:kern w:val="0"/>
                <w:sz w:val="24"/>
                <w:highlight w:val="none"/>
                <w:shd w:val="clear" w:color="auto" w:fill="auto"/>
                <w:lang w:val="en-US" w:eastAsia="zh-CN"/>
              </w:rPr>
              <w:t>1</w:t>
            </w:r>
            <w:r>
              <w:rPr>
                <w:color w:val="auto"/>
                <w:kern w:val="0"/>
                <w:sz w:val="24"/>
                <w:highlight w:val="none"/>
                <w:shd w:val="clear" w:color="auto" w:fill="auto"/>
              </w:rPr>
              <w:t>。</w:t>
            </w:r>
          </w:p>
          <w:p w14:paraId="358A74E7">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eastAsia" w:ascii="Times New Roman" w:hAnsi="Times New Roman" w:eastAsia="宋体" w:cs="宋体"/>
                <w:b/>
                <w:bCs/>
                <w:snapToGrid w:val="0"/>
                <w:color w:val="auto"/>
                <w:kern w:val="0"/>
                <w:sz w:val="24"/>
                <w:szCs w:val="24"/>
                <w:shd w:val="clear" w:color="auto" w:fill="auto"/>
              </w:rPr>
            </w:pPr>
            <w:r>
              <w:rPr>
                <w:b/>
                <w:bCs/>
                <w:color w:val="auto"/>
                <w:kern w:val="0"/>
                <w:sz w:val="24"/>
                <w:szCs w:val="24"/>
                <w:highlight w:val="none"/>
                <w:shd w:val="clear" w:color="auto" w:fill="auto"/>
              </w:rPr>
              <w:t>表1</w:t>
            </w:r>
            <w:r>
              <w:rPr>
                <w:rFonts w:hint="eastAsia"/>
                <w:b/>
                <w:bCs/>
                <w:color w:val="auto"/>
                <w:kern w:val="0"/>
                <w:sz w:val="24"/>
                <w:szCs w:val="24"/>
                <w:highlight w:val="none"/>
                <w:shd w:val="clear" w:color="auto" w:fill="auto"/>
                <w:lang w:val="en-US" w:eastAsia="zh-CN"/>
              </w:rPr>
              <w:t>-1</w:t>
            </w:r>
            <w:r>
              <w:rPr>
                <w:rFonts w:hint="eastAsia" w:ascii="Times New Roman" w:hAnsi="Times New Roman" w:eastAsia="宋体" w:cs="宋体"/>
                <w:b/>
                <w:bCs/>
                <w:snapToGrid w:val="0"/>
                <w:color w:val="auto"/>
                <w:kern w:val="0"/>
                <w:sz w:val="24"/>
                <w:szCs w:val="24"/>
                <w:shd w:val="clear" w:color="auto" w:fill="auto"/>
              </w:rPr>
              <w:t>本项目与</w:t>
            </w:r>
            <w:r>
              <w:rPr>
                <w:rFonts w:hint="eastAsia" w:ascii="Times New Roman" w:hAnsi="Times New Roman" w:eastAsia="宋体" w:cs="宋体"/>
                <w:b/>
                <w:bCs/>
                <w:snapToGrid w:val="0"/>
                <w:color w:val="auto"/>
                <w:kern w:val="0"/>
                <w:sz w:val="24"/>
                <w:szCs w:val="24"/>
                <w:shd w:val="clear" w:color="auto" w:fill="auto"/>
                <w:lang w:val="en-US" w:eastAsia="zh-CN"/>
              </w:rPr>
              <w:t>柳州高新技术产业开发区重点管控单元</w:t>
            </w:r>
            <w:r>
              <w:rPr>
                <w:rFonts w:hint="eastAsia" w:ascii="Times New Roman" w:hAnsi="Times New Roman" w:eastAsia="宋体" w:cs="宋体"/>
                <w:b/>
                <w:bCs/>
                <w:snapToGrid w:val="0"/>
                <w:color w:val="auto"/>
                <w:kern w:val="0"/>
                <w:sz w:val="24"/>
                <w:szCs w:val="24"/>
                <w:shd w:val="clear" w:color="auto" w:fill="auto"/>
              </w:rPr>
              <w:t>生态环境准入及管控相符性分析</w:t>
            </w:r>
          </w:p>
          <w:tbl>
            <w:tblPr>
              <w:tblStyle w:val="3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3771"/>
              <w:gridCol w:w="2135"/>
              <w:gridCol w:w="861"/>
            </w:tblGrid>
            <w:tr w14:paraId="10D04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8" w:type="pct"/>
                  <w:vAlign w:val="center"/>
                </w:tcPr>
                <w:p w14:paraId="67775182">
                  <w:pPr>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b/>
                      <w:bCs/>
                      <w:snapToGrid w:val="0"/>
                      <w:color w:val="auto"/>
                      <w:spacing w:val="0"/>
                      <w:kern w:val="0"/>
                      <w:sz w:val="21"/>
                      <w:szCs w:val="21"/>
                      <w:u w:val="none"/>
                      <w:shd w:val="clear" w:color="auto" w:fill="auto"/>
                    </w:rPr>
                  </w:pPr>
                  <w:r>
                    <w:rPr>
                      <w:rFonts w:ascii="Times New Roman" w:hAnsi="Times New Roman" w:eastAsia="宋体"/>
                      <w:b/>
                      <w:bCs/>
                      <w:snapToGrid w:val="0"/>
                      <w:color w:val="auto"/>
                      <w:spacing w:val="0"/>
                      <w:kern w:val="0"/>
                      <w:sz w:val="21"/>
                      <w:szCs w:val="21"/>
                      <w:u w:val="none"/>
                      <w:shd w:val="clear" w:color="auto" w:fill="auto"/>
                    </w:rPr>
                    <w:t>管控</w:t>
                  </w:r>
                </w:p>
                <w:p w14:paraId="510A7A73">
                  <w:pPr>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b/>
                      <w:bCs/>
                      <w:snapToGrid w:val="0"/>
                      <w:color w:val="auto"/>
                      <w:spacing w:val="0"/>
                      <w:kern w:val="0"/>
                      <w:sz w:val="21"/>
                      <w:szCs w:val="21"/>
                      <w:u w:val="none"/>
                      <w:shd w:val="clear" w:color="auto" w:fill="auto"/>
                    </w:rPr>
                  </w:pPr>
                  <w:r>
                    <w:rPr>
                      <w:rFonts w:ascii="Times New Roman" w:hAnsi="Times New Roman" w:eastAsia="宋体"/>
                      <w:b/>
                      <w:bCs/>
                      <w:snapToGrid w:val="0"/>
                      <w:color w:val="auto"/>
                      <w:spacing w:val="0"/>
                      <w:kern w:val="0"/>
                      <w:sz w:val="21"/>
                      <w:szCs w:val="21"/>
                      <w:u w:val="none"/>
                      <w:shd w:val="clear" w:color="auto" w:fill="auto"/>
                    </w:rPr>
                    <w:t>类别</w:t>
                  </w:r>
                </w:p>
              </w:tc>
              <w:tc>
                <w:tcPr>
                  <w:tcW w:w="2619" w:type="pct"/>
                  <w:vAlign w:val="center"/>
                </w:tcPr>
                <w:p w14:paraId="165980FC">
                  <w:pPr>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b/>
                      <w:bCs/>
                      <w:snapToGrid w:val="0"/>
                      <w:color w:val="auto"/>
                      <w:spacing w:val="0"/>
                      <w:kern w:val="0"/>
                      <w:sz w:val="21"/>
                      <w:szCs w:val="21"/>
                      <w:u w:val="none"/>
                      <w:shd w:val="clear" w:color="auto" w:fill="auto"/>
                    </w:rPr>
                  </w:pPr>
                  <w:r>
                    <w:rPr>
                      <w:rFonts w:ascii="Times New Roman" w:hAnsi="Times New Roman" w:eastAsia="宋体"/>
                      <w:b/>
                      <w:bCs/>
                      <w:snapToGrid w:val="0"/>
                      <w:color w:val="auto"/>
                      <w:spacing w:val="0"/>
                      <w:kern w:val="0"/>
                      <w:sz w:val="21"/>
                      <w:szCs w:val="21"/>
                      <w:u w:val="none"/>
                      <w:shd w:val="clear" w:color="auto" w:fill="auto"/>
                    </w:rPr>
                    <w:t>生态环境准入及管控要求</w:t>
                  </w:r>
                </w:p>
              </w:tc>
              <w:tc>
                <w:tcPr>
                  <w:tcW w:w="1483" w:type="pct"/>
                  <w:vAlign w:val="center"/>
                </w:tcPr>
                <w:p w14:paraId="26B2EF29">
                  <w:pPr>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b/>
                      <w:bCs/>
                      <w:snapToGrid w:val="0"/>
                      <w:color w:val="auto"/>
                      <w:spacing w:val="0"/>
                      <w:kern w:val="0"/>
                      <w:sz w:val="21"/>
                      <w:szCs w:val="21"/>
                      <w:u w:val="none"/>
                      <w:shd w:val="clear" w:color="auto" w:fill="auto"/>
                      <w:lang w:val="en-US" w:eastAsia="zh-CN"/>
                    </w:rPr>
                  </w:pPr>
                  <w:r>
                    <w:rPr>
                      <w:rFonts w:ascii="Times New Roman" w:hAnsi="Times New Roman" w:eastAsia="宋体"/>
                      <w:b/>
                      <w:bCs/>
                      <w:snapToGrid w:val="0"/>
                      <w:color w:val="auto"/>
                      <w:spacing w:val="0"/>
                      <w:kern w:val="0"/>
                      <w:sz w:val="21"/>
                      <w:szCs w:val="21"/>
                      <w:u w:val="none"/>
                      <w:shd w:val="clear" w:color="auto" w:fill="auto"/>
                    </w:rPr>
                    <w:t>本项目</w:t>
                  </w:r>
                  <w:r>
                    <w:rPr>
                      <w:rFonts w:hint="eastAsia"/>
                      <w:b/>
                      <w:bCs/>
                      <w:snapToGrid w:val="0"/>
                      <w:color w:val="auto"/>
                      <w:spacing w:val="0"/>
                      <w:kern w:val="0"/>
                      <w:sz w:val="21"/>
                      <w:szCs w:val="21"/>
                      <w:u w:val="none"/>
                      <w:shd w:val="clear" w:color="auto" w:fill="auto"/>
                      <w:lang w:val="en-US" w:eastAsia="zh-CN"/>
                    </w:rPr>
                    <w:t>情况</w:t>
                  </w:r>
                </w:p>
              </w:tc>
              <w:tc>
                <w:tcPr>
                  <w:tcW w:w="598" w:type="pct"/>
                  <w:vAlign w:val="center"/>
                </w:tcPr>
                <w:p w14:paraId="4E4556CF">
                  <w:pPr>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b/>
                      <w:bCs/>
                      <w:snapToGrid w:val="0"/>
                      <w:color w:val="auto"/>
                      <w:spacing w:val="0"/>
                      <w:kern w:val="0"/>
                      <w:sz w:val="21"/>
                      <w:szCs w:val="21"/>
                      <w:u w:val="none"/>
                      <w:shd w:val="clear" w:color="auto" w:fill="auto"/>
                      <w:lang w:val="en-US" w:eastAsia="zh-CN"/>
                    </w:rPr>
                  </w:pPr>
                  <w:r>
                    <w:rPr>
                      <w:rFonts w:hint="eastAsia"/>
                      <w:b/>
                      <w:bCs/>
                      <w:snapToGrid w:val="0"/>
                      <w:color w:val="auto"/>
                      <w:spacing w:val="0"/>
                      <w:kern w:val="0"/>
                      <w:sz w:val="21"/>
                      <w:szCs w:val="21"/>
                      <w:u w:val="none"/>
                      <w:shd w:val="clear" w:color="auto" w:fill="auto"/>
                      <w:lang w:val="en-US" w:eastAsia="zh-CN"/>
                    </w:rPr>
                    <w:t>相符性</w:t>
                  </w:r>
                </w:p>
              </w:tc>
            </w:tr>
            <w:tr w14:paraId="23276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8" w:type="pct"/>
                  <w:vAlign w:val="center"/>
                </w:tcPr>
                <w:p w14:paraId="53A5C911">
                  <w:pPr>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snapToGrid w:val="0"/>
                      <w:color w:val="auto"/>
                      <w:spacing w:val="0"/>
                      <w:kern w:val="0"/>
                      <w:sz w:val="21"/>
                      <w:szCs w:val="21"/>
                      <w:u w:val="none"/>
                      <w:shd w:val="clear" w:color="auto" w:fill="auto"/>
                    </w:rPr>
                  </w:pPr>
                  <w:r>
                    <w:rPr>
                      <w:rFonts w:ascii="Times New Roman" w:hAnsi="Times New Roman" w:eastAsia="宋体"/>
                      <w:snapToGrid w:val="0"/>
                      <w:color w:val="auto"/>
                      <w:spacing w:val="0"/>
                      <w:kern w:val="0"/>
                      <w:sz w:val="21"/>
                      <w:szCs w:val="21"/>
                      <w:u w:val="none"/>
                      <w:shd w:val="clear" w:color="auto" w:fill="auto"/>
                    </w:rPr>
                    <w:t>空间</w:t>
                  </w:r>
                </w:p>
                <w:p w14:paraId="3103CC24">
                  <w:pPr>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snapToGrid w:val="0"/>
                      <w:color w:val="auto"/>
                      <w:spacing w:val="0"/>
                      <w:kern w:val="0"/>
                      <w:sz w:val="21"/>
                      <w:szCs w:val="21"/>
                      <w:u w:val="none"/>
                      <w:shd w:val="clear" w:color="auto" w:fill="auto"/>
                    </w:rPr>
                  </w:pPr>
                  <w:r>
                    <w:rPr>
                      <w:rFonts w:ascii="Times New Roman" w:hAnsi="Times New Roman" w:eastAsia="宋体"/>
                      <w:snapToGrid w:val="0"/>
                      <w:color w:val="auto"/>
                      <w:spacing w:val="0"/>
                      <w:kern w:val="0"/>
                      <w:sz w:val="21"/>
                      <w:szCs w:val="21"/>
                      <w:u w:val="none"/>
                      <w:shd w:val="clear" w:color="auto" w:fill="auto"/>
                    </w:rPr>
                    <w:t>布局</w:t>
                  </w:r>
                </w:p>
                <w:p w14:paraId="75791B59">
                  <w:pPr>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b/>
                      <w:bCs/>
                      <w:snapToGrid w:val="0"/>
                      <w:color w:val="auto"/>
                      <w:spacing w:val="0"/>
                      <w:kern w:val="0"/>
                      <w:sz w:val="21"/>
                      <w:szCs w:val="21"/>
                      <w:u w:val="none"/>
                      <w:shd w:val="clear" w:color="auto" w:fill="auto"/>
                    </w:rPr>
                  </w:pPr>
                  <w:r>
                    <w:rPr>
                      <w:rFonts w:ascii="Times New Roman" w:hAnsi="Times New Roman" w:eastAsia="宋体"/>
                      <w:snapToGrid w:val="0"/>
                      <w:color w:val="auto"/>
                      <w:spacing w:val="0"/>
                      <w:kern w:val="0"/>
                      <w:sz w:val="21"/>
                      <w:szCs w:val="21"/>
                      <w:u w:val="none"/>
                      <w:shd w:val="clear" w:color="auto" w:fill="auto"/>
                    </w:rPr>
                    <w:t>约束</w:t>
                  </w:r>
                </w:p>
              </w:tc>
              <w:tc>
                <w:tcPr>
                  <w:tcW w:w="2619" w:type="pct"/>
                  <w:vAlign w:val="top"/>
                </w:tcPr>
                <w:p w14:paraId="23DD62B4">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both"/>
                    <w:textAlignment w:val="auto"/>
                    <w:rPr>
                      <w:rFonts w:hint="eastAsia" w:cs="Times New Roman"/>
                      <w:snapToGrid w:val="0"/>
                      <w:color w:val="auto"/>
                      <w:spacing w:val="0"/>
                      <w:kern w:val="0"/>
                      <w:sz w:val="21"/>
                      <w:szCs w:val="21"/>
                      <w:u w:val="none"/>
                      <w:shd w:val="clear" w:color="auto" w:fill="auto"/>
                      <w:lang w:eastAsia="zh-CN"/>
                    </w:rPr>
                  </w:pPr>
                  <w:r>
                    <w:rPr>
                      <w:rFonts w:hint="eastAsia" w:cs="Times New Roman"/>
                      <w:snapToGrid w:val="0"/>
                      <w:color w:val="auto"/>
                      <w:spacing w:val="0"/>
                      <w:kern w:val="0"/>
                      <w:sz w:val="21"/>
                      <w:szCs w:val="21"/>
                      <w:u w:val="none"/>
                      <w:shd w:val="clear" w:color="auto" w:fill="auto"/>
                      <w:lang w:eastAsia="zh-CN"/>
                    </w:rPr>
                    <w:t>1.入园项目必须符合国家、自治区产业政策、供地政策、园区产业定位及园区规划环评结论及审查意见。</w:t>
                  </w:r>
                </w:p>
                <w:p w14:paraId="6DCE5FFB">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both"/>
                    <w:textAlignment w:val="auto"/>
                    <w:rPr>
                      <w:rFonts w:hint="eastAsia" w:cs="Times New Roman"/>
                      <w:snapToGrid w:val="0"/>
                      <w:color w:val="auto"/>
                      <w:spacing w:val="0"/>
                      <w:kern w:val="0"/>
                      <w:sz w:val="21"/>
                      <w:szCs w:val="21"/>
                      <w:u w:val="none"/>
                      <w:shd w:val="clear" w:color="auto" w:fill="auto"/>
                      <w:lang w:eastAsia="zh-CN"/>
                    </w:rPr>
                  </w:pPr>
                  <w:r>
                    <w:rPr>
                      <w:rFonts w:hint="eastAsia" w:cs="Times New Roman"/>
                      <w:snapToGrid w:val="0"/>
                      <w:color w:val="auto"/>
                      <w:spacing w:val="0"/>
                      <w:kern w:val="0"/>
                      <w:sz w:val="21"/>
                      <w:szCs w:val="21"/>
                      <w:u w:val="none"/>
                      <w:shd w:val="clear" w:color="auto" w:fill="auto"/>
                      <w:lang w:eastAsia="zh-CN"/>
                    </w:rPr>
                    <w:t>2.禁止引入制浆造纸、冶炼行业，现有的不得实施产能扩建，逐步实施搬迁。</w:t>
                  </w:r>
                </w:p>
                <w:p w14:paraId="663A554F">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both"/>
                    <w:textAlignment w:val="auto"/>
                    <w:rPr>
                      <w:rFonts w:hint="eastAsia" w:cs="Times New Roman"/>
                      <w:snapToGrid w:val="0"/>
                      <w:color w:val="auto"/>
                      <w:spacing w:val="0"/>
                      <w:kern w:val="0"/>
                      <w:sz w:val="21"/>
                      <w:szCs w:val="21"/>
                      <w:u w:val="none"/>
                      <w:shd w:val="clear" w:color="auto" w:fill="auto"/>
                      <w:lang w:eastAsia="zh-CN"/>
                    </w:rPr>
                  </w:pPr>
                  <w:r>
                    <w:rPr>
                      <w:rFonts w:hint="eastAsia" w:cs="Times New Roman"/>
                      <w:snapToGrid w:val="0"/>
                      <w:color w:val="auto"/>
                      <w:spacing w:val="0"/>
                      <w:kern w:val="0"/>
                      <w:sz w:val="21"/>
                      <w:szCs w:val="21"/>
                      <w:u w:val="none"/>
                      <w:shd w:val="clear" w:color="auto" w:fill="auto"/>
                      <w:lang w:eastAsia="zh-CN"/>
                    </w:rPr>
                    <w:t>3.强化源头管控，新上项目能效需达到国家、自治区相关标准要求。</w:t>
                  </w:r>
                </w:p>
                <w:p w14:paraId="342BD5B3">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both"/>
                    <w:textAlignment w:val="auto"/>
                    <w:rPr>
                      <w:rFonts w:hint="eastAsia" w:ascii="Times New Roman" w:hAnsi="Times New Roman" w:eastAsia="宋体" w:cs="Times New Roman"/>
                      <w:snapToGrid w:val="0"/>
                      <w:color w:val="auto"/>
                      <w:spacing w:val="0"/>
                      <w:kern w:val="0"/>
                      <w:sz w:val="21"/>
                      <w:szCs w:val="21"/>
                      <w:u w:val="none"/>
                      <w:shd w:val="clear" w:color="auto" w:fill="auto"/>
                      <w:lang w:eastAsia="zh-CN"/>
                    </w:rPr>
                  </w:pPr>
                  <w:r>
                    <w:rPr>
                      <w:rFonts w:hint="eastAsia" w:cs="Times New Roman"/>
                      <w:snapToGrid w:val="0"/>
                      <w:color w:val="auto"/>
                      <w:spacing w:val="0"/>
                      <w:kern w:val="0"/>
                      <w:sz w:val="21"/>
                      <w:szCs w:val="21"/>
                      <w:u w:val="none"/>
                      <w:shd w:val="clear" w:color="auto" w:fill="auto"/>
                      <w:lang w:eastAsia="zh-CN"/>
                    </w:rPr>
                    <w:t>4.园区周边1公里范围内临近生态保护红线（柳江－黔江流域生态保护红线）生态环境敏感区域，应优化产业布局，控制开发强度，新建、改建、扩建项目要采取切实可行的环保措施，降低对周边生态环境敏感区域的影响</w:t>
                  </w:r>
                  <w:r>
                    <w:rPr>
                      <w:rFonts w:hint="eastAsia" w:ascii="Times New Roman" w:hAnsi="Times New Roman" w:eastAsia="宋体" w:cs="Times New Roman"/>
                      <w:snapToGrid w:val="0"/>
                      <w:color w:val="auto"/>
                      <w:spacing w:val="0"/>
                      <w:kern w:val="0"/>
                      <w:sz w:val="21"/>
                      <w:szCs w:val="21"/>
                      <w:u w:val="none"/>
                      <w:shd w:val="clear" w:color="auto" w:fill="auto"/>
                    </w:rPr>
                    <w:t>。</w:t>
                  </w:r>
                </w:p>
              </w:tc>
              <w:tc>
                <w:tcPr>
                  <w:tcW w:w="1483" w:type="pct"/>
                  <w:vAlign w:val="top"/>
                </w:tcPr>
                <w:p w14:paraId="48306B67">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both"/>
                    <w:textAlignment w:val="auto"/>
                    <w:rPr>
                      <w:rFonts w:hint="eastAsia" w:ascii="Times New Roman" w:hAnsi="Times New Roman" w:eastAsia="宋体" w:cs="Times New Roman"/>
                      <w:snapToGrid w:val="0"/>
                      <w:color w:val="auto"/>
                      <w:spacing w:val="0"/>
                      <w:kern w:val="0"/>
                      <w:sz w:val="21"/>
                      <w:szCs w:val="21"/>
                      <w:u w:val="none"/>
                      <w:shd w:val="clear" w:color="auto" w:fill="auto"/>
                    </w:rPr>
                  </w:pPr>
                  <w:r>
                    <w:rPr>
                      <w:rFonts w:hint="eastAsia" w:ascii="Times New Roman" w:hAnsi="Times New Roman" w:eastAsia="宋体" w:cs="Times New Roman"/>
                      <w:snapToGrid w:val="0"/>
                      <w:color w:val="auto"/>
                      <w:spacing w:val="0"/>
                      <w:kern w:val="0"/>
                      <w:sz w:val="21"/>
                      <w:szCs w:val="21"/>
                      <w:u w:val="none"/>
                      <w:shd w:val="clear" w:color="auto" w:fill="auto"/>
                    </w:rPr>
                    <w:t>1.项目</w:t>
                  </w:r>
                  <w:r>
                    <w:rPr>
                      <w:rFonts w:hint="eastAsia" w:cs="Times New Roman"/>
                      <w:snapToGrid w:val="0"/>
                      <w:color w:val="auto"/>
                      <w:spacing w:val="0"/>
                      <w:kern w:val="0"/>
                      <w:sz w:val="21"/>
                      <w:szCs w:val="21"/>
                      <w:u w:val="none"/>
                      <w:shd w:val="clear" w:color="auto" w:fill="auto"/>
                      <w:lang w:val="en-US" w:eastAsia="zh-CN"/>
                    </w:rPr>
                    <w:t>为电动助动车制造，</w:t>
                  </w:r>
                  <w:r>
                    <w:rPr>
                      <w:rFonts w:hint="eastAsia" w:ascii="Times New Roman" w:hAnsi="Times New Roman" w:eastAsia="宋体" w:cs="Times New Roman"/>
                      <w:snapToGrid w:val="0"/>
                      <w:color w:val="auto"/>
                      <w:spacing w:val="0"/>
                      <w:kern w:val="0"/>
                      <w:sz w:val="21"/>
                      <w:szCs w:val="21"/>
                      <w:u w:val="none"/>
                      <w:shd w:val="clear" w:color="auto" w:fill="auto"/>
                    </w:rPr>
                    <w:t>符合相关产业政策、供地政策及园区产业定位；</w:t>
                  </w:r>
                </w:p>
                <w:p w14:paraId="06B63A65">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both"/>
                    <w:textAlignment w:val="auto"/>
                    <w:rPr>
                      <w:rFonts w:hint="eastAsia" w:ascii="Times New Roman" w:hAnsi="Times New Roman" w:eastAsia="宋体" w:cs="Times New Roman"/>
                      <w:snapToGrid w:val="0"/>
                      <w:color w:val="auto"/>
                      <w:spacing w:val="0"/>
                      <w:kern w:val="0"/>
                      <w:sz w:val="21"/>
                      <w:szCs w:val="21"/>
                      <w:u w:val="none"/>
                      <w:shd w:val="clear" w:color="auto" w:fill="auto"/>
                    </w:rPr>
                  </w:pPr>
                  <w:r>
                    <w:rPr>
                      <w:rFonts w:hint="eastAsia" w:ascii="Times New Roman" w:hAnsi="Times New Roman" w:eastAsia="宋体" w:cs="Times New Roman"/>
                      <w:snapToGrid w:val="0"/>
                      <w:color w:val="auto"/>
                      <w:spacing w:val="0"/>
                      <w:kern w:val="0"/>
                      <w:sz w:val="21"/>
                      <w:szCs w:val="21"/>
                      <w:u w:val="none"/>
                      <w:shd w:val="clear" w:color="auto" w:fill="auto"/>
                    </w:rPr>
                    <w:t>2.项目</w:t>
                  </w:r>
                  <w:r>
                    <w:rPr>
                      <w:rFonts w:hint="eastAsia" w:cs="Times New Roman"/>
                      <w:snapToGrid w:val="0"/>
                      <w:color w:val="auto"/>
                      <w:spacing w:val="0"/>
                      <w:kern w:val="0"/>
                      <w:sz w:val="21"/>
                      <w:szCs w:val="21"/>
                      <w:u w:val="none"/>
                      <w:shd w:val="clear" w:color="auto" w:fill="auto"/>
                      <w:lang w:val="en-US" w:eastAsia="zh-CN"/>
                    </w:rPr>
                    <w:t>为电动助动车制造</w:t>
                  </w:r>
                  <w:r>
                    <w:rPr>
                      <w:rFonts w:hint="eastAsia" w:ascii="Times New Roman" w:hAnsi="Times New Roman" w:eastAsia="宋体" w:cs="Times New Roman"/>
                      <w:snapToGrid w:val="0"/>
                      <w:color w:val="auto"/>
                      <w:spacing w:val="0"/>
                      <w:kern w:val="0"/>
                      <w:sz w:val="21"/>
                      <w:szCs w:val="21"/>
                      <w:u w:val="none"/>
                      <w:shd w:val="clear" w:color="auto" w:fill="auto"/>
                    </w:rPr>
                    <w:t>，</w:t>
                  </w:r>
                  <w:r>
                    <w:rPr>
                      <w:rFonts w:hint="eastAsia" w:cs="Times New Roman"/>
                      <w:snapToGrid w:val="0"/>
                      <w:color w:val="auto"/>
                      <w:spacing w:val="0"/>
                      <w:kern w:val="0"/>
                      <w:sz w:val="21"/>
                      <w:szCs w:val="21"/>
                      <w:u w:val="none"/>
                      <w:shd w:val="clear" w:color="auto" w:fill="auto"/>
                      <w:lang w:val="en-US" w:eastAsia="zh-CN"/>
                    </w:rPr>
                    <w:t>不属于禁止引入行业</w:t>
                  </w:r>
                  <w:r>
                    <w:rPr>
                      <w:rFonts w:hint="eastAsia" w:ascii="Times New Roman" w:hAnsi="Times New Roman" w:eastAsia="宋体" w:cs="Times New Roman"/>
                      <w:snapToGrid w:val="0"/>
                      <w:color w:val="auto"/>
                      <w:spacing w:val="0"/>
                      <w:kern w:val="0"/>
                      <w:sz w:val="21"/>
                      <w:szCs w:val="21"/>
                      <w:u w:val="none"/>
                      <w:shd w:val="clear" w:color="auto" w:fill="auto"/>
                    </w:rPr>
                    <w:t>；</w:t>
                  </w:r>
                </w:p>
                <w:p w14:paraId="0454D5C3">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both"/>
                    <w:textAlignment w:val="auto"/>
                    <w:rPr>
                      <w:rFonts w:hint="eastAsia" w:ascii="Times New Roman" w:hAnsi="Times New Roman" w:eastAsia="宋体" w:cs="Times New Roman"/>
                      <w:snapToGrid w:val="0"/>
                      <w:color w:val="auto"/>
                      <w:spacing w:val="0"/>
                      <w:kern w:val="0"/>
                      <w:sz w:val="21"/>
                      <w:szCs w:val="21"/>
                      <w:u w:val="none"/>
                      <w:shd w:val="clear" w:color="auto" w:fill="auto"/>
                    </w:rPr>
                  </w:pPr>
                  <w:r>
                    <w:rPr>
                      <w:rFonts w:hint="eastAsia" w:ascii="Times New Roman" w:hAnsi="Times New Roman" w:eastAsia="宋体" w:cs="Times New Roman"/>
                      <w:snapToGrid w:val="0"/>
                      <w:color w:val="auto"/>
                      <w:spacing w:val="0"/>
                      <w:kern w:val="0"/>
                      <w:sz w:val="21"/>
                      <w:szCs w:val="21"/>
                      <w:u w:val="none"/>
                      <w:shd w:val="clear" w:color="auto" w:fill="auto"/>
                    </w:rPr>
                    <w:t>3.项目</w:t>
                  </w:r>
                  <w:r>
                    <w:rPr>
                      <w:rFonts w:hint="eastAsia" w:cs="Times New Roman"/>
                      <w:snapToGrid w:val="0"/>
                      <w:color w:val="auto"/>
                      <w:spacing w:val="0"/>
                      <w:kern w:val="0"/>
                      <w:sz w:val="21"/>
                      <w:szCs w:val="21"/>
                      <w:u w:val="none"/>
                      <w:shd w:val="clear" w:color="auto" w:fill="auto"/>
                      <w:lang w:val="en-US" w:eastAsia="zh-CN"/>
                    </w:rPr>
                    <w:t>能效均能满足</w:t>
                  </w:r>
                  <w:r>
                    <w:rPr>
                      <w:rFonts w:hint="eastAsia" w:cs="Times New Roman"/>
                      <w:snapToGrid w:val="0"/>
                      <w:color w:val="auto"/>
                      <w:spacing w:val="0"/>
                      <w:kern w:val="0"/>
                      <w:sz w:val="21"/>
                      <w:szCs w:val="21"/>
                      <w:u w:val="none"/>
                      <w:shd w:val="clear" w:color="auto" w:fill="auto"/>
                      <w:lang w:eastAsia="zh-CN"/>
                    </w:rPr>
                    <w:t>国家、自治区相关标准要求</w:t>
                  </w:r>
                  <w:r>
                    <w:rPr>
                      <w:rFonts w:hint="eastAsia" w:ascii="Times New Roman" w:hAnsi="Times New Roman" w:eastAsia="宋体" w:cs="Times New Roman"/>
                      <w:snapToGrid w:val="0"/>
                      <w:color w:val="auto"/>
                      <w:spacing w:val="0"/>
                      <w:kern w:val="0"/>
                      <w:sz w:val="21"/>
                      <w:szCs w:val="21"/>
                      <w:u w:val="none"/>
                      <w:shd w:val="clear" w:color="auto" w:fill="auto"/>
                    </w:rPr>
                    <w:t>；</w:t>
                  </w:r>
                </w:p>
                <w:p w14:paraId="0660D132">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both"/>
                    <w:textAlignment w:val="auto"/>
                    <w:rPr>
                      <w:rFonts w:hint="default" w:ascii="Times New Roman" w:hAnsi="Times New Roman" w:eastAsia="宋体" w:cs="Times New Roman"/>
                      <w:snapToGrid w:val="0"/>
                      <w:color w:val="auto"/>
                      <w:spacing w:val="0"/>
                      <w:kern w:val="0"/>
                      <w:sz w:val="21"/>
                      <w:szCs w:val="21"/>
                      <w:u w:val="none"/>
                      <w:shd w:val="clear" w:color="auto" w:fill="auto"/>
                      <w:lang w:val="en-US" w:eastAsia="zh-CN"/>
                    </w:rPr>
                  </w:pPr>
                  <w:r>
                    <w:rPr>
                      <w:rFonts w:hint="eastAsia" w:ascii="Times New Roman" w:hAnsi="Times New Roman" w:eastAsia="宋体" w:cs="Times New Roman"/>
                      <w:snapToGrid w:val="0"/>
                      <w:color w:val="auto"/>
                      <w:spacing w:val="0"/>
                      <w:kern w:val="0"/>
                      <w:sz w:val="21"/>
                      <w:szCs w:val="21"/>
                      <w:u w:val="none"/>
                      <w:shd w:val="clear" w:color="auto" w:fill="auto"/>
                    </w:rPr>
                    <w:t>4.项目位于园区工业用地范围内，不涉及</w:t>
                  </w:r>
                  <w:r>
                    <w:rPr>
                      <w:rFonts w:hint="eastAsia" w:cs="Times New Roman"/>
                      <w:snapToGrid w:val="0"/>
                      <w:color w:val="auto"/>
                      <w:spacing w:val="0"/>
                      <w:kern w:val="0"/>
                      <w:sz w:val="21"/>
                      <w:szCs w:val="21"/>
                      <w:u w:val="none"/>
                      <w:shd w:val="clear" w:color="auto" w:fill="auto"/>
                      <w:lang w:val="en-US" w:eastAsia="zh-CN"/>
                    </w:rPr>
                    <w:t>生态保护红线。</w:t>
                  </w:r>
                </w:p>
              </w:tc>
              <w:tc>
                <w:tcPr>
                  <w:tcW w:w="598" w:type="pct"/>
                  <w:vAlign w:val="center"/>
                </w:tcPr>
                <w:p w14:paraId="53070663">
                  <w:pPr>
                    <w:pStyle w:val="49"/>
                    <w:keepNext w:val="0"/>
                    <w:keepLines w:val="0"/>
                    <w:pageBreakBefore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snapToGrid w:val="0"/>
                      <w:color w:val="auto"/>
                      <w:spacing w:val="0"/>
                      <w:kern w:val="0"/>
                      <w:sz w:val="21"/>
                      <w:szCs w:val="21"/>
                      <w:u w:val="none"/>
                      <w:shd w:val="clear" w:color="auto" w:fill="auto"/>
                      <w:lang w:val="en-US" w:eastAsia="zh-CN"/>
                    </w:rPr>
                  </w:pPr>
                  <w:r>
                    <w:rPr>
                      <w:rFonts w:hint="eastAsia" w:ascii="Times New Roman"/>
                      <w:snapToGrid w:val="0"/>
                      <w:color w:val="auto"/>
                      <w:spacing w:val="0"/>
                      <w:kern w:val="0"/>
                      <w:sz w:val="21"/>
                      <w:szCs w:val="21"/>
                      <w:u w:val="none"/>
                      <w:shd w:val="clear" w:color="auto" w:fill="auto"/>
                      <w:lang w:val="en-US" w:eastAsia="zh-CN"/>
                    </w:rPr>
                    <w:t>符合</w:t>
                  </w:r>
                </w:p>
              </w:tc>
            </w:tr>
            <w:tr w14:paraId="1D08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8" w:type="pct"/>
                  <w:vAlign w:val="center"/>
                </w:tcPr>
                <w:p w14:paraId="2A0587B3">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ascii="Times New Roman" w:hAnsi="Times New Roman" w:eastAsia="宋体"/>
                      <w:b/>
                      <w:bCs/>
                      <w:snapToGrid w:val="0"/>
                      <w:color w:val="auto"/>
                      <w:spacing w:val="0"/>
                      <w:kern w:val="0"/>
                      <w:sz w:val="21"/>
                      <w:szCs w:val="21"/>
                      <w:u w:val="none"/>
                      <w:shd w:val="clear" w:color="auto" w:fill="auto"/>
                    </w:rPr>
                  </w:pPr>
                  <w:r>
                    <w:rPr>
                      <w:rFonts w:ascii="Times New Roman" w:hAnsi="Times New Roman" w:eastAsia="宋体"/>
                      <w:snapToGrid w:val="0"/>
                      <w:color w:val="auto"/>
                      <w:spacing w:val="0"/>
                      <w:kern w:val="0"/>
                      <w:sz w:val="21"/>
                      <w:szCs w:val="21"/>
                      <w:u w:val="none"/>
                      <w:shd w:val="clear" w:color="auto" w:fill="auto"/>
                    </w:rPr>
                    <w:t>污染物排放管控</w:t>
                  </w:r>
                </w:p>
              </w:tc>
              <w:tc>
                <w:tcPr>
                  <w:tcW w:w="2619" w:type="pct"/>
                  <w:vAlign w:val="top"/>
                </w:tcPr>
                <w:p w14:paraId="614ECDEB">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hint="eastAsia" w:ascii="Times New Roman" w:hAnsi="Times New Roman" w:eastAsia="宋体" w:cs="Times New Roman"/>
                      <w:snapToGrid w:val="0"/>
                      <w:color w:val="auto"/>
                      <w:spacing w:val="0"/>
                      <w:kern w:val="0"/>
                      <w:sz w:val="21"/>
                      <w:szCs w:val="21"/>
                      <w:u w:val="none"/>
                      <w:shd w:val="clear" w:color="auto" w:fill="auto"/>
                    </w:rPr>
                  </w:pPr>
                  <w:r>
                    <w:rPr>
                      <w:rFonts w:hint="eastAsia" w:ascii="Times New Roman" w:hAnsi="Times New Roman" w:eastAsia="宋体" w:cs="Times New Roman"/>
                      <w:snapToGrid w:val="0"/>
                      <w:color w:val="auto"/>
                      <w:spacing w:val="0"/>
                      <w:kern w:val="0"/>
                      <w:sz w:val="21"/>
                      <w:szCs w:val="21"/>
                      <w:u w:val="none"/>
                      <w:shd w:val="clear" w:color="auto" w:fill="auto"/>
                    </w:rPr>
                    <w:t>1．有条件的工业聚集区建设集中喷涂工程中心，配备高效治污设施，替代企业独立喷涂工序。推动重点行业挥发性有机物（VOCs）污染防治，强化企业精细化管控、无组织废气排放控制以及高效治污设施建设，严格控制挥发性有机污染物排放。</w:t>
                  </w:r>
                </w:p>
                <w:p w14:paraId="23C791DC">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hint="eastAsia" w:ascii="Times New Roman" w:hAnsi="Times New Roman" w:eastAsia="宋体" w:cs="Times New Roman"/>
                      <w:snapToGrid w:val="0"/>
                      <w:color w:val="auto"/>
                      <w:spacing w:val="0"/>
                      <w:kern w:val="0"/>
                      <w:sz w:val="21"/>
                      <w:szCs w:val="21"/>
                      <w:u w:val="none"/>
                      <w:shd w:val="clear" w:color="auto" w:fill="auto"/>
                    </w:rPr>
                  </w:pPr>
                  <w:r>
                    <w:rPr>
                      <w:rFonts w:hint="eastAsia" w:cs="Times New Roman"/>
                      <w:snapToGrid w:val="0"/>
                      <w:color w:val="auto"/>
                      <w:spacing w:val="0"/>
                      <w:kern w:val="0"/>
                      <w:sz w:val="21"/>
                      <w:szCs w:val="21"/>
                      <w:u w:val="none"/>
                      <w:shd w:val="clear" w:color="auto" w:fill="auto"/>
                      <w:lang w:eastAsia="zh-CN"/>
                    </w:rPr>
                    <w:t>2.</w:t>
                  </w:r>
                  <w:r>
                    <w:rPr>
                      <w:rFonts w:hint="eastAsia" w:ascii="Times New Roman" w:hAnsi="Times New Roman" w:eastAsia="宋体" w:cs="Times New Roman"/>
                      <w:snapToGrid w:val="0"/>
                      <w:color w:val="auto"/>
                      <w:spacing w:val="0"/>
                      <w:kern w:val="0"/>
                      <w:sz w:val="21"/>
                      <w:szCs w:val="21"/>
                      <w:u w:val="none"/>
                      <w:shd w:val="clear" w:color="auto" w:fill="auto"/>
                    </w:rPr>
                    <w:t>加快实施低 VOCs 含量原辅材料替代。园区内溶剂型涂料、油墨、胶粘剂、清洗剂使用企业制定低 VOCs 含量原辅材料替代计划。全面推进汽车整车制造底漆、中涂、色漆使用低 VOCs含量涂料；在汽车零部件、工程机械技术成熟的工艺环节，大力推广使用低 VOCs 含量涂料。</w:t>
                  </w:r>
                </w:p>
                <w:p w14:paraId="17439610">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hint="eastAsia" w:ascii="Times New Roman" w:hAnsi="Times New Roman" w:eastAsia="宋体" w:cs="Times New Roman"/>
                      <w:snapToGrid w:val="0"/>
                      <w:color w:val="auto"/>
                      <w:spacing w:val="0"/>
                      <w:kern w:val="0"/>
                      <w:sz w:val="21"/>
                      <w:szCs w:val="21"/>
                      <w:u w:val="none"/>
                      <w:shd w:val="clear" w:color="auto" w:fill="auto"/>
                      <w:lang w:eastAsia="zh-CN"/>
                    </w:rPr>
                  </w:pPr>
                  <w:r>
                    <w:rPr>
                      <w:rFonts w:hint="eastAsia" w:ascii="Times New Roman" w:hAnsi="Times New Roman" w:eastAsia="宋体" w:cs="Times New Roman"/>
                      <w:snapToGrid w:val="0"/>
                      <w:color w:val="auto"/>
                      <w:spacing w:val="0"/>
                      <w:kern w:val="0"/>
                      <w:sz w:val="21"/>
                      <w:szCs w:val="21"/>
                      <w:u w:val="none"/>
                      <w:shd w:val="clear" w:color="auto" w:fill="auto"/>
                    </w:rPr>
                    <w:t>3.园区及园区企业排放水污染物，要满足国家或者地方规定的水污染物排放标准和重点水污染物排放总量控制指标。</w:t>
                  </w:r>
                </w:p>
              </w:tc>
              <w:tc>
                <w:tcPr>
                  <w:tcW w:w="1483" w:type="pct"/>
                  <w:vAlign w:val="top"/>
                </w:tcPr>
                <w:p w14:paraId="3E0516B0">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ascii="Times New Roman" w:hAnsi="Times New Roman" w:eastAsia="宋体" w:cs="Times New Roman"/>
                      <w:snapToGrid w:val="0"/>
                      <w:color w:val="auto"/>
                      <w:spacing w:val="0"/>
                      <w:kern w:val="0"/>
                      <w:sz w:val="21"/>
                      <w:szCs w:val="21"/>
                      <w:u w:val="none"/>
                      <w:shd w:val="clear" w:color="auto" w:fill="auto"/>
                    </w:rPr>
                  </w:pPr>
                  <w:r>
                    <w:rPr>
                      <w:rFonts w:ascii="Times New Roman" w:hAnsi="Times New Roman" w:eastAsia="宋体" w:cs="Times New Roman"/>
                      <w:snapToGrid w:val="0"/>
                      <w:color w:val="auto"/>
                      <w:spacing w:val="0"/>
                      <w:kern w:val="0"/>
                      <w:sz w:val="21"/>
                      <w:szCs w:val="21"/>
                      <w:u w:val="none"/>
                      <w:shd w:val="clear" w:color="auto" w:fill="auto"/>
                    </w:rPr>
                    <w:t>1.</w:t>
                  </w:r>
                  <w:r>
                    <w:rPr>
                      <w:rFonts w:hint="eastAsia" w:cs="Times New Roman"/>
                      <w:snapToGrid w:val="0"/>
                      <w:color w:val="auto"/>
                      <w:spacing w:val="0"/>
                      <w:kern w:val="0"/>
                      <w:sz w:val="21"/>
                      <w:szCs w:val="21"/>
                      <w:u w:val="none"/>
                      <w:shd w:val="clear" w:color="auto" w:fill="auto"/>
                      <w:lang w:val="en-US" w:eastAsia="zh-CN"/>
                    </w:rPr>
                    <w:t>项目</w:t>
                  </w:r>
                  <w:r>
                    <w:rPr>
                      <w:rFonts w:hint="eastAsia"/>
                      <w:color w:val="auto"/>
                      <w:lang w:val="en-US" w:eastAsia="zh-CN"/>
                    </w:rPr>
                    <w:t>设置电泳</w:t>
                  </w:r>
                  <w:r>
                    <w:rPr>
                      <w:rFonts w:hint="eastAsia"/>
                      <w:color w:val="auto"/>
                      <w:lang w:val="en-US" w:eastAsia="zh-CN"/>
                    </w:rPr>
                    <w:t>废气经收集后通过水喷淋+二级活性炭（含干式过滤棉）处理后达标排放</w:t>
                  </w:r>
                  <w:r>
                    <w:rPr>
                      <w:rFonts w:hint="eastAsia" w:cs="Times New Roman"/>
                      <w:snapToGrid w:val="0"/>
                      <w:color w:val="auto"/>
                      <w:spacing w:val="0"/>
                      <w:kern w:val="0"/>
                      <w:sz w:val="21"/>
                      <w:szCs w:val="21"/>
                      <w:u w:val="none"/>
                      <w:shd w:val="clear" w:color="auto" w:fill="auto"/>
                      <w:lang w:val="en-US" w:eastAsia="zh-CN"/>
                    </w:rPr>
                    <w:t>，项目不属于重点行业项目</w:t>
                  </w:r>
                  <w:r>
                    <w:rPr>
                      <w:rFonts w:ascii="Times New Roman" w:hAnsi="Times New Roman" w:eastAsia="宋体" w:cs="Times New Roman"/>
                      <w:snapToGrid w:val="0"/>
                      <w:color w:val="auto"/>
                      <w:spacing w:val="0"/>
                      <w:kern w:val="0"/>
                      <w:sz w:val="21"/>
                      <w:szCs w:val="21"/>
                      <w:u w:val="none"/>
                      <w:shd w:val="clear" w:color="auto" w:fill="auto"/>
                    </w:rPr>
                    <w:t>。</w:t>
                  </w:r>
                </w:p>
                <w:p w14:paraId="6F370E88">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ascii="Times New Roman" w:hAnsi="Times New Roman" w:eastAsia="宋体" w:cs="Times New Roman"/>
                      <w:snapToGrid w:val="0"/>
                      <w:color w:val="auto"/>
                      <w:spacing w:val="0"/>
                      <w:kern w:val="0"/>
                      <w:sz w:val="21"/>
                      <w:szCs w:val="21"/>
                      <w:u w:val="none"/>
                      <w:shd w:val="clear" w:color="auto" w:fill="auto"/>
                    </w:rPr>
                  </w:pPr>
                  <w:r>
                    <w:rPr>
                      <w:rFonts w:ascii="Times New Roman" w:hAnsi="Times New Roman" w:eastAsia="宋体" w:cs="Times New Roman"/>
                      <w:snapToGrid w:val="0"/>
                      <w:color w:val="auto"/>
                      <w:spacing w:val="0"/>
                      <w:kern w:val="0"/>
                      <w:sz w:val="21"/>
                      <w:szCs w:val="21"/>
                      <w:u w:val="none"/>
                      <w:shd w:val="clear" w:color="auto" w:fill="auto"/>
                    </w:rPr>
                    <w:t>2.</w:t>
                  </w:r>
                  <w:r>
                    <w:rPr>
                      <w:rFonts w:hint="eastAsia" w:cs="Times New Roman"/>
                      <w:snapToGrid w:val="0"/>
                      <w:color w:val="auto"/>
                      <w:spacing w:val="0"/>
                      <w:kern w:val="0"/>
                      <w:sz w:val="21"/>
                      <w:szCs w:val="21"/>
                      <w:u w:val="none"/>
                      <w:shd w:val="clear" w:color="auto" w:fill="auto"/>
                      <w:lang w:val="en-US" w:eastAsia="zh-CN"/>
                    </w:rPr>
                    <w:t>项目使用低</w:t>
                  </w:r>
                  <w:r>
                    <w:rPr>
                      <w:rFonts w:hint="eastAsia" w:ascii="Times New Roman" w:hAnsi="Times New Roman" w:eastAsia="宋体" w:cs="Times New Roman"/>
                      <w:snapToGrid w:val="0"/>
                      <w:color w:val="auto"/>
                      <w:spacing w:val="0"/>
                      <w:kern w:val="0"/>
                      <w:sz w:val="21"/>
                      <w:szCs w:val="21"/>
                      <w:u w:val="none"/>
                      <w:shd w:val="clear" w:color="auto" w:fill="auto"/>
                    </w:rPr>
                    <w:t>VOCs 含量</w:t>
                  </w:r>
                  <w:r>
                    <w:rPr>
                      <w:rFonts w:hint="eastAsia" w:cs="Times New Roman"/>
                      <w:snapToGrid w:val="0"/>
                      <w:color w:val="auto"/>
                      <w:spacing w:val="0"/>
                      <w:kern w:val="0"/>
                      <w:sz w:val="21"/>
                      <w:szCs w:val="21"/>
                      <w:u w:val="none"/>
                      <w:shd w:val="clear" w:color="auto" w:fill="auto"/>
                      <w:lang w:val="en-US" w:eastAsia="zh-CN"/>
                    </w:rPr>
                    <w:t>涂料，废气经收集后通过水喷淋+二级活性炭</w:t>
                  </w:r>
                  <w:r>
                    <w:rPr>
                      <w:rFonts w:hint="eastAsia"/>
                      <w:color w:val="auto"/>
                      <w:lang w:val="en-US" w:eastAsia="zh-CN"/>
                    </w:rPr>
                    <w:t>（含干式过滤棉）</w:t>
                  </w:r>
                  <w:r>
                    <w:rPr>
                      <w:rFonts w:hint="eastAsia" w:cs="Times New Roman"/>
                      <w:snapToGrid w:val="0"/>
                      <w:color w:val="auto"/>
                      <w:spacing w:val="0"/>
                      <w:kern w:val="0"/>
                      <w:sz w:val="21"/>
                      <w:szCs w:val="21"/>
                      <w:u w:val="none"/>
                      <w:shd w:val="clear" w:color="auto" w:fill="auto"/>
                      <w:lang w:val="en-US" w:eastAsia="zh-CN"/>
                    </w:rPr>
                    <w:t>处理后达标排放</w:t>
                  </w:r>
                  <w:r>
                    <w:rPr>
                      <w:rFonts w:ascii="Times New Roman" w:hAnsi="Times New Roman" w:eastAsia="宋体" w:cs="Times New Roman"/>
                      <w:snapToGrid w:val="0"/>
                      <w:color w:val="auto"/>
                      <w:spacing w:val="0"/>
                      <w:kern w:val="0"/>
                      <w:sz w:val="21"/>
                      <w:szCs w:val="21"/>
                      <w:u w:val="none"/>
                      <w:shd w:val="clear" w:color="auto" w:fill="auto"/>
                    </w:rPr>
                    <w:t>。</w:t>
                  </w:r>
                </w:p>
                <w:p w14:paraId="57B03978">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hint="default" w:ascii="Times New Roman" w:hAnsi="Times New Roman" w:eastAsia="宋体" w:cs="Times New Roman"/>
                      <w:snapToGrid w:val="0"/>
                      <w:color w:val="auto"/>
                      <w:spacing w:val="0"/>
                      <w:kern w:val="0"/>
                      <w:sz w:val="21"/>
                      <w:szCs w:val="21"/>
                      <w:u w:val="none"/>
                      <w:shd w:val="clear" w:color="auto" w:fill="auto"/>
                      <w:lang w:val="en-US" w:eastAsia="zh-CN"/>
                    </w:rPr>
                  </w:pPr>
                  <w:r>
                    <w:rPr>
                      <w:rFonts w:ascii="Times New Roman" w:hAnsi="Times New Roman" w:eastAsia="宋体" w:cs="Times New Roman"/>
                      <w:snapToGrid w:val="0"/>
                      <w:color w:val="auto"/>
                      <w:spacing w:val="0"/>
                      <w:kern w:val="0"/>
                      <w:sz w:val="21"/>
                      <w:szCs w:val="21"/>
                      <w:u w:val="none"/>
                      <w:shd w:val="clear" w:color="auto" w:fill="auto"/>
                    </w:rPr>
                    <w:t>3.</w:t>
                  </w:r>
                  <w:r>
                    <w:rPr>
                      <w:rFonts w:hint="default" w:ascii="Times New Roman" w:hAnsi="Times New Roman" w:eastAsia="宋体" w:cs="Times New Roman"/>
                      <w:color w:val="auto"/>
                      <w:spacing w:val="-5"/>
                      <w:sz w:val="21"/>
                      <w:szCs w:val="21"/>
                    </w:rPr>
                    <w:t>项目</w:t>
                  </w:r>
                  <w:r>
                    <w:rPr>
                      <w:rFonts w:hint="eastAsia" w:cs="Times New Roman"/>
                      <w:color w:val="auto"/>
                      <w:spacing w:val="-5"/>
                      <w:sz w:val="21"/>
                      <w:szCs w:val="21"/>
                      <w:lang w:val="en-US" w:eastAsia="zh-CN"/>
                    </w:rPr>
                    <w:t>生产废水、废气喷淋废水经污水处理站处理后，</w:t>
                  </w:r>
                  <w:r>
                    <w:rPr>
                      <w:rFonts w:hint="eastAsia" w:ascii="Times New Roman" w:hAnsi="Times New Roman" w:cs="Times New Roman"/>
                      <w:color w:val="auto"/>
                      <w:spacing w:val="-5"/>
                      <w:sz w:val="21"/>
                      <w:szCs w:val="21"/>
                      <w:lang w:val="en-US" w:eastAsia="zh-CN"/>
                    </w:rPr>
                    <w:t>生活污水经化粪池</w:t>
                  </w:r>
                  <w:r>
                    <w:rPr>
                      <w:rFonts w:hint="default" w:ascii="Times New Roman" w:hAnsi="Times New Roman" w:eastAsia="宋体" w:cs="Times New Roman"/>
                      <w:color w:val="auto"/>
                      <w:spacing w:val="3"/>
                      <w:sz w:val="21"/>
                      <w:szCs w:val="21"/>
                    </w:rPr>
                    <w:t>处理</w:t>
                  </w:r>
                  <w:r>
                    <w:rPr>
                      <w:rFonts w:hint="eastAsia" w:cs="Times New Roman"/>
                      <w:color w:val="auto"/>
                      <w:spacing w:val="3"/>
                      <w:sz w:val="21"/>
                      <w:szCs w:val="21"/>
                      <w:lang w:val="en-US" w:eastAsia="zh-CN"/>
                    </w:rPr>
                    <w:t>后，两股处理后废水与纯水制备废水</w:t>
                  </w:r>
                  <w:r>
                    <w:rPr>
                      <w:rFonts w:hint="eastAsia" w:ascii="Times New Roman" w:hAnsi="Times New Roman" w:cs="Times New Roman"/>
                      <w:color w:val="auto"/>
                      <w:spacing w:val="-5"/>
                      <w:sz w:val="21"/>
                      <w:szCs w:val="21"/>
                      <w:lang w:val="en-US" w:eastAsia="zh-CN"/>
                    </w:rPr>
                    <w:t>在厂界内汇聚</w:t>
                  </w:r>
                  <w:r>
                    <w:rPr>
                      <w:rFonts w:hint="eastAsia" w:cs="Times New Roman"/>
                      <w:color w:val="auto"/>
                      <w:spacing w:val="-5"/>
                      <w:sz w:val="21"/>
                      <w:szCs w:val="21"/>
                      <w:lang w:val="en-US" w:eastAsia="zh-CN"/>
                    </w:rPr>
                    <w:t>，</w:t>
                  </w:r>
                  <w:r>
                    <w:rPr>
                      <w:rFonts w:hint="eastAsia" w:ascii="Times New Roman" w:hAnsi="Times New Roman" w:cs="Times New Roman"/>
                      <w:color w:val="auto"/>
                      <w:spacing w:val="-5"/>
                      <w:sz w:val="21"/>
                      <w:szCs w:val="21"/>
                      <w:lang w:val="en-US" w:eastAsia="zh-CN"/>
                    </w:rPr>
                    <w:t>一同经同一排污口排入</w:t>
                  </w:r>
                  <w:r>
                    <w:rPr>
                      <w:rFonts w:hint="eastAsia" w:cs="Times New Roman"/>
                      <w:color w:val="auto"/>
                      <w:spacing w:val="-6"/>
                      <w:sz w:val="21"/>
                      <w:szCs w:val="21"/>
                      <w:lang w:val="en-US" w:eastAsia="zh-CN"/>
                    </w:rPr>
                    <w:t>官塘</w:t>
                  </w:r>
                  <w:r>
                    <w:rPr>
                      <w:rFonts w:hint="default" w:ascii="Times New Roman" w:hAnsi="Times New Roman" w:eastAsia="宋体" w:cs="Times New Roman"/>
                      <w:color w:val="auto"/>
                      <w:spacing w:val="23"/>
                      <w:sz w:val="21"/>
                      <w:szCs w:val="21"/>
                    </w:rPr>
                    <w:t>污水处理厂处</w:t>
                  </w:r>
                  <w:r>
                    <w:rPr>
                      <w:rFonts w:hint="default" w:ascii="Times New Roman" w:hAnsi="Times New Roman" w:eastAsia="宋体" w:cs="Times New Roman"/>
                      <w:color w:val="auto"/>
                      <w:spacing w:val="-4"/>
                      <w:sz w:val="21"/>
                      <w:szCs w:val="21"/>
                    </w:rPr>
                    <w:t>理</w:t>
                  </w:r>
                  <w:r>
                    <w:rPr>
                      <w:rFonts w:hint="eastAsia" w:ascii="Times New Roman" w:hAnsi="Times New Roman" w:eastAsia="宋体" w:cs="Times New Roman"/>
                      <w:snapToGrid w:val="0"/>
                      <w:color w:val="auto"/>
                      <w:spacing w:val="0"/>
                      <w:kern w:val="0"/>
                      <w:sz w:val="21"/>
                      <w:szCs w:val="21"/>
                      <w:u w:val="none"/>
                      <w:shd w:val="clear" w:color="auto" w:fill="auto"/>
                    </w:rPr>
                    <w:t>。</w:t>
                  </w:r>
                </w:p>
              </w:tc>
              <w:tc>
                <w:tcPr>
                  <w:tcW w:w="598" w:type="pct"/>
                  <w:vAlign w:val="center"/>
                </w:tcPr>
                <w:p w14:paraId="6BD8408A">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snapToGrid w:val="0"/>
                      <w:color w:val="auto"/>
                      <w:spacing w:val="0"/>
                      <w:kern w:val="0"/>
                      <w:sz w:val="21"/>
                      <w:szCs w:val="21"/>
                      <w:u w:val="none"/>
                      <w:shd w:val="clear" w:color="auto" w:fill="auto"/>
                      <w:lang w:val="en-US" w:eastAsia="zh-CN"/>
                    </w:rPr>
                  </w:pPr>
                  <w:r>
                    <w:rPr>
                      <w:rFonts w:hint="eastAsia"/>
                      <w:snapToGrid w:val="0"/>
                      <w:color w:val="auto"/>
                      <w:spacing w:val="0"/>
                      <w:kern w:val="0"/>
                      <w:sz w:val="21"/>
                      <w:szCs w:val="21"/>
                      <w:u w:val="none"/>
                      <w:shd w:val="clear" w:color="auto" w:fill="auto"/>
                      <w:lang w:val="en-US" w:eastAsia="zh-CN"/>
                    </w:rPr>
                    <w:t>符合</w:t>
                  </w:r>
                </w:p>
              </w:tc>
            </w:tr>
            <w:tr w14:paraId="5E59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8" w:type="pct"/>
                  <w:vAlign w:val="center"/>
                </w:tcPr>
                <w:p w14:paraId="72DD5F99">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ascii="Times New Roman" w:hAnsi="Times New Roman" w:eastAsia="宋体"/>
                      <w:snapToGrid w:val="0"/>
                      <w:color w:val="auto"/>
                      <w:spacing w:val="0"/>
                      <w:kern w:val="0"/>
                      <w:sz w:val="21"/>
                      <w:szCs w:val="21"/>
                      <w:u w:val="none"/>
                      <w:shd w:val="clear" w:color="auto" w:fill="auto"/>
                    </w:rPr>
                  </w:pPr>
                  <w:r>
                    <w:rPr>
                      <w:rFonts w:ascii="Times New Roman" w:hAnsi="Times New Roman" w:eastAsia="宋体"/>
                      <w:snapToGrid w:val="0"/>
                      <w:color w:val="auto"/>
                      <w:spacing w:val="0"/>
                      <w:kern w:val="0"/>
                      <w:sz w:val="21"/>
                      <w:szCs w:val="21"/>
                      <w:u w:val="none"/>
                      <w:shd w:val="clear" w:color="auto" w:fill="auto"/>
                    </w:rPr>
                    <w:t>环境</w:t>
                  </w:r>
                </w:p>
                <w:p w14:paraId="02A16061">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ascii="Times New Roman" w:hAnsi="Times New Roman" w:eastAsia="宋体"/>
                      <w:snapToGrid w:val="0"/>
                      <w:color w:val="auto"/>
                      <w:spacing w:val="0"/>
                      <w:kern w:val="0"/>
                      <w:sz w:val="21"/>
                      <w:szCs w:val="21"/>
                      <w:u w:val="none"/>
                      <w:shd w:val="clear" w:color="auto" w:fill="auto"/>
                    </w:rPr>
                  </w:pPr>
                  <w:r>
                    <w:rPr>
                      <w:rFonts w:ascii="Times New Roman" w:hAnsi="Times New Roman" w:eastAsia="宋体"/>
                      <w:snapToGrid w:val="0"/>
                      <w:color w:val="auto"/>
                      <w:spacing w:val="0"/>
                      <w:kern w:val="0"/>
                      <w:sz w:val="21"/>
                      <w:szCs w:val="21"/>
                      <w:u w:val="none"/>
                      <w:shd w:val="clear" w:color="auto" w:fill="auto"/>
                    </w:rPr>
                    <w:t>风险</w:t>
                  </w:r>
                </w:p>
                <w:p w14:paraId="4E30042A">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ascii="Times New Roman" w:hAnsi="Times New Roman" w:eastAsia="宋体"/>
                      <w:snapToGrid w:val="0"/>
                      <w:color w:val="auto"/>
                      <w:spacing w:val="0"/>
                      <w:kern w:val="0"/>
                      <w:sz w:val="21"/>
                      <w:szCs w:val="21"/>
                      <w:u w:val="none"/>
                      <w:shd w:val="clear" w:color="auto" w:fill="auto"/>
                    </w:rPr>
                  </w:pPr>
                  <w:r>
                    <w:rPr>
                      <w:rFonts w:ascii="Times New Roman" w:hAnsi="Times New Roman" w:eastAsia="宋体"/>
                      <w:snapToGrid w:val="0"/>
                      <w:color w:val="auto"/>
                      <w:spacing w:val="0"/>
                      <w:kern w:val="0"/>
                      <w:sz w:val="21"/>
                      <w:szCs w:val="21"/>
                      <w:u w:val="none"/>
                      <w:shd w:val="clear" w:color="auto" w:fill="auto"/>
                    </w:rPr>
                    <w:t>防控</w:t>
                  </w:r>
                </w:p>
              </w:tc>
              <w:tc>
                <w:tcPr>
                  <w:tcW w:w="2619" w:type="pct"/>
                  <w:vAlign w:val="top"/>
                </w:tcPr>
                <w:p w14:paraId="1DFF8184">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hint="eastAsia" w:cs="Times New Roman"/>
                      <w:snapToGrid w:val="0"/>
                      <w:color w:val="auto"/>
                      <w:spacing w:val="0"/>
                      <w:kern w:val="0"/>
                      <w:sz w:val="21"/>
                      <w:szCs w:val="21"/>
                      <w:u w:val="none"/>
                      <w:shd w:val="clear" w:color="auto" w:fill="auto"/>
                      <w:lang w:eastAsia="zh-CN"/>
                    </w:rPr>
                  </w:pPr>
                  <w:r>
                    <w:rPr>
                      <w:rFonts w:hint="eastAsia" w:cs="Times New Roman"/>
                      <w:snapToGrid w:val="0"/>
                      <w:color w:val="auto"/>
                      <w:spacing w:val="0"/>
                      <w:kern w:val="0"/>
                      <w:sz w:val="21"/>
                      <w:szCs w:val="21"/>
                      <w:u w:val="none"/>
                      <w:shd w:val="clear" w:color="auto" w:fill="auto"/>
                      <w:lang w:eastAsia="zh-CN"/>
                    </w:rPr>
                    <w:t>1.开展环境风险评估，制定突发环境事件应急预案并备案，配备应急能力和物资，建设环境应急队伍，并定期演练。企业、园区与地方人民政府环境应急预案应当有机衔接。</w:t>
                  </w:r>
                </w:p>
                <w:p w14:paraId="580CA54C">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hint="eastAsia" w:cs="Times New Roman"/>
                      <w:snapToGrid w:val="0"/>
                      <w:color w:val="auto"/>
                      <w:spacing w:val="0"/>
                      <w:kern w:val="0"/>
                      <w:sz w:val="21"/>
                      <w:szCs w:val="21"/>
                      <w:u w:val="none"/>
                      <w:shd w:val="clear" w:color="auto" w:fill="auto"/>
                      <w:lang w:eastAsia="zh-CN"/>
                    </w:rPr>
                  </w:pPr>
                  <w:r>
                    <w:rPr>
                      <w:rFonts w:hint="eastAsia" w:cs="Times New Roman"/>
                      <w:snapToGrid w:val="0"/>
                      <w:color w:val="auto"/>
                      <w:spacing w:val="0"/>
                      <w:kern w:val="0"/>
                      <w:sz w:val="21"/>
                      <w:szCs w:val="21"/>
                      <w:u w:val="none"/>
                      <w:shd w:val="clear" w:color="auto" w:fill="auto"/>
                      <w:lang w:eastAsia="zh-CN"/>
                    </w:rPr>
                    <w:t>2.涉重企业要采用新技术、新工艺，加快提标升级改造，实现全面达标排放。坚决淘汰不符合国家产业政策的落后生产工艺装备。</w:t>
                  </w:r>
                </w:p>
                <w:p w14:paraId="757B1CF6">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hint="eastAsia" w:cs="Times New Roman"/>
                      <w:snapToGrid w:val="0"/>
                      <w:color w:val="auto"/>
                      <w:spacing w:val="0"/>
                      <w:kern w:val="0"/>
                      <w:sz w:val="21"/>
                      <w:szCs w:val="21"/>
                      <w:u w:val="none"/>
                      <w:shd w:val="clear" w:color="auto" w:fill="auto"/>
                      <w:lang w:eastAsia="zh-CN"/>
                    </w:rPr>
                  </w:pPr>
                  <w:r>
                    <w:rPr>
                      <w:rFonts w:hint="eastAsia" w:cs="Times New Roman"/>
                      <w:snapToGrid w:val="0"/>
                      <w:color w:val="auto"/>
                      <w:spacing w:val="0"/>
                      <w:kern w:val="0"/>
                      <w:sz w:val="21"/>
                      <w:szCs w:val="21"/>
                      <w:u w:val="none"/>
                      <w:shd w:val="clear" w:color="auto" w:fill="auto"/>
                      <w:lang w:eastAsia="zh-CN"/>
                    </w:rPr>
                    <w:t>3.土壤污染重点监管单位应当严格控制有毒有害物质排放，并按年度向生态环境主管部门报告排放情况；建立土壤污染隐患排查制度，保证持续有效防止有毒有害物质渗漏、流失、扬散；制定、</w:t>
                  </w:r>
                </w:p>
                <w:p w14:paraId="277AC323">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ascii="Times New Roman" w:hAnsi="Times New Roman" w:eastAsia="宋体" w:cs="Times New Roman"/>
                      <w:snapToGrid w:val="0"/>
                      <w:color w:val="auto"/>
                      <w:spacing w:val="0"/>
                      <w:kern w:val="0"/>
                      <w:sz w:val="21"/>
                      <w:szCs w:val="21"/>
                      <w:u w:val="none"/>
                      <w:shd w:val="clear" w:color="auto" w:fill="auto"/>
                    </w:rPr>
                  </w:pPr>
                  <w:r>
                    <w:rPr>
                      <w:rFonts w:hint="eastAsia" w:cs="Times New Roman"/>
                      <w:snapToGrid w:val="0"/>
                      <w:color w:val="auto"/>
                      <w:spacing w:val="0"/>
                      <w:kern w:val="0"/>
                      <w:sz w:val="21"/>
                      <w:szCs w:val="21"/>
                      <w:u w:val="none"/>
                      <w:shd w:val="clear" w:color="auto" w:fill="auto"/>
                      <w:lang w:eastAsia="zh-CN"/>
                    </w:rPr>
                    <w:t>实施自行监测方案，并将监测数据报生态环境主管部门。</w:t>
                  </w:r>
                </w:p>
              </w:tc>
              <w:tc>
                <w:tcPr>
                  <w:tcW w:w="1483" w:type="pct"/>
                  <w:vAlign w:val="center"/>
                </w:tcPr>
                <w:p w14:paraId="1D2181E0">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ascii="Times New Roman" w:hAnsi="Times New Roman" w:eastAsia="宋体" w:cs="Times New Roman"/>
                      <w:snapToGrid w:val="0"/>
                      <w:color w:val="auto"/>
                      <w:spacing w:val="0"/>
                      <w:kern w:val="0"/>
                      <w:sz w:val="21"/>
                      <w:szCs w:val="21"/>
                      <w:u w:val="none"/>
                      <w:shd w:val="clear" w:color="auto" w:fill="auto"/>
                    </w:rPr>
                  </w:pPr>
                  <w:r>
                    <w:rPr>
                      <w:rFonts w:hint="eastAsia" w:ascii="Times New Roman" w:hAnsi="Times New Roman" w:eastAsia="宋体" w:cs="Times New Roman"/>
                      <w:snapToGrid w:val="0"/>
                      <w:color w:val="auto"/>
                      <w:spacing w:val="0"/>
                      <w:kern w:val="0"/>
                      <w:sz w:val="21"/>
                      <w:szCs w:val="21"/>
                      <w:u w:val="none"/>
                      <w:shd w:val="clear" w:color="auto" w:fill="auto"/>
                      <w:lang w:val="en-US" w:eastAsia="zh-CN"/>
                    </w:rPr>
                    <w:t>1.</w:t>
                  </w:r>
                  <w:r>
                    <w:rPr>
                      <w:rFonts w:ascii="Times New Roman" w:hAnsi="Times New Roman" w:eastAsia="宋体" w:cs="Times New Roman"/>
                      <w:snapToGrid w:val="0"/>
                      <w:color w:val="auto"/>
                      <w:spacing w:val="0"/>
                      <w:kern w:val="0"/>
                      <w:sz w:val="21"/>
                      <w:szCs w:val="21"/>
                      <w:u w:val="none"/>
                      <w:shd w:val="clear" w:color="auto" w:fill="auto"/>
                    </w:rPr>
                    <w:t>项目将制定突发环境事件应急预案，配备应急能力和物资，建设应急队伍并定期演练，同时与园区、</w:t>
                  </w:r>
                  <w:r>
                    <w:rPr>
                      <w:rFonts w:hint="eastAsia" w:cs="Times New Roman"/>
                      <w:snapToGrid w:val="0"/>
                      <w:color w:val="auto"/>
                      <w:spacing w:val="0"/>
                      <w:kern w:val="0"/>
                      <w:sz w:val="21"/>
                      <w:szCs w:val="21"/>
                      <w:u w:val="none"/>
                      <w:shd w:val="clear" w:color="auto" w:fill="auto"/>
                      <w:lang w:val="en-US" w:eastAsia="zh-CN"/>
                    </w:rPr>
                    <w:t>柳州市</w:t>
                  </w:r>
                  <w:r>
                    <w:rPr>
                      <w:rFonts w:ascii="Times New Roman" w:hAnsi="Times New Roman" w:eastAsia="宋体" w:cs="Times New Roman"/>
                      <w:snapToGrid w:val="0"/>
                      <w:color w:val="auto"/>
                      <w:spacing w:val="0"/>
                      <w:kern w:val="0"/>
                      <w:sz w:val="21"/>
                      <w:szCs w:val="21"/>
                      <w:u w:val="none"/>
                      <w:shd w:val="clear" w:color="auto" w:fill="auto"/>
                    </w:rPr>
                    <w:t>人民政府环境应急预案有机衔接；</w:t>
                  </w:r>
                </w:p>
                <w:p w14:paraId="2D218D89">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hint="eastAsia" w:ascii="Times New Roman" w:hAnsi="Times New Roman" w:eastAsia="宋体" w:cs="Times New Roman"/>
                      <w:snapToGrid w:val="0"/>
                      <w:color w:val="auto"/>
                      <w:spacing w:val="0"/>
                      <w:kern w:val="0"/>
                      <w:sz w:val="21"/>
                      <w:szCs w:val="21"/>
                      <w:u w:val="none"/>
                      <w:shd w:val="clear" w:color="auto" w:fill="auto"/>
                      <w:lang w:eastAsia="zh-CN"/>
                    </w:rPr>
                  </w:pPr>
                  <w:r>
                    <w:rPr>
                      <w:rFonts w:hint="eastAsia" w:ascii="Times New Roman" w:hAnsi="Times New Roman" w:eastAsia="宋体" w:cs="Times New Roman"/>
                      <w:snapToGrid w:val="0"/>
                      <w:color w:val="auto"/>
                      <w:spacing w:val="0"/>
                      <w:kern w:val="0"/>
                      <w:sz w:val="21"/>
                      <w:szCs w:val="21"/>
                      <w:u w:val="none"/>
                      <w:shd w:val="clear" w:color="auto" w:fill="auto"/>
                      <w:lang w:val="en-US" w:eastAsia="zh-CN"/>
                    </w:rPr>
                    <w:t>2.</w:t>
                  </w:r>
                  <w:r>
                    <w:rPr>
                      <w:rFonts w:hint="eastAsia" w:cs="Times New Roman"/>
                      <w:snapToGrid w:val="0"/>
                      <w:color w:val="auto"/>
                      <w:spacing w:val="0"/>
                      <w:kern w:val="0"/>
                      <w:sz w:val="21"/>
                      <w:szCs w:val="21"/>
                      <w:u w:val="none"/>
                      <w:shd w:val="clear" w:color="auto" w:fill="auto"/>
                      <w:lang w:val="en-US" w:eastAsia="zh-CN"/>
                    </w:rPr>
                    <w:t>项目</w:t>
                  </w:r>
                  <w:r>
                    <w:rPr>
                      <w:rFonts w:hint="eastAsia"/>
                      <w:color w:val="auto"/>
                      <w:lang w:val="en-US" w:eastAsia="zh-CN"/>
                    </w:rPr>
                    <w:t>不涉及重金属排放</w:t>
                  </w:r>
                  <w:r>
                    <w:rPr>
                      <w:rFonts w:hint="eastAsia" w:ascii="Times New Roman" w:hAnsi="Times New Roman" w:eastAsia="宋体" w:cs="Times New Roman"/>
                      <w:snapToGrid w:val="0"/>
                      <w:color w:val="auto"/>
                      <w:spacing w:val="0"/>
                      <w:kern w:val="0"/>
                      <w:sz w:val="21"/>
                      <w:szCs w:val="21"/>
                      <w:u w:val="none"/>
                      <w:shd w:val="clear" w:color="auto" w:fill="auto"/>
                      <w:lang w:eastAsia="zh-CN"/>
                    </w:rPr>
                    <w:t>；</w:t>
                  </w:r>
                </w:p>
                <w:p w14:paraId="58D939FB">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hint="default" w:ascii="Times New Roman" w:hAnsi="Times New Roman" w:eastAsia="宋体" w:cs="Times New Roman"/>
                      <w:snapToGrid w:val="0"/>
                      <w:color w:val="auto"/>
                      <w:spacing w:val="0"/>
                      <w:kern w:val="0"/>
                      <w:sz w:val="21"/>
                      <w:szCs w:val="21"/>
                      <w:u w:val="none"/>
                      <w:shd w:val="clear" w:color="auto" w:fill="auto"/>
                      <w:lang w:val="en-US" w:eastAsia="zh-CN"/>
                    </w:rPr>
                  </w:pPr>
                  <w:r>
                    <w:rPr>
                      <w:rFonts w:hint="eastAsia" w:ascii="Times New Roman" w:hAnsi="Times New Roman" w:eastAsia="宋体" w:cs="Times New Roman"/>
                      <w:snapToGrid w:val="0"/>
                      <w:color w:val="auto"/>
                      <w:spacing w:val="0"/>
                      <w:kern w:val="0"/>
                      <w:sz w:val="21"/>
                      <w:szCs w:val="21"/>
                      <w:u w:val="none"/>
                      <w:shd w:val="clear" w:color="auto" w:fill="auto"/>
                      <w:lang w:val="en-US" w:eastAsia="zh-CN"/>
                    </w:rPr>
                    <w:t>3.项目不属于</w:t>
                  </w:r>
                  <w:r>
                    <w:rPr>
                      <w:rFonts w:ascii="Times New Roman" w:hAnsi="Times New Roman" w:eastAsia="宋体" w:cs="Times New Roman"/>
                      <w:snapToGrid w:val="0"/>
                      <w:color w:val="auto"/>
                      <w:spacing w:val="0"/>
                      <w:kern w:val="0"/>
                      <w:sz w:val="21"/>
                      <w:szCs w:val="21"/>
                      <w:u w:val="none"/>
                      <w:shd w:val="clear" w:color="auto" w:fill="auto"/>
                    </w:rPr>
                    <w:t>涉重金属重点行业</w:t>
                  </w:r>
                  <w:r>
                    <w:rPr>
                      <w:rFonts w:hint="eastAsia" w:cs="Times New Roman"/>
                      <w:snapToGrid w:val="0"/>
                      <w:color w:val="auto"/>
                      <w:spacing w:val="0"/>
                      <w:kern w:val="0"/>
                      <w:sz w:val="21"/>
                      <w:szCs w:val="21"/>
                      <w:u w:val="none"/>
                      <w:shd w:val="clear" w:color="auto" w:fill="auto"/>
                      <w:lang w:val="en-US" w:eastAsia="zh-CN"/>
                    </w:rPr>
                    <w:t>项目</w:t>
                  </w:r>
                  <w:r>
                    <w:rPr>
                      <w:rFonts w:ascii="Times New Roman" w:hAnsi="Times New Roman" w:eastAsia="宋体" w:cs="Times New Roman"/>
                      <w:snapToGrid w:val="0"/>
                      <w:color w:val="auto"/>
                      <w:spacing w:val="0"/>
                      <w:kern w:val="0"/>
                      <w:sz w:val="21"/>
                      <w:szCs w:val="21"/>
                      <w:u w:val="none"/>
                      <w:shd w:val="clear" w:color="auto" w:fill="auto"/>
                    </w:rPr>
                    <w:t>。</w:t>
                  </w:r>
                </w:p>
              </w:tc>
              <w:tc>
                <w:tcPr>
                  <w:tcW w:w="598" w:type="pct"/>
                  <w:vAlign w:val="center"/>
                </w:tcPr>
                <w:p w14:paraId="362ADCD4">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snapToGrid w:val="0"/>
                      <w:color w:val="auto"/>
                      <w:spacing w:val="0"/>
                      <w:kern w:val="0"/>
                      <w:sz w:val="21"/>
                      <w:szCs w:val="21"/>
                      <w:u w:val="none"/>
                      <w:shd w:val="clear" w:color="auto" w:fill="auto"/>
                      <w:lang w:val="en-US" w:eastAsia="zh-CN"/>
                    </w:rPr>
                  </w:pPr>
                  <w:r>
                    <w:rPr>
                      <w:rFonts w:hint="eastAsia" w:cs="Times New Roman"/>
                      <w:snapToGrid w:val="0"/>
                      <w:color w:val="auto"/>
                      <w:spacing w:val="0"/>
                      <w:kern w:val="0"/>
                      <w:sz w:val="21"/>
                      <w:szCs w:val="21"/>
                      <w:u w:val="none"/>
                      <w:shd w:val="clear" w:color="auto" w:fill="auto"/>
                      <w:lang w:val="en-US" w:eastAsia="zh-CN"/>
                    </w:rPr>
                    <w:t>符合</w:t>
                  </w:r>
                </w:p>
              </w:tc>
            </w:tr>
            <w:tr w14:paraId="7B58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8" w:type="pct"/>
                  <w:vAlign w:val="center"/>
                </w:tcPr>
                <w:p w14:paraId="36D9B41E">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hint="default" w:ascii="Times New Roman" w:hAnsi="Times New Roman" w:eastAsia="宋体"/>
                      <w:snapToGrid w:val="0"/>
                      <w:color w:val="auto"/>
                      <w:spacing w:val="0"/>
                      <w:kern w:val="0"/>
                      <w:sz w:val="21"/>
                      <w:szCs w:val="21"/>
                      <w:u w:val="none"/>
                      <w:shd w:val="clear" w:color="auto" w:fill="auto"/>
                      <w:lang w:val="en-US" w:eastAsia="zh-CN"/>
                    </w:rPr>
                  </w:pPr>
                  <w:r>
                    <w:rPr>
                      <w:rFonts w:hint="eastAsia"/>
                      <w:snapToGrid w:val="0"/>
                      <w:color w:val="auto"/>
                      <w:spacing w:val="0"/>
                      <w:kern w:val="0"/>
                      <w:sz w:val="21"/>
                      <w:szCs w:val="21"/>
                      <w:u w:val="none"/>
                      <w:shd w:val="clear" w:color="auto" w:fill="auto"/>
                      <w:lang w:val="en-US" w:eastAsia="zh-CN"/>
                    </w:rPr>
                    <w:t>资源开发利用效率要求</w:t>
                  </w:r>
                </w:p>
              </w:tc>
              <w:tc>
                <w:tcPr>
                  <w:tcW w:w="2619" w:type="pct"/>
                  <w:vAlign w:val="top"/>
                </w:tcPr>
                <w:p w14:paraId="3AF22E69">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hint="eastAsia" w:cs="Times New Roman"/>
                      <w:snapToGrid w:val="0"/>
                      <w:color w:val="auto"/>
                      <w:spacing w:val="0"/>
                      <w:kern w:val="0"/>
                      <w:sz w:val="21"/>
                      <w:szCs w:val="21"/>
                      <w:u w:val="none"/>
                      <w:shd w:val="clear" w:color="auto" w:fill="auto"/>
                      <w:lang w:eastAsia="zh-CN"/>
                    </w:rPr>
                  </w:pPr>
                  <w:r>
                    <w:rPr>
                      <w:rFonts w:hint="eastAsia" w:cs="Times New Roman"/>
                      <w:snapToGrid w:val="0"/>
                      <w:color w:val="auto"/>
                      <w:spacing w:val="0"/>
                      <w:kern w:val="0"/>
                      <w:sz w:val="21"/>
                      <w:szCs w:val="21"/>
                      <w:u w:val="none"/>
                      <w:shd w:val="clear" w:color="auto" w:fill="auto"/>
                      <w:lang w:eastAsia="zh-CN"/>
                    </w:rPr>
                    <w:t>禁燃区内禁止销售、燃用高污染燃料，禁止新建、扩建燃用高污染燃料的设施，现有燃用高污染燃料的设施应在规定期限内停止燃用高污染燃料，改用天然气、液化石油气、电或者其他清洁能</w:t>
                  </w:r>
                </w:p>
                <w:p w14:paraId="7E4173C1">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hint="eastAsia" w:cs="Times New Roman"/>
                      <w:snapToGrid w:val="0"/>
                      <w:color w:val="auto"/>
                      <w:spacing w:val="0"/>
                      <w:kern w:val="0"/>
                      <w:sz w:val="21"/>
                      <w:szCs w:val="21"/>
                      <w:u w:val="none"/>
                      <w:shd w:val="clear" w:color="auto" w:fill="auto"/>
                      <w:lang w:eastAsia="zh-CN"/>
                    </w:rPr>
                  </w:pPr>
                  <w:r>
                    <w:rPr>
                      <w:rFonts w:hint="eastAsia" w:cs="Times New Roman"/>
                      <w:snapToGrid w:val="0"/>
                      <w:color w:val="auto"/>
                      <w:spacing w:val="0"/>
                      <w:kern w:val="0"/>
                      <w:sz w:val="21"/>
                      <w:szCs w:val="21"/>
                      <w:u w:val="none"/>
                      <w:shd w:val="clear" w:color="auto" w:fill="auto"/>
                      <w:lang w:eastAsia="zh-CN"/>
                    </w:rPr>
                    <w:t>源，其余按照《柳州市人民政府关于划定柳州市高污染燃料禁燃区的通告》要求实施管理。</w:t>
                  </w:r>
                </w:p>
              </w:tc>
              <w:tc>
                <w:tcPr>
                  <w:tcW w:w="1483" w:type="pct"/>
                  <w:vAlign w:val="center"/>
                </w:tcPr>
                <w:p w14:paraId="3049411F">
                  <w:pPr>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hint="default" w:ascii="Times New Roman" w:hAnsi="Times New Roman" w:eastAsia="宋体" w:cs="Times New Roman"/>
                      <w:snapToGrid w:val="0"/>
                      <w:color w:val="auto"/>
                      <w:spacing w:val="0"/>
                      <w:kern w:val="0"/>
                      <w:sz w:val="21"/>
                      <w:szCs w:val="21"/>
                      <w:u w:val="none"/>
                      <w:shd w:val="clear" w:color="auto" w:fill="auto"/>
                      <w:lang w:val="en-US" w:eastAsia="zh-CN"/>
                    </w:rPr>
                  </w:pPr>
                  <w:r>
                    <w:rPr>
                      <w:rFonts w:hint="eastAsia" w:ascii="Times New Roman" w:hAnsi="Times New Roman" w:eastAsia="宋体" w:cs="Times New Roman"/>
                      <w:snapToGrid w:val="0"/>
                      <w:color w:val="auto"/>
                      <w:spacing w:val="0"/>
                      <w:kern w:val="0"/>
                      <w:sz w:val="21"/>
                      <w:szCs w:val="21"/>
                      <w:u w:val="none"/>
                      <w:shd w:val="clear" w:color="auto" w:fill="auto"/>
                      <w:lang w:val="en-US" w:eastAsia="zh-CN"/>
                    </w:rPr>
                    <w:t>项目</w:t>
                  </w:r>
                  <w:r>
                    <w:rPr>
                      <w:rFonts w:hint="eastAsia" w:cs="Times New Roman"/>
                      <w:snapToGrid w:val="0"/>
                      <w:color w:val="auto"/>
                      <w:spacing w:val="0"/>
                      <w:kern w:val="0"/>
                      <w:sz w:val="21"/>
                      <w:szCs w:val="21"/>
                      <w:u w:val="none"/>
                      <w:shd w:val="clear" w:color="auto" w:fill="auto"/>
                      <w:lang w:val="en-US" w:eastAsia="zh-CN"/>
                    </w:rPr>
                    <w:t>使用电能、液化石油气，均为清洁能源。</w:t>
                  </w:r>
                </w:p>
              </w:tc>
              <w:tc>
                <w:tcPr>
                  <w:tcW w:w="598" w:type="pct"/>
                  <w:vAlign w:val="center"/>
                </w:tcPr>
                <w:p w14:paraId="1F0DE0CB">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default" w:cs="Times New Roman"/>
                      <w:snapToGrid w:val="0"/>
                      <w:color w:val="auto"/>
                      <w:spacing w:val="0"/>
                      <w:kern w:val="0"/>
                      <w:sz w:val="21"/>
                      <w:szCs w:val="21"/>
                      <w:u w:val="none"/>
                      <w:shd w:val="clear" w:color="auto" w:fill="auto"/>
                      <w:lang w:val="en-US" w:eastAsia="zh-CN"/>
                    </w:rPr>
                  </w:pPr>
                  <w:r>
                    <w:rPr>
                      <w:rFonts w:hint="eastAsia" w:cs="Times New Roman"/>
                      <w:snapToGrid w:val="0"/>
                      <w:color w:val="auto"/>
                      <w:spacing w:val="0"/>
                      <w:kern w:val="0"/>
                      <w:sz w:val="21"/>
                      <w:szCs w:val="21"/>
                      <w:u w:val="none"/>
                      <w:shd w:val="clear" w:color="auto" w:fill="auto"/>
                      <w:lang w:val="en-US" w:eastAsia="zh-CN"/>
                    </w:rPr>
                    <w:t>符合</w:t>
                  </w:r>
                </w:p>
              </w:tc>
            </w:tr>
          </w:tbl>
          <w:p w14:paraId="3F717FFE">
            <w:pPr>
              <w:tabs>
                <w:tab w:val="left" w:pos="624"/>
              </w:tabs>
              <w:spacing w:line="500" w:lineRule="exact"/>
              <w:ind w:firstLine="480" w:firstLineChars="200"/>
              <w:rPr>
                <w:color w:val="auto"/>
                <w:sz w:val="24"/>
                <w:highlight w:val="none"/>
                <w:shd w:val="clear" w:color="auto" w:fill="auto"/>
              </w:rPr>
            </w:pPr>
            <w:r>
              <w:rPr>
                <w:color w:val="auto"/>
                <w:sz w:val="24"/>
                <w:highlight w:val="none"/>
                <w:shd w:val="clear" w:color="auto" w:fill="auto"/>
              </w:rPr>
              <w:t>（</w:t>
            </w:r>
            <w:r>
              <w:rPr>
                <w:rFonts w:hint="eastAsia"/>
                <w:color w:val="auto"/>
                <w:sz w:val="24"/>
                <w:highlight w:val="none"/>
                <w:shd w:val="clear" w:color="auto" w:fill="auto"/>
                <w:lang w:val="en-US" w:eastAsia="zh-CN"/>
              </w:rPr>
              <w:t>4</w:t>
            </w:r>
            <w:r>
              <w:rPr>
                <w:color w:val="auto"/>
                <w:sz w:val="24"/>
                <w:highlight w:val="none"/>
                <w:shd w:val="clear" w:color="auto" w:fill="auto"/>
              </w:rPr>
              <w:t>）环境质量底线</w:t>
            </w:r>
          </w:p>
          <w:p w14:paraId="4C4C16B2">
            <w:pPr>
              <w:tabs>
                <w:tab w:val="left" w:pos="624"/>
              </w:tabs>
              <w:spacing w:line="500" w:lineRule="exact"/>
              <w:ind w:firstLine="480" w:firstLineChars="200"/>
              <w:rPr>
                <w:color w:val="auto"/>
                <w:sz w:val="24"/>
                <w:highlight w:val="none"/>
                <w:shd w:val="clear" w:color="auto" w:fill="auto"/>
              </w:rPr>
            </w:pPr>
            <w:r>
              <w:rPr>
                <w:color w:val="auto"/>
                <w:sz w:val="24"/>
                <w:highlight w:val="none"/>
                <w:shd w:val="clear" w:color="auto" w:fill="auto"/>
              </w:rPr>
              <w:t>项目所在区域大气、地表水和噪声环境现状基本能符合区域大气环境、声环境、地表水等功能区规划要求，待本项目建设投产后，通过采取相应的环保措施，能达标排放，保持区域环境质量，项目不触及环境质量底线。</w:t>
            </w:r>
          </w:p>
          <w:p w14:paraId="6CD90A7B">
            <w:pPr>
              <w:tabs>
                <w:tab w:val="left" w:pos="624"/>
              </w:tabs>
              <w:spacing w:line="500" w:lineRule="exact"/>
              <w:ind w:firstLine="480" w:firstLineChars="200"/>
              <w:rPr>
                <w:color w:val="auto"/>
                <w:sz w:val="24"/>
                <w:highlight w:val="none"/>
                <w:shd w:val="clear" w:color="auto" w:fill="auto"/>
              </w:rPr>
            </w:pPr>
            <w:r>
              <w:rPr>
                <w:color w:val="auto"/>
                <w:sz w:val="24"/>
                <w:highlight w:val="none"/>
                <w:shd w:val="clear" w:color="auto" w:fill="auto"/>
              </w:rPr>
              <w:t>（</w:t>
            </w:r>
            <w:r>
              <w:rPr>
                <w:rFonts w:hint="eastAsia"/>
                <w:color w:val="auto"/>
                <w:sz w:val="24"/>
                <w:highlight w:val="none"/>
                <w:shd w:val="clear" w:color="auto" w:fill="auto"/>
                <w:lang w:val="en-US" w:eastAsia="zh-CN"/>
              </w:rPr>
              <w:t>5</w:t>
            </w:r>
            <w:r>
              <w:rPr>
                <w:color w:val="auto"/>
                <w:sz w:val="24"/>
                <w:highlight w:val="none"/>
                <w:shd w:val="clear" w:color="auto" w:fill="auto"/>
              </w:rPr>
              <w:t>）资源利用上限</w:t>
            </w:r>
          </w:p>
          <w:p w14:paraId="46E569FC">
            <w:pPr>
              <w:tabs>
                <w:tab w:val="left" w:pos="624"/>
              </w:tabs>
              <w:spacing w:line="500" w:lineRule="exact"/>
              <w:ind w:firstLine="480" w:firstLineChars="200"/>
              <w:rPr>
                <w:color w:val="auto"/>
                <w:sz w:val="24"/>
                <w:highlight w:val="none"/>
                <w:shd w:val="clear" w:color="auto" w:fill="auto"/>
              </w:rPr>
            </w:pPr>
            <w:r>
              <w:rPr>
                <w:color w:val="auto"/>
                <w:sz w:val="24"/>
                <w:highlight w:val="none"/>
                <w:shd w:val="clear" w:color="auto" w:fill="auto"/>
              </w:rPr>
              <w:t>项目营运期能源消耗主要为一定量的电能</w:t>
            </w:r>
            <w:r>
              <w:rPr>
                <w:rFonts w:hint="eastAsia"/>
                <w:color w:val="auto"/>
                <w:sz w:val="24"/>
                <w:highlight w:val="none"/>
                <w:shd w:val="clear" w:color="auto" w:fill="auto"/>
                <w:lang w:eastAsia="zh-CN"/>
              </w:rPr>
              <w:t>、</w:t>
            </w:r>
            <w:r>
              <w:rPr>
                <w:rFonts w:hint="eastAsia"/>
                <w:color w:val="auto"/>
                <w:sz w:val="24"/>
                <w:highlight w:val="none"/>
                <w:shd w:val="clear" w:color="auto" w:fill="auto"/>
                <w:lang w:val="en-US" w:eastAsia="zh-CN"/>
              </w:rPr>
              <w:t>液化石油气</w:t>
            </w:r>
            <w:r>
              <w:rPr>
                <w:color w:val="auto"/>
                <w:sz w:val="24"/>
                <w:highlight w:val="none"/>
                <w:shd w:val="clear" w:color="auto" w:fill="auto"/>
              </w:rPr>
              <w:t>和新鲜水，但资源消耗量相对区域资源利用总量较小，符合资源利用上限要求。</w:t>
            </w:r>
          </w:p>
          <w:p w14:paraId="158E1313">
            <w:pPr>
              <w:tabs>
                <w:tab w:val="left" w:pos="624"/>
              </w:tabs>
              <w:spacing w:line="500" w:lineRule="exact"/>
              <w:ind w:firstLine="480" w:firstLineChars="200"/>
              <w:rPr>
                <w:color w:val="auto"/>
                <w:sz w:val="24"/>
                <w:highlight w:val="none"/>
                <w:shd w:val="clear" w:color="auto" w:fill="auto"/>
              </w:rPr>
            </w:pPr>
            <w:r>
              <w:rPr>
                <w:color w:val="auto"/>
                <w:sz w:val="24"/>
                <w:highlight w:val="none"/>
                <w:shd w:val="clear" w:color="auto" w:fill="auto"/>
              </w:rPr>
              <w:t>（</w:t>
            </w:r>
            <w:r>
              <w:rPr>
                <w:rFonts w:hint="eastAsia"/>
                <w:color w:val="auto"/>
                <w:sz w:val="24"/>
                <w:highlight w:val="none"/>
                <w:shd w:val="clear" w:color="auto" w:fill="auto"/>
                <w:lang w:val="en-US" w:eastAsia="zh-CN"/>
              </w:rPr>
              <w:t>6</w:t>
            </w:r>
            <w:r>
              <w:rPr>
                <w:color w:val="auto"/>
                <w:sz w:val="24"/>
                <w:highlight w:val="none"/>
                <w:shd w:val="clear" w:color="auto" w:fill="auto"/>
              </w:rPr>
              <w:t>）环境准入负面清单</w:t>
            </w:r>
          </w:p>
          <w:p w14:paraId="575CC97C">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eastAsia"/>
                <w:color w:val="auto"/>
                <w:sz w:val="24"/>
                <w:highlight w:val="none"/>
                <w:shd w:val="clear" w:color="auto" w:fill="auto"/>
              </w:rPr>
            </w:pPr>
            <w:r>
              <w:rPr>
                <w:rFonts w:hint="eastAsia"/>
                <w:color w:val="auto"/>
                <w:sz w:val="24"/>
                <w:highlight w:val="none"/>
                <w:shd w:val="clear" w:color="auto" w:fill="auto"/>
              </w:rPr>
              <w:t>根据《产业结构调整指导目录（2024 年本）》</w:t>
            </w:r>
            <w:r>
              <w:rPr>
                <w:rFonts w:hint="eastAsia"/>
                <w:color w:val="auto"/>
                <w:sz w:val="24"/>
                <w:highlight w:val="none"/>
                <w:shd w:val="clear" w:color="auto" w:fill="auto"/>
                <w:lang w:eastAsia="zh-CN"/>
              </w:rPr>
              <w:t>《市场准入负面清单（2025年版）》</w:t>
            </w:r>
            <w:r>
              <w:rPr>
                <w:rFonts w:hint="eastAsia"/>
                <w:color w:val="auto"/>
                <w:sz w:val="24"/>
                <w:highlight w:val="none"/>
                <w:shd w:val="clear" w:color="auto" w:fill="auto"/>
              </w:rPr>
              <w:t>，</w:t>
            </w:r>
            <w:r>
              <w:rPr>
                <w:color w:val="auto"/>
                <w:sz w:val="24"/>
                <w:highlight w:val="none"/>
                <w:shd w:val="clear" w:color="auto" w:fill="auto"/>
              </w:rPr>
              <w:t>本项目不属于鼓励类、限制类</w:t>
            </w:r>
            <w:r>
              <w:rPr>
                <w:rFonts w:hint="eastAsia"/>
                <w:color w:val="auto"/>
                <w:sz w:val="24"/>
                <w:highlight w:val="none"/>
                <w:shd w:val="clear" w:color="auto" w:fill="auto"/>
                <w:lang w:eastAsia="zh-CN"/>
              </w:rPr>
              <w:t>、</w:t>
            </w:r>
            <w:r>
              <w:rPr>
                <w:color w:val="auto"/>
                <w:sz w:val="24"/>
                <w:highlight w:val="none"/>
                <w:shd w:val="clear" w:color="auto" w:fill="auto"/>
              </w:rPr>
              <w:t>淘汰类</w:t>
            </w:r>
            <w:r>
              <w:rPr>
                <w:rFonts w:hint="eastAsia"/>
                <w:color w:val="auto"/>
                <w:sz w:val="24"/>
                <w:highlight w:val="none"/>
                <w:shd w:val="clear" w:color="auto" w:fill="auto"/>
                <w:lang w:val="en-US" w:eastAsia="zh-CN"/>
              </w:rPr>
              <w:t>及禁止类</w:t>
            </w:r>
            <w:r>
              <w:rPr>
                <w:color w:val="auto"/>
                <w:sz w:val="24"/>
                <w:highlight w:val="none"/>
                <w:shd w:val="clear" w:color="auto" w:fill="auto"/>
              </w:rPr>
              <w:t>，属于允许建设项目</w:t>
            </w:r>
            <w:r>
              <w:rPr>
                <w:rFonts w:hint="eastAsia"/>
                <w:color w:val="auto"/>
                <w:sz w:val="24"/>
                <w:highlight w:val="none"/>
                <w:shd w:val="clear" w:color="auto" w:fill="auto"/>
              </w:rPr>
              <w:t>。项目建设符合国家相关产业政策，项目符合柳州汽车城的产业政策和用地规划，不属于负面清单中限制入园企业。</w:t>
            </w:r>
          </w:p>
          <w:p w14:paraId="0B2EB363">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color w:val="auto"/>
                <w:sz w:val="24"/>
                <w:highlight w:val="none"/>
                <w:shd w:val="clear" w:color="auto" w:fill="auto"/>
              </w:rPr>
            </w:pPr>
            <w:r>
              <w:rPr>
                <w:rFonts w:hint="eastAsia"/>
                <w:color w:val="auto"/>
                <w:sz w:val="24"/>
                <w:highlight w:val="none"/>
                <w:shd w:val="clear" w:color="auto" w:fill="auto"/>
              </w:rPr>
              <w:t>综上所述，本项目的建设符合生态保护红线、环境质量底线、资源利用</w:t>
            </w:r>
            <w:r>
              <w:rPr>
                <w:rFonts w:hint="eastAsia"/>
                <w:color w:val="auto"/>
                <w:sz w:val="24"/>
                <w:highlight w:val="none"/>
                <w:shd w:val="clear" w:color="auto" w:fill="auto"/>
                <w:lang w:eastAsia="zh-CN"/>
              </w:rPr>
              <w:t>上限</w:t>
            </w:r>
            <w:r>
              <w:rPr>
                <w:rFonts w:hint="eastAsia"/>
                <w:color w:val="auto"/>
                <w:sz w:val="24"/>
                <w:highlight w:val="none"/>
                <w:shd w:val="clear" w:color="auto" w:fill="auto"/>
              </w:rPr>
              <w:t>和环境准入负面清单等相关管控要求</w:t>
            </w:r>
            <w:r>
              <w:rPr>
                <w:color w:val="auto"/>
                <w:sz w:val="24"/>
                <w:highlight w:val="none"/>
                <w:shd w:val="clear" w:color="auto" w:fill="auto"/>
              </w:rPr>
              <w:t>。</w:t>
            </w:r>
          </w:p>
          <w:p w14:paraId="11B1924C">
            <w:pPr>
              <w:pStyle w:val="10"/>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Times New Roman" w:hAnsi="Times New Roman" w:eastAsia="宋体" w:cs="Times New Roman"/>
                <w:b w:val="0"/>
                <w:bCs w:val="0"/>
                <w:color w:val="auto"/>
                <w:lang w:val="en-US" w:eastAsia="zh-CN"/>
              </w:rPr>
            </w:pPr>
            <w:r>
              <w:rPr>
                <w:rFonts w:hint="eastAsia"/>
                <w:color w:val="auto"/>
                <w:kern w:val="0"/>
                <w:sz w:val="24"/>
                <w:highlight w:val="none"/>
                <w:u w:val="none" w:color="auto"/>
                <w:lang w:eastAsia="zh-CN"/>
              </w:rPr>
              <w:t>（</w:t>
            </w:r>
            <w:r>
              <w:rPr>
                <w:rFonts w:hint="eastAsia"/>
                <w:color w:val="auto"/>
                <w:kern w:val="0"/>
                <w:sz w:val="24"/>
                <w:highlight w:val="none"/>
                <w:u w:val="none" w:color="auto"/>
                <w:lang w:val="en-US" w:eastAsia="zh-CN"/>
              </w:rPr>
              <w:t>7</w:t>
            </w:r>
            <w:r>
              <w:rPr>
                <w:rFonts w:hint="eastAsia"/>
                <w:color w:val="auto"/>
                <w:kern w:val="0"/>
                <w:sz w:val="24"/>
                <w:highlight w:val="none"/>
                <w:u w:val="none" w:color="auto"/>
                <w:lang w:eastAsia="zh-CN"/>
              </w:rPr>
              <w:t>）</w:t>
            </w:r>
            <w:r>
              <w:rPr>
                <w:rFonts w:hint="eastAsia" w:ascii="Times New Roman" w:hAnsi="Times New Roman" w:eastAsia="宋体" w:cs="Times New Roman"/>
                <w:b w:val="0"/>
                <w:bCs w:val="0"/>
                <w:color w:val="auto"/>
                <w:lang w:val="en-US" w:eastAsia="zh-CN"/>
              </w:rPr>
              <w:t>与《挥发性有机物无组织排放控制标准》（GB37822-2019）相符性分析</w:t>
            </w:r>
            <w:r>
              <w:rPr>
                <w:rFonts w:hint="eastAsia" w:cs="Times New Roman"/>
                <w:b w:val="0"/>
                <w:bCs w:val="0"/>
                <w:color w:val="auto"/>
                <w:lang w:val="en-US" w:eastAsia="zh-CN"/>
              </w:rPr>
              <w:t>。</w:t>
            </w:r>
          </w:p>
          <w:p w14:paraId="6100C63B">
            <w:pPr>
              <w:pStyle w:val="37"/>
              <w:keepNext w:val="0"/>
              <w:keepLines w:val="0"/>
              <w:pageBreakBefore w:val="0"/>
              <w:widowControl w:val="0"/>
              <w:numPr>
                <w:ilvl w:val="0"/>
                <w:numId w:val="0"/>
              </w:numPr>
              <w:kinsoku/>
              <w:wordWrap/>
              <w:overflowPunct/>
              <w:topLinePunct w:val="0"/>
              <w:autoSpaceDE/>
              <w:autoSpaceDN/>
              <w:bidi w:val="0"/>
              <w:adjustRightInd/>
              <w:snapToGrid/>
              <w:spacing w:after="0" w:line="500" w:lineRule="exact"/>
              <w:jc w:val="both"/>
              <w:textAlignment w:val="auto"/>
              <w:rPr>
                <w:rFonts w:hint="eastAsia"/>
                <w:b/>
                <w:bCs/>
                <w:color w:val="auto"/>
                <w:sz w:val="24"/>
                <w:szCs w:val="24"/>
                <w:lang w:eastAsia="zh-CN"/>
              </w:rPr>
            </w:pPr>
            <w:r>
              <w:rPr>
                <w:rFonts w:hint="eastAsia"/>
                <w:b/>
                <w:bCs/>
                <w:color w:val="auto"/>
                <w:sz w:val="24"/>
                <w:szCs w:val="24"/>
                <w:lang w:eastAsia="zh-CN"/>
              </w:rPr>
              <w:t>表</w:t>
            </w:r>
            <w:r>
              <w:rPr>
                <w:rFonts w:hint="eastAsia"/>
                <w:b/>
                <w:bCs/>
                <w:color w:val="auto"/>
                <w:sz w:val="24"/>
                <w:szCs w:val="24"/>
                <w:lang w:val="en-US" w:eastAsia="zh-CN"/>
              </w:rPr>
              <w:t>1-2本项目与</w:t>
            </w:r>
            <w:r>
              <w:rPr>
                <w:rFonts w:hint="eastAsia"/>
                <w:b/>
                <w:bCs/>
                <w:color w:val="auto"/>
                <w:sz w:val="24"/>
                <w:szCs w:val="24"/>
                <w:lang w:eastAsia="zh-CN"/>
              </w:rPr>
              <w:t>《挥发性有机物无组织排放控制标准》（</w:t>
            </w:r>
            <w:r>
              <w:rPr>
                <w:rFonts w:hint="eastAsia"/>
                <w:b/>
                <w:bCs/>
                <w:color w:val="auto"/>
                <w:sz w:val="24"/>
                <w:szCs w:val="24"/>
                <w:lang w:val="en-US" w:eastAsia="zh-CN"/>
              </w:rPr>
              <w:t>GB37822-2019</w:t>
            </w:r>
            <w:r>
              <w:rPr>
                <w:rFonts w:hint="eastAsia"/>
                <w:b/>
                <w:bCs/>
                <w:color w:val="auto"/>
                <w:sz w:val="24"/>
                <w:szCs w:val="24"/>
                <w:lang w:eastAsia="zh-CN"/>
              </w:rPr>
              <w:t>）相符性分析</w:t>
            </w:r>
          </w:p>
          <w:tbl>
            <w:tblPr>
              <w:tblStyle w:val="4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3332"/>
              <w:gridCol w:w="2104"/>
              <w:gridCol w:w="876"/>
            </w:tblGrid>
            <w:tr w14:paraId="57E38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614" w:type="pct"/>
                  <w:noWrap w:val="0"/>
                  <w:vAlign w:val="center"/>
                </w:tcPr>
                <w:p w14:paraId="54C62A13">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vertAlign w:val="baseline"/>
                      <w:lang w:eastAsia="zh-CN"/>
                    </w:rPr>
                  </w:pPr>
                  <w:r>
                    <w:rPr>
                      <w:rFonts w:hint="eastAsia" w:ascii="Times New Roman" w:hAnsi="Times New Roman" w:eastAsia="宋体" w:cs="Times New Roman"/>
                      <w:b w:val="0"/>
                      <w:bCs/>
                      <w:color w:val="auto"/>
                      <w:sz w:val="21"/>
                      <w:szCs w:val="21"/>
                      <w:lang w:eastAsia="zh-CN"/>
                    </w:rPr>
                    <w:t>序号</w:t>
                  </w:r>
                </w:p>
              </w:tc>
              <w:tc>
                <w:tcPr>
                  <w:tcW w:w="2314" w:type="pct"/>
                  <w:noWrap w:val="0"/>
                  <w:vAlign w:val="center"/>
                </w:tcPr>
                <w:p w14:paraId="5BBE1F9D">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vertAlign w:val="baseline"/>
                      <w:lang w:eastAsia="zh-CN"/>
                    </w:rPr>
                  </w:pPr>
                  <w:r>
                    <w:rPr>
                      <w:rFonts w:hint="default" w:ascii="Times New Roman" w:hAnsi="Times New Roman" w:eastAsia="宋体" w:cs="Times New Roman"/>
                      <w:b w:val="0"/>
                      <w:bCs/>
                      <w:color w:val="auto"/>
                      <w:sz w:val="21"/>
                      <w:szCs w:val="21"/>
                    </w:rPr>
                    <w:t>管控要求</w:t>
                  </w:r>
                </w:p>
              </w:tc>
              <w:tc>
                <w:tcPr>
                  <w:tcW w:w="1461" w:type="pct"/>
                  <w:noWrap w:val="0"/>
                  <w:vAlign w:val="center"/>
                </w:tcPr>
                <w:p w14:paraId="6A327203">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vertAlign w:val="baseline"/>
                      <w:lang w:eastAsia="zh-CN"/>
                    </w:rPr>
                  </w:pPr>
                  <w:r>
                    <w:rPr>
                      <w:rFonts w:hint="default" w:ascii="Times New Roman" w:hAnsi="Times New Roman" w:eastAsia="宋体" w:cs="Times New Roman"/>
                      <w:b w:val="0"/>
                      <w:bCs/>
                      <w:color w:val="auto"/>
                      <w:sz w:val="21"/>
                      <w:szCs w:val="21"/>
                      <w:vertAlign w:val="baseline"/>
                      <w:lang w:eastAsia="zh-CN"/>
                    </w:rPr>
                    <w:t>本项目情况</w:t>
                  </w:r>
                </w:p>
              </w:tc>
              <w:tc>
                <w:tcPr>
                  <w:tcW w:w="608" w:type="pct"/>
                  <w:noWrap w:val="0"/>
                  <w:vAlign w:val="center"/>
                </w:tcPr>
                <w:p w14:paraId="72918DC1">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vertAlign w:val="baseline"/>
                      <w:lang w:eastAsia="zh-CN"/>
                    </w:rPr>
                  </w:pPr>
                  <w:r>
                    <w:rPr>
                      <w:rFonts w:hint="default" w:ascii="Times New Roman" w:hAnsi="Times New Roman" w:eastAsia="宋体" w:cs="Times New Roman"/>
                      <w:b w:val="0"/>
                      <w:bCs/>
                      <w:color w:val="auto"/>
                      <w:sz w:val="21"/>
                      <w:szCs w:val="21"/>
                      <w:vertAlign w:val="baseline"/>
                      <w:lang w:eastAsia="zh-CN"/>
                    </w:rPr>
                    <w:t>相符性分析</w:t>
                  </w:r>
                </w:p>
              </w:tc>
            </w:tr>
            <w:tr w14:paraId="4934C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9" w:hRule="atLeast"/>
              </w:trPr>
              <w:tc>
                <w:tcPr>
                  <w:tcW w:w="614" w:type="pct"/>
                  <w:noWrap w:val="0"/>
                  <w:vAlign w:val="center"/>
                </w:tcPr>
                <w:p w14:paraId="050340CD">
                  <w:pPr>
                    <w:pStyle w:val="56"/>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1</w:t>
                  </w:r>
                </w:p>
              </w:tc>
              <w:tc>
                <w:tcPr>
                  <w:tcW w:w="2314" w:type="pct"/>
                  <w:noWrap w:val="0"/>
                  <w:vAlign w:val="center"/>
                </w:tcPr>
                <w:p w14:paraId="64EB85C6">
                  <w:pPr>
                    <w:pStyle w:val="56"/>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1</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VOCs物料应储存于密闭的容器、包装袋、储罐、储库、料仓中</w:t>
                  </w:r>
                  <w:r>
                    <w:rPr>
                      <w:rFonts w:hint="eastAsia" w:ascii="Times New Roman" w:hAnsi="Times New Roman" w:cs="Times New Roman"/>
                      <w:color w:val="auto"/>
                      <w:sz w:val="21"/>
                      <w:szCs w:val="21"/>
                      <w:lang w:eastAsia="zh-CN"/>
                    </w:rPr>
                    <w:t>。</w:t>
                  </w:r>
                </w:p>
                <w:p w14:paraId="2BCBC391">
                  <w:pPr>
                    <w:pStyle w:val="56"/>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2</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盛装VOCs物料的容器或包装袋应存放于室内，或存放于设置有雨棚、遮阳和防渗设施的专用场地。盛装VOCs物料的容器或包装袋在非取用状态时应加盖、封口，保持密闭。</w:t>
                  </w:r>
                </w:p>
                <w:p w14:paraId="468BE7CD">
                  <w:pPr>
                    <w:pStyle w:val="56"/>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3</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VOCs物料储罐应密封良好，其中挥发性有机液体储罐应符合5.2条规定。</w:t>
                  </w:r>
                </w:p>
                <w:p w14:paraId="748BCC86">
                  <w:pPr>
                    <w:pStyle w:val="56"/>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4</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VOCs物料储库、料仓应满足3.6条对密闭空间的要求。</w:t>
                  </w:r>
                </w:p>
              </w:tc>
              <w:tc>
                <w:tcPr>
                  <w:tcW w:w="1461" w:type="pct"/>
                  <w:noWrap w:val="0"/>
                  <w:vAlign w:val="center"/>
                </w:tcPr>
                <w:p w14:paraId="5F67A85C">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本项目使用的</w:t>
                  </w:r>
                  <w:r>
                    <w:rPr>
                      <w:rFonts w:hint="eastAsia" w:cs="Times New Roman"/>
                      <w:color w:val="auto"/>
                      <w:sz w:val="21"/>
                      <w:szCs w:val="21"/>
                      <w:lang w:val="en-US" w:eastAsia="zh-CN"/>
                    </w:rPr>
                    <w:t>喷粉、电泳涂料</w:t>
                  </w:r>
                  <w:r>
                    <w:rPr>
                      <w:rFonts w:hint="eastAsia" w:ascii="Times New Roman" w:hAnsi="Times New Roman" w:eastAsia="宋体" w:cs="Times New Roman"/>
                      <w:color w:val="auto"/>
                      <w:sz w:val="21"/>
                      <w:szCs w:val="21"/>
                      <w:lang w:val="en-US" w:eastAsia="zh-CN"/>
                    </w:rPr>
                    <w:t>都储存在</w:t>
                  </w:r>
                  <w:r>
                    <w:rPr>
                      <w:rFonts w:hint="eastAsia" w:cs="Times New Roman"/>
                      <w:color w:val="auto"/>
                      <w:sz w:val="21"/>
                      <w:szCs w:val="21"/>
                      <w:lang w:val="en-US" w:eastAsia="zh-CN"/>
                    </w:rPr>
                    <w:t>封闭的储桶</w:t>
                  </w:r>
                  <w:r>
                    <w:rPr>
                      <w:rFonts w:hint="eastAsia" w:ascii="Times New Roman" w:hAnsi="Times New Roman" w:eastAsia="宋体" w:cs="Times New Roman"/>
                      <w:color w:val="auto"/>
                      <w:sz w:val="21"/>
                      <w:szCs w:val="21"/>
                      <w:lang w:val="en-US" w:eastAsia="zh-CN"/>
                    </w:rPr>
                    <w:t>中，在室内储存，</w:t>
                  </w:r>
                  <w:r>
                    <w:rPr>
                      <w:rFonts w:hint="default" w:ascii="Times New Roman" w:hAnsi="Times New Roman" w:eastAsia="宋体" w:cs="Times New Roman"/>
                      <w:color w:val="auto"/>
                      <w:sz w:val="21"/>
                      <w:szCs w:val="21"/>
                    </w:rPr>
                    <w:t>非取用状态时加盖、封口，保持密闭。</w:t>
                  </w:r>
                </w:p>
                <w:p w14:paraId="1BFBA1E3">
                  <w:pPr>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lang w:val="en-US" w:eastAsia="zh-CN"/>
                    </w:rPr>
                  </w:pPr>
                </w:p>
              </w:tc>
              <w:tc>
                <w:tcPr>
                  <w:tcW w:w="608" w:type="pct"/>
                  <w:noWrap w:val="0"/>
                  <w:vAlign w:val="center"/>
                </w:tcPr>
                <w:p w14:paraId="58DC62DF">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eastAsia="zh-CN"/>
                    </w:rPr>
                  </w:pPr>
                  <w:r>
                    <w:rPr>
                      <w:rFonts w:hint="default" w:ascii="Times New Roman" w:hAnsi="Times New Roman" w:eastAsia="宋体" w:cs="Times New Roman"/>
                      <w:color w:val="auto"/>
                      <w:sz w:val="21"/>
                      <w:szCs w:val="21"/>
                      <w:vertAlign w:val="baseline"/>
                      <w:lang w:eastAsia="zh-CN"/>
                    </w:rPr>
                    <w:t>相符</w:t>
                  </w:r>
                </w:p>
              </w:tc>
            </w:tr>
            <w:tr w14:paraId="1EB2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0" w:hRule="atLeast"/>
              </w:trPr>
              <w:tc>
                <w:tcPr>
                  <w:tcW w:w="614" w:type="pct"/>
                  <w:noWrap w:val="0"/>
                  <w:vAlign w:val="center"/>
                </w:tcPr>
                <w:p w14:paraId="11D913D4">
                  <w:pPr>
                    <w:pStyle w:val="56"/>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2</w:t>
                  </w:r>
                </w:p>
              </w:tc>
              <w:tc>
                <w:tcPr>
                  <w:tcW w:w="2314" w:type="pct"/>
                  <w:noWrap w:val="0"/>
                  <w:vAlign w:val="center"/>
                </w:tcPr>
                <w:p w14:paraId="5F42F620">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VOCs质量占比大于等于10%的含VOCs产品，其使用过程应采用密闭设备或在密闭空间内操作，废气应排至VOCs废气收集处理系统</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无法密闭的，应采取局部气体收集措施，废气应排至VOCs废气收集处理系统。</w:t>
                  </w:r>
                </w:p>
              </w:tc>
              <w:tc>
                <w:tcPr>
                  <w:tcW w:w="1461" w:type="pct"/>
                  <w:noWrap w:val="0"/>
                  <w:vAlign w:val="center"/>
                </w:tcPr>
                <w:p w14:paraId="2B943C8D">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本项目</w:t>
                  </w:r>
                  <w:r>
                    <w:rPr>
                      <w:rFonts w:hint="eastAsia" w:cs="Times New Roman"/>
                      <w:color w:val="auto"/>
                      <w:sz w:val="21"/>
                      <w:szCs w:val="21"/>
                      <w:lang w:val="en-US" w:eastAsia="zh-CN"/>
                    </w:rPr>
                    <w:t>产品</w:t>
                  </w:r>
                  <w:r>
                    <w:rPr>
                      <w:rFonts w:hint="eastAsia" w:ascii="Times New Roman" w:hAnsi="Times New Roman" w:cs="Times New Roman"/>
                      <w:color w:val="auto"/>
                      <w:sz w:val="21"/>
                      <w:szCs w:val="21"/>
                      <w:lang w:val="en-US" w:eastAsia="zh-CN"/>
                    </w:rPr>
                    <w:t>VOCs质量占比小于等于10%，</w:t>
                  </w:r>
                  <w:r>
                    <w:rPr>
                      <w:rFonts w:hint="eastAsia" w:cs="Times New Roman"/>
                      <w:color w:val="auto"/>
                      <w:sz w:val="21"/>
                      <w:szCs w:val="21"/>
                      <w:lang w:val="en-US" w:eastAsia="zh-CN"/>
                    </w:rPr>
                    <w:t>生产过程中产生的挥发性有机</w:t>
                  </w:r>
                  <w:r>
                    <w:rPr>
                      <w:rFonts w:hint="default" w:ascii="Times New Roman" w:hAnsi="Times New Roman" w:eastAsia="宋体" w:cs="Times New Roman"/>
                      <w:color w:val="auto"/>
                      <w:sz w:val="21"/>
                      <w:szCs w:val="21"/>
                    </w:rPr>
                    <w:t>废气</w:t>
                  </w:r>
                  <w:r>
                    <w:rPr>
                      <w:rFonts w:hint="eastAsia" w:cs="Times New Roman"/>
                      <w:color w:val="auto"/>
                      <w:sz w:val="21"/>
                      <w:szCs w:val="21"/>
                      <w:lang w:val="en-US" w:eastAsia="zh-CN"/>
                    </w:rPr>
                    <w:t>经半密闭收集通过水喷淋+</w:t>
                  </w:r>
                  <w:r>
                    <w:rPr>
                      <w:rFonts w:hint="eastAsia" w:cs="Times New Roman"/>
                      <w:color w:val="auto"/>
                      <w:sz w:val="21"/>
                      <w:szCs w:val="21"/>
                      <w:lang w:val="en-US" w:eastAsia="zh-CN"/>
                    </w:rPr>
                    <w:t>两级活性炭（含干式过滤棉）</w:t>
                  </w:r>
                  <w:r>
                    <w:rPr>
                      <w:rFonts w:hint="eastAsia" w:cs="Times New Roman"/>
                      <w:color w:val="auto"/>
                      <w:sz w:val="21"/>
                      <w:szCs w:val="21"/>
                      <w:lang w:val="en-US" w:eastAsia="zh-CN"/>
                    </w:rPr>
                    <w:t>处理达标后达标排放</w:t>
                  </w:r>
                  <w:r>
                    <w:rPr>
                      <w:rFonts w:hint="default" w:ascii="Times New Roman" w:hAnsi="Times New Roman" w:eastAsia="宋体" w:cs="Times New Roman"/>
                      <w:color w:val="auto"/>
                      <w:sz w:val="21"/>
                      <w:szCs w:val="21"/>
                    </w:rPr>
                    <w:t>。</w:t>
                  </w:r>
                </w:p>
              </w:tc>
              <w:tc>
                <w:tcPr>
                  <w:tcW w:w="608" w:type="pct"/>
                  <w:noWrap w:val="0"/>
                  <w:vAlign w:val="center"/>
                </w:tcPr>
                <w:p w14:paraId="748556E3">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eastAsia="zh-CN"/>
                    </w:rPr>
                  </w:pPr>
                  <w:r>
                    <w:rPr>
                      <w:rFonts w:hint="eastAsia" w:ascii="Times New Roman" w:hAnsi="Times New Roman" w:eastAsia="宋体" w:cs="Times New Roman"/>
                      <w:color w:val="auto"/>
                      <w:sz w:val="21"/>
                      <w:szCs w:val="21"/>
                      <w:vertAlign w:val="baseline"/>
                      <w:lang w:eastAsia="zh-CN"/>
                    </w:rPr>
                    <w:t>相符</w:t>
                  </w:r>
                </w:p>
              </w:tc>
            </w:tr>
            <w:tr w14:paraId="41FE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4" w:type="pct"/>
                  <w:noWrap w:val="0"/>
                  <w:vAlign w:val="center"/>
                </w:tcPr>
                <w:p w14:paraId="0C5AA9F9">
                  <w:pPr>
                    <w:pStyle w:val="56"/>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3</w:t>
                  </w:r>
                </w:p>
              </w:tc>
              <w:tc>
                <w:tcPr>
                  <w:tcW w:w="2314" w:type="pct"/>
                  <w:noWrap w:val="0"/>
                  <w:vAlign w:val="center"/>
                </w:tcPr>
                <w:p w14:paraId="74DBFDDE">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1</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企业应建立台账，记录含VOCs原辅材料和含VOCs产品的名称、使用量、回收量、废弃量、去向以及VOCs含量等信息。台账保存期限不少于3年。</w:t>
                  </w:r>
                </w:p>
                <w:p w14:paraId="3F7F28A9">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2</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通风生产设备、操作工位、车间厂房等应在符合安全生产、职业卫生相关规定的前提下，根据行业作业规程与标准、工业建筑及洁净厂房通风设计规范等的要求，采用合理的通风量。</w:t>
                  </w:r>
                </w:p>
                <w:p w14:paraId="0258A512">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3</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载有VOCs物料的设备及其管道在开停工</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车</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、检维修和清洗时，应在退料阶段将残存物料退净，并用密闭容器盛装，退料过程废气应排至VOCs废气收集处理系统</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清洗及吹扫过程排气应排至VOCs废气收集处理系统。</w:t>
                  </w:r>
                </w:p>
                <w:p w14:paraId="404FB5C4">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4</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工艺过程产生的含VOCs废料</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渣、液</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应按照第5章、第6章的要求进行储存、转移和输送。盛装过VOCs物料的废包装容器应加盖密闭。</w:t>
                  </w:r>
                </w:p>
              </w:tc>
              <w:tc>
                <w:tcPr>
                  <w:tcW w:w="1461" w:type="pct"/>
                  <w:noWrap w:val="0"/>
                  <w:vAlign w:val="center"/>
                </w:tcPr>
                <w:p w14:paraId="5A9E0919">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val="en-US" w:eastAsia="zh-CN"/>
                    </w:rPr>
                    <w:t>企业</w:t>
                  </w:r>
                  <w:r>
                    <w:rPr>
                      <w:rFonts w:hint="eastAsia" w:cs="Times New Roman"/>
                      <w:color w:val="auto"/>
                      <w:sz w:val="21"/>
                      <w:szCs w:val="21"/>
                      <w:lang w:val="en-US" w:eastAsia="zh-CN"/>
                    </w:rPr>
                    <w:t>拟</w:t>
                  </w:r>
                  <w:r>
                    <w:rPr>
                      <w:rFonts w:hint="eastAsia" w:ascii="Times New Roman" w:hAnsi="Times New Roman" w:cs="Times New Roman"/>
                      <w:color w:val="auto"/>
                      <w:sz w:val="21"/>
                      <w:szCs w:val="21"/>
                      <w:lang w:val="en-US" w:eastAsia="zh-CN"/>
                    </w:rPr>
                    <w:t>建立台账记录，</w:t>
                  </w:r>
                  <w:r>
                    <w:rPr>
                      <w:rFonts w:hint="default" w:ascii="Times New Roman" w:hAnsi="Times New Roman" w:eastAsia="宋体" w:cs="Times New Roman"/>
                      <w:color w:val="auto"/>
                      <w:sz w:val="21"/>
                      <w:szCs w:val="21"/>
                    </w:rPr>
                    <w:t>台账保存期限不少于3年。</w:t>
                  </w:r>
                  <w:r>
                    <w:rPr>
                      <w:rFonts w:hint="eastAsia" w:ascii="Times New Roman" w:hAnsi="Times New Roman" w:cs="Times New Roman"/>
                      <w:color w:val="auto"/>
                      <w:sz w:val="21"/>
                      <w:szCs w:val="21"/>
                      <w:lang w:eastAsia="zh-CN"/>
                    </w:rPr>
                    <w:t>车间安装通风设施、同时设置有机废气处理措施，建设危废暂存间。</w:t>
                  </w:r>
                </w:p>
                <w:p w14:paraId="64D509BE">
                  <w:pPr>
                    <w:pStyle w:val="49"/>
                    <w:keepNext w:val="0"/>
                    <w:keepLines w:val="0"/>
                    <w:pageBreakBefore w:val="0"/>
                    <w:widowControl w:val="0"/>
                    <w:kinsoku/>
                    <w:wordWrap/>
                    <w:overflowPunct/>
                    <w:topLinePunct w:val="0"/>
                    <w:bidi w:val="0"/>
                    <w:adjustRightInd/>
                    <w:snapToGrid/>
                    <w:ind w:firstLine="0" w:firstLineChars="0"/>
                    <w:jc w:val="both"/>
                    <w:textAlignment w:val="auto"/>
                    <w:rPr>
                      <w:rFonts w:hint="default" w:ascii="Times New Roman" w:hAnsi="Times New Roman" w:eastAsia="宋体" w:cs="Times New Roman"/>
                      <w:color w:val="auto"/>
                      <w:sz w:val="21"/>
                      <w:szCs w:val="21"/>
                      <w:lang w:val="en-US" w:eastAsia="zh-CN"/>
                    </w:rPr>
                  </w:pPr>
                </w:p>
              </w:tc>
              <w:tc>
                <w:tcPr>
                  <w:tcW w:w="608" w:type="pct"/>
                  <w:noWrap w:val="0"/>
                  <w:vAlign w:val="center"/>
                </w:tcPr>
                <w:p w14:paraId="691FDB24">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eastAsia="zh-CN"/>
                    </w:rPr>
                  </w:pPr>
                  <w:r>
                    <w:rPr>
                      <w:rFonts w:hint="default" w:ascii="Times New Roman" w:hAnsi="Times New Roman" w:eastAsia="宋体" w:cs="Times New Roman"/>
                      <w:color w:val="auto"/>
                      <w:sz w:val="21"/>
                      <w:szCs w:val="21"/>
                      <w:vertAlign w:val="baseline"/>
                      <w:lang w:eastAsia="zh-CN"/>
                    </w:rPr>
                    <w:t>相符</w:t>
                  </w:r>
                </w:p>
              </w:tc>
            </w:tr>
            <w:tr w14:paraId="4A4C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8" w:hRule="atLeast"/>
              </w:trPr>
              <w:tc>
                <w:tcPr>
                  <w:tcW w:w="614" w:type="pct"/>
                  <w:noWrap w:val="0"/>
                  <w:vAlign w:val="center"/>
                </w:tcPr>
                <w:p w14:paraId="467506DB">
                  <w:pPr>
                    <w:pStyle w:val="56"/>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4</w:t>
                  </w:r>
                </w:p>
              </w:tc>
              <w:tc>
                <w:tcPr>
                  <w:tcW w:w="2314" w:type="pct"/>
                  <w:noWrap w:val="0"/>
                  <w:vAlign w:val="center"/>
                </w:tcPr>
                <w:p w14:paraId="15717F69">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VOCs废气收集处理系统应与生产工艺设备同步运行。VOCs废气收集处理系统发生故障或检修时，对应的生产工艺设备应停止运行，待检修完毕后同步投入使用</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生产工艺设备不能停止运行或不能及时停止运行的，应设置废气应急处理设施或采取其他替代措施。</w:t>
                  </w:r>
                </w:p>
              </w:tc>
              <w:tc>
                <w:tcPr>
                  <w:tcW w:w="1461" w:type="pct"/>
                  <w:noWrap w:val="0"/>
                  <w:vAlign w:val="center"/>
                </w:tcPr>
                <w:p w14:paraId="597B206C">
                  <w:pPr>
                    <w:pStyle w:val="49"/>
                    <w:keepNext w:val="0"/>
                    <w:keepLines w:val="0"/>
                    <w:pageBreakBefore w:val="0"/>
                    <w:widowControl w:val="0"/>
                    <w:kinsoku/>
                    <w:wordWrap/>
                    <w:overflowPunct/>
                    <w:topLinePunct w:val="0"/>
                    <w:bidi w:val="0"/>
                    <w:adjustRightInd/>
                    <w:snapToGrid/>
                    <w:ind w:firstLine="0" w:firstLineChars="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VOCs废气收集处理系统与生产工艺设备同步运行。VOCs废气收集处理系统发生故障或检修时，对应的生产工艺设备停止运行</w:t>
                  </w:r>
                  <w:r>
                    <w:rPr>
                      <w:rFonts w:hint="eastAsia" w:ascii="Times New Roman" w:hAnsi="Times New Roman" w:cs="Times New Roman"/>
                      <w:color w:val="auto"/>
                      <w:sz w:val="21"/>
                      <w:szCs w:val="21"/>
                      <w:lang w:val="en-US" w:eastAsia="zh-CN"/>
                    </w:rPr>
                    <w:t>。</w:t>
                  </w:r>
                </w:p>
              </w:tc>
              <w:tc>
                <w:tcPr>
                  <w:tcW w:w="608" w:type="pct"/>
                  <w:noWrap w:val="0"/>
                  <w:vAlign w:val="center"/>
                </w:tcPr>
                <w:p w14:paraId="7078C720">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eastAsia="zh-CN"/>
                    </w:rPr>
                  </w:pPr>
                  <w:r>
                    <w:rPr>
                      <w:rFonts w:hint="default" w:ascii="Times New Roman" w:hAnsi="Times New Roman" w:eastAsia="宋体" w:cs="Times New Roman"/>
                      <w:color w:val="auto"/>
                      <w:sz w:val="21"/>
                      <w:szCs w:val="21"/>
                      <w:vertAlign w:val="baseline"/>
                      <w:lang w:eastAsia="zh-CN"/>
                    </w:rPr>
                    <w:t>相符</w:t>
                  </w:r>
                </w:p>
              </w:tc>
            </w:tr>
            <w:tr w14:paraId="071E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14" w:type="pct"/>
                  <w:noWrap w:val="0"/>
                  <w:vAlign w:val="center"/>
                </w:tcPr>
                <w:p w14:paraId="50AF43FD">
                  <w:pPr>
                    <w:pStyle w:val="56"/>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5</w:t>
                  </w:r>
                </w:p>
              </w:tc>
              <w:tc>
                <w:tcPr>
                  <w:tcW w:w="2314" w:type="pct"/>
                  <w:noWrap w:val="0"/>
                  <w:vAlign w:val="center"/>
                </w:tcPr>
                <w:p w14:paraId="408D3FBB">
                  <w:pPr>
                    <w:pStyle w:val="56"/>
                    <w:keepNext w:val="0"/>
                    <w:keepLines w:val="0"/>
                    <w:pageBreakBefore w:val="0"/>
                    <w:widowControl w:val="0"/>
                    <w:numPr>
                      <w:ilvl w:val="0"/>
                      <w:numId w:val="5"/>
                    </w:numPr>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企业应考虑生产工艺、操作方式、废气性质、处理方法等因素，对VOCs废气进行分类收集。</w:t>
                  </w:r>
                </w:p>
                <w:p w14:paraId="3685E010">
                  <w:pPr>
                    <w:pStyle w:val="56"/>
                    <w:keepNext w:val="0"/>
                    <w:keepLines w:val="0"/>
                    <w:pageBreakBefore w:val="0"/>
                    <w:widowControl w:val="0"/>
                    <w:numPr>
                      <w:ilvl w:val="0"/>
                      <w:numId w:val="5"/>
                    </w:numPr>
                    <w:kinsoku/>
                    <w:wordWrap/>
                    <w:overflowPunct/>
                    <w:topLinePunct w:val="0"/>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废气收集系统排风罩</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集气罩</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的设置应符合GB/T16758的规定。采用外部排风罩的，应按GB/T16758、AQ/T4274--2016规定的方法测量控制风速，测量点应选取在距排风罩开口面最远处的VOCs无组织排放位置，控制风速不应低于0.3m/s</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行业相关规范有具体规定的，按相关规定执行</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w:t>
                  </w:r>
                </w:p>
                <w:p w14:paraId="2216DFF5">
                  <w:pPr>
                    <w:pStyle w:val="56"/>
                    <w:keepNext w:val="0"/>
                    <w:keepLines w:val="0"/>
                    <w:pageBreakBefore w:val="0"/>
                    <w:widowControl w:val="0"/>
                    <w:numPr>
                      <w:ilvl w:val="0"/>
                      <w:numId w:val="5"/>
                    </w:numPr>
                    <w:kinsoku/>
                    <w:wordWrap/>
                    <w:overflowPunct/>
                    <w:topLinePunct w:val="0"/>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废气收集系统的输送管道应密闭。废气收集系统应在负压下运行，若处于正压状态，应对输送管道组件的密封点进行泄漏检测，泄漏检测值不应超过500pumol/mol</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亦不应有感官可察觉泄漏。泄漏检测频次、修复与记录的要求按照第8章规定执行。</w:t>
                  </w:r>
                </w:p>
                <w:p w14:paraId="0362B99E">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4</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VOCs废气收集处理系统污染物排放应符合GB16297或相关行业排放标准的规定。</w:t>
                  </w:r>
                </w:p>
                <w:p w14:paraId="179E2624">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5</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收集的废气中NMHC初始排放速率≥3kg/h时，应配置VOCs处理设施，处理效率不应低于80%</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对于重点地区，收集的废气中NMHC初始排放速率≥2kg/h时</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应配置VOCs处理设施，处理效率不应低于80%</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采用的原辅材料符合国家有关低VOCs含量产品规定的除外。</w:t>
                  </w:r>
                </w:p>
              </w:tc>
              <w:tc>
                <w:tcPr>
                  <w:tcW w:w="1461" w:type="pct"/>
                  <w:noWrap w:val="0"/>
                  <w:vAlign w:val="center"/>
                </w:tcPr>
                <w:p w14:paraId="2BE71DEF">
                  <w:pPr>
                    <w:pStyle w:val="49"/>
                    <w:keepNext w:val="0"/>
                    <w:keepLines w:val="0"/>
                    <w:pageBreakBefore w:val="0"/>
                    <w:widowControl w:val="0"/>
                    <w:kinsoku/>
                    <w:wordWrap/>
                    <w:overflowPunct/>
                    <w:topLinePunct w:val="0"/>
                    <w:bidi w:val="0"/>
                    <w:adjustRightInd/>
                    <w:snapToGrid/>
                    <w:ind w:firstLine="0" w:firstLineChars="0"/>
                    <w:jc w:val="both"/>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本项目</w:t>
                  </w:r>
                  <w:r>
                    <w:rPr>
                      <w:rFonts w:hint="default" w:ascii="Times New Roman" w:hAnsi="Times New Roman" w:eastAsia="宋体" w:cs="Times New Roman"/>
                      <w:color w:val="auto"/>
                      <w:sz w:val="21"/>
                      <w:szCs w:val="21"/>
                      <w:lang w:val="en-US" w:eastAsia="zh-CN"/>
                    </w:rPr>
                    <w:t>废气收集系统的输送管道密闭。废气收集系统在负压下运行，测量点控制风速不低于0.3m/s</w:t>
                  </w:r>
                  <w:r>
                    <w:rPr>
                      <w:rFonts w:hint="eastAsia" w:ascii="Times New Roman" w:hAnsi="Times New Roman" w:cs="Times New Roman"/>
                      <w:color w:val="auto"/>
                      <w:sz w:val="21"/>
                      <w:szCs w:val="21"/>
                      <w:lang w:val="en-US" w:eastAsia="zh-CN"/>
                    </w:rPr>
                    <w:t>；VOCs废气收集处理系统污染物排放符合GB16297排放标准的规定。收集的废气中NMHC初始排放速率≤3kg/h，同时配置VOCs处理设施，</w:t>
                  </w:r>
                  <w:r>
                    <w:rPr>
                      <w:rFonts w:hint="eastAsia" w:ascii="Times New Roman" w:hAnsi="Times New Roman" w:cs="Times New Roman"/>
                      <w:color w:val="auto"/>
                      <w:sz w:val="21"/>
                      <w:szCs w:val="21"/>
                      <w:lang w:val="en-US" w:eastAsia="zh-CN"/>
                    </w:rPr>
                    <w:t>项目设置水喷淋+两级活性炭</w:t>
                  </w:r>
                  <w:r>
                    <w:rPr>
                      <w:rFonts w:hint="eastAsia" w:cs="Times New Roman"/>
                      <w:color w:val="auto"/>
                      <w:sz w:val="21"/>
                      <w:szCs w:val="21"/>
                      <w:lang w:val="en-US" w:eastAsia="zh-CN"/>
                    </w:rPr>
                    <w:t>（含干式过滤棉）</w:t>
                  </w:r>
                  <w:r>
                    <w:rPr>
                      <w:rFonts w:hint="eastAsia" w:ascii="Times New Roman" w:hAnsi="Times New Roman" w:cs="Times New Roman"/>
                      <w:color w:val="auto"/>
                      <w:sz w:val="21"/>
                      <w:szCs w:val="21"/>
                      <w:lang w:val="en-US" w:eastAsia="zh-CN"/>
                    </w:rPr>
                    <w:t>处理VOCs，处理效率为32%。</w:t>
                  </w:r>
                </w:p>
              </w:tc>
              <w:tc>
                <w:tcPr>
                  <w:tcW w:w="608" w:type="pct"/>
                  <w:noWrap w:val="0"/>
                  <w:vAlign w:val="center"/>
                </w:tcPr>
                <w:p w14:paraId="19B26AC4">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eastAsia="zh-CN"/>
                    </w:rPr>
                  </w:pPr>
                  <w:r>
                    <w:rPr>
                      <w:rFonts w:hint="default" w:ascii="Times New Roman" w:hAnsi="Times New Roman" w:eastAsia="宋体" w:cs="Times New Roman"/>
                      <w:color w:val="auto"/>
                      <w:sz w:val="21"/>
                      <w:szCs w:val="21"/>
                      <w:vertAlign w:val="baseline"/>
                      <w:lang w:eastAsia="zh-CN"/>
                    </w:rPr>
                    <w:t>相符</w:t>
                  </w:r>
                </w:p>
              </w:tc>
            </w:tr>
            <w:tr w14:paraId="64CB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614" w:type="pct"/>
                  <w:noWrap w:val="0"/>
                  <w:vAlign w:val="center"/>
                </w:tcPr>
                <w:p w14:paraId="47EFBA58">
                  <w:pPr>
                    <w:pStyle w:val="56"/>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6</w:t>
                  </w:r>
                </w:p>
              </w:tc>
              <w:tc>
                <w:tcPr>
                  <w:tcW w:w="2314" w:type="pct"/>
                  <w:noWrap w:val="0"/>
                  <w:vAlign w:val="center"/>
                </w:tcPr>
                <w:p w14:paraId="0E02C80B">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w:t>
                  </w:r>
                  <w:r>
                    <w:rPr>
                      <w:rFonts w:hint="eastAsia" w:cs="Times New Roman"/>
                      <w:color w:val="auto"/>
                      <w:sz w:val="21"/>
                      <w:szCs w:val="21"/>
                      <w:lang w:eastAsia="zh-CN"/>
                    </w:rPr>
                    <w:t>气筒</w:t>
                  </w:r>
                  <w:r>
                    <w:rPr>
                      <w:rFonts w:hint="default" w:ascii="Times New Roman" w:hAnsi="Times New Roman" w:eastAsia="宋体" w:cs="Times New Roman"/>
                      <w:color w:val="auto"/>
                      <w:sz w:val="21"/>
                      <w:szCs w:val="21"/>
                    </w:rPr>
                    <w:t>高度不低于15m</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因安全考虑或有特殊工艺要求的除外</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，具体高度以及与周围建筑物的相对高度关系应根据环境影响评价文件确定。</w:t>
                  </w:r>
                </w:p>
              </w:tc>
              <w:tc>
                <w:tcPr>
                  <w:tcW w:w="1461" w:type="pct"/>
                  <w:noWrap w:val="0"/>
                  <w:vAlign w:val="center"/>
                </w:tcPr>
                <w:p w14:paraId="08E704B3">
                  <w:pPr>
                    <w:pStyle w:val="49"/>
                    <w:keepNext w:val="0"/>
                    <w:keepLines w:val="0"/>
                    <w:pageBreakBefore w:val="0"/>
                    <w:widowControl w:val="0"/>
                    <w:kinsoku/>
                    <w:wordWrap/>
                    <w:overflowPunct/>
                    <w:topLinePunct w:val="0"/>
                    <w:bidi w:val="0"/>
                    <w:adjustRightInd/>
                    <w:snapToGrid/>
                    <w:ind w:firstLine="0" w:firstLineChars="0"/>
                    <w:jc w:val="both"/>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本项目排气筒</w:t>
                  </w:r>
                  <w:r>
                    <w:rPr>
                      <w:rFonts w:hint="default" w:ascii="Times New Roman" w:hAnsi="Times New Roman" w:eastAsia="宋体" w:cs="Times New Roman"/>
                      <w:color w:val="auto"/>
                      <w:sz w:val="21"/>
                      <w:szCs w:val="21"/>
                      <w:lang w:val="en-US" w:eastAsia="zh-CN"/>
                    </w:rPr>
                    <w:t>高度</w:t>
                  </w:r>
                  <w:r>
                    <w:rPr>
                      <w:rFonts w:hint="eastAsia" w:ascii="Times New Roman" w:hAnsi="Times New Roman" w:cs="Times New Roman"/>
                      <w:color w:val="auto"/>
                      <w:sz w:val="21"/>
                      <w:szCs w:val="21"/>
                      <w:lang w:val="en-US" w:eastAsia="zh-CN"/>
                    </w:rPr>
                    <w:t>均</w:t>
                  </w:r>
                  <w:r>
                    <w:rPr>
                      <w:rFonts w:hint="default" w:ascii="Times New Roman" w:hAnsi="Times New Roman" w:eastAsia="宋体" w:cs="Times New Roman"/>
                      <w:color w:val="auto"/>
                      <w:sz w:val="21"/>
                      <w:szCs w:val="21"/>
                      <w:lang w:val="en-US" w:eastAsia="zh-CN"/>
                    </w:rPr>
                    <w:t>为</w:t>
                  </w:r>
                  <w:r>
                    <w:rPr>
                      <w:rFonts w:hint="eastAsia" w:ascii="Times New Roman" w:hAnsi="Times New Roman" w:cs="Times New Roman"/>
                      <w:color w:val="auto"/>
                      <w:sz w:val="21"/>
                      <w:szCs w:val="21"/>
                      <w:lang w:val="en-US" w:eastAsia="zh-CN"/>
                    </w:rPr>
                    <w:t>15m。</w:t>
                  </w:r>
                </w:p>
              </w:tc>
              <w:tc>
                <w:tcPr>
                  <w:tcW w:w="608" w:type="pct"/>
                  <w:noWrap w:val="0"/>
                  <w:vAlign w:val="center"/>
                </w:tcPr>
                <w:p w14:paraId="44D74313">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eastAsia="zh-CN"/>
                    </w:rPr>
                  </w:pPr>
                  <w:r>
                    <w:rPr>
                      <w:rFonts w:hint="default" w:ascii="Times New Roman" w:hAnsi="Times New Roman" w:eastAsia="宋体" w:cs="Times New Roman"/>
                      <w:color w:val="auto"/>
                      <w:sz w:val="21"/>
                      <w:szCs w:val="21"/>
                      <w:vertAlign w:val="baseline"/>
                      <w:lang w:eastAsia="zh-CN"/>
                    </w:rPr>
                    <w:t>相符</w:t>
                  </w:r>
                </w:p>
              </w:tc>
            </w:tr>
            <w:tr w14:paraId="5029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8" w:hRule="atLeast"/>
              </w:trPr>
              <w:tc>
                <w:tcPr>
                  <w:tcW w:w="614" w:type="pct"/>
                  <w:noWrap w:val="0"/>
                  <w:vAlign w:val="center"/>
                </w:tcPr>
                <w:p w14:paraId="630A8FDB">
                  <w:pPr>
                    <w:pStyle w:val="56"/>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7</w:t>
                  </w:r>
                </w:p>
              </w:tc>
              <w:tc>
                <w:tcPr>
                  <w:tcW w:w="2314" w:type="pct"/>
                  <w:noWrap w:val="0"/>
                  <w:vAlign w:val="center"/>
                </w:tcPr>
                <w:p w14:paraId="32CBD528">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企业应建立台账，记录废气收集系统、VOCs处理设施的主要运行和维护信息，如运行时间、废气处理量、操作温度、停留时间、吸附剂再生更换周期和更换量、催化剂更换周期和更换量、吸收液pH值等关键运行参数。台账保存期限不少于3年。</w:t>
                  </w:r>
                </w:p>
              </w:tc>
              <w:tc>
                <w:tcPr>
                  <w:tcW w:w="1461" w:type="pct"/>
                  <w:noWrap w:val="0"/>
                  <w:vAlign w:val="center"/>
                </w:tcPr>
                <w:p w14:paraId="593E9966">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企业建立台账，记录废气收集系统、VOCs处理设施的主要运行和维护信息</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台账保存期限不少于3年。</w:t>
                  </w:r>
                </w:p>
              </w:tc>
              <w:tc>
                <w:tcPr>
                  <w:tcW w:w="608" w:type="pct"/>
                  <w:noWrap w:val="0"/>
                  <w:vAlign w:val="center"/>
                </w:tcPr>
                <w:p w14:paraId="227EBA5B">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eastAsia="zh-CN"/>
                    </w:rPr>
                  </w:pPr>
                  <w:r>
                    <w:rPr>
                      <w:rFonts w:hint="default" w:ascii="Times New Roman" w:hAnsi="Times New Roman" w:eastAsia="宋体" w:cs="Times New Roman"/>
                      <w:color w:val="auto"/>
                      <w:sz w:val="21"/>
                      <w:szCs w:val="21"/>
                      <w:vertAlign w:val="baseline"/>
                      <w:lang w:eastAsia="zh-CN"/>
                    </w:rPr>
                    <w:t>相符</w:t>
                  </w:r>
                </w:p>
              </w:tc>
            </w:tr>
          </w:tbl>
          <w:p w14:paraId="395A1877">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eastAsia" w:ascii="Times New Roman" w:hAnsi="Times New Roman" w:eastAsia="宋体" w:cs="Times New Roman"/>
                <w:color w:val="auto"/>
                <w:sz w:val="24"/>
                <w:highlight w:val="none"/>
                <w:shd w:val="clear" w:color="auto" w:fill="auto"/>
                <w:lang w:val="en-US" w:eastAsia="zh-CN"/>
              </w:rPr>
            </w:pPr>
            <w:r>
              <w:rPr>
                <w:rFonts w:hint="eastAsia" w:ascii="Times New Roman" w:hAnsi="Times New Roman" w:eastAsia="宋体" w:cs="Times New Roman"/>
                <w:color w:val="auto"/>
                <w:sz w:val="24"/>
                <w:highlight w:val="none"/>
                <w:shd w:val="clear" w:color="auto" w:fill="auto"/>
                <w:lang w:val="en-US" w:eastAsia="zh-CN"/>
              </w:rPr>
              <w:t>（</w:t>
            </w:r>
            <w:r>
              <w:rPr>
                <w:rFonts w:hint="eastAsia" w:cs="Times New Roman"/>
                <w:color w:val="auto"/>
                <w:sz w:val="24"/>
                <w:highlight w:val="none"/>
                <w:shd w:val="clear" w:color="auto" w:fill="auto"/>
                <w:lang w:val="en-US" w:eastAsia="zh-CN"/>
              </w:rPr>
              <w:t>8</w:t>
            </w:r>
            <w:r>
              <w:rPr>
                <w:rFonts w:hint="eastAsia" w:ascii="Times New Roman" w:hAnsi="Times New Roman" w:eastAsia="宋体" w:cs="Times New Roman"/>
                <w:color w:val="auto"/>
                <w:sz w:val="24"/>
                <w:highlight w:val="none"/>
                <w:shd w:val="clear" w:color="auto" w:fill="auto"/>
                <w:lang w:val="en-US" w:eastAsia="zh-CN"/>
              </w:rPr>
              <w:t>）项目与《柳州市挥发性有机物污染防治实施方案》（柳环发〔2019〕179号）相符性分析</w:t>
            </w:r>
          </w:p>
          <w:p w14:paraId="7FA51A5F">
            <w:pPr>
              <w:pStyle w:val="37"/>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Chars="0"/>
              <w:jc w:val="both"/>
              <w:textAlignment w:val="auto"/>
              <w:rPr>
                <w:rFonts w:hint="eastAsia"/>
                <w:b/>
                <w:bCs/>
                <w:color w:val="auto"/>
                <w:sz w:val="24"/>
                <w:szCs w:val="24"/>
                <w:lang w:eastAsia="zh-CN"/>
              </w:rPr>
            </w:pPr>
            <w:r>
              <w:rPr>
                <w:rFonts w:hint="eastAsia"/>
                <w:b/>
                <w:bCs/>
                <w:color w:val="auto"/>
                <w:sz w:val="24"/>
                <w:szCs w:val="24"/>
                <w:lang w:eastAsia="zh-CN"/>
              </w:rPr>
              <w:t>表</w:t>
            </w:r>
            <w:r>
              <w:rPr>
                <w:rFonts w:hint="eastAsia"/>
                <w:b/>
                <w:bCs/>
                <w:color w:val="auto"/>
                <w:sz w:val="24"/>
                <w:szCs w:val="24"/>
                <w:lang w:val="en-US" w:eastAsia="zh-CN"/>
              </w:rPr>
              <w:t>1-3本项目与</w:t>
            </w:r>
            <w:r>
              <w:rPr>
                <w:rFonts w:hint="eastAsia"/>
                <w:b/>
                <w:bCs/>
                <w:color w:val="auto"/>
                <w:sz w:val="24"/>
                <w:szCs w:val="24"/>
                <w:lang w:eastAsia="zh-CN"/>
              </w:rPr>
              <w:t>《柳州市挥发性有机物污染防治实施方案》相符性分析</w:t>
            </w:r>
          </w:p>
          <w:tbl>
            <w:tblPr>
              <w:tblStyle w:val="4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3332"/>
              <w:gridCol w:w="2104"/>
              <w:gridCol w:w="876"/>
            </w:tblGrid>
            <w:tr w14:paraId="6658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614" w:type="pct"/>
                  <w:noWrap w:val="0"/>
                  <w:vAlign w:val="center"/>
                </w:tcPr>
                <w:p w14:paraId="70F11558">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vertAlign w:val="baseline"/>
                      <w:lang w:eastAsia="zh-CN"/>
                    </w:rPr>
                  </w:pPr>
                  <w:r>
                    <w:rPr>
                      <w:rFonts w:hint="eastAsia" w:ascii="Times New Roman" w:hAnsi="Times New Roman" w:eastAsia="宋体" w:cs="Times New Roman"/>
                      <w:b w:val="0"/>
                      <w:bCs/>
                      <w:color w:val="auto"/>
                      <w:sz w:val="21"/>
                      <w:szCs w:val="21"/>
                      <w:lang w:eastAsia="zh-CN"/>
                    </w:rPr>
                    <w:t>序号</w:t>
                  </w:r>
                </w:p>
              </w:tc>
              <w:tc>
                <w:tcPr>
                  <w:tcW w:w="2314" w:type="pct"/>
                  <w:noWrap w:val="0"/>
                  <w:vAlign w:val="center"/>
                </w:tcPr>
                <w:p w14:paraId="66BDE69B">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vertAlign w:val="baseline"/>
                      <w:lang w:eastAsia="zh-CN"/>
                    </w:rPr>
                  </w:pPr>
                  <w:r>
                    <w:rPr>
                      <w:rFonts w:hint="default" w:ascii="Times New Roman" w:hAnsi="Times New Roman" w:eastAsia="宋体" w:cs="Times New Roman"/>
                      <w:b w:val="0"/>
                      <w:bCs/>
                      <w:color w:val="auto"/>
                      <w:sz w:val="21"/>
                      <w:szCs w:val="21"/>
                    </w:rPr>
                    <w:t>管控要求</w:t>
                  </w:r>
                </w:p>
              </w:tc>
              <w:tc>
                <w:tcPr>
                  <w:tcW w:w="1461" w:type="pct"/>
                  <w:noWrap w:val="0"/>
                  <w:vAlign w:val="center"/>
                </w:tcPr>
                <w:p w14:paraId="262A9DD4">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vertAlign w:val="baseline"/>
                      <w:lang w:eastAsia="zh-CN"/>
                    </w:rPr>
                  </w:pPr>
                  <w:r>
                    <w:rPr>
                      <w:rFonts w:hint="default" w:ascii="Times New Roman" w:hAnsi="Times New Roman" w:eastAsia="宋体" w:cs="Times New Roman"/>
                      <w:b w:val="0"/>
                      <w:bCs/>
                      <w:color w:val="auto"/>
                      <w:sz w:val="21"/>
                      <w:szCs w:val="21"/>
                      <w:vertAlign w:val="baseline"/>
                      <w:lang w:eastAsia="zh-CN"/>
                    </w:rPr>
                    <w:t>本项目情况</w:t>
                  </w:r>
                </w:p>
              </w:tc>
              <w:tc>
                <w:tcPr>
                  <w:tcW w:w="608" w:type="pct"/>
                  <w:noWrap w:val="0"/>
                  <w:vAlign w:val="center"/>
                </w:tcPr>
                <w:p w14:paraId="5A09F3A0">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vertAlign w:val="baseline"/>
                      <w:lang w:eastAsia="zh-CN"/>
                    </w:rPr>
                  </w:pPr>
                  <w:r>
                    <w:rPr>
                      <w:rFonts w:hint="default" w:ascii="Times New Roman" w:hAnsi="Times New Roman" w:eastAsia="宋体" w:cs="Times New Roman"/>
                      <w:b w:val="0"/>
                      <w:bCs/>
                      <w:color w:val="auto"/>
                      <w:sz w:val="21"/>
                      <w:szCs w:val="21"/>
                      <w:vertAlign w:val="baseline"/>
                      <w:lang w:eastAsia="zh-CN"/>
                    </w:rPr>
                    <w:t>相符性分析</w:t>
                  </w:r>
                </w:p>
              </w:tc>
            </w:tr>
            <w:tr w14:paraId="2165F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614" w:type="pct"/>
                  <w:noWrap w:val="0"/>
                  <w:vAlign w:val="center"/>
                </w:tcPr>
                <w:p w14:paraId="735ED951">
                  <w:pPr>
                    <w:pStyle w:val="56"/>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1</w:t>
                  </w:r>
                </w:p>
              </w:tc>
              <w:tc>
                <w:tcPr>
                  <w:tcW w:w="2314" w:type="pct"/>
                  <w:noWrap w:val="0"/>
                  <w:vAlign w:val="center"/>
                </w:tcPr>
                <w:p w14:paraId="5076B2BE">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eastAsia="zh-CN"/>
                    </w:rPr>
                    <w:t>严格建设项目环境准入。完善VOCs排放重点行业环保准入条件，对新</w:t>
                  </w:r>
                  <w:r>
                    <w:rPr>
                      <w:rFonts w:hint="eastAsia" w:cs="Times New Roman"/>
                      <w:color w:val="auto"/>
                      <w:sz w:val="21"/>
                      <w:szCs w:val="21"/>
                      <w:lang w:eastAsia="zh-CN"/>
                    </w:rPr>
                    <w:t>（</w:t>
                  </w:r>
                  <w:r>
                    <w:rPr>
                      <w:rFonts w:hint="eastAsia" w:ascii="Times New Roman" w:hAnsi="Times New Roman" w:cs="Times New Roman"/>
                      <w:color w:val="auto"/>
                      <w:sz w:val="21"/>
                      <w:szCs w:val="21"/>
                      <w:lang w:eastAsia="zh-CN"/>
                    </w:rPr>
                    <w:t>改、扩</w:t>
                  </w:r>
                  <w:r>
                    <w:rPr>
                      <w:rFonts w:hint="eastAsia" w:cs="Times New Roman"/>
                      <w:color w:val="auto"/>
                      <w:sz w:val="21"/>
                      <w:szCs w:val="21"/>
                      <w:lang w:eastAsia="zh-CN"/>
                    </w:rPr>
                    <w:t>）</w:t>
                  </w:r>
                  <w:r>
                    <w:rPr>
                      <w:rFonts w:hint="eastAsia" w:ascii="Times New Roman" w:hAnsi="Times New Roman" w:cs="Times New Roman"/>
                      <w:color w:val="auto"/>
                      <w:sz w:val="21"/>
                      <w:szCs w:val="21"/>
                      <w:lang w:eastAsia="zh-CN"/>
                    </w:rPr>
                    <w:t>建涉VOCs排放项目加强源头控制，按照行业管理规定安装、使用VOCs污染防治设施，依法使用低</w:t>
                  </w:r>
                  <w:r>
                    <w:rPr>
                      <w:rFonts w:hint="eastAsia" w:cs="Times New Roman"/>
                      <w:color w:val="auto"/>
                      <w:sz w:val="21"/>
                      <w:szCs w:val="21"/>
                      <w:lang w:eastAsia="zh-CN"/>
                    </w:rPr>
                    <w:t>（</w:t>
                  </w:r>
                  <w:r>
                    <w:rPr>
                      <w:rFonts w:hint="eastAsia" w:ascii="Times New Roman" w:hAnsi="Times New Roman" w:cs="Times New Roman"/>
                      <w:color w:val="auto"/>
                      <w:sz w:val="21"/>
                      <w:szCs w:val="21"/>
                      <w:lang w:eastAsia="zh-CN"/>
                    </w:rPr>
                    <w:t>无</w:t>
                  </w:r>
                  <w:r>
                    <w:rPr>
                      <w:rFonts w:hint="eastAsia" w:cs="Times New Roman"/>
                      <w:color w:val="auto"/>
                      <w:sz w:val="21"/>
                      <w:szCs w:val="21"/>
                      <w:lang w:eastAsia="zh-CN"/>
                    </w:rPr>
                    <w:t>）</w:t>
                  </w:r>
                  <w:r>
                    <w:rPr>
                      <w:rFonts w:hint="eastAsia" w:ascii="Times New Roman" w:hAnsi="Times New Roman" w:cs="Times New Roman"/>
                      <w:color w:val="auto"/>
                      <w:sz w:val="21"/>
                      <w:szCs w:val="21"/>
                      <w:lang w:eastAsia="zh-CN"/>
                    </w:rPr>
                    <w:t>VOCs含量的原辅材料。</w:t>
                  </w:r>
                </w:p>
              </w:tc>
              <w:tc>
                <w:tcPr>
                  <w:tcW w:w="1461" w:type="pct"/>
                  <w:noWrap w:val="0"/>
                  <w:vAlign w:val="center"/>
                </w:tcPr>
                <w:p w14:paraId="3ACBF902">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本项目使用的</w:t>
                  </w:r>
                  <w:r>
                    <w:rPr>
                      <w:rFonts w:hint="eastAsia" w:cs="Times New Roman"/>
                      <w:color w:val="auto"/>
                      <w:sz w:val="21"/>
                      <w:szCs w:val="21"/>
                      <w:lang w:val="en-US" w:eastAsia="zh-CN"/>
                    </w:rPr>
                    <w:t>喷粉、电泳涂料为低VOCs含量的原辅材料</w:t>
                  </w:r>
                  <w:r>
                    <w:rPr>
                      <w:rFonts w:hint="default" w:ascii="Times New Roman" w:hAnsi="Times New Roman" w:eastAsia="宋体" w:cs="Times New Roman"/>
                      <w:color w:val="auto"/>
                      <w:sz w:val="21"/>
                      <w:szCs w:val="21"/>
                    </w:rPr>
                    <w:t>。</w:t>
                  </w:r>
                </w:p>
              </w:tc>
              <w:tc>
                <w:tcPr>
                  <w:tcW w:w="608" w:type="pct"/>
                  <w:noWrap w:val="0"/>
                  <w:vAlign w:val="center"/>
                </w:tcPr>
                <w:p w14:paraId="030B00B0">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eastAsia="zh-CN"/>
                    </w:rPr>
                  </w:pPr>
                  <w:r>
                    <w:rPr>
                      <w:rFonts w:hint="default" w:ascii="Times New Roman" w:hAnsi="Times New Roman" w:eastAsia="宋体" w:cs="Times New Roman"/>
                      <w:color w:val="auto"/>
                      <w:sz w:val="21"/>
                      <w:szCs w:val="21"/>
                      <w:vertAlign w:val="baseline"/>
                      <w:lang w:eastAsia="zh-CN"/>
                    </w:rPr>
                    <w:t>相符</w:t>
                  </w:r>
                </w:p>
              </w:tc>
            </w:tr>
            <w:tr w14:paraId="2D69C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0" w:hRule="atLeast"/>
              </w:trPr>
              <w:tc>
                <w:tcPr>
                  <w:tcW w:w="614" w:type="pct"/>
                  <w:noWrap w:val="0"/>
                  <w:vAlign w:val="center"/>
                </w:tcPr>
                <w:p w14:paraId="62075877">
                  <w:pPr>
                    <w:pStyle w:val="56"/>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2</w:t>
                  </w:r>
                </w:p>
              </w:tc>
              <w:tc>
                <w:tcPr>
                  <w:tcW w:w="2314" w:type="pct"/>
                  <w:noWrap w:val="0"/>
                  <w:vAlign w:val="center"/>
                </w:tcPr>
                <w:p w14:paraId="7FE5958A">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在木材加工领域，对产生VOCs的涂胶、制胶、热压等工序，配套建设有机废气收集治理设施，鼓励采用多级活性炭</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UV光解等灵活性较大，占地小、投资小运维成本低的治理技术</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实现达标排放。</w:t>
                  </w:r>
                </w:p>
              </w:tc>
              <w:tc>
                <w:tcPr>
                  <w:tcW w:w="1461" w:type="pct"/>
                  <w:noWrap w:val="0"/>
                  <w:vAlign w:val="center"/>
                </w:tcPr>
                <w:p w14:paraId="5468E14A">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本项目对产生VOCs的</w:t>
                  </w:r>
                  <w:r>
                    <w:rPr>
                      <w:rFonts w:hint="eastAsia" w:cs="Times New Roman"/>
                      <w:color w:val="auto"/>
                      <w:sz w:val="21"/>
                      <w:szCs w:val="21"/>
                      <w:lang w:val="en-US" w:eastAsia="zh-CN"/>
                    </w:rPr>
                    <w:t>电泳、烘干</w:t>
                  </w:r>
                  <w:r>
                    <w:rPr>
                      <w:rFonts w:hint="eastAsia" w:ascii="Times New Roman" w:hAnsi="Times New Roman" w:cs="Times New Roman"/>
                      <w:color w:val="auto"/>
                      <w:sz w:val="21"/>
                      <w:szCs w:val="21"/>
                      <w:lang w:val="en-US" w:eastAsia="zh-CN"/>
                    </w:rPr>
                    <w:t>等工序，配套建设有机废气收集治理设施，采用</w:t>
                  </w:r>
                  <w:r>
                    <w:rPr>
                      <w:rFonts w:hint="eastAsia" w:cs="Times New Roman"/>
                      <w:color w:val="auto"/>
                      <w:sz w:val="21"/>
                      <w:szCs w:val="21"/>
                      <w:lang w:val="en-US" w:eastAsia="zh-CN"/>
                    </w:rPr>
                    <w:t>水喷淋+二级</w:t>
                  </w:r>
                  <w:r>
                    <w:rPr>
                      <w:rFonts w:hint="eastAsia" w:ascii="Times New Roman" w:hAnsi="Times New Roman" w:cs="Times New Roman"/>
                      <w:color w:val="auto"/>
                      <w:sz w:val="21"/>
                      <w:szCs w:val="21"/>
                      <w:lang w:val="en-US" w:eastAsia="zh-CN"/>
                    </w:rPr>
                    <w:t>活性炭</w:t>
                  </w:r>
                  <w:r>
                    <w:rPr>
                      <w:rFonts w:hint="eastAsia" w:cs="Times New Roman"/>
                      <w:color w:val="auto"/>
                      <w:sz w:val="21"/>
                      <w:szCs w:val="21"/>
                      <w:lang w:val="en-US" w:eastAsia="zh-CN"/>
                    </w:rPr>
                    <w:t>（含干式过滤棉）</w:t>
                  </w:r>
                  <w:r>
                    <w:rPr>
                      <w:rFonts w:hint="eastAsia" w:cs="Times New Roman"/>
                      <w:color w:val="auto"/>
                      <w:sz w:val="21"/>
                      <w:szCs w:val="21"/>
                      <w:lang w:val="en-US" w:eastAsia="zh-CN"/>
                    </w:rPr>
                    <w:t>吸附处理，</w:t>
                  </w:r>
                  <w:r>
                    <w:rPr>
                      <w:rFonts w:hint="default" w:ascii="Times New Roman" w:hAnsi="Times New Roman" w:eastAsia="宋体" w:cs="Times New Roman"/>
                      <w:color w:val="auto"/>
                      <w:sz w:val="21"/>
                      <w:szCs w:val="21"/>
                    </w:rPr>
                    <w:t>实现达标排放。</w:t>
                  </w:r>
                </w:p>
              </w:tc>
              <w:tc>
                <w:tcPr>
                  <w:tcW w:w="608" w:type="pct"/>
                  <w:noWrap w:val="0"/>
                  <w:vAlign w:val="center"/>
                </w:tcPr>
                <w:p w14:paraId="1BC169D1">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eastAsia="zh-CN"/>
                    </w:rPr>
                  </w:pPr>
                  <w:r>
                    <w:rPr>
                      <w:rFonts w:hint="eastAsia" w:ascii="Times New Roman" w:hAnsi="Times New Roman" w:eastAsia="宋体" w:cs="Times New Roman"/>
                      <w:color w:val="auto"/>
                      <w:sz w:val="21"/>
                      <w:szCs w:val="21"/>
                      <w:vertAlign w:val="baseline"/>
                      <w:lang w:eastAsia="zh-CN"/>
                    </w:rPr>
                    <w:t>相符</w:t>
                  </w:r>
                </w:p>
              </w:tc>
            </w:tr>
            <w:tr w14:paraId="742B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4" w:type="pct"/>
                  <w:noWrap w:val="0"/>
                  <w:vAlign w:val="center"/>
                </w:tcPr>
                <w:p w14:paraId="3C179AB2">
                  <w:pPr>
                    <w:pStyle w:val="56"/>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3</w:t>
                  </w:r>
                </w:p>
              </w:tc>
              <w:tc>
                <w:tcPr>
                  <w:tcW w:w="2314" w:type="pct"/>
                  <w:noWrap w:val="0"/>
                  <w:vAlign w:val="center"/>
                </w:tcPr>
                <w:p w14:paraId="1179B753">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eastAsia="zh-CN"/>
                    </w:rPr>
                    <w:t>加强废气收集与处理。督促企业按照国家有关规定，对油墨、胶粘剂等有机原辅材料调配和使用等，采取车间环境负压改造、安装高效集气装置等措施；对转运、储存等，采取密闭措施，减少无组织排放；对烘</w:t>
                  </w:r>
                  <w:r>
                    <w:rPr>
                      <w:rFonts w:hint="eastAsia" w:cs="Times New Roman"/>
                      <w:color w:val="auto"/>
                      <w:sz w:val="21"/>
                      <w:szCs w:val="21"/>
                      <w:lang w:eastAsia="zh-CN"/>
                    </w:rPr>
                    <w:t>干</w:t>
                  </w:r>
                  <w:r>
                    <w:rPr>
                      <w:rFonts w:hint="eastAsia" w:ascii="Times New Roman" w:hAnsi="Times New Roman" w:cs="Times New Roman"/>
                      <w:color w:val="auto"/>
                      <w:sz w:val="21"/>
                      <w:szCs w:val="21"/>
                      <w:lang w:eastAsia="zh-CN"/>
                    </w:rPr>
                    <w:t>过程，采取循环风烘</w:t>
                  </w:r>
                  <w:r>
                    <w:rPr>
                      <w:rFonts w:hint="eastAsia" w:cs="Times New Roman"/>
                      <w:color w:val="auto"/>
                      <w:sz w:val="21"/>
                      <w:szCs w:val="21"/>
                      <w:lang w:eastAsia="zh-CN"/>
                    </w:rPr>
                    <w:t>干</w:t>
                  </w:r>
                  <w:r>
                    <w:rPr>
                      <w:rFonts w:hint="eastAsia" w:ascii="Times New Roman" w:hAnsi="Times New Roman" w:cs="Times New Roman"/>
                      <w:color w:val="auto"/>
                      <w:sz w:val="21"/>
                      <w:szCs w:val="21"/>
                      <w:lang w:eastAsia="zh-CN"/>
                    </w:rPr>
                    <w:t>技术，减少废气排放；对收集的废气，要建设吸附回收、吸附燃烧等高效治理设施确保达标排放</w:t>
                  </w:r>
                  <w:r>
                    <w:rPr>
                      <w:rFonts w:hint="default" w:ascii="Times New Roman" w:hAnsi="Times New Roman" w:eastAsia="宋体" w:cs="Times New Roman"/>
                      <w:color w:val="auto"/>
                      <w:sz w:val="21"/>
                      <w:szCs w:val="21"/>
                    </w:rPr>
                    <w:t>。</w:t>
                  </w:r>
                </w:p>
              </w:tc>
              <w:tc>
                <w:tcPr>
                  <w:tcW w:w="1461" w:type="pct"/>
                  <w:noWrap w:val="0"/>
                  <w:vAlign w:val="center"/>
                </w:tcPr>
                <w:p w14:paraId="41461F73">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企业</w:t>
                  </w:r>
                  <w:r>
                    <w:rPr>
                      <w:rFonts w:hint="eastAsia" w:ascii="Times New Roman" w:hAnsi="Times New Roman" w:cs="Times New Roman"/>
                      <w:color w:val="auto"/>
                      <w:sz w:val="21"/>
                      <w:szCs w:val="21"/>
                      <w:lang w:eastAsia="zh-CN"/>
                    </w:rPr>
                    <w:t>安装高效集气装置等措施；对转运、储存等，采取密闭措施，减少无组织排放</w:t>
                  </w:r>
                  <w:r>
                    <w:rPr>
                      <w:rFonts w:hint="eastAsia" w:cs="Times New Roman"/>
                      <w:color w:val="auto"/>
                      <w:sz w:val="21"/>
                      <w:szCs w:val="21"/>
                      <w:lang w:eastAsia="zh-CN"/>
                    </w:rPr>
                    <w:t>。</w:t>
                  </w:r>
                </w:p>
              </w:tc>
              <w:tc>
                <w:tcPr>
                  <w:tcW w:w="608" w:type="pct"/>
                  <w:noWrap w:val="0"/>
                  <w:vAlign w:val="center"/>
                </w:tcPr>
                <w:p w14:paraId="0595AF6B">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eastAsia="zh-CN"/>
                    </w:rPr>
                  </w:pPr>
                  <w:r>
                    <w:rPr>
                      <w:rFonts w:hint="default" w:ascii="Times New Roman" w:hAnsi="Times New Roman" w:eastAsia="宋体" w:cs="Times New Roman"/>
                      <w:color w:val="auto"/>
                      <w:sz w:val="21"/>
                      <w:szCs w:val="21"/>
                      <w:vertAlign w:val="baseline"/>
                      <w:lang w:eastAsia="zh-CN"/>
                    </w:rPr>
                    <w:t>相符</w:t>
                  </w:r>
                </w:p>
              </w:tc>
            </w:tr>
            <w:tr w14:paraId="0994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8" w:hRule="atLeast"/>
              </w:trPr>
              <w:tc>
                <w:tcPr>
                  <w:tcW w:w="614" w:type="pct"/>
                  <w:noWrap w:val="0"/>
                  <w:vAlign w:val="center"/>
                </w:tcPr>
                <w:p w14:paraId="4B6D9389">
                  <w:pPr>
                    <w:pStyle w:val="56"/>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4</w:t>
                  </w:r>
                </w:p>
              </w:tc>
              <w:tc>
                <w:tcPr>
                  <w:tcW w:w="2314" w:type="pct"/>
                  <w:noWrap w:val="0"/>
                  <w:vAlign w:val="center"/>
                </w:tcPr>
                <w:p w14:paraId="60EFC6A0">
                  <w:pPr>
                    <w:pStyle w:val="56"/>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实施排污许可制度。通过排污许可管理，落实企业VOCs源头削减、过程控制和末端治理措施要求，逐步规范涉VOCs工业企业自行监测</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台账记录和定期报告的具体规定，推进企业持证、按证排污，依法处罚无证和不按证排污行为。</w:t>
                  </w:r>
                </w:p>
              </w:tc>
              <w:tc>
                <w:tcPr>
                  <w:tcW w:w="1461" w:type="pct"/>
                  <w:noWrap w:val="0"/>
                  <w:vAlign w:val="center"/>
                </w:tcPr>
                <w:p w14:paraId="5F798774">
                  <w:pPr>
                    <w:pStyle w:val="49"/>
                    <w:keepNext w:val="0"/>
                    <w:keepLines w:val="0"/>
                    <w:pageBreakBefore w:val="0"/>
                    <w:widowControl w:val="0"/>
                    <w:kinsoku/>
                    <w:wordWrap/>
                    <w:overflowPunct/>
                    <w:topLinePunct w:val="0"/>
                    <w:bidi w:val="0"/>
                    <w:adjustRightInd/>
                    <w:snapToGrid/>
                    <w:ind w:firstLine="0" w:firstLineChars="0"/>
                    <w:jc w:val="both"/>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企业排污前需完善排污许可手续，做好</w:t>
                  </w:r>
                  <w:r>
                    <w:rPr>
                      <w:rFonts w:hint="default" w:ascii="Times New Roman" w:hAnsi="Times New Roman" w:eastAsia="宋体" w:cs="Times New Roman"/>
                      <w:color w:val="auto"/>
                      <w:sz w:val="21"/>
                      <w:szCs w:val="21"/>
                    </w:rPr>
                    <w:t>台账记录和定期报告</w:t>
                  </w:r>
                  <w:r>
                    <w:rPr>
                      <w:rFonts w:hint="eastAsia" w:ascii="Times New Roman" w:hAnsi="Times New Roman" w:cs="Times New Roman"/>
                      <w:color w:val="auto"/>
                      <w:sz w:val="21"/>
                      <w:szCs w:val="21"/>
                      <w:lang w:eastAsia="zh-CN"/>
                    </w:rPr>
                    <w:t>。</w:t>
                  </w:r>
                </w:p>
              </w:tc>
              <w:tc>
                <w:tcPr>
                  <w:tcW w:w="608" w:type="pct"/>
                  <w:noWrap w:val="0"/>
                  <w:vAlign w:val="center"/>
                </w:tcPr>
                <w:p w14:paraId="161B927A">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eastAsia="zh-CN"/>
                    </w:rPr>
                  </w:pPr>
                  <w:r>
                    <w:rPr>
                      <w:rFonts w:hint="default" w:ascii="Times New Roman" w:hAnsi="Times New Roman" w:eastAsia="宋体" w:cs="Times New Roman"/>
                      <w:color w:val="auto"/>
                      <w:sz w:val="21"/>
                      <w:szCs w:val="21"/>
                      <w:vertAlign w:val="baseline"/>
                      <w:lang w:eastAsia="zh-CN"/>
                    </w:rPr>
                    <w:t>相符</w:t>
                  </w:r>
                </w:p>
              </w:tc>
            </w:tr>
          </w:tbl>
          <w:p w14:paraId="45C8C1B2">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left"/>
              <w:textAlignment w:val="auto"/>
              <w:rPr>
                <w:rFonts w:hint="default" w:ascii="Times New Roman" w:hAnsi="Times New Roman" w:eastAsia="宋体" w:cs="Times New Roman"/>
                <w:color w:val="auto"/>
                <w:kern w:val="0"/>
                <w:sz w:val="24"/>
                <w:szCs w:val="24"/>
                <w:lang w:eastAsia="zh-CN"/>
              </w:rPr>
            </w:pPr>
            <w:r>
              <w:rPr>
                <w:rFonts w:hint="eastAsia" w:cs="Times New Roman"/>
                <w:color w:val="auto"/>
                <w:kern w:val="0"/>
                <w:sz w:val="24"/>
                <w:szCs w:val="24"/>
                <w:lang w:eastAsia="zh-CN"/>
              </w:rPr>
              <w:t>（</w:t>
            </w:r>
            <w:r>
              <w:rPr>
                <w:rFonts w:hint="eastAsia" w:cs="Times New Roman"/>
                <w:color w:val="auto"/>
                <w:kern w:val="0"/>
                <w:sz w:val="24"/>
                <w:szCs w:val="24"/>
                <w:lang w:val="en-US" w:eastAsia="zh-CN"/>
              </w:rPr>
              <w:t>9</w:t>
            </w:r>
            <w:r>
              <w:rPr>
                <w:rFonts w:hint="eastAsia" w:cs="Times New Roman"/>
                <w:color w:val="auto"/>
                <w:kern w:val="0"/>
                <w:sz w:val="24"/>
                <w:szCs w:val="24"/>
                <w:lang w:eastAsia="zh-CN"/>
              </w:rPr>
              <w:t>）</w:t>
            </w:r>
            <w:r>
              <w:rPr>
                <w:rFonts w:hint="default" w:ascii="Times New Roman" w:hAnsi="Times New Roman" w:eastAsia="宋体" w:cs="Times New Roman"/>
                <w:color w:val="auto"/>
                <w:kern w:val="0"/>
                <w:sz w:val="24"/>
                <w:szCs w:val="24"/>
                <w:lang w:eastAsia="zh-CN"/>
              </w:rPr>
              <w:t>选址合理性分析</w:t>
            </w:r>
          </w:p>
          <w:p w14:paraId="644FA10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left"/>
              <w:textAlignment w:val="auto"/>
              <w:rPr>
                <w:rFonts w:hint="eastAsia" w:cs="Times New Roman"/>
                <w:color w:val="auto"/>
                <w:kern w:val="0"/>
                <w:sz w:val="24"/>
                <w:szCs w:val="24"/>
                <w:lang w:val="en-US" w:eastAsia="zh-CN"/>
              </w:rPr>
            </w:pPr>
            <w:r>
              <w:rPr>
                <w:rFonts w:hint="eastAsia" w:cs="Times New Roman"/>
                <w:color w:val="auto"/>
                <w:kern w:val="0"/>
                <w:sz w:val="24"/>
                <w:szCs w:val="24"/>
                <w:lang w:val="en-US" w:eastAsia="zh-CN"/>
              </w:rPr>
              <w:t>项目位于</w:t>
            </w:r>
            <w:r>
              <w:rPr>
                <w:rFonts w:hint="eastAsia" w:cs="Times New Roman"/>
                <w:color w:val="auto"/>
                <w:kern w:val="0"/>
                <w:sz w:val="24"/>
                <w:szCs w:val="24"/>
                <w:highlight w:val="none"/>
                <w:lang w:val="en-US" w:eastAsia="zh-CN"/>
              </w:rPr>
              <w:t>广西壮族自治区柳州市雒容镇秀水二路一号三号厂房1层及二号厂房1层东3跨部分、东4跨部分的厂房</w:t>
            </w:r>
            <w:r>
              <w:rPr>
                <w:rFonts w:hint="eastAsia" w:cs="Times New Roman"/>
                <w:color w:val="auto"/>
                <w:kern w:val="0"/>
                <w:sz w:val="24"/>
                <w:szCs w:val="24"/>
                <w:lang w:val="en-US" w:eastAsia="zh-CN"/>
              </w:rPr>
              <w:t>，所在地块为工业用地，根据《柳州市柳东新区花岭北片区控制性详细规划》规划，该地块规划为工业用地。本项目生产电动助动车，为新能源产业，项目选址符合柳州市柳东新区花岭北片区控制性详细规划-用地规划。</w:t>
            </w:r>
          </w:p>
          <w:p w14:paraId="61597F2C">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left"/>
              <w:textAlignment w:val="auto"/>
              <w:rPr>
                <w:rFonts w:hint="default" w:ascii="Times New Roman" w:hAnsi="Times New Roman" w:eastAsia="宋体" w:cs="Times New Roman"/>
                <w:color w:val="auto"/>
                <w:kern w:val="0"/>
                <w:sz w:val="24"/>
                <w:szCs w:val="24"/>
                <w:lang w:eastAsia="zh-CN"/>
              </w:rPr>
            </w:pPr>
            <w:r>
              <w:rPr>
                <w:rFonts w:hint="eastAsia" w:cs="Times New Roman"/>
                <w:color w:val="auto"/>
                <w:kern w:val="0"/>
                <w:sz w:val="24"/>
                <w:szCs w:val="24"/>
                <w:lang w:val="en-US" w:eastAsia="zh-CN"/>
              </w:rPr>
              <w:t>因此，本项目选址合理</w:t>
            </w:r>
            <w:r>
              <w:rPr>
                <w:rFonts w:hint="default" w:ascii="Times New Roman" w:hAnsi="Times New Roman" w:eastAsia="宋体" w:cs="Times New Roman"/>
                <w:color w:val="auto"/>
                <w:kern w:val="0"/>
                <w:sz w:val="24"/>
                <w:szCs w:val="24"/>
                <w:lang w:eastAsia="zh-CN"/>
              </w:rPr>
              <w:t>。</w:t>
            </w:r>
          </w:p>
          <w:p w14:paraId="6A1684C1">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left"/>
              <w:textAlignment w:val="auto"/>
              <w:rPr>
                <w:rFonts w:hint="default" w:ascii="Times New Roman" w:hAnsi="Times New Roman" w:eastAsia="宋体" w:cs="Times New Roman"/>
                <w:color w:val="auto"/>
                <w:kern w:val="0"/>
                <w:sz w:val="24"/>
                <w:szCs w:val="24"/>
                <w:lang w:eastAsia="zh-CN"/>
              </w:rPr>
            </w:pPr>
          </w:p>
          <w:p w14:paraId="4412A088">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left"/>
              <w:textAlignment w:val="auto"/>
              <w:rPr>
                <w:rFonts w:hint="default" w:ascii="Times New Roman" w:hAnsi="Times New Roman" w:eastAsia="宋体" w:cs="Times New Roman"/>
                <w:color w:val="auto"/>
                <w:kern w:val="0"/>
                <w:sz w:val="24"/>
                <w:szCs w:val="24"/>
                <w:lang w:eastAsia="zh-CN"/>
              </w:rPr>
            </w:pPr>
          </w:p>
          <w:p w14:paraId="1464B723">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left"/>
              <w:textAlignment w:val="auto"/>
              <w:rPr>
                <w:rFonts w:hint="default" w:ascii="Times New Roman" w:hAnsi="Times New Roman" w:eastAsia="宋体" w:cs="Times New Roman"/>
                <w:color w:val="auto"/>
                <w:kern w:val="0"/>
                <w:sz w:val="24"/>
                <w:szCs w:val="24"/>
                <w:lang w:eastAsia="zh-CN"/>
              </w:rPr>
            </w:pPr>
          </w:p>
          <w:p w14:paraId="20D60317">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left"/>
              <w:textAlignment w:val="auto"/>
              <w:rPr>
                <w:rFonts w:hint="default" w:ascii="Times New Roman" w:hAnsi="Times New Roman" w:eastAsia="宋体" w:cs="Times New Roman"/>
                <w:color w:val="auto"/>
                <w:kern w:val="0"/>
                <w:sz w:val="24"/>
                <w:szCs w:val="24"/>
                <w:lang w:eastAsia="zh-CN"/>
              </w:rPr>
            </w:pPr>
          </w:p>
          <w:p w14:paraId="01097C31">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left"/>
              <w:textAlignment w:val="auto"/>
              <w:rPr>
                <w:rFonts w:hint="default" w:ascii="Times New Roman" w:hAnsi="Times New Roman" w:eastAsia="宋体" w:cs="Times New Roman"/>
                <w:color w:val="auto"/>
                <w:kern w:val="0"/>
                <w:sz w:val="24"/>
                <w:szCs w:val="24"/>
                <w:lang w:eastAsia="zh-CN"/>
              </w:rPr>
            </w:pPr>
          </w:p>
          <w:p w14:paraId="70ECDD6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left"/>
              <w:textAlignment w:val="auto"/>
              <w:rPr>
                <w:rFonts w:hint="default" w:ascii="Times New Roman" w:hAnsi="Times New Roman" w:eastAsia="宋体" w:cs="Times New Roman"/>
                <w:color w:val="auto"/>
                <w:kern w:val="0"/>
                <w:sz w:val="24"/>
                <w:szCs w:val="24"/>
                <w:lang w:eastAsia="zh-CN"/>
              </w:rPr>
            </w:pPr>
          </w:p>
          <w:p w14:paraId="664FA137">
            <w:pPr>
              <w:keepNext w:val="0"/>
              <w:keepLines w:val="0"/>
              <w:pageBreakBefore w:val="0"/>
              <w:widowControl w:val="0"/>
              <w:kinsoku/>
              <w:wordWrap/>
              <w:overflowPunct/>
              <w:topLinePunct w:val="0"/>
              <w:autoSpaceDE w:val="0"/>
              <w:autoSpaceDN w:val="0"/>
              <w:bidi w:val="0"/>
              <w:adjustRightInd/>
              <w:snapToGrid/>
              <w:spacing w:line="500" w:lineRule="exact"/>
              <w:jc w:val="left"/>
              <w:textAlignment w:val="auto"/>
              <w:rPr>
                <w:rFonts w:hint="default" w:ascii="Times New Roman" w:hAnsi="Times New Roman" w:eastAsia="宋体" w:cs="Times New Roman"/>
                <w:color w:val="auto"/>
                <w:kern w:val="0"/>
                <w:sz w:val="24"/>
                <w:szCs w:val="24"/>
                <w:lang w:eastAsia="zh-CN"/>
              </w:rPr>
            </w:pPr>
          </w:p>
          <w:p w14:paraId="21A5BAA2">
            <w:pPr>
              <w:keepNext w:val="0"/>
              <w:keepLines w:val="0"/>
              <w:pageBreakBefore w:val="0"/>
              <w:widowControl w:val="0"/>
              <w:kinsoku/>
              <w:wordWrap/>
              <w:overflowPunct/>
              <w:topLinePunct w:val="0"/>
              <w:autoSpaceDE w:val="0"/>
              <w:autoSpaceDN w:val="0"/>
              <w:bidi w:val="0"/>
              <w:adjustRightInd/>
              <w:snapToGrid/>
              <w:spacing w:line="500" w:lineRule="exact"/>
              <w:jc w:val="left"/>
              <w:textAlignment w:val="auto"/>
              <w:rPr>
                <w:rFonts w:hint="eastAsia" w:ascii="宋体" w:hAnsi="宋体" w:eastAsia="宋体" w:cs="宋体"/>
                <w:color w:val="auto"/>
                <w:kern w:val="0"/>
                <w:szCs w:val="21"/>
                <w:lang w:eastAsia="zh-CN"/>
              </w:rPr>
            </w:pPr>
          </w:p>
        </w:tc>
      </w:tr>
    </w:tbl>
    <w:p w14:paraId="2A4A7561">
      <w:pPr>
        <w:spacing w:line="360" w:lineRule="auto"/>
        <w:outlineLvl w:val="0"/>
        <w:rPr>
          <w:rFonts w:eastAsia="黑体"/>
          <w:color w:val="auto"/>
          <w:sz w:val="30"/>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35830092">
      <w:pPr>
        <w:pStyle w:val="34"/>
        <w:numPr>
          <w:ilvl w:val="0"/>
          <w:numId w:val="6"/>
        </w:numPr>
        <w:jc w:val="center"/>
        <w:outlineLvl w:val="0"/>
        <w:rPr>
          <w:rFonts w:hint="eastAsia" w:ascii="黑体" w:hAnsi="黑体" w:eastAsia="黑体"/>
          <w:snapToGrid w:val="0"/>
          <w:color w:val="auto"/>
          <w:sz w:val="30"/>
          <w:szCs w:val="30"/>
        </w:rPr>
      </w:pPr>
      <w:bookmarkStart w:id="3" w:name="_Toc16028"/>
      <w:r>
        <w:rPr>
          <w:rFonts w:hint="eastAsia" w:ascii="黑体" w:hAnsi="黑体" w:eastAsia="黑体"/>
          <w:snapToGrid w:val="0"/>
          <w:color w:val="auto"/>
          <w:sz w:val="30"/>
          <w:szCs w:val="30"/>
        </w:rPr>
        <w:t>建设项目工程分析</w:t>
      </w:r>
      <w:bookmarkEnd w:id="3"/>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8348"/>
      </w:tblGrid>
      <w:tr w14:paraId="4E6E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1" w:type="dxa"/>
            <w:vAlign w:val="center"/>
          </w:tcPr>
          <w:p w14:paraId="3E1D1579">
            <w:pPr>
              <w:pStyle w:val="34"/>
              <w:widowControl/>
              <w:numPr>
                <w:ilvl w:val="0"/>
                <w:numId w:val="0"/>
              </w:numPr>
              <w:spacing w:before="100" w:beforeAutospacing="1" w:after="100" w:afterAutospacing="1"/>
              <w:jc w:val="center"/>
              <w:outlineLvl w:val="0"/>
              <w:rPr>
                <w:rFonts w:hint="eastAsia" w:ascii="宋体" w:hAnsi="宋体" w:eastAsia="宋体" w:cs="宋体"/>
                <w:snapToGrid w:val="0"/>
                <w:color w:val="auto"/>
                <w:sz w:val="24"/>
                <w:szCs w:val="24"/>
                <w:vertAlign w:val="baseline"/>
                <w:lang w:val="en-US" w:eastAsia="zh-CN"/>
              </w:rPr>
            </w:pPr>
            <w:r>
              <w:rPr>
                <w:rFonts w:hint="eastAsia" w:ascii="宋体" w:hAnsi="宋体" w:eastAsia="宋体" w:cs="宋体"/>
                <w:snapToGrid w:val="0"/>
                <w:color w:val="auto"/>
                <w:sz w:val="24"/>
                <w:szCs w:val="24"/>
                <w:vertAlign w:val="baseline"/>
                <w:lang w:val="en-US" w:eastAsia="zh-CN"/>
              </w:rPr>
              <w:t>建设内容</w:t>
            </w:r>
          </w:p>
        </w:tc>
        <w:tc>
          <w:tcPr>
            <w:tcW w:w="7809" w:type="dxa"/>
            <w:vAlign w:val="top"/>
          </w:tcPr>
          <w:p w14:paraId="0ED9DD83">
            <w:pPr>
              <w:keepNext w:val="0"/>
              <w:keepLines w:val="0"/>
              <w:pageBreakBefore w:val="0"/>
              <w:widowControl w:val="0"/>
              <w:numPr>
                <w:ilvl w:val="0"/>
                <w:numId w:val="0"/>
              </w:numPr>
              <w:tabs>
                <w:tab w:val="left" w:pos="624"/>
              </w:tabs>
              <w:kinsoku/>
              <w:wordWrap/>
              <w:overflowPunct/>
              <w:topLinePunct w:val="0"/>
              <w:autoSpaceDE/>
              <w:autoSpaceDN/>
              <w:bidi w:val="0"/>
              <w:adjustRightInd/>
              <w:snapToGrid/>
              <w:spacing w:line="500" w:lineRule="exact"/>
              <w:ind w:firstLine="482" w:firstLineChars="200"/>
              <w:textAlignment w:val="auto"/>
              <w:rPr>
                <w:b/>
                <w:bCs/>
                <w:color w:val="auto"/>
                <w:sz w:val="24"/>
                <w:highlight w:val="none"/>
                <w:shd w:val="clear" w:color="auto" w:fill="auto"/>
              </w:rPr>
            </w:pPr>
            <w:r>
              <w:rPr>
                <w:rFonts w:hint="eastAsia" w:cs="Times New Roman"/>
                <w:b/>
                <w:color w:val="auto"/>
                <w:sz w:val="24"/>
                <w:szCs w:val="24"/>
                <w:lang w:eastAsia="zh-CN"/>
              </w:rPr>
              <w:t>1.</w:t>
            </w:r>
            <w:r>
              <w:rPr>
                <w:b/>
                <w:bCs/>
                <w:color w:val="auto"/>
                <w:sz w:val="24"/>
                <w:highlight w:val="none"/>
                <w:shd w:val="clear" w:color="auto" w:fill="auto"/>
              </w:rPr>
              <w:t>项目建设内容及规模</w:t>
            </w:r>
          </w:p>
          <w:p w14:paraId="28E512AE">
            <w:pPr>
              <w:pStyle w:val="10"/>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color w:val="auto"/>
              </w:rPr>
            </w:pPr>
            <w:r>
              <w:rPr>
                <w:rFonts w:hint="eastAsia"/>
                <w:color w:val="auto"/>
                <w:lang w:val="en-US" w:eastAsia="zh-CN"/>
              </w:rPr>
              <w:t>本项目为电动助动车生产项目，项目主要生产工艺为机加工、焊接、表面前处理、电泳涂装、喷粉、组装，不涉及电镀工艺；主要表面处理原料为脱脂剂、脱脂助剂、除油粉、促进剂、表调粉、无镍磷化液、电泳涂料、喷粉涂料，其中电泳涂料属于水性涂料（低VOCs含量），喷粉涂料属于粉末涂料（低VOCs含量），其他涂装原料主要成分为各种碱类、盐类，本项目涂装原料均不属于溶剂型涂料，</w:t>
            </w:r>
            <w:r>
              <w:rPr>
                <w:rFonts w:hint="eastAsia"/>
                <w:color w:val="auto"/>
                <w:sz w:val="24"/>
                <w:highlight w:val="none"/>
                <w:lang w:val="en-US" w:eastAsia="zh-CN"/>
              </w:rPr>
              <w:t>根据</w:t>
            </w:r>
            <w:r>
              <w:rPr>
                <w:rFonts w:hint="eastAsia"/>
                <w:bCs/>
                <w:color w:val="auto"/>
                <w:sz w:val="24"/>
                <w:szCs w:val="24"/>
                <w:highlight w:val="none"/>
              </w:rPr>
              <w:t>《中华人民共和国环境影响评价法</w:t>
            </w:r>
            <w:r>
              <w:rPr>
                <w:rFonts w:hint="eastAsia"/>
                <w:bCs/>
                <w:color w:val="auto"/>
                <w:sz w:val="24"/>
                <w:szCs w:val="24"/>
                <w:highlight w:val="none"/>
                <w:lang w:eastAsia="zh-CN"/>
              </w:rPr>
              <w:t>》《</w:t>
            </w:r>
            <w:r>
              <w:rPr>
                <w:rFonts w:hint="eastAsia"/>
                <w:bCs/>
                <w:color w:val="auto"/>
                <w:sz w:val="24"/>
                <w:szCs w:val="24"/>
                <w:highlight w:val="none"/>
              </w:rPr>
              <w:t>建设项目环境保护管理条例》</w:t>
            </w:r>
            <w:r>
              <w:rPr>
                <w:rFonts w:hint="eastAsia"/>
                <w:bCs/>
                <w:color w:val="auto"/>
                <w:sz w:val="24"/>
                <w:szCs w:val="24"/>
                <w:highlight w:val="none"/>
                <w:lang w:eastAsia="zh-CN"/>
              </w:rPr>
              <w:t>等有关规定</w:t>
            </w:r>
            <w:r>
              <w:rPr>
                <w:rFonts w:hint="eastAsia"/>
                <w:bCs/>
                <w:color w:val="auto"/>
                <w:sz w:val="24"/>
                <w:szCs w:val="24"/>
                <w:highlight w:val="none"/>
              </w:rPr>
              <w:t>，该项目需办理环境影响评价手续。根据《建设项目环境影响评价分类管理名录》（2021年版），本项目属于“</w:t>
            </w:r>
            <w:r>
              <w:rPr>
                <w:rFonts w:hint="eastAsia"/>
                <w:bCs/>
                <w:color w:val="auto"/>
                <w:sz w:val="24"/>
                <w:szCs w:val="24"/>
                <w:highlight w:val="none"/>
                <w:lang w:val="en-US" w:eastAsia="zh-CN"/>
              </w:rPr>
              <w:t>三十四</w:t>
            </w:r>
            <w:r>
              <w:rPr>
                <w:rFonts w:hint="eastAsia"/>
                <w:bCs/>
                <w:color w:val="auto"/>
                <w:sz w:val="24"/>
                <w:szCs w:val="24"/>
                <w:highlight w:val="none"/>
              </w:rPr>
              <w:t>、铁路、船舶、航空航天和其他运输设备制造业</w:t>
            </w:r>
            <w:r>
              <w:rPr>
                <w:rFonts w:hint="eastAsia"/>
                <w:bCs/>
                <w:color w:val="auto"/>
                <w:sz w:val="24"/>
                <w:szCs w:val="24"/>
                <w:highlight w:val="none"/>
                <w:lang w:val="en-US" w:eastAsia="zh-CN"/>
              </w:rPr>
              <w:t>76助动车制造－其他</w:t>
            </w:r>
            <w:r>
              <w:rPr>
                <w:rFonts w:hint="eastAsia"/>
                <w:bCs/>
                <w:color w:val="auto"/>
                <w:sz w:val="24"/>
                <w:szCs w:val="24"/>
                <w:highlight w:val="none"/>
              </w:rPr>
              <w:t>”类别</w:t>
            </w:r>
            <w:r>
              <w:rPr>
                <w:rFonts w:hint="eastAsia"/>
                <w:bCs/>
                <w:color w:val="auto"/>
                <w:sz w:val="24"/>
                <w:szCs w:val="24"/>
                <w:highlight w:val="none"/>
                <w:lang w:eastAsia="zh-CN"/>
              </w:rPr>
              <w:t>，</w:t>
            </w:r>
            <w:r>
              <w:rPr>
                <w:rFonts w:hint="eastAsia"/>
                <w:color w:val="auto"/>
                <w:sz w:val="24"/>
                <w:szCs w:val="24"/>
                <w:highlight w:val="none"/>
                <w:lang w:val="en-US" w:eastAsia="zh-CN"/>
              </w:rPr>
              <w:t>需要</w:t>
            </w:r>
            <w:r>
              <w:rPr>
                <w:rFonts w:hint="eastAsia"/>
                <w:color w:val="auto"/>
                <w:sz w:val="24"/>
                <w:szCs w:val="24"/>
                <w:highlight w:val="none"/>
              </w:rPr>
              <w:t>编制环境影响报告表。</w:t>
            </w:r>
          </w:p>
          <w:p w14:paraId="17CD5F37">
            <w:pPr>
              <w:pStyle w:val="10"/>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eastAsia"/>
                <w:color w:val="auto"/>
                <w:sz w:val="24"/>
                <w:szCs w:val="24"/>
                <w:lang w:val="en-US" w:eastAsia="zh-CN"/>
              </w:rPr>
            </w:pPr>
            <w:r>
              <w:rPr>
                <w:color w:val="auto"/>
                <w:sz w:val="24"/>
                <w:szCs w:val="24"/>
                <w:highlight w:val="none"/>
              </w:rPr>
              <w:t>本项目为</w:t>
            </w:r>
            <w:r>
              <w:rPr>
                <w:rFonts w:hint="eastAsia"/>
                <w:color w:val="auto"/>
                <w:sz w:val="24"/>
                <w:szCs w:val="24"/>
                <w:highlight w:val="none"/>
                <w:lang w:val="en-US" w:eastAsia="zh-CN"/>
              </w:rPr>
              <w:t>新建</w:t>
            </w:r>
            <w:r>
              <w:rPr>
                <w:color w:val="auto"/>
                <w:sz w:val="24"/>
                <w:szCs w:val="24"/>
                <w:highlight w:val="none"/>
              </w:rPr>
              <w:t>项目，位</w:t>
            </w:r>
            <w:r>
              <w:rPr>
                <w:rFonts w:hint="eastAsia"/>
                <w:color w:val="auto"/>
                <w:sz w:val="24"/>
                <w:szCs w:val="24"/>
                <w:highlight w:val="none"/>
              </w:rPr>
              <w:t>于</w:t>
            </w:r>
            <w:r>
              <w:rPr>
                <w:rFonts w:hint="eastAsia" w:ascii="Times New Roman" w:hAnsi="Times New Roman" w:eastAsia="宋体" w:cs="Times New Roman"/>
                <w:color w:val="auto"/>
                <w:kern w:val="2"/>
                <w:sz w:val="24"/>
                <w:szCs w:val="24"/>
                <w:highlight w:val="none"/>
                <w:shd w:val="clear" w:color="auto" w:fill="auto"/>
                <w:lang w:val="en-US" w:eastAsia="zh-CN" w:bidi="ar-SA"/>
              </w:rPr>
              <w:t>广西壮族自治区柳州市雒容镇秀水二路一号三号厂房1层及二号厂房1层东3跨部分、东4跨部分的厂房</w:t>
            </w:r>
            <w:r>
              <w:rPr>
                <w:color w:val="auto"/>
                <w:sz w:val="24"/>
                <w:szCs w:val="24"/>
                <w:highlight w:val="none"/>
              </w:rPr>
              <w:t>，</w:t>
            </w:r>
            <w:r>
              <w:rPr>
                <w:rFonts w:hint="eastAsia"/>
                <w:color w:val="auto"/>
                <w:sz w:val="24"/>
                <w:szCs w:val="24"/>
                <w:highlight w:val="none"/>
                <w:lang w:val="en-US" w:eastAsia="zh-CN"/>
              </w:rPr>
              <w:t>项目</w:t>
            </w:r>
            <w:r>
              <w:rPr>
                <w:rFonts w:hint="eastAsia"/>
                <w:color w:val="auto"/>
                <w:sz w:val="24"/>
                <w:szCs w:val="24"/>
                <w:lang w:val="en-US" w:eastAsia="zh-CN"/>
              </w:rPr>
              <w:t>租赁广西柳州市东城投资开发集团有限公司两处厂房</w:t>
            </w:r>
            <w:r>
              <w:rPr>
                <w:rFonts w:hint="eastAsia"/>
                <w:color w:val="auto"/>
                <w:sz w:val="24"/>
                <w:szCs w:val="24"/>
                <w:lang w:val="en-US" w:eastAsia="zh-CN"/>
              </w:rPr>
              <w:t>进行生产，租赁</w:t>
            </w:r>
            <w:r>
              <w:rPr>
                <w:rFonts w:hint="eastAsia"/>
                <w:color w:val="auto"/>
                <w:lang w:val="en-US" w:eastAsia="zh-CN"/>
              </w:rPr>
              <w:t>总</w:t>
            </w:r>
            <w:r>
              <w:rPr>
                <w:color w:val="auto"/>
                <w:sz w:val="24"/>
                <w:szCs w:val="24"/>
                <w:highlight w:val="none"/>
              </w:rPr>
              <w:t>占地面积</w:t>
            </w:r>
            <w:r>
              <w:rPr>
                <w:rFonts w:hint="eastAsia"/>
                <w:color w:val="auto"/>
                <w:sz w:val="24"/>
                <w:szCs w:val="24"/>
                <w:highlight w:val="none"/>
              </w:rPr>
              <w:t>17581.53</w:t>
            </w:r>
            <w:r>
              <w:rPr>
                <w:color w:val="auto"/>
                <w:sz w:val="24"/>
                <w:szCs w:val="24"/>
                <w:highlight w:val="none"/>
              </w:rPr>
              <w:t>m</w:t>
            </w:r>
            <w:r>
              <w:rPr>
                <w:color w:val="auto"/>
                <w:sz w:val="24"/>
                <w:szCs w:val="24"/>
                <w:highlight w:val="none"/>
                <w:vertAlign w:val="superscript"/>
              </w:rPr>
              <w:t>2</w:t>
            </w:r>
            <w:r>
              <w:rPr>
                <w:color w:val="auto"/>
                <w:sz w:val="24"/>
                <w:szCs w:val="24"/>
                <w:highlight w:val="none"/>
              </w:rPr>
              <w:t>。</w:t>
            </w:r>
            <w:r>
              <w:rPr>
                <w:rFonts w:hint="eastAsia"/>
                <w:color w:val="auto"/>
                <w:lang w:val="en-US" w:eastAsia="zh-CN"/>
              </w:rPr>
              <w:t>本项目</w:t>
            </w:r>
            <w:r>
              <w:rPr>
                <w:color w:val="auto"/>
                <w:sz w:val="24"/>
                <w:szCs w:val="24"/>
              </w:rPr>
              <w:t>主要建设内容</w:t>
            </w:r>
            <w:r>
              <w:rPr>
                <w:rFonts w:hint="eastAsia"/>
                <w:color w:val="auto"/>
                <w:sz w:val="24"/>
                <w:szCs w:val="24"/>
                <w:lang w:val="en-US" w:eastAsia="zh-CN"/>
              </w:rPr>
              <w:t>为建成年产50万台电动助动车的生产能力，主要生产单元包括下料加工单元、组合焊接单元、喷砂单元、电泳涂装单元、喷粉单元。</w:t>
            </w:r>
          </w:p>
          <w:p w14:paraId="0CD107FE">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82" w:firstLineChars="200"/>
              <w:jc w:val="left"/>
              <w:textAlignment w:val="auto"/>
              <w:rPr>
                <w:rFonts w:hint="default" w:ascii="Times New Roman" w:hAnsi="Times New Roman" w:eastAsia="宋体" w:cs="Times New Roman"/>
                <w:b/>
                <w:bCs w:val="0"/>
                <w:color w:val="auto"/>
                <w:sz w:val="24"/>
                <w:szCs w:val="24"/>
                <w:lang w:val="en-US" w:eastAsia="zh-CN"/>
              </w:rPr>
            </w:pPr>
            <w:r>
              <w:rPr>
                <w:rFonts w:hint="eastAsia" w:cs="Times New Roman"/>
                <w:b/>
                <w:bCs w:val="0"/>
                <w:color w:val="auto"/>
                <w:sz w:val="24"/>
                <w:szCs w:val="24"/>
                <w:lang w:val="en-US" w:eastAsia="zh-CN"/>
              </w:rPr>
              <w:t>2.</w:t>
            </w:r>
            <w:r>
              <w:rPr>
                <w:rFonts w:hint="default" w:ascii="Times New Roman" w:hAnsi="Times New Roman" w:eastAsia="宋体" w:cs="Times New Roman"/>
                <w:b/>
                <w:bCs w:val="0"/>
                <w:color w:val="auto"/>
                <w:sz w:val="24"/>
                <w:szCs w:val="24"/>
                <w:lang w:val="en-US" w:eastAsia="zh-CN"/>
              </w:rPr>
              <w:t>项目概况</w:t>
            </w:r>
          </w:p>
          <w:p w14:paraId="00E2F8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ascii="Times New Roman" w:hAnsi="Times New Roman" w:eastAsia="宋体" w:cs="Times New Roman"/>
                <w:color w:val="auto"/>
                <w:kern w:val="2"/>
                <w:sz w:val="24"/>
                <w:szCs w:val="24"/>
                <w:lang w:val="en-US" w:eastAsia="zh-CN" w:bidi="ar"/>
              </w:rPr>
            </w:pPr>
            <w:r>
              <w:rPr>
                <w:rFonts w:hint="default" w:ascii="Times New Roman" w:hAnsi="Times New Roman" w:eastAsia="宋体" w:cs="Times New Roman"/>
                <w:color w:val="auto"/>
                <w:kern w:val="2"/>
                <w:sz w:val="24"/>
                <w:szCs w:val="24"/>
                <w:lang w:val="en-US" w:eastAsia="zh-CN" w:bidi="ar"/>
              </w:rPr>
              <w:t>（1）项目名称：</w:t>
            </w:r>
            <w:r>
              <w:rPr>
                <w:rFonts w:hint="eastAsia" w:cs="Times New Roman"/>
                <w:color w:val="auto"/>
                <w:kern w:val="2"/>
                <w:sz w:val="24"/>
                <w:szCs w:val="24"/>
                <w:lang w:val="en-US" w:eastAsia="zh-CN" w:bidi="ar"/>
              </w:rPr>
              <w:t>首驱助动车制造377项目</w:t>
            </w:r>
          </w:p>
          <w:p w14:paraId="1E65EC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eastAsia="宋体" w:cs="Times New Roman"/>
                <w:color w:val="auto"/>
                <w:kern w:val="2"/>
                <w:sz w:val="24"/>
                <w:szCs w:val="24"/>
                <w:lang w:val="en-US" w:eastAsia="zh-CN" w:bidi="ar"/>
              </w:rPr>
            </w:pPr>
            <w:r>
              <w:rPr>
                <w:rFonts w:hint="default" w:ascii="Times New Roman" w:hAnsi="Times New Roman" w:eastAsia="宋体" w:cs="Times New Roman"/>
                <w:color w:val="auto"/>
                <w:kern w:val="2"/>
                <w:sz w:val="24"/>
                <w:szCs w:val="24"/>
                <w:lang w:val="en-US" w:eastAsia="zh-CN" w:bidi="ar"/>
              </w:rPr>
              <w:t>（2）项目性质：</w:t>
            </w:r>
            <w:r>
              <w:rPr>
                <w:rFonts w:hint="eastAsia" w:cs="Times New Roman"/>
                <w:color w:val="auto"/>
                <w:kern w:val="2"/>
                <w:sz w:val="24"/>
                <w:szCs w:val="24"/>
                <w:lang w:val="en-US" w:eastAsia="zh-CN" w:bidi="ar"/>
              </w:rPr>
              <w:t>新建</w:t>
            </w:r>
          </w:p>
          <w:p w14:paraId="2FCEE4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eastAsia="宋体" w:cs="Times New Roman"/>
                <w:color w:val="auto"/>
                <w:kern w:val="2"/>
                <w:sz w:val="24"/>
                <w:szCs w:val="24"/>
                <w:lang w:val="en-US" w:eastAsia="zh-CN" w:bidi="ar"/>
              </w:rPr>
            </w:pPr>
            <w:r>
              <w:rPr>
                <w:rFonts w:hint="default" w:ascii="Times New Roman" w:hAnsi="Times New Roman" w:eastAsia="宋体" w:cs="Times New Roman"/>
                <w:color w:val="auto"/>
                <w:kern w:val="2"/>
                <w:sz w:val="24"/>
                <w:szCs w:val="24"/>
                <w:lang w:val="en-US" w:eastAsia="zh-CN" w:bidi="ar"/>
              </w:rPr>
              <w:t>（3）建设单位：</w:t>
            </w:r>
            <w:r>
              <w:rPr>
                <w:rFonts w:hint="eastAsia" w:ascii="宋体" w:hAnsi="宋体" w:eastAsia="宋体" w:cs="宋体"/>
                <w:color w:val="auto"/>
                <w:sz w:val="24"/>
                <w:szCs w:val="24"/>
                <w:lang w:val="en-US" w:eastAsia="zh-CN"/>
              </w:rPr>
              <w:t>无界妙控</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柳州</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制造有限公司</w:t>
            </w:r>
          </w:p>
          <w:p w14:paraId="57B482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kern w:val="2"/>
                <w:sz w:val="24"/>
                <w:szCs w:val="24"/>
                <w:lang w:val="en-US" w:eastAsia="zh-CN" w:bidi="ar"/>
              </w:rPr>
              <w:t>（4）建设地点：</w:t>
            </w:r>
            <w:r>
              <w:rPr>
                <w:rFonts w:hint="eastAsia" w:ascii="Times New Roman" w:hAnsi="Times New Roman" w:eastAsia="宋体" w:cs="Times New Roman"/>
                <w:color w:val="auto"/>
                <w:kern w:val="2"/>
                <w:sz w:val="24"/>
                <w:szCs w:val="24"/>
                <w:highlight w:val="none"/>
                <w:shd w:val="clear" w:color="auto" w:fill="auto"/>
                <w:lang w:val="en-US" w:eastAsia="zh-CN" w:bidi="ar-SA"/>
              </w:rPr>
              <w:t>广西壮族自治区柳州市雒容镇秀水二路一号三号厂房1层及二号厂房1层东3跨部分、东4跨部分的厂房</w:t>
            </w:r>
            <w:r>
              <w:rPr>
                <w:rFonts w:hint="default" w:ascii="Times New Roman" w:hAnsi="Times New Roman" w:eastAsia="宋体" w:cs="Times New Roman"/>
                <w:color w:val="auto"/>
                <w:kern w:val="2"/>
                <w:sz w:val="24"/>
                <w:szCs w:val="24"/>
                <w:lang w:val="en-US" w:eastAsia="zh-CN" w:bidi="ar"/>
              </w:rPr>
              <w:t>，中心地理坐标：</w:t>
            </w:r>
            <w:r>
              <w:rPr>
                <w:rFonts w:hint="eastAsia" w:ascii="Times New Roman" w:hAnsi="Times New Roman" w:eastAsia="宋体" w:cs="Times New Roman"/>
                <w:color w:val="auto"/>
                <w:kern w:val="2"/>
                <w:sz w:val="24"/>
                <w:szCs w:val="24"/>
                <w:lang w:val="en-US" w:eastAsia="zh-CN" w:bidi="ar"/>
              </w:rPr>
              <w:t>东</w:t>
            </w:r>
            <w:r>
              <w:rPr>
                <w:rFonts w:hint="default" w:ascii="Times New Roman" w:hAnsi="Times New Roman" w:eastAsia="宋体" w:cs="Times New Roman"/>
                <w:color w:val="auto"/>
                <w:kern w:val="2"/>
                <w:sz w:val="24"/>
                <w:szCs w:val="24"/>
                <w:lang w:val="en-US" w:eastAsia="zh-CN" w:bidi="ar"/>
              </w:rPr>
              <w:t>经109°</w:t>
            </w:r>
            <w:r>
              <w:rPr>
                <w:rFonts w:hint="eastAsia" w:eastAsia="宋体" w:cs="Times New Roman"/>
                <w:color w:val="auto"/>
                <w:kern w:val="2"/>
                <w:sz w:val="24"/>
                <w:szCs w:val="24"/>
                <w:lang w:val="en-US" w:eastAsia="zh-CN" w:bidi="ar"/>
              </w:rPr>
              <w:t>34</w:t>
            </w:r>
            <w:r>
              <w:rPr>
                <w:rFonts w:hint="default" w:ascii="Times New Roman" w:hAnsi="Times New Roman" w:eastAsia="宋体" w:cs="Times New Roman"/>
                <w:color w:val="auto"/>
                <w:kern w:val="2"/>
                <w:sz w:val="24"/>
                <w:szCs w:val="24"/>
                <w:lang w:val="en-US" w:eastAsia="zh-CN" w:bidi="ar"/>
              </w:rPr>
              <w:t>′</w:t>
            </w:r>
            <w:r>
              <w:rPr>
                <w:rFonts w:hint="eastAsia" w:eastAsia="宋体" w:cs="Times New Roman"/>
                <w:color w:val="auto"/>
                <w:kern w:val="2"/>
                <w:sz w:val="24"/>
                <w:szCs w:val="24"/>
                <w:lang w:val="en-US" w:eastAsia="zh-CN" w:bidi="ar"/>
              </w:rPr>
              <w:t>36.943</w:t>
            </w:r>
            <w:r>
              <w:rPr>
                <w:rFonts w:hint="default" w:ascii="Times New Roman" w:hAnsi="Times New Roman" w:eastAsia="宋体" w:cs="Times New Roman"/>
                <w:color w:val="auto"/>
                <w:kern w:val="2"/>
                <w:sz w:val="24"/>
                <w:szCs w:val="24"/>
                <w:lang w:val="en-US" w:eastAsia="zh-CN" w:bidi="ar"/>
              </w:rPr>
              <w:t>″，北纬24°</w:t>
            </w:r>
            <w:r>
              <w:rPr>
                <w:rFonts w:hint="eastAsia" w:ascii="Times New Roman" w:hAnsi="Times New Roman" w:eastAsia="宋体" w:cs="Times New Roman"/>
                <w:color w:val="auto"/>
                <w:kern w:val="2"/>
                <w:sz w:val="24"/>
                <w:szCs w:val="24"/>
                <w:lang w:val="en-US" w:eastAsia="zh-CN" w:bidi="ar"/>
              </w:rPr>
              <w:t>2</w:t>
            </w:r>
            <w:r>
              <w:rPr>
                <w:rFonts w:hint="eastAsia" w:eastAsia="宋体" w:cs="Times New Roman"/>
                <w:color w:val="auto"/>
                <w:kern w:val="2"/>
                <w:sz w:val="24"/>
                <w:szCs w:val="24"/>
                <w:lang w:val="en-US" w:eastAsia="zh-CN" w:bidi="ar"/>
              </w:rPr>
              <w:t>6</w:t>
            </w:r>
            <w:r>
              <w:rPr>
                <w:rFonts w:hint="default" w:ascii="Times New Roman" w:hAnsi="Times New Roman" w:eastAsia="宋体" w:cs="Times New Roman"/>
                <w:color w:val="auto"/>
                <w:kern w:val="2"/>
                <w:sz w:val="24"/>
                <w:szCs w:val="24"/>
                <w:lang w:val="en-US" w:eastAsia="zh-CN" w:bidi="ar"/>
              </w:rPr>
              <w:t>′</w:t>
            </w:r>
            <w:r>
              <w:rPr>
                <w:rFonts w:hint="eastAsia" w:eastAsia="宋体" w:cs="Times New Roman"/>
                <w:color w:val="auto"/>
                <w:kern w:val="2"/>
                <w:sz w:val="24"/>
                <w:szCs w:val="24"/>
                <w:lang w:val="en-US" w:eastAsia="zh-CN" w:bidi="ar"/>
              </w:rPr>
              <w:t>14.559</w:t>
            </w:r>
            <w:r>
              <w:rPr>
                <w:rFonts w:hint="default" w:ascii="Times New Roman" w:hAnsi="Times New Roman" w:eastAsia="宋体" w:cs="Times New Roman"/>
                <w:color w:val="auto"/>
                <w:kern w:val="2"/>
                <w:sz w:val="24"/>
                <w:szCs w:val="24"/>
                <w:lang w:val="en-US" w:eastAsia="zh-CN" w:bidi="ar"/>
              </w:rPr>
              <w:t>″</w:t>
            </w:r>
            <w:r>
              <w:rPr>
                <w:rFonts w:hint="default" w:ascii="Times New Roman" w:hAnsi="Times New Roman" w:eastAsia="宋体" w:cs="Times New Roman"/>
                <w:color w:val="auto"/>
                <w:sz w:val="24"/>
                <w:szCs w:val="24"/>
                <w:lang w:val="en-US" w:eastAsia="zh-CN"/>
              </w:rPr>
              <w:t>（项目地理位置见附图1）。</w:t>
            </w:r>
          </w:p>
          <w:p w14:paraId="43F7A6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eastAsia="宋体" w:cs="Times New Roman"/>
                <w:color w:val="auto"/>
                <w:kern w:val="2"/>
                <w:sz w:val="24"/>
                <w:szCs w:val="24"/>
                <w:lang w:val="en-US" w:eastAsia="zh-CN" w:bidi="ar"/>
              </w:rPr>
            </w:pPr>
            <w:r>
              <w:rPr>
                <w:rFonts w:hint="default" w:ascii="Times New Roman" w:hAnsi="Times New Roman" w:eastAsia="宋体" w:cs="Times New Roman"/>
                <w:color w:val="auto"/>
                <w:kern w:val="2"/>
                <w:sz w:val="24"/>
                <w:szCs w:val="24"/>
                <w:lang w:val="en-US" w:eastAsia="zh-CN" w:bidi="ar"/>
              </w:rPr>
              <w:t>（5）</w:t>
            </w:r>
            <w:r>
              <w:rPr>
                <w:rFonts w:hint="eastAsia" w:ascii="Times New Roman" w:hAnsi="Times New Roman" w:eastAsia="宋体" w:cs="Times New Roman"/>
                <w:color w:val="auto"/>
                <w:kern w:val="2"/>
                <w:sz w:val="24"/>
                <w:szCs w:val="24"/>
                <w:lang w:val="en-US" w:eastAsia="zh-CN" w:bidi="ar"/>
              </w:rPr>
              <w:t>投资：</w:t>
            </w:r>
            <w:r>
              <w:rPr>
                <w:rFonts w:hint="default" w:ascii="Times New Roman" w:hAnsi="Times New Roman" w:eastAsia="宋体" w:cs="Times New Roman"/>
                <w:color w:val="auto"/>
                <w:kern w:val="2"/>
                <w:sz w:val="24"/>
                <w:szCs w:val="24"/>
                <w:lang w:val="en-US" w:eastAsia="zh-CN" w:bidi="ar"/>
              </w:rPr>
              <w:t>总投资</w:t>
            </w:r>
            <w:r>
              <w:rPr>
                <w:rFonts w:hint="eastAsia" w:eastAsia="宋体" w:cs="Times New Roman"/>
                <w:color w:val="auto"/>
                <w:sz w:val="24"/>
                <w:szCs w:val="24"/>
                <w:lang w:val="en-US" w:eastAsia="zh-CN"/>
              </w:rPr>
              <w:t>54800</w:t>
            </w:r>
            <w:r>
              <w:rPr>
                <w:rFonts w:hint="eastAsia" w:ascii="Times New Roman" w:hAnsi="Times New Roman" w:eastAsia="宋体" w:cs="Times New Roman"/>
                <w:color w:val="auto"/>
                <w:sz w:val="24"/>
                <w:szCs w:val="24"/>
                <w:lang w:val="en-US" w:eastAsia="zh-CN"/>
              </w:rPr>
              <w:t>万元</w:t>
            </w:r>
            <w:r>
              <w:rPr>
                <w:rFonts w:hint="default" w:ascii="Times New Roman" w:hAnsi="Times New Roman" w:eastAsia="宋体" w:cs="Times New Roman"/>
                <w:color w:val="auto"/>
                <w:kern w:val="2"/>
                <w:sz w:val="24"/>
                <w:szCs w:val="24"/>
                <w:lang w:val="en-US" w:eastAsia="zh-CN" w:bidi="ar"/>
              </w:rPr>
              <w:t>，其中环保投资</w:t>
            </w:r>
            <w:r>
              <w:rPr>
                <w:rFonts w:hint="eastAsia" w:cs="Times New Roman"/>
                <w:color w:val="auto"/>
                <w:sz w:val="24"/>
                <w:szCs w:val="24"/>
                <w:lang w:val="en-US" w:eastAsia="zh-CN"/>
              </w:rPr>
              <w:t>231</w:t>
            </w:r>
            <w:r>
              <w:rPr>
                <w:rFonts w:hint="eastAsia" w:ascii="Times New Roman" w:hAnsi="Times New Roman" w:eastAsia="宋体" w:cs="Times New Roman"/>
                <w:color w:val="auto"/>
                <w:sz w:val="24"/>
                <w:szCs w:val="24"/>
                <w:lang w:val="en-US" w:eastAsia="zh-CN"/>
              </w:rPr>
              <w:t>万元</w:t>
            </w:r>
            <w:r>
              <w:rPr>
                <w:rFonts w:hint="default" w:ascii="Times New Roman" w:hAnsi="Times New Roman" w:eastAsia="宋体" w:cs="Times New Roman"/>
                <w:color w:val="auto"/>
                <w:sz w:val="24"/>
                <w:szCs w:val="24"/>
                <w:lang w:val="en-US" w:eastAsia="zh-CN"/>
              </w:rPr>
              <w:t>，环保投资占总投资的</w:t>
            </w:r>
            <w:r>
              <w:rPr>
                <w:rFonts w:hint="eastAsia" w:cs="Times New Roman"/>
                <w:color w:val="auto"/>
                <w:sz w:val="24"/>
                <w:szCs w:val="24"/>
                <w:lang w:val="en-US" w:eastAsia="zh-CN"/>
              </w:rPr>
              <w:t>0.42</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w:t>
            </w:r>
          </w:p>
          <w:p w14:paraId="24A547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ascii="Times New Roman" w:hAnsi="Times New Roman" w:eastAsia="宋体" w:cs="Times New Roman"/>
                <w:color w:val="auto"/>
                <w:kern w:val="2"/>
                <w:sz w:val="24"/>
                <w:szCs w:val="24"/>
                <w:lang w:val="en-US" w:eastAsia="zh-CN" w:bidi="ar"/>
              </w:rPr>
            </w:pPr>
            <w:r>
              <w:rPr>
                <w:rFonts w:hint="default" w:ascii="Times New Roman" w:hAnsi="Times New Roman" w:eastAsia="宋体" w:cs="Times New Roman"/>
                <w:color w:val="auto"/>
                <w:kern w:val="2"/>
                <w:sz w:val="24"/>
                <w:szCs w:val="24"/>
                <w:lang w:val="en-US" w:eastAsia="zh-CN" w:bidi="ar"/>
              </w:rPr>
              <w:t>（</w:t>
            </w:r>
            <w:r>
              <w:rPr>
                <w:rFonts w:hint="eastAsia" w:ascii="Times New Roman" w:hAnsi="Times New Roman" w:eastAsia="宋体" w:cs="Times New Roman"/>
                <w:color w:val="auto"/>
                <w:kern w:val="2"/>
                <w:sz w:val="24"/>
                <w:szCs w:val="24"/>
                <w:lang w:val="en-US" w:eastAsia="zh-CN" w:bidi="ar"/>
              </w:rPr>
              <w:t>6</w:t>
            </w:r>
            <w:r>
              <w:rPr>
                <w:rFonts w:hint="default" w:ascii="Times New Roman" w:hAnsi="Times New Roman" w:eastAsia="宋体" w:cs="Times New Roman"/>
                <w:color w:val="auto"/>
                <w:kern w:val="2"/>
                <w:sz w:val="24"/>
                <w:szCs w:val="24"/>
                <w:lang w:val="en-US" w:eastAsia="zh-CN" w:bidi="ar"/>
              </w:rPr>
              <w:t>）占地面积：</w:t>
            </w:r>
            <w:r>
              <w:rPr>
                <w:rFonts w:hint="eastAsia" w:cs="Times New Roman"/>
                <w:color w:val="auto"/>
                <w:sz w:val="24"/>
                <w:szCs w:val="24"/>
                <w:lang w:val="en-US" w:eastAsia="zh-CN"/>
              </w:rPr>
              <w:t>372920.76</w:t>
            </w:r>
            <w:r>
              <w:rPr>
                <w:rFonts w:hint="eastAsia"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vertAlign w:val="superscript"/>
                <w:lang w:bidi="ar"/>
              </w:rPr>
              <w:t>2</w:t>
            </w:r>
            <w:r>
              <w:rPr>
                <w:rFonts w:hint="eastAsia" w:ascii="Times New Roman" w:hAnsi="Times New Roman" w:eastAsia="宋体" w:cs="Times New Roman"/>
                <w:color w:val="auto"/>
                <w:sz w:val="24"/>
                <w:szCs w:val="24"/>
                <w:vertAlign w:val="baseline"/>
                <w:lang w:val="en-US" w:eastAsia="zh-CN" w:bidi="ar"/>
              </w:rPr>
              <w:t>。</w:t>
            </w:r>
          </w:p>
          <w:p w14:paraId="37532D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eastAsia="宋体" w:cs="Times New Roman"/>
                <w:color w:val="auto"/>
                <w:kern w:val="2"/>
                <w:sz w:val="24"/>
                <w:szCs w:val="24"/>
                <w:lang w:val="en-US" w:eastAsia="zh-CN" w:bidi="ar"/>
              </w:rPr>
            </w:pPr>
            <w:r>
              <w:rPr>
                <w:rFonts w:hint="default" w:ascii="Times New Roman" w:hAnsi="Times New Roman" w:eastAsia="宋体" w:cs="Times New Roman"/>
                <w:color w:val="auto"/>
                <w:kern w:val="2"/>
                <w:sz w:val="24"/>
                <w:szCs w:val="24"/>
                <w:lang w:val="en-US" w:eastAsia="zh-CN" w:bidi="ar"/>
              </w:rPr>
              <w:t>（</w:t>
            </w:r>
            <w:r>
              <w:rPr>
                <w:rFonts w:hint="eastAsia" w:ascii="Times New Roman" w:hAnsi="Times New Roman" w:eastAsia="宋体" w:cs="Times New Roman"/>
                <w:color w:val="auto"/>
                <w:kern w:val="2"/>
                <w:sz w:val="24"/>
                <w:szCs w:val="24"/>
                <w:lang w:val="en-US" w:eastAsia="zh-CN" w:bidi="ar"/>
              </w:rPr>
              <w:t>7</w:t>
            </w:r>
            <w:r>
              <w:rPr>
                <w:rFonts w:hint="default" w:ascii="Times New Roman" w:hAnsi="Times New Roman" w:eastAsia="宋体" w:cs="Times New Roman"/>
                <w:color w:val="auto"/>
                <w:kern w:val="2"/>
                <w:sz w:val="24"/>
                <w:szCs w:val="24"/>
                <w:lang w:val="en-US" w:eastAsia="zh-CN" w:bidi="ar"/>
              </w:rPr>
              <w:t>）劳动定员及工作制度：</w:t>
            </w:r>
            <w:r>
              <w:rPr>
                <w:rFonts w:hint="default" w:ascii="Times New Roman" w:hAnsi="Times New Roman" w:cs="Times New Roman"/>
                <w:color w:val="auto"/>
                <w:sz w:val="24"/>
                <w:highlight w:val="none"/>
              </w:rPr>
              <w:t>本项目</w:t>
            </w:r>
            <w:r>
              <w:rPr>
                <w:rFonts w:hint="default" w:ascii="Times New Roman" w:hAnsi="Times New Roman" w:cs="Times New Roman"/>
                <w:color w:val="auto"/>
                <w:sz w:val="24"/>
                <w:highlight w:val="none"/>
                <w:lang w:val="en-US" w:eastAsia="zh-CN"/>
              </w:rPr>
              <w:t>劳动定员</w:t>
            </w:r>
            <w:r>
              <w:rPr>
                <w:rFonts w:hint="eastAsia" w:cs="Times New Roman"/>
                <w:color w:val="auto"/>
                <w:sz w:val="24"/>
                <w:highlight w:val="none"/>
                <w:lang w:val="en-US" w:eastAsia="zh-CN"/>
              </w:rPr>
              <w:t>638</w:t>
            </w:r>
            <w:r>
              <w:rPr>
                <w:rFonts w:hint="default" w:ascii="Times New Roman" w:hAnsi="Times New Roman" w:cs="Times New Roman"/>
                <w:color w:val="auto"/>
                <w:sz w:val="24"/>
                <w:highlight w:val="none"/>
              </w:rPr>
              <w:t>人，</w:t>
            </w:r>
            <w:r>
              <w:rPr>
                <w:rFonts w:hint="eastAsia" w:cs="Times New Roman"/>
                <w:color w:val="auto"/>
                <w:sz w:val="24"/>
                <w:highlight w:val="none"/>
                <w:lang w:val="en-US" w:eastAsia="zh-CN"/>
              </w:rPr>
              <w:t>均不</w:t>
            </w:r>
            <w:r>
              <w:rPr>
                <w:rFonts w:hint="default" w:ascii="Times New Roman" w:hAnsi="Times New Roman" w:cs="Times New Roman"/>
                <w:color w:val="auto"/>
                <w:sz w:val="24"/>
                <w:highlight w:val="none"/>
              </w:rPr>
              <w:t>在厂内住宿，厂内不提供食堂。</w:t>
            </w:r>
            <w:r>
              <w:rPr>
                <w:rFonts w:hint="default" w:ascii="Times New Roman" w:hAnsi="Times New Roman" w:cs="Times New Roman"/>
                <w:color w:val="auto"/>
                <w:sz w:val="24"/>
                <w:highlight w:val="none"/>
                <w:lang w:val="en-US" w:eastAsia="zh-CN"/>
              </w:rPr>
              <w:t>工作制度为</w:t>
            </w:r>
            <w:r>
              <w:rPr>
                <w:rFonts w:hint="default" w:ascii="Times New Roman" w:hAnsi="Times New Roman" w:cs="Times New Roman"/>
                <w:color w:val="auto"/>
                <w:sz w:val="24"/>
                <w:highlight w:val="none"/>
              </w:rPr>
              <w:t>年工作</w:t>
            </w:r>
            <w:r>
              <w:rPr>
                <w:rFonts w:hint="default" w:ascii="Times New Roman" w:hAnsi="Times New Roman" w:cs="Times New Roman"/>
                <w:color w:val="auto"/>
                <w:sz w:val="24"/>
                <w:highlight w:val="none"/>
                <w:lang w:val="en-US" w:eastAsia="zh-CN"/>
              </w:rPr>
              <w:t>300</w:t>
            </w:r>
            <w:r>
              <w:rPr>
                <w:rFonts w:hint="default" w:ascii="Times New Roman" w:hAnsi="Times New Roman" w:cs="Times New Roman"/>
                <w:color w:val="auto"/>
                <w:sz w:val="24"/>
                <w:highlight w:val="none"/>
              </w:rPr>
              <w:t>天，每天</w:t>
            </w:r>
            <w:r>
              <w:rPr>
                <w:rFonts w:hint="eastAsia"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rPr>
              <w:t>班，每班</w:t>
            </w:r>
            <w:r>
              <w:rPr>
                <w:rFonts w:hint="eastAsia" w:cs="Times New Roman"/>
                <w:color w:val="auto"/>
                <w:sz w:val="24"/>
                <w:highlight w:val="none"/>
                <w:lang w:val="en-US" w:eastAsia="zh-CN"/>
              </w:rPr>
              <w:t>8</w:t>
            </w:r>
            <w:r>
              <w:rPr>
                <w:rFonts w:hint="default" w:ascii="Times New Roman" w:hAnsi="Times New Roman" w:cs="Times New Roman"/>
                <w:color w:val="auto"/>
                <w:sz w:val="24"/>
                <w:highlight w:val="none"/>
              </w:rPr>
              <w:t>小时</w:t>
            </w:r>
            <w:r>
              <w:rPr>
                <w:rFonts w:hint="default" w:ascii="Times New Roman" w:hAnsi="Times New Roman" w:eastAsia="宋体" w:cs="Times New Roman"/>
                <w:color w:val="auto"/>
                <w:kern w:val="2"/>
                <w:sz w:val="24"/>
                <w:szCs w:val="24"/>
                <w:lang w:val="en-US" w:eastAsia="zh-CN" w:bidi="ar"/>
              </w:rPr>
              <w:t>。</w:t>
            </w:r>
          </w:p>
          <w:p w14:paraId="5C6C47AF">
            <w:pPr>
              <w:pStyle w:val="36"/>
              <w:keepNext w:val="0"/>
              <w:keepLines w:val="0"/>
              <w:pageBreakBefore w:val="0"/>
              <w:widowControl w:val="0"/>
              <w:kinsoku/>
              <w:wordWrap/>
              <w:overflowPunct/>
              <w:topLinePunct w:val="0"/>
              <w:autoSpaceDE/>
              <w:autoSpaceDN/>
              <w:bidi w:val="0"/>
              <w:adjustRightInd/>
              <w:snapToGrid/>
              <w:spacing w:before="0" w:after="0" w:line="500" w:lineRule="exact"/>
              <w:ind w:right="0" w:firstLine="480" w:firstLineChars="200"/>
              <w:textAlignment w:val="auto"/>
              <w:rPr>
                <w:rFonts w:hint="default" w:cs="Times New Roman"/>
                <w:color w:val="auto"/>
                <w:kern w:val="0"/>
                <w:sz w:val="24"/>
                <w:szCs w:val="24"/>
                <w:lang w:val="en-US" w:eastAsia="zh-CN" w:bidi="ar"/>
              </w:rPr>
            </w:pPr>
            <w:r>
              <w:rPr>
                <w:rFonts w:hint="default" w:ascii="Times New Roman" w:hAnsi="Times New Roman" w:eastAsia="宋体" w:cs="Times New Roman"/>
                <w:color w:val="auto"/>
                <w:kern w:val="2"/>
                <w:sz w:val="24"/>
                <w:szCs w:val="24"/>
                <w:lang w:val="en-US" w:eastAsia="zh-CN" w:bidi="ar"/>
              </w:rPr>
              <w:t>（</w:t>
            </w:r>
            <w:r>
              <w:rPr>
                <w:rFonts w:hint="eastAsia" w:ascii="Times New Roman" w:hAnsi="Times New Roman" w:eastAsia="宋体" w:cs="Times New Roman"/>
                <w:color w:val="auto"/>
                <w:kern w:val="2"/>
                <w:sz w:val="24"/>
                <w:szCs w:val="24"/>
                <w:lang w:val="en-US" w:eastAsia="zh-CN" w:bidi="ar"/>
              </w:rPr>
              <w:t>8</w:t>
            </w:r>
            <w:r>
              <w:rPr>
                <w:rFonts w:hint="default" w:ascii="Times New Roman" w:hAnsi="Times New Roman" w:eastAsia="宋体" w:cs="Times New Roman"/>
                <w:color w:val="auto"/>
                <w:kern w:val="2"/>
                <w:sz w:val="24"/>
                <w:szCs w:val="24"/>
                <w:lang w:val="en-US" w:eastAsia="zh-CN" w:bidi="ar"/>
              </w:rPr>
              <w:t>）四至关系：</w:t>
            </w:r>
            <w:r>
              <w:rPr>
                <w:rFonts w:hint="default" w:ascii="Times New Roman" w:hAnsi="Times New Roman" w:eastAsia="宋体" w:cs="Times New Roman"/>
                <w:color w:val="auto"/>
                <w:kern w:val="0"/>
                <w:sz w:val="24"/>
                <w:szCs w:val="24"/>
                <w:lang w:val="en-US" w:eastAsia="zh-CN" w:bidi="ar"/>
              </w:rPr>
              <w:t>项目</w:t>
            </w:r>
            <w:r>
              <w:rPr>
                <w:rFonts w:hint="eastAsia" w:eastAsia="宋体" w:cs="Times New Roman"/>
                <w:color w:val="auto"/>
                <w:kern w:val="0"/>
                <w:sz w:val="24"/>
                <w:szCs w:val="24"/>
                <w:lang w:val="en-US" w:eastAsia="zh-CN" w:bidi="ar"/>
              </w:rPr>
              <w:t>位于中德</w:t>
            </w:r>
            <w:r>
              <w:rPr>
                <w:rFonts w:hint="eastAsia" w:cs="Times New Roman"/>
                <w:color w:val="auto"/>
                <w:kern w:val="0"/>
                <w:sz w:val="24"/>
                <w:szCs w:val="24"/>
                <w:lang w:val="en-US" w:eastAsia="zh-CN" w:bidi="ar"/>
              </w:rPr>
              <w:t>（</w:t>
            </w:r>
            <w:r>
              <w:rPr>
                <w:rFonts w:hint="eastAsia" w:eastAsia="宋体" w:cs="Times New Roman"/>
                <w:color w:val="auto"/>
                <w:kern w:val="0"/>
                <w:sz w:val="24"/>
                <w:szCs w:val="24"/>
                <w:lang w:val="en-US" w:eastAsia="zh-CN" w:bidi="ar"/>
              </w:rPr>
              <w:t>柳州</w:t>
            </w:r>
            <w:r>
              <w:rPr>
                <w:rFonts w:hint="eastAsia" w:cs="Times New Roman"/>
                <w:color w:val="auto"/>
                <w:kern w:val="0"/>
                <w:sz w:val="24"/>
                <w:szCs w:val="24"/>
                <w:lang w:val="en-US" w:eastAsia="zh-CN" w:bidi="ar"/>
              </w:rPr>
              <w:t>）</w:t>
            </w:r>
            <w:r>
              <w:rPr>
                <w:rFonts w:hint="eastAsia" w:eastAsia="宋体" w:cs="Times New Roman"/>
                <w:color w:val="auto"/>
                <w:kern w:val="0"/>
                <w:sz w:val="24"/>
                <w:szCs w:val="24"/>
                <w:lang w:val="en-US" w:eastAsia="zh-CN" w:bidi="ar"/>
              </w:rPr>
              <w:t>工业园柳东新区园区内，北面及东面均为园区入驻企业，西面为园区内部道路及秀水三路，南面为园区内部道路及孟村路。</w:t>
            </w:r>
          </w:p>
          <w:p w14:paraId="20C19C8B">
            <w:pPr>
              <w:keepNext w:val="0"/>
              <w:keepLines w:val="0"/>
              <w:pageBreakBefore w:val="0"/>
              <w:widowControl w:val="0"/>
              <w:tabs>
                <w:tab w:val="left" w:pos="624"/>
              </w:tabs>
              <w:kinsoku/>
              <w:wordWrap/>
              <w:overflowPunct/>
              <w:topLinePunct w:val="0"/>
              <w:autoSpaceDE/>
              <w:autoSpaceDN/>
              <w:bidi w:val="0"/>
              <w:adjustRightInd/>
              <w:snapToGrid/>
              <w:spacing w:line="500" w:lineRule="exact"/>
              <w:ind w:right="0" w:firstLine="480" w:firstLineChars="200"/>
              <w:jc w:val="both"/>
              <w:textAlignment w:val="auto"/>
              <w:rPr>
                <w:rFonts w:hint="default" w:ascii="Times New Roman" w:hAnsi="Times New Roman" w:cs="Times New Roman"/>
                <w:color w:val="auto"/>
                <w:sz w:val="24"/>
                <w:szCs w:val="24"/>
                <w:lang w:eastAsia="zh-CN"/>
              </w:rPr>
            </w:pPr>
            <w:r>
              <w:rPr>
                <w:rFonts w:hint="default" w:ascii="Times New Roman" w:hAnsi="Times New Roman" w:cs="Times New Roman"/>
                <w:bCs/>
                <w:color w:val="auto"/>
                <w:sz w:val="24"/>
                <w:szCs w:val="24"/>
              </w:rPr>
              <w:t>项目工程组成见表2-1</w:t>
            </w:r>
            <w:r>
              <w:rPr>
                <w:rFonts w:hint="default" w:ascii="Times New Roman" w:hAnsi="Times New Roman" w:cs="Times New Roman"/>
                <w:color w:val="auto"/>
                <w:sz w:val="24"/>
                <w:szCs w:val="24"/>
                <w:lang w:eastAsia="zh-CN"/>
              </w:rPr>
              <w:t>。</w:t>
            </w:r>
          </w:p>
          <w:p w14:paraId="5C4E3763">
            <w:pPr>
              <w:spacing w:line="500" w:lineRule="exact"/>
              <w:jc w:val="center"/>
              <w:textAlignment w:val="baseline"/>
              <w:rPr>
                <w:b/>
                <w:color w:val="auto"/>
                <w:shd w:val="clear" w:color="auto" w:fill="auto"/>
              </w:rPr>
            </w:pPr>
            <w:r>
              <w:rPr>
                <w:rFonts w:ascii="Times New Roman" w:hAnsi="Times New Roman" w:eastAsia="宋体" w:cs="宋体"/>
                <w:b/>
                <w:bCs/>
                <w:color w:val="auto"/>
                <w:sz w:val="24"/>
                <w:szCs w:val="24"/>
              </w:rPr>
              <w:t>表</w:t>
            </w:r>
            <w:r>
              <w:rPr>
                <w:rFonts w:hint="eastAsia" w:ascii="Times New Roman" w:hAnsi="Times New Roman" w:eastAsia="宋体" w:cs="宋体"/>
                <w:b/>
                <w:bCs/>
                <w:color w:val="auto"/>
                <w:sz w:val="24"/>
                <w:szCs w:val="24"/>
              </w:rPr>
              <w:t>2</w:t>
            </w:r>
            <w:r>
              <w:rPr>
                <w:rFonts w:ascii="Times New Roman" w:hAnsi="Times New Roman" w:eastAsia="宋体" w:cs="宋体"/>
                <w:b/>
                <w:bCs/>
                <w:color w:val="auto"/>
                <w:sz w:val="24"/>
                <w:szCs w:val="24"/>
              </w:rPr>
              <w:t>-1</w:t>
            </w:r>
            <w:r>
              <w:rPr>
                <w:rFonts w:hint="eastAsia" w:ascii="Times New Roman" w:hAnsi="Times New Roman" w:eastAsia="宋体" w:cs="宋体"/>
                <w:b/>
                <w:bCs/>
                <w:color w:val="auto"/>
                <w:sz w:val="24"/>
                <w:szCs w:val="24"/>
                <w:lang w:val="en-US" w:eastAsia="zh-CN"/>
              </w:rPr>
              <w:t xml:space="preserve">  </w:t>
            </w:r>
            <w:r>
              <w:rPr>
                <w:rFonts w:ascii="Times New Roman" w:hAnsi="Times New Roman" w:eastAsia="宋体" w:cs="宋体"/>
                <w:b/>
                <w:bCs/>
                <w:color w:val="auto"/>
                <w:sz w:val="24"/>
                <w:szCs w:val="24"/>
              </w:rPr>
              <w:t>项目建设内容组成一览</w:t>
            </w:r>
            <w:r>
              <w:rPr>
                <w:b/>
                <w:color w:val="auto"/>
                <w:sz w:val="24"/>
                <w:szCs w:val="24"/>
                <w:shd w:val="clear" w:color="auto" w:fill="auto"/>
              </w:rPr>
              <w:t>表</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765"/>
              <w:gridCol w:w="768"/>
              <w:gridCol w:w="5511"/>
            </w:tblGrid>
            <w:tr w14:paraId="14373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3" w:hRule="atLeast"/>
                <w:tblHeader/>
                <w:jc w:val="center"/>
              </w:trPr>
              <w:tc>
                <w:tcPr>
                  <w:tcW w:w="662" w:type="pct"/>
                  <w:tcBorders>
                    <w:tl2br w:val="nil"/>
                    <w:tr2bl w:val="nil"/>
                  </w:tcBorders>
                  <w:vAlign w:val="center"/>
                </w:tcPr>
                <w:p w14:paraId="4046BE05">
                  <w:pPr>
                    <w:pStyle w:val="92"/>
                    <w:spacing w:before="0" w:after="0" w:line="240" w:lineRule="auto"/>
                    <w:ind w:firstLine="0" w:firstLineChars="0"/>
                    <w:rPr>
                      <w:b/>
                      <w:bCs/>
                      <w:color w:val="auto"/>
                      <w:sz w:val="21"/>
                      <w:szCs w:val="21"/>
                      <w:shd w:val="clear" w:color="auto" w:fill="auto"/>
                      <w:lang w:val="zh-CN"/>
                    </w:rPr>
                  </w:pPr>
                  <w:r>
                    <w:rPr>
                      <w:b/>
                      <w:bCs/>
                      <w:color w:val="auto"/>
                      <w:sz w:val="21"/>
                      <w:szCs w:val="21"/>
                      <w:shd w:val="clear" w:color="auto" w:fill="auto"/>
                      <w:lang w:val="zh-CN"/>
                    </w:rPr>
                    <w:t>工程类别</w:t>
                  </w:r>
                </w:p>
              </w:tc>
              <w:tc>
                <w:tcPr>
                  <w:tcW w:w="944" w:type="pct"/>
                  <w:gridSpan w:val="2"/>
                  <w:tcBorders>
                    <w:tl2br w:val="nil"/>
                    <w:tr2bl w:val="nil"/>
                  </w:tcBorders>
                  <w:vAlign w:val="center"/>
                </w:tcPr>
                <w:p w14:paraId="0D691F0C">
                  <w:pPr>
                    <w:pStyle w:val="92"/>
                    <w:spacing w:before="0" w:after="0" w:line="240" w:lineRule="auto"/>
                    <w:ind w:firstLine="0" w:firstLineChars="0"/>
                    <w:rPr>
                      <w:b/>
                      <w:bCs/>
                      <w:color w:val="auto"/>
                      <w:sz w:val="21"/>
                      <w:szCs w:val="21"/>
                      <w:shd w:val="clear" w:color="auto" w:fill="auto"/>
                      <w:lang w:val="zh-CN"/>
                    </w:rPr>
                  </w:pPr>
                  <w:r>
                    <w:rPr>
                      <w:b/>
                      <w:bCs/>
                      <w:color w:val="auto"/>
                      <w:sz w:val="21"/>
                      <w:szCs w:val="21"/>
                      <w:shd w:val="clear" w:color="auto" w:fill="auto"/>
                      <w:lang w:val="zh-CN"/>
                    </w:rPr>
                    <w:t>工程名称</w:t>
                  </w:r>
                </w:p>
              </w:tc>
              <w:tc>
                <w:tcPr>
                  <w:tcW w:w="3393" w:type="pct"/>
                  <w:tcBorders>
                    <w:tl2br w:val="nil"/>
                    <w:tr2bl w:val="nil"/>
                  </w:tcBorders>
                  <w:vAlign w:val="center"/>
                </w:tcPr>
                <w:p w14:paraId="4CC0F649">
                  <w:pPr>
                    <w:pStyle w:val="92"/>
                    <w:spacing w:before="0" w:after="0" w:line="240" w:lineRule="auto"/>
                    <w:ind w:firstLine="0" w:firstLineChars="0"/>
                    <w:rPr>
                      <w:b/>
                      <w:bCs/>
                      <w:color w:val="auto"/>
                      <w:sz w:val="21"/>
                      <w:szCs w:val="21"/>
                      <w:shd w:val="clear" w:color="auto" w:fill="auto"/>
                      <w:lang w:val="zh-CN"/>
                    </w:rPr>
                  </w:pPr>
                  <w:r>
                    <w:rPr>
                      <w:b/>
                      <w:bCs/>
                      <w:color w:val="auto"/>
                      <w:sz w:val="21"/>
                      <w:szCs w:val="21"/>
                      <w:shd w:val="clear" w:color="auto" w:fill="auto"/>
                      <w:lang w:val="zh-CN"/>
                    </w:rPr>
                    <w:t>建设规模</w:t>
                  </w:r>
                </w:p>
              </w:tc>
            </w:tr>
            <w:tr w14:paraId="619E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jc w:val="center"/>
              </w:trPr>
              <w:tc>
                <w:tcPr>
                  <w:tcW w:w="662" w:type="pct"/>
                  <w:vMerge w:val="restart"/>
                  <w:tcBorders>
                    <w:tl2br w:val="nil"/>
                    <w:tr2bl w:val="nil"/>
                  </w:tcBorders>
                  <w:vAlign w:val="center"/>
                </w:tcPr>
                <w:p w14:paraId="15C7F3DC">
                  <w:pPr>
                    <w:pStyle w:val="92"/>
                    <w:spacing w:before="0" w:after="0" w:line="240" w:lineRule="auto"/>
                    <w:ind w:firstLine="0" w:firstLineChars="0"/>
                    <w:rPr>
                      <w:color w:val="auto"/>
                      <w:sz w:val="21"/>
                      <w:szCs w:val="21"/>
                      <w:shd w:val="clear" w:color="auto" w:fill="auto"/>
                      <w:lang w:val="zh-CN"/>
                    </w:rPr>
                  </w:pPr>
                  <w:r>
                    <w:rPr>
                      <w:color w:val="auto"/>
                      <w:sz w:val="21"/>
                      <w:szCs w:val="21"/>
                      <w:shd w:val="clear" w:color="auto" w:fill="auto"/>
                      <w:lang w:val="zh-CN"/>
                    </w:rPr>
                    <w:t>主体工程</w:t>
                  </w:r>
                </w:p>
              </w:tc>
              <w:tc>
                <w:tcPr>
                  <w:tcW w:w="944" w:type="pct"/>
                  <w:gridSpan w:val="2"/>
                  <w:tcBorders>
                    <w:tl2br w:val="nil"/>
                    <w:tr2bl w:val="nil"/>
                  </w:tcBorders>
                  <w:vAlign w:val="center"/>
                </w:tcPr>
                <w:p w14:paraId="225AF888">
                  <w:pPr>
                    <w:jc w:val="center"/>
                    <w:rPr>
                      <w:rFonts w:hint="eastAsia" w:eastAsia="宋体"/>
                      <w:color w:val="auto"/>
                      <w:sz w:val="21"/>
                      <w:szCs w:val="21"/>
                      <w:shd w:val="clear" w:color="auto" w:fill="auto"/>
                      <w:lang w:val="en-US" w:eastAsia="zh-CN"/>
                    </w:rPr>
                  </w:pPr>
                  <w:r>
                    <w:rPr>
                      <w:rFonts w:hint="eastAsia"/>
                      <w:color w:val="auto"/>
                      <w:sz w:val="21"/>
                      <w:szCs w:val="21"/>
                      <w:shd w:val="clear" w:color="auto" w:fill="auto"/>
                      <w:lang w:val="en-US" w:eastAsia="zh-CN"/>
                    </w:rPr>
                    <w:t>2号</w:t>
                  </w:r>
                  <w:r>
                    <w:rPr>
                      <w:rFonts w:hint="eastAsia"/>
                      <w:color w:val="auto"/>
                      <w:lang w:val="en-US" w:eastAsia="zh-CN"/>
                    </w:rPr>
                    <w:t>厂房</w:t>
                  </w:r>
                </w:p>
              </w:tc>
              <w:tc>
                <w:tcPr>
                  <w:tcW w:w="3393" w:type="pct"/>
                  <w:tcBorders>
                    <w:tl2br w:val="nil"/>
                    <w:tr2bl w:val="nil"/>
                  </w:tcBorders>
                  <w:shd w:val="clear" w:color="auto" w:fill="auto"/>
                  <w:vAlign w:val="center"/>
                </w:tcPr>
                <w:p w14:paraId="561EB7EA">
                  <w:pPr>
                    <w:pStyle w:val="10"/>
                    <w:jc w:val="both"/>
                    <w:rPr>
                      <w:rFonts w:hint="default" w:cs="Times New Roman"/>
                      <w:color w:val="auto"/>
                      <w:kern w:val="0"/>
                      <w:sz w:val="21"/>
                      <w:szCs w:val="21"/>
                      <w:shd w:val="clear" w:color="auto" w:fill="auto"/>
                      <w:lang w:val="en-US" w:eastAsia="zh-CN" w:bidi="ar-SA"/>
                    </w:rPr>
                  </w:pPr>
                  <w:r>
                    <w:rPr>
                      <w:rFonts w:hint="eastAsia"/>
                      <w:color w:val="auto"/>
                      <w:sz w:val="21"/>
                      <w:szCs w:val="21"/>
                      <w:shd w:val="clear" w:color="auto" w:fill="auto"/>
                      <w:lang w:val="en-US" w:eastAsia="zh-CN"/>
                    </w:rPr>
                    <w:t>占地面积约186460.38</w:t>
                  </w:r>
                  <w:r>
                    <w:rPr>
                      <w:color w:val="auto"/>
                      <w:sz w:val="21"/>
                      <w:szCs w:val="21"/>
                      <w:shd w:val="clear" w:color="auto" w:fill="auto"/>
                    </w:rPr>
                    <w:t>m</w:t>
                  </w:r>
                  <w:r>
                    <w:rPr>
                      <w:color w:val="auto"/>
                      <w:sz w:val="21"/>
                      <w:szCs w:val="21"/>
                      <w:shd w:val="clear" w:color="auto" w:fill="auto"/>
                      <w:vertAlign w:val="superscript"/>
                    </w:rPr>
                    <w:t>2</w:t>
                  </w:r>
                  <w:r>
                    <w:rPr>
                      <w:rFonts w:hint="eastAsia" w:cs="Times New Roman"/>
                      <w:color w:val="auto"/>
                      <w:kern w:val="0"/>
                      <w:sz w:val="21"/>
                      <w:szCs w:val="21"/>
                      <w:shd w:val="clear" w:color="auto" w:fill="auto"/>
                      <w:lang w:val="en-US" w:eastAsia="zh-CN" w:bidi="ar-SA"/>
                    </w:rPr>
                    <w:t>，高12m，钢架结构，主要设置下料加工区、组合焊接区、喷砂区、表面处理区</w:t>
                  </w:r>
                  <w:r>
                    <w:rPr>
                      <w:rFonts w:hint="eastAsia" w:cs="Times New Roman"/>
                      <w:color w:val="auto"/>
                      <w:kern w:val="0"/>
                      <w:sz w:val="21"/>
                      <w:szCs w:val="21"/>
                      <w:shd w:val="clear" w:color="auto" w:fill="auto"/>
                      <w:lang w:val="en-US" w:eastAsia="zh-CN" w:bidi="ar-SA"/>
                    </w:rPr>
                    <w:t>等生产区，生产区设置于2号厂房西部，其他位置均为预留空地。2号厂房主要生产产品为车架、后平叉及方向把，三个产品产能均为50万套/a。</w:t>
                  </w:r>
                </w:p>
              </w:tc>
            </w:tr>
            <w:tr w14:paraId="4875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62" w:type="pct"/>
                  <w:vMerge w:val="continue"/>
                  <w:tcBorders>
                    <w:tl2br w:val="nil"/>
                    <w:tr2bl w:val="nil"/>
                  </w:tcBorders>
                  <w:vAlign w:val="center"/>
                </w:tcPr>
                <w:p w14:paraId="56B04CE6">
                  <w:pPr>
                    <w:pStyle w:val="92"/>
                    <w:spacing w:before="0" w:after="0" w:line="240" w:lineRule="auto"/>
                    <w:ind w:firstLine="0" w:firstLineChars="0"/>
                    <w:rPr>
                      <w:color w:val="auto"/>
                      <w:sz w:val="21"/>
                      <w:szCs w:val="21"/>
                      <w:shd w:val="clear" w:color="auto" w:fill="auto"/>
                      <w:lang w:val="zh-CN"/>
                    </w:rPr>
                  </w:pPr>
                </w:p>
              </w:tc>
              <w:tc>
                <w:tcPr>
                  <w:tcW w:w="471" w:type="pct"/>
                  <w:vMerge w:val="restart"/>
                  <w:tcBorders>
                    <w:tl2br w:val="nil"/>
                    <w:tr2bl w:val="nil"/>
                  </w:tcBorders>
                  <w:vAlign w:val="center"/>
                </w:tcPr>
                <w:p w14:paraId="3FA7D8D5">
                  <w:pPr>
                    <w:jc w:val="center"/>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其中</w:t>
                  </w:r>
                </w:p>
              </w:tc>
              <w:tc>
                <w:tcPr>
                  <w:tcW w:w="472" w:type="pct"/>
                  <w:tcBorders>
                    <w:tl2br w:val="nil"/>
                    <w:tr2bl w:val="nil"/>
                  </w:tcBorders>
                  <w:vAlign w:val="center"/>
                </w:tcPr>
                <w:p w14:paraId="5FD174A5">
                  <w:pPr>
                    <w:jc w:val="center"/>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下料加工区</w:t>
                  </w:r>
                </w:p>
              </w:tc>
              <w:tc>
                <w:tcPr>
                  <w:tcW w:w="3393" w:type="pct"/>
                  <w:tcBorders>
                    <w:tl2br w:val="nil"/>
                    <w:tr2bl w:val="nil"/>
                  </w:tcBorders>
                  <w:shd w:val="clear" w:color="auto" w:fill="auto"/>
                  <w:vAlign w:val="center"/>
                </w:tcPr>
                <w:p w14:paraId="2B4F2EA9">
                  <w:pPr>
                    <w:pStyle w:val="10"/>
                    <w:jc w:val="both"/>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位于生产区西部及中部，占地面积约3000</w:t>
                  </w:r>
                  <w:r>
                    <w:rPr>
                      <w:color w:val="auto"/>
                      <w:sz w:val="21"/>
                      <w:szCs w:val="21"/>
                      <w:shd w:val="clear" w:color="auto" w:fill="auto"/>
                    </w:rPr>
                    <w:t>m</w:t>
                  </w:r>
                  <w:r>
                    <w:rPr>
                      <w:color w:val="auto"/>
                      <w:sz w:val="21"/>
                      <w:szCs w:val="21"/>
                      <w:shd w:val="clear" w:color="auto" w:fill="auto"/>
                      <w:vertAlign w:val="superscript"/>
                    </w:rPr>
                    <w:t>2</w:t>
                  </w:r>
                  <w:r>
                    <w:rPr>
                      <w:rFonts w:hint="eastAsia" w:cs="Times New Roman"/>
                      <w:color w:val="auto"/>
                      <w:kern w:val="0"/>
                      <w:sz w:val="21"/>
                      <w:szCs w:val="21"/>
                      <w:shd w:val="clear" w:color="auto" w:fill="auto"/>
                      <w:lang w:val="en-US" w:eastAsia="zh-CN" w:bidi="ar-SA"/>
                    </w:rPr>
                    <w:t>，设置下料机、弯管机、车床、冲压机等设备。</w:t>
                  </w:r>
                </w:p>
              </w:tc>
            </w:tr>
            <w:tr w14:paraId="4D2D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pct"/>
                  <w:vMerge w:val="continue"/>
                  <w:tcBorders>
                    <w:tl2br w:val="nil"/>
                    <w:tr2bl w:val="nil"/>
                  </w:tcBorders>
                  <w:vAlign w:val="center"/>
                </w:tcPr>
                <w:p w14:paraId="1A941809">
                  <w:pPr>
                    <w:pStyle w:val="92"/>
                    <w:spacing w:before="0" w:after="0" w:line="240" w:lineRule="auto"/>
                    <w:ind w:firstLine="0" w:firstLineChars="0"/>
                    <w:rPr>
                      <w:color w:val="auto"/>
                      <w:sz w:val="21"/>
                      <w:szCs w:val="21"/>
                      <w:shd w:val="clear" w:color="auto" w:fill="auto"/>
                      <w:lang w:val="zh-CN"/>
                    </w:rPr>
                  </w:pPr>
                </w:p>
              </w:tc>
              <w:tc>
                <w:tcPr>
                  <w:tcW w:w="471" w:type="pct"/>
                  <w:vMerge w:val="continue"/>
                  <w:tcBorders>
                    <w:tl2br w:val="nil"/>
                    <w:tr2bl w:val="nil"/>
                  </w:tcBorders>
                  <w:vAlign w:val="center"/>
                </w:tcPr>
                <w:p w14:paraId="0F515C28">
                  <w:pPr>
                    <w:jc w:val="center"/>
                    <w:rPr>
                      <w:rFonts w:hint="eastAsia"/>
                      <w:color w:val="auto"/>
                      <w:sz w:val="21"/>
                      <w:szCs w:val="21"/>
                      <w:shd w:val="clear" w:color="auto" w:fill="auto"/>
                      <w:lang w:val="en-US" w:eastAsia="zh-CN"/>
                    </w:rPr>
                  </w:pPr>
                </w:p>
              </w:tc>
              <w:tc>
                <w:tcPr>
                  <w:tcW w:w="472" w:type="pct"/>
                  <w:tcBorders>
                    <w:tl2br w:val="nil"/>
                    <w:tr2bl w:val="nil"/>
                  </w:tcBorders>
                  <w:vAlign w:val="center"/>
                </w:tcPr>
                <w:p w14:paraId="316F45DB">
                  <w:pPr>
                    <w:jc w:val="center"/>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组合焊接区</w:t>
                  </w:r>
                </w:p>
              </w:tc>
              <w:tc>
                <w:tcPr>
                  <w:tcW w:w="3393" w:type="pct"/>
                  <w:tcBorders>
                    <w:tl2br w:val="nil"/>
                    <w:tr2bl w:val="nil"/>
                  </w:tcBorders>
                  <w:shd w:val="clear" w:color="auto" w:fill="auto"/>
                  <w:vAlign w:val="center"/>
                </w:tcPr>
                <w:p w14:paraId="57E96198">
                  <w:pPr>
                    <w:pStyle w:val="10"/>
                    <w:jc w:val="both"/>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位于生产区东北部，占地面积约2000</w:t>
                  </w:r>
                  <w:r>
                    <w:rPr>
                      <w:color w:val="auto"/>
                      <w:sz w:val="21"/>
                      <w:szCs w:val="21"/>
                      <w:shd w:val="clear" w:color="auto" w:fill="auto"/>
                    </w:rPr>
                    <w:t>m</w:t>
                  </w:r>
                  <w:r>
                    <w:rPr>
                      <w:color w:val="auto"/>
                      <w:sz w:val="21"/>
                      <w:szCs w:val="21"/>
                      <w:shd w:val="clear" w:color="auto" w:fill="auto"/>
                      <w:vertAlign w:val="superscript"/>
                    </w:rPr>
                    <w:t>2</w:t>
                  </w:r>
                  <w:r>
                    <w:rPr>
                      <w:rFonts w:hint="eastAsia" w:cs="Times New Roman"/>
                      <w:color w:val="auto"/>
                      <w:kern w:val="0"/>
                      <w:sz w:val="21"/>
                      <w:szCs w:val="21"/>
                      <w:shd w:val="clear" w:color="auto" w:fill="auto"/>
                      <w:lang w:val="en-US" w:eastAsia="zh-CN" w:bidi="ar-SA"/>
                    </w:rPr>
                    <w:t>，设置人工焊房等焊接设备。</w:t>
                  </w:r>
                </w:p>
              </w:tc>
            </w:tr>
            <w:tr w14:paraId="6EAAB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662" w:type="pct"/>
                  <w:vMerge w:val="continue"/>
                  <w:tcBorders>
                    <w:tl2br w:val="nil"/>
                    <w:tr2bl w:val="nil"/>
                  </w:tcBorders>
                  <w:vAlign w:val="center"/>
                </w:tcPr>
                <w:p w14:paraId="7D2C3D4F">
                  <w:pPr>
                    <w:pStyle w:val="92"/>
                    <w:spacing w:before="0" w:after="0" w:line="240" w:lineRule="auto"/>
                    <w:ind w:firstLine="0" w:firstLineChars="0"/>
                    <w:rPr>
                      <w:color w:val="auto"/>
                      <w:sz w:val="21"/>
                      <w:szCs w:val="21"/>
                      <w:shd w:val="clear" w:color="auto" w:fill="auto"/>
                      <w:lang w:val="zh-CN"/>
                    </w:rPr>
                  </w:pPr>
                </w:p>
              </w:tc>
              <w:tc>
                <w:tcPr>
                  <w:tcW w:w="471" w:type="pct"/>
                  <w:vMerge w:val="continue"/>
                  <w:tcBorders>
                    <w:tl2br w:val="nil"/>
                    <w:tr2bl w:val="nil"/>
                  </w:tcBorders>
                  <w:vAlign w:val="center"/>
                </w:tcPr>
                <w:p w14:paraId="70917799">
                  <w:pPr>
                    <w:jc w:val="center"/>
                    <w:rPr>
                      <w:rFonts w:hint="eastAsia"/>
                      <w:color w:val="auto"/>
                      <w:sz w:val="21"/>
                      <w:szCs w:val="21"/>
                      <w:shd w:val="clear" w:color="auto" w:fill="auto"/>
                      <w:lang w:val="en-US" w:eastAsia="zh-CN"/>
                    </w:rPr>
                  </w:pPr>
                </w:p>
              </w:tc>
              <w:tc>
                <w:tcPr>
                  <w:tcW w:w="472" w:type="pct"/>
                  <w:tcBorders>
                    <w:tl2br w:val="nil"/>
                    <w:tr2bl w:val="nil"/>
                  </w:tcBorders>
                  <w:vAlign w:val="center"/>
                </w:tcPr>
                <w:p w14:paraId="0484AE96">
                  <w:pPr>
                    <w:jc w:val="center"/>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喷砂区</w:t>
                  </w:r>
                </w:p>
              </w:tc>
              <w:tc>
                <w:tcPr>
                  <w:tcW w:w="3393" w:type="pct"/>
                  <w:tcBorders>
                    <w:tl2br w:val="nil"/>
                    <w:tr2bl w:val="nil"/>
                  </w:tcBorders>
                  <w:shd w:val="clear" w:color="auto" w:fill="auto"/>
                  <w:vAlign w:val="center"/>
                </w:tcPr>
                <w:p w14:paraId="62385DA9">
                  <w:pPr>
                    <w:pStyle w:val="10"/>
                    <w:jc w:val="both"/>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位于生产区东南角，占地面积约500</w:t>
                  </w:r>
                  <w:r>
                    <w:rPr>
                      <w:color w:val="auto"/>
                      <w:sz w:val="21"/>
                      <w:szCs w:val="21"/>
                      <w:shd w:val="clear" w:color="auto" w:fill="auto"/>
                    </w:rPr>
                    <w:t>m</w:t>
                  </w:r>
                  <w:r>
                    <w:rPr>
                      <w:color w:val="auto"/>
                      <w:sz w:val="21"/>
                      <w:szCs w:val="21"/>
                      <w:shd w:val="clear" w:color="auto" w:fill="auto"/>
                      <w:vertAlign w:val="superscript"/>
                    </w:rPr>
                    <w:t>2</w:t>
                  </w:r>
                  <w:r>
                    <w:rPr>
                      <w:rFonts w:hint="eastAsia" w:cs="Times New Roman"/>
                      <w:color w:val="auto"/>
                      <w:kern w:val="0"/>
                      <w:sz w:val="21"/>
                      <w:szCs w:val="21"/>
                      <w:shd w:val="clear" w:color="auto" w:fill="auto"/>
                      <w:lang w:val="en-US" w:eastAsia="zh-CN" w:bidi="ar-SA"/>
                    </w:rPr>
                    <w:t>，设置喷砂机。</w:t>
                  </w:r>
                </w:p>
              </w:tc>
            </w:tr>
            <w:tr w14:paraId="1C3B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62" w:type="pct"/>
                  <w:vMerge w:val="continue"/>
                  <w:tcBorders>
                    <w:tl2br w:val="nil"/>
                    <w:tr2bl w:val="nil"/>
                  </w:tcBorders>
                  <w:vAlign w:val="center"/>
                </w:tcPr>
                <w:p w14:paraId="74571AC5">
                  <w:pPr>
                    <w:pStyle w:val="92"/>
                    <w:spacing w:before="0" w:after="0" w:line="240" w:lineRule="auto"/>
                    <w:ind w:firstLine="0" w:firstLineChars="0"/>
                    <w:rPr>
                      <w:color w:val="auto"/>
                      <w:sz w:val="21"/>
                      <w:szCs w:val="21"/>
                      <w:shd w:val="clear" w:color="auto" w:fill="auto"/>
                      <w:lang w:val="zh-CN"/>
                    </w:rPr>
                  </w:pPr>
                </w:p>
              </w:tc>
              <w:tc>
                <w:tcPr>
                  <w:tcW w:w="471" w:type="pct"/>
                  <w:vMerge w:val="continue"/>
                  <w:tcBorders>
                    <w:tl2br w:val="nil"/>
                    <w:tr2bl w:val="nil"/>
                  </w:tcBorders>
                  <w:vAlign w:val="center"/>
                </w:tcPr>
                <w:p w14:paraId="1DAAF33B">
                  <w:pPr>
                    <w:jc w:val="center"/>
                    <w:rPr>
                      <w:rFonts w:hint="eastAsia"/>
                      <w:color w:val="auto"/>
                      <w:sz w:val="21"/>
                      <w:szCs w:val="21"/>
                      <w:shd w:val="clear" w:color="auto" w:fill="auto"/>
                      <w:lang w:val="en-US" w:eastAsia="zh-CN"/>
                    </w:rPr>
                  </w:pPr>
                </w:p>
              </w:tc>
              <w:tc>
                <w:tcPr>
                  <w:tcW w:w="472" w:type="pct"/>
                  <w:tcBorders>
                    <w:tl2br w:val="nil"/>
                    <w:tr2bl w:val="nil"/>
                  </w:tcBorders>
                  <w:vAlign w:val="center"/>
                </w:tcPr>
                <w:p w14:paraId="741A5091">
                  <w:pPr>
                    <w:jc w:val="center"/>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表面处理区</w:t>
                  </w:r>
                </w:p>
              </w:tc>
              <w:tc>
                <w:tcPr>
                  <w:tcW w:w="3393" w:type="pct"/>
                  <w:tcBorders>
                    <w:tl2br w:val="nil"/>
                    <w:tr2bl w:val="nil"/>
                  </w:tcBorders>
                  <w:shd w:val="clear" w:color="auto" w:fill="auto"/>
                  <w:vAlign w:val="center"/>
                </w:tcPr>
                <w:p w14:paraId="07EBB543">
                  <w:pPr>
                    <w:pStyle w:val="10"/>
                    <w:jc w:val="both"/>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位于生产区中部，占地面积约5000</w:t>
                  </w:r>
                  <w:r>
                    <w:rPr>
                      <w:color w:val="auto"/>
                      <w:sz w:val="21"/>
                      <w:szCs w:val="21"/>
                      <w:shd w:val="clear" w:color="auto" w:fill="auto"/>
                    </w:rPr>
                    <w:t>m</w:t>
                  </w:r>
                  <w:r>
                    <w:rPr>
                      <w:color w:val="auto"/>
                      <w:sz w:val="21"/>
                      <w:szCs w:val="21"/>
                      <w:shd w:val="clear" w:color="auto" w:fill="auto"/>
                      <w:vertAlign w:val="superscript"/>
                    </w:rPr>
                    <w:t>2</w:t>
                  </w:r>
                  <w:r>
                    <w:rPr>
                      <w:rFonts w:hint="eastAsia" w:cs="Times New Roman"/>
                      <w:color w:val="auto"/>
                      <w:kern w:val="0"/>
                      <w:sz w:val="21"/>
                      <w:szCs w:val="21"/>
                      <w:shd w:val="clear" w:color="auto" w:fill="auto"/>
                      <w:lang w:val="en-US" w:eastAsia="zh-CN" w:bidi="ar-SA"/>
                    </w:rPr>
                    <w:t>，设置通过式多室联合清洗机，包含脱脂、表调、磷化、电泳、清洗、滴水等处理区域。</w:t>
                  </w:r>
                </w:p>
              </w:tc>
            </w:tr>
            <w:tr w14:paraId="0C37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pct"/>
                  <w:vMerge w:val="continue"/>
                  <w:tcBorders>
                    <w:tl2br w:val="nil"/>
                    <w:tr2bl w:val="nil"/>
                  </w:tcBorders>
                  <w:vAlign w:val="center"/>
                </w:tcPr>
                <w:p w14:paraId="0F185581">
                  <w:pPr>
                    <w:pStyle w:val="92"/>
                    <w:spacing w:before="0" w:after="0" w:line="240" w:lineRule="auto"/>
                    <w:ind w:firstLine="0" w:firstLineChars="0"/>
                    <w:rPr>
                      <w:color w:val="auto"/>
                      <w:sz w:val="21"/>
                      <w:szCs w:val="21"/>
                      <w:shd w:val="clear" w:color="auto" w:fill="auto"/>
                      <w:lang w:val="zh-CN"/>
                    </w:rPr>
                  </w:pPr>
                </w:p>
              </w:tc>
              <w:tc>
                <w:tcPr>
                  <w:tcW w:w="471" w:type="pct"/>
                  <w:vMerge w:val="continue"/>
                  <w:tcBorders>
                    <w:tl2br w:val="nil"/>
                    <w:tr2bl w:val="nil"/>
                  </w:tcBorders>
                  <w:vAlign w:val="center"/>
                </w:tcPr>
                <w:p w14:paraId="531FC310">
                  <w:pPr>
                    <w:jc w:val="center"/>
                    <w:rPr>
                      <w:rFonts w:hint="eastAsia"/>
                      <w:color w:val="auto"/>
                      <w:sz w:val="21"/>
                      <w:szCs w:val="21"/>
                      <w:shd w:val="clear" w:color="auto" w:fill="auto"/>
                      <w:lang w:val="en-US" w:eastAsia="zh-CN"/>
                    </w:rPr>
                  </w:pPr>
                </w:p>
              </w:tc>
              <w:tc>
                <w:tcPr>
                  <w:tcW w:w="472" w:type="pct"/>
                  <w:tcBorders>
                    <w:tl2br w:val="nil"/>
                    <w:tr2bl w:val="nil"/>
                  </w:tcBorders>
                  <w:vAlign w:val="center"/>
                </w:tcPr>
                <w:p w14:paraId="542FA71A">
                  <w:pPr>
                    <w:jc w:val="center"/>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喷粉区</w:t>
                  </w:r>
                </w:p>
              </w:tc>
              <w:tc>
                <w:tcPr>
                  <w:tcW w:w="3393" w:type="pct"/>
                  <w:tcBorders>
                    <w:tl2br w:val="nil"/>
                    <w:tr2bl w:val="nil"/>
                  </w:tcBorders>
                  <w:shd w:val="clear" w:color="auto" w:fill="auto"/>
                  <w:vAlign w:val="center"/>
                </w:tcPr>
                <w:p w14:paraId="62BB4043">
                  <w:pPr>
                    <w:pStyle w:val="10"/>
                    <w:jc w:val="both"/>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位于表面处理区南面，占地面积约500</w:t>
                  </w:r>
                  <w:r>
                    <w:rPr>
                      <w:color w:val="auto"/>
                      <w:sz w:val="21"/>
                      <w:szCs w:val="21"/>
                      <w:shd w:val="clear" w:color="auto" w:fill="auto"/>
                    </w:rPr>
                    <w:t>m</w:t>
                  </w:r>
                  <w:r>
                    <w:rPr>
                      <w:color w:val="auto"/>
                      <w:sz w:val="21"/>
                      <w:szCs w:val="21"/>
                      <w:shd w:val="clear" w:color="auto" w:fill="auto"/>
                      <w:vertAlign w:val="superscript"/>
                    </w:rPr>
                    <w:t>2</w:t>
                  </w:r>
                  <w:r>
                    <w:rPr>
                      <w:rFonts w:hint="eastAsia" w:cs="Times New Roman"/>
                      <w:color w:val="auto"/>
                      <w:kern w:val="0"/>
                      <w:sz w:val="21"/>
                      <w:szCs w:val="21"/>
                      <w:shd w:val="clear" w:color="auto" w:fill="auto"/>
                      <w:lang w:val="en-US" w:eastAsia="zh-CN" w:bidi="ar-SA"/>
                    </w:rPr>
                    <w:t>，设置一间喷粉室、一间烘干室。</w:t>
                  </w:r>
                </w:p>
              </w:tc>
            </w:tr>
            <w:tr w14:paraId="2B533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pct"/>
                  <w:vMerge w:val="continue"/>
                  <w:tcBorders>
                    <w:tl2br w:val="nil"/>
                    <w:tr2bl w:val="nil"/>
                  </w:tcBorders>
                  <w:vAlign w:val="center"/>
                </w:tcPr>
                <w:p w14:paraId="639BAB7E">
                  <w:pPr>
                    <w:pStyle w:val="10"/>
                    <w:jc w:val="both"/>
                    <w:rPr>
                      <w:color w:val="auto"/>
                    </w:rPr>
                  </w:pPr>
                </w:p>
              </w:tc>
              <w:tc>
                <w:tcPr>
                  <w:tcW w:w="471" w:type="pct"/>
                  <w:vMerge w:val="continue"/>
                  <w:tcBorders>
                    <w:tl2br w:val="nil"/>
                    <w:tr2bl w:val="nil"/>
                  </w:tcBorders>
                  <w:vAlign w:val="center"/>
                </w:tcPr>
                <w:p w14:paraId="305D285E">
                  <w:pPr>
                    <w:pStyle w:val="10"/>
                    <w:jc w:val="both"/>
                    <w:rPr>
                      <w:color w:val="auto"/>
                    </w:rPr>
                  </w:pPr>
                </w:p>
              </w:tc>
              <w:tc>
                <w:tcPr>
                  <w:tcW w:w="472" w:type="pct"/>
                  <w:tcBorders>
                    <w:tl2br w:val="nil"/>
                    <w:tr2bl w:val="nil"/>
                  </w:tcBorders>
                  <w:vAlign w:val="center"/>
                </w:tcPr>
                <w:p w14:paraId="55F8F6A9">
                  <w:pPr>
                    <w:pStyle w:val="10"/>
                    <w:jc w:val="both"/>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烘干区</w:t>
                  </w:r>
                </w:p>
              </w:tc>
              <w:tc>
                <w:tcPr>
                  <w:tcW w:w="3393" w:type="pct"/>
                  <w:tcBorders>
                    <w:tl2br w:val="nil"/>
                    <w:tr2bl w:val="nil"/>
                  </w:tcBorders>
                  <w:shd w:val="clear" w:color="auto" w:fill="auto"/>
                  <w:vAlign w:val="center"/>
                </w:tcPr>
                <w:p w14:paraId="325D92D4">
                  <w:pPr>
                    <w:pStyle w:val="10"/>
                    <w:jc w:val="both"/>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位于喷粉区东面，占地面积约500</w:t>
                  </w:r>
                  <w:r>
                    <w:rPr>
                      <w:color w:val="auto"/>
                      <w:sz w:val="21"/>
                      <w:szCs w:val="21"/>
                      <w:shd w:val="clear" w:color="auto" w:fill="auto"/>
                    </w:rPr>
                    <w:t>m</w:t>
                  </w:r>
                  <w:r>
                    <w:rPr>
                      <w:color w:val="auto"/>
                      <w:sz w:val="21"/>
                      <w:szCs w:val="21"/>
                      <w:shd w:val="clear" w:color="auto" w:fill="auto"/>
                      <w:vertAlign w:val="superscript"/>
                    </w:rPr>
                    <w:t>2</w:t>
                  </w:r>
                  <w:r>
                    <w:rPr>
                      <w:rFonts w:hint="eastAsia" w:cs="Times New Roman"/>
                      <w:color w:val="auto"/>
                      <w:kern w:val="0"/>
                      <w:sz w:val="21"/>
                      <w:szCs w:val="21"/>
                      <w:shd w:val="clear" w:color="auto" w:fill="auto"/>
                      <w:lang w:val="en-US" w:eastAsia="zh-CN" w:bidi="ar-SA"/>
                    </w:rPr>
                    <w:t>，用于工件电泳后烘干。</w:t>
                  </w:r>
                </w:p>
              </w:tc>
            </w:tr>
            <w:tr w14:paraId="0992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662" w:type="pct"/>
                  <w:vMerge w:val="continue"/>
                  <w:tcBorders>
                    <w:tl2br w:val="nil"/>
                    <w:tr2bl w:val="nil"/>
                  </w:tcBorders>
                  <w:vAlign w:val="center"/>
                </w:tcPr>
                <w:p w14:paraId="26097639">
                  <w:pPr>
                    <w:pStyle w:val="10"/>
                    <w:jc w:val="center"/>
                    <w:rPr>
                      <w:color w:val="auto"/>
                    </w:rPr>
                  </w:pPr>
                </w:p>
              </w:tc>
              <w:tc>
                <w:tcPr>
                  <w:tcW w:w="944" w:type="pct"/>
                  <w:gridSpan w:val="2"/>
                  <w:tcBorders>
                    <w:tl2br w:val="nil"/>
                    <w:tr2bl w:val="nil"/>
                  </w:tcBorders>
                  <w:vAlign w:val="center"/>
                </w:tcPr>
                <w:p w14:paraId="4A65FCC4">
                  <w:pPr>
                    <w:pStyle w:val="10"/>
                    <w:jc w:val="center"/>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3号厂房</w:t>
                  </w:r>
                </w:p>
              </w:tc>
              <w:tc>
                <w:tcPr>
                  <w:tcW w:w="3393" w:type="pct"/>
                  <w:tcBorders>
                    <w:tl2br w:val="nil"/>
                    <w:tr2bl w:val="nil"/>
                  </w:tcBorders>
                  <w:shd w:val="clear" w:color="auto" w:fill="auto"/>
                  <w:vAlign w:val="center"/>
                </w:tcPr>
                <w:p w14:paraId="469503A4">
                  <w:pPr>
                    <w:pStyle w:val="10"/>
                    <w:jc w:val="both"/>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占地面积约186460.38</w:t>
                  </w:r>
                  <w:r>
                    <w:rPr>
                      <w:color w:val="auto"/>
                      <w:sz w:val="21"/>
                      <w:szCs w:val="21"/>
                      <w:shd w:val="clear" w:color="auto" w:fill="auto"/>
                    </w:rPr>
                    <w:t>m</w:t>
                  </w:r>
                  <w:r>
                    <w:rPr>
                      <w:color w:val="auto"/>
                      <w:sz w:val="21"/>
                      <w:szCs w:val="21"/>
                      <w:shd w:val="clear" w:color="auto" w:fill="auto"/>
                      <w:vertAlign w:val="superscript"/>
                    </w:rPr>
                    <w:t>2</w:t>
                  </w:r>
                  <w:r>
                    <w:rPr>
                      <w:rFonts w:hint="eastAsia" w:cs="Times New Roman"/>
                      <w:color w:val="auto"/>
                      <w:kern w:val="0"/>
                      <w:sz w:val="21"/>
                      <w:szCs w:val="21"/>
                      <w:shd w:val="clear" w:color="auto" w:fill="auto"/>
                      <w:lang w:val="en-US" w:eastAsia="zh-CN" w:bidi="ar-SA"/>
                    </w:rPr>
                    <w:t>，高12m，钢架结构，主要设置原料区、成品区、成品组装线等生产区域，生产区设置于3号厂房西部，其他位置均为预留空地。3号厂房主要生产线为电动助动车成品组装，产能为50万台/a。</w:t>
                  </w:r>
                </w:p>
              </w:tc>
            </w:tr>
            <w:tr w14:paraId="3EBB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62" w:type="pct"/>
                  <w:vMerge w:val="restart"/>
                  <w:tcBorders>
                    <w:tl2br w:val="nil"/>
                    <w:tr2bl w:val="nil"/>
                  </w:tcBorders>
                  <w:vAlign w:val="center"/>
                </w:tcPr>
                <w:p w14:paraId="3C0984D9">
                  <w:pPr>
                    <w:pStyle w:val="92"/>
                    <w:spacing w:before="0" w:after="0" w:line="240" w:lineRule="auto"/>
                    <w:ind w:firstLine="0" w:firstLineChars="0"/>
                    <w:rPr>
                      <w:rFonts w:hint="default" w:eastAsia="宋体"/>
                      <w:color w:val="auto"/>
                      <w:sz w:val="21"/>
                      <w:szCs w:val="21"/>
                      <w:shd w:val="clear" w:color="auto" w:fill="auto"/>
                      <w:lang w:val="en-US" w:eastAsia="zh-CN"/>
                    </w:rPr>
                  </w:pPr>
                  <w:r>
                    <w:rPr>
                      <w:rFonts w:hint="eastAsia"/>
                      <w:color w:val="auto"/>
                      <w:sz w:val="21"/>
                      <w:szCs w:val="21"/>
                      <w:shd w:val="clear" w:color="auto" w:fill="auto"/>
                      <w:lang w:val="en-US" w:eastAsia="zh-CN"/>
                    </w:rPr>
                    <w:t>储运工程</w:t>
                  </w:r>
                </w:p>
              </w:tc>
              <w:tc>
                <w:tcPr>
                  <w:tcW w:w="944" w:type="pct"/>
                  <w:gridSpan w:val="2"/>
                  <w:tcBorders>
                    <w:tl2br w:val="nil"/>
                    <w:tr2bl w:val="nil"/>
                  </w:tcBorders>
                  <w:shd w:val="clear" w:color="auto" w:fill="auto"/>
                  <w:vAlign w:val="center"/>
                </w:tcPr>
                <w:p w14:paraId="05BF7250">
                  <w:pPr>
                    <w:jc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kern w:val="0"/>
                      <w:sz w:val="21"/>
                      <w:szCs w:val="21"/>
                      <w:shd w:val="clear" w:color="auto" w:fill="auto"/>
                      <w:lang w:val="en-US" w:eastAsia="zh-CN" w:bidi="ar-SA"/>
                    </w:rPr>
                    <w:t>原料区</w:t>
                  </w:r>
                </w:p>
              </w:tc>
              <w:tc>
                <w:tcPr>
                  <w:tcW w:w="3393" w:type="pct"/>
                  <w:tcBorders>
                    <w:tl2br w:val="nil"/>
                    <w:tr2bl w:val="nil"/>
                  </w:tcBorders>
                  <w:shd w:val="clear" w:color="auto" w:fill="auto"/>
                  <w:vAlign w:val="center"/>
                </w:tcPr>
                <w:p w14:paraId="0761735E">
                  <w:pPr>
                    <w:pStyle w:val="10"/>
                    <w:jc w:val="both"/>
                    <w:rPr>
                      <w:rFonts w:hint="default" w:ascii="Times New Roman" w:hAnsi="Times New Roman" w:eastAsia="宋体" w:cs="Times New Roman"/>
                      <w:color w:val="auto"/>
                      <w:kern w:val="0"/>
                      <w:sz w:val="21"/>
                      <w:szCs w:val="21"/>
                      <w:shd w:val="clear" w:color="auto" w:fill="auto"/>
                      <w:lang w:val="en-US" w:eastAsia="zh-CN" w:bidi="ar-SA"/>
                    </w:rPr>
                  </w:pPr>
                  <w:r>
                    <w:rPr>
                      <w:rFonts w:hint="eastAsia"/>
                      <w:color w:val="auto"/>
                      <w:sz w:val="21"/>
                      <w:szCs w:val="21"/>
                      <w:shd w:val="clear" w:color="auto" w:fill="auto"/>
                      <w:lang w:val="en-US" w:eastAsia="zh-CN"/>
                    </w:rPr>
                    <w:t>位于3号厂房北部，占地面积约2000</w:t>
                  </w:r>
                  <w:r>
                    <w:rPr>
                      <w:color w:val="auto"/>
                      <w:sz w:val="21"/>
                      <w:szCs w:val="21"/>
                      <w:shd w:val="clear" w:color="auto" w:fill="auto"/>
                    </w:rPr>
                    <w:t>m</w:t>
                  </w:r>
                  <w:r>
                    <w:rPr>
                      <w:color w:val="auto"/>
                      <w:sz w:val="21"/>
                      <w:szCs w:val="21"/>
                      <w:shd w:val="clear" w:color="auto" w:fill="auto"/>
                      <w:vertAlign w:val="superscript"/>
                    </w:rPr>
                    <w:t>2</w:t>
                  </w:r>
                  <w:r>
                    <w:rPr>
                      <w:rFonts w:hint="eastAsia" w:cs="Times New Roman"/>
                      <w:color w:val="auto"/>
                      <w:kern w:val="0"/>
                      <w:sz w:val="21"/>
                      <w:szCs w:val="21"/>
                      <w:shd w:val="clear" w:color="auto" w:fill="auto"/>
                      <w:lang w:val="en-US" w:eastAsia="zh-CN" w:bidi="ar-SA"/>
                    </w:rPr>
                    <w:t>，用于原材料存放。</w:t>
                  </w:r>
                </w:p>
              </w:tc>
            </w:tr>
            <w:tr w14:paraId="03CE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pct"/>
                  <w:vMerge w:val="continue"/>
                  <w:tcBorders>
                    <w:tl2br w:val="nil"/>
                    <w:tr2bl w:val="nil"/>
                  </w:tcBorders>
                  <w:vAlign w:val="center"/>
                </w:tcPr>
                <w:p w14:paraId="10261620">
                  <w:pPr>
                    <w:pStyle w:val="92"/>
                    <w:spacing w:before="0" w:after="0" w:line="240" w:lineRule="auto"/>
                    <w:ind w:firstLine="0" w:firstLineChars="0"/>
                    <w:rPr>
                      <w:rFonts w:hint="eastAsia"/>
                      <w:color w:val="auto"/>
                      <w:sz w:val="21"/>
                      <w:szCs w:val="21"/>
                      <w:shd w:val="clear" w:color="auto" w:fill="auto"/>
                      <w:lang w:val="en-US" w:eastAsia="zh-CN"/>
                    </w:rPr>
                  </w:pPr>
                </w:p>
              </w:tc>
              <w:tc>
                <w:tcPr>
                  <w:tcW w:w="944" w:type="pct"/>
                  <w:gridSpan w:val="2"/>
                  <w:tcBorders>
                    <w:tl2br w:val="nil"/>
                    <w:tr2bl w:val="nil"/>
                  </w:tcBorders>
                  <w:vAlign w:val="center"/>
                </w:tcPr>
                <w:p w14:paraId="69B1347F">
                  <w:pPr>
                    <w:jc w:val="center"/>
                    <w:rPr>
                      <w:rFonts w:hint="default"/>
                      <w:color w:val="auto"/>
                      <w:sz w:val="21"/>
                      <w:szCs w:val="21"/>
                      <w:shd w:val="clear" w:color="auto" w:fill="auto"/>
                      <w:lang w:val="en-US" w:eastAsia="zh-CN"/>
                    </w:rPr>
                  </w:pPr>
                  <w:r>
                    <w:rPr>
                      <w:rFonts w:hint="eastAsia" w:cs="Times New Roman"/>
                      <w:color w:val="auto"/>
                      <w:kern w:val="0"/>
                      <w:sz w:val="21"/>
                      <w:szCs w:val="21"/>
                      <w:shd w:val="clear" w:color="auto" w:fill="auto"/>
                      <w:lang w:val="en-US" w:eastAsia="zh-CN" w:bidi="ar-SA"/>
                    </w:rPr>
                    <w:t>成品区</w:t>
                  </w:r>
                </w:p>
              </w:tc>
              <w:tc>
                <w:tcPr>
                  <w:tcW w:w="3393" w:type="pct"/>
                  <w:tcBorders>
                    <w:tl2br w:val="nil"/>
                    <w:tr2bl w:val="nil"/>
                  </w:tcBorders>
                  <w:shd w:val="clear" w:color="auto" w:fill="auto"/>
                  <w:vAlign w:val="center"/>
                </w:tcPr>
                <w:p w14:paraId="3707663D">
                  <w:pPr>
                    <w:pStyle w:val="10"/>
                    <w:jc w:val="both"/>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位于3号厂房南部，占地面积约3000</w:t>
                  </w:r>
                  <w:r>
                    <w:rPr>
                      <w:color w:val="auto"/>
                      <w:sz w:val="21"/>
                      <w:szCs w:val="21"/>
                      <w:shd w:val="clear" w:color="auto" w:fill="auto"/>
                    </w:rPr>
                    <w:t>m</w:t>
                  </w:r>
                  <w:r>
                    <w:rPr>
                      <w:color w:val="auto"/>
                      <w:sz w:val="21"/>
                      <w:szCs w:val="21"/>
                      <w:shd w:val="clear" w:color="auto" w:fill="auto"/>
                      <w:vertAlign w:val="superscript"/>
                    </w:rPr>
                    <w:t>2</w:t>
                  </w:r>
                  <w:r>
                    <w:rPr>
                      <w:rFonts w:hint="eastAsia" w:cs="Times New Roman"/>
                      <w:color w:val="auto"/>
                      <w:kern w:val="0"/>
                      <w:sz w:val="21"/>
                      <w:szCs w:val="21"/>
                      <w:shd w:val="clear" w:color="auto" w:fill="auto"/>
                      <w:lang w:val="en-US" w:eastAsia="zh-CN" w:bidi="ar-SA"/>
                    </w:rPr>
                    <w:t>，用于堆放成品。</w:t>
                  </w:r>
                </w:p>
              </w:tc>
            </w:tr>
            <w:tr w14:paraId="40EA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62" w:type="pct"/>
                  <w:vMerge w:val="restart"/>
                  <w:tcBorders>
                    <w:tl2br w:val="nil"/>
                    <w:tr2bl w:val="nil"/>
                  </w:tcBorders>
                  <w:vAlign w:val="center"/>
                </w:tcPr>
                <w:p w14:paraId="64A6D531">
                  <w:pPr>
                    <w:pStyle w:val="92"/>
                    <w:spacing w:before="0" w:after="0" w:line="240" w:lineRule="auto"/>
                    <w:ind w:firstLine="0" w:firstLineChars="0"/>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辅助工程</w:t>
                  </w:r>
                </w:p>
              </w:tc>
              <w:tc>
                <w:tcPr>
                  <w:tcW w:w="944" w:type="pct"/>
                  <w:gridSpan w:val="2"/>
                  <w:tcBorders>
                    <w:tl2br w:val="nil"/>
                    <w:tr2bl w:val="nil"/>
                  </w:tcBorders>
                  <w:vAlign w:val="center"/>
                </w:tcPr>
                <w:p w14:paraId="4913EA85">
                  <w:pPr>
                    <w:jc w:val="center"/>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办公室</w:t>
                  </w:r>
                </w:p>
              </w:tc>
              <w:tc>
                <w:tcPr>
                  <w:tcW w:w="3393" w:type="pct"/>
                  <w:tcBorders>
                    <w:tl2br w:val="nil"/>
                    <w:tr2bl w:val="nil"/>
                  </w:tcBorders>
                  <w:shd w:val="clear" w:color="auto" w:fill="auto"/>
                  <w:vAlign w:val="center"/>
                </w:tcPr>
                <w:p w14:paraId="6DDB66C4">
                  <w:pPr>
                    <w:pStyle w:val="10"/>
                    <w:jc w:val="both"/>
                    <w:rPr>
                      <w:rFonts w:hint="eastAsia" w:eastAsia="宋体"/>
                      <w:color w:val="auto"/>
                      <w:sz w:val="21"/>
                      <w:szCs w:val="21"/>
                      <w:shd w:val="clear" w:color="auto" w:fill="auto"/>
                      <w:vertAlign w:val="baseline"/>
                      <w:lang w:val="en-US" w:eastAsia="zh-CN"/>
                    </w:rPr>
                  </w:pPr>
                  <w:r>
                    <w:rPr>
                      <w:rFonts w:hint="eastAsia"/>
                      <w:color w:val="auto"/>
                      <w:sz w:val="21"/>
                      <w:szCs w:val="21"/>
                      <w:shd w:val="clear" w:color="auto" w:fill="auto"/>
                      <w:lang w:val="en-US" w:eastAsia="zh-CN"/>
                    </w:rPr>
                    <w:t>位于3号厂房东南角，占地面积约450</w:t>
                  </w:r>
                  <w:r>
                    <w:rPr>
                      <w:color w:val="auto"/>
                      <w:sz w:val="21"/>
                      <w:szCs w:val="21"/>
                      <w:shd w:val="clear" w:color="auto" w:fill="auto"/>
                    </w:rPr>
                    <w:t>m</w:t>
                  </w:r>
                  <w:r>
                    <w:rPr>
                      <w:color w:val="auto"/>
                      <w:sz w:val="21"/>
                      <w:szCs w:val="21"/>
                      <w:shd w:val="clear" w:color="auto" w:fill="auto"/>
                      <w:vertAlign w:val="superscript"/>
                    </w:rPr>
                    <w:t>2</w:t>
                  </w:r>
                  <w:r>
                    <w:rPr>
                      <w:rFonts w:hint="eastAsia"/>
                      <w:color w:val="auto"/>
                      <w:sz w:val="21"/>
                      <w:szCs w:val="21"/>
                      <w:shd w:val="clear" w:color="auto" w:fill="auto"/>
                      <w:vertAlign w:val="baseline"/>
                      <w:lang w:eastAsia="zh-CN"/>
                    </w:rPr>
                    <w:t>。</w:t>
                  </w:r>
                </w:p>
              </w:tc>
            </w:tr>
            <w:tr w14:paraId="2AD8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62" w:type="pct"/>
                  <w:vMerge w:val="continue"/>
                  <w:tcBorders>
                    <w:tl2br w:val="nil"/>
                    <w:tr2bl w:val="nil"/>
                  </w:tcBorders>
                  <w:vAlign w:val="center"/>
                </w:tcPr>
                <w:p w14:paraId="1E837DEA">
                  <w:pPr>
                    <w:pStyle w:val="92"/>
                    <w:spacing w:before="0" w:after="0" w:line="240" w:lineRule="auto"/>
                    <w:ind w:firstLine="0" w:firstLineChars="0"/>
                    <w:rPr>
                      <w:rFonts w:hint="eastAsia"/>
                      <w:color w:val="auto"/>
                      <w:sz w:val="21"/>
                      <w:szCs w:val="21"/>
                      <w:shd w:val="clear" w:color="auto" w:fill="auto"/>
                      <w:lang w:val="en-US" w:eastAsia="zh-CN"/>
                    </w:rPr>
                  </w:pPr>
                </w:p>
              </w:tc>
              <w:tc>
                <w:tcPr>
                  <w:tcW w:w="944" w:type="pct"/>
                  <w:gridSpan w:val="2"/>
                  <w:tcBorders>
                    <w:tl2br w:val="nil"/>
                    <w:tr2bl w:val="nil"/>
                  </w:tcBorders>
                  <w:vAlign w:val="center"/>
                </w:tcPr>
                <w:p w14:paraId="0D8055B3">
                  <w:pPr>
                    <w:jc w:val="center"/>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试验区</w:t>
                  </w:r>
                </w:p>
              </w:tc>
              <w:tc>
                <w:tcPr>
                  <w:tcW w:w="3393" w:type="pct"/>
                  <w:tcBorders>
                    <w:tl2br w:val="nil"/>
                    <w:tr2bl w:val="nil"/>
                  </w:tcBorders>
                  <w:shd w:val="clear" w:color="auto" w:fill="auto"/>
                  <w:vAlign w:val="center"/>
                </w:tcPr>
                <w:p w14:paraId="6B313069">
                  <w:pPr>
                    <w:pStyle w:val="10"/>
                    <w:jc w:val="both"/>
                    <w:rPr>
                      <w:rFonts w:hint="default"/>
                      <w:color w:val="auto"/>
                      <w:sz w:val="21"/>
                      <w:szCs w:val="21"/>
                      <w:shd w:val="clear" w:color="auto" w:fill="auto"/>
                      <w:lang w:val="en-US" w:eastAsia="zh-CN"/>
                    </w:rPr>
                  </w:pPr>
                  <w:r>
                    <w:rPr>
                      <w:rFonts w:hint="eastAsia"/>
                      <w:color w:val="auto"/>
                      <w:sz w:val="21"/>
                      <w:szCs w:val="21"/>
                      <w:shd w:val="clear" w:color="auto" w:fill="auto"/>
                      <w:lang w:val="en-US" w:eastAsia="zh-CN"/>
                    </w:rPr>
                    <w:t>位于3号厂房东北角，占地面积约900</w:t>
                  </w:r>
                  <w:r>
                    <w:rPr>
                      <w:color w:val="auto"/>
                      <w:sz w:val="21"/>
                      <w:szCs w:val="21"/>
                      <w:shd w:val="clear" w:color="auto" w:fill="auto"/>
                    </w:rPr>
                    <w:t>m</w:t>
                  </w:r>
                  <w:r>
                    <w:rPr>
                      <w:color w:val="auto"/>
                      <w:sz w:val="21"/>
                      <w:szCs w:val="21"/>
                      <w:shd w:val="clear" w:color="auto" w:fill="auto"/>
                      <w:vertAlign w:val="superscript"/>
                    </w:rPr>
                    <w:t>2</w:t>
                  </w:r>
                  <w:r>
                    <w:rPr>
                      <w:rFonts w:hint="eastAsia"/>
                      <w:color w:val="auto"/>
                      <w:sz w:val="21"/>
                      <w:szCs w:val="21"/>
                      <w:shd w:val="clear" w:color="auto" w:fill="auto"/>
                      <w:vertAlign w:val="baseline"/>
                      <w:lang w:eastAsia="zh-CN"/>
                    </w:rPr>
                    <w:t>，</w:t>
                  </w:r>
                  <w:r>
                    <w:rPr>
                      <w:rFonts w:hint="eastAsia"/>
                      <w:color w:val="auto"/>
                      <w:sz w:val="21"/>
                      <w:szCs w:val="21"/>
                      <w:shd w:val="clear" w:color="auto" w:fill="auto"/>
                      <w:vertAlign w:val="baseline"/>
                      <w:lang w:val="en-US" w:eastAsia="zh-CN"/>
                    </w:rPr>
                    <w:t>主要设置外观、性能等物理实验测试，不涉及化学实验。</w:t>
                  </w:r>
                </w:p>
              </w:tc>
            </w:tr>
            <w:tr w14:paraId="0267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pct"/>
                  <w:vMerge w:val="restart"/>
                  <w:tcBorders>
                    <w:tl2br w:val="nil"/>
                    <w:tr2bl w:val="nil"/>
                  </w:tcBorders>
                  <w:vAlign w:val="center"/>
                </w:tcPr>
                <w:p w14:paraId="17B42B73">
                  <w:pPr>
                    <w:pStyle w:val="92"/>
                    <w:spacing w:before="0" w:after="0" w:line="240" w:lineRule="auto"/>
                    <w:ind w:firstLine="0" w:firstLineChars="0"/>
                    <w:rPr>
                      <w:color w:val="auto"/>
                      <w:sz w:val="21"/>
                      <w:szCs w:val="21"/>
                      <w:shd w:val="clear" w:color="auto" w:fill="auto"/>
                      <w:lang w:val="zh-CN"/>
                    </w:rPr>
                  </w:pPr>
                  <w:r>
                    <w:rPr>
                      <w:color w:val="auto"/>
                      <w:sz w:val="21"/>
                      <w:szCs w:val="21"/>
                      <w:shd w:val="clear" w:color="auto" w:fill="auto"/>
                      <w:lang w:val="zh-CN"/>
                    </w:rPr>
                    <w:t>公用工程</w:t>
                  </w:r>
                </w:p>
              </w:tc>
              <w:tc>
                <w:tcPr>
                  <w:tcW w:w="944" w:type="pct"/>
                  <w:gridSpan w:val="2"/>
                  <w:tcBorders>
                    <w:tl2br w:val="nil"/>
                    <w:tr2bl w:val="nil"/>
                  </w:tcBorders>
                  <w:vAlign w:val="center"/>
                </w:tcPr>
                <w:p w14:paraId="79C3C3CC">
                  <w:pPr>
                    <w:pStyle w:val="92"/>
                    <w:spacing w:before="0" w:after="0" w:line="240" w:lineRule="auto"/>
                    <w:ind w:firstLine="0" w:firstLineChars="0"/>
                    <w:rPr>
                      <w:color w:val="auto"/>
                      <w:sz w:val="21"/>
                      <w:szCs w:val="21"/>
                      <w:highlight w:val="none"/>
                      <w:shd w:val="clear" w:color="auto" w:fill="auto"/>
                      <w:lang w:val="zh-CN"/>
                    </w:rPr>
                  </w:pPr>
                  <w:r>
                    <w:rPr>
                      <w:color w:val="auto"/>
                      <w:sz w:val="21"/>
                      <w:szCs w:val="21"/>
                      <w:highlight w:val="none"/>
                      <w:shd w:val="clear" w:color="auto" w:fill="auto"/>
                      <w:lang w:val="zh-CN"/>
                    </w:rPr>
                    <w:t>给水工程</w:t>
                  </w:r>
                </w:p>
              </w:tc>
              <w:tc>
                <w:tcPr>
                  <w:tcW w:w="3393" w:type="pct"/>
                  <w:tcBorders>
                    <w:tl2br w:val="nil"/>
                    <w:tr2bl w:val="nil"/>
                  </w:tcBorders>
                  <w:vAlign w:val="center"/>
                </w:tcPr>
                <w:p w14:paraId="3B06CFCB">
                  <w:pPr>
                    <w:pStyle w:val="92"/>
                    <w:spacing w:before="0" w:after="0" w:line="240" w:lineRule="auto"/>
                    <w:ind w:firstLine="0" w:firstLineChars="0"/>
                    <w:jc w:val="center"/>
                    <w:rPr>
                      <w:rFonts w:hint="default" w:eastAsia="宋体"/>
                      <w:color w:val="auto"/>
                      <w:sz w:val="21"/>
                      <w:szCs w:val="21"/>
                      <w:highlight w:val="none"/>
                      <w:shd w:val="clear" w:color="auto" w:fill="auto"/>
                      <w:lang w:val="en-US" w:eastAsia="zh-CN"/>
                    </w:rPr>
                  </w:pPr>
                  <w:r>
                    <w:rPr>
                      <w:rFonts w:hint="eastAsia"/>
                      <w:color w:val="auto"/>
                      <w:sz w:val="21"/>
                      <w:szCs w:val="21"/>
                      <w:highlight w:val="none"/>
                      <w:shd w:val="clear" w:color="auto" w:fill="auto"/>
                      <w:lang w:val="en-US" w:eastAsia="zh-CN"/>
                    </w:rPr>
                    <w:t>水源为市政自来水管网</w:t>
                  </w:r>
                </w:p>
              </w:tc>
            </w:tr>
            <w:tr w14:paraId="2644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662" w:type="pct"/>
                  <w:vMerge w:val="continue"/>
                  <w:tcBorders>
                    <w:tl2br w:val="nil"/>
                    <w:tr2bl w:val="nil"/>
                  </w:tcBorders>
                  <w:vAlign w:val="center"/>
                </w:tcPr>
                <w:p w14:paraId="68E05BDE">
                  <w:pPr>
                    <w:pStyle w:val="92"/>
                    <w:spacing w:before="0" w:after="0" w:line="240" w:lineRule="auto"/>
                    <w:ind w:firstLine="0" w:firstLineChars="0"/>
                    <w:rPr>
                      <w:color w:val="auto"/>
                      <w:sz w:val="21"/>
                      <w:szCs w:val="21"/>
                      <w:shd w:val="clear" w:color="auto" w:fill="auto"/>
                      <w:lang w:val="zh-CN"/>
                    </w:rPr>
                  </w:pPr>
                </w:p>
              </w:tc>
              <w:tc>
                <w:tcPr>
                  <w:tcW w:w="944" w:type="pct"/>
                  <w:gridSpan w:val="2"/>
                  <w:tcBorders>
                    <w:tl2br w:val="nil"/>
                    <w:tr2bl w:val="nil"/>
                  </w:tcBorders>
                  <w:vAlign w:val="center"/>
                </w:tcPr>
                <w:p w14:paraId="0F336653">
                  <w:pPr>
                    <w:pStyle w:val="92"/>
                    <w:spacing w:before="0" w:after="0" w:line="240" w:lineRule="auto"/>
                    <w:ind w:firstLine="0" w:firstLineChars="0"/>
                    <w:rPr>
                      <w:color w:val="auto"/>
                      <w:sz w:val="21"/>
                      <w:szCs w:val="21"/>
                      <w:shd w:val="clear" w:color="auto" w:fill="auto"/>
                      <w:lang w:val="zh-CN"/>
                    </w:rPr>
                  </w:pPr>
                  <w:r>
                    <w:rPr>
                      <w:color w:val="auto"/>
                      <w:sz w:val="21"/>
                      <w:szCs w:val="21"/>
                      <w:shd w:val="clear" w:color="auto" w:fill="auto"/>
                      <w:lang w:val="zh-CN"/>
                    </w:rPr>
                    <w:t>排水工程</w:t>
                  </w:r>
                </w:p>
              </w:tc>
              <w:tc>
                <w:tcPr>
                  <w:tcW w:w="3393" w:type="pct"/>
                  <w:tcBorders>
                    <w:tl2br w:val="nil"/>
                    <w:tr2bl w:val="nil"/>
                  </w:tcBorders>
                  <w:vAlign w:val="center"/>
                </w:tcPr>
                <w:p w14:paraId="4862EDFF">
                  <w:pPr>
                    <w:pStyle w:val="92"/>
                    <w:spacing w:before="0" w:after="0" w:line="240" w:lineRule="auto"/>
                    <w:ind w:left="-63" w:leftChars="-30" w:right="-63" w:rightChars="-30" w:firstLine="0" w:firstLineChars="0"/>
                    <w:jc w:val="both"/>
                    <w:rPr>
                      <w:rFonts w:hint="default" w:eastAsia="宋体"/>
                      <w:color w:val="auto"/>
                      <w:sz w:val="21"/>
                      <w:szCs w:val="21"/>
                      <w:highlight w:val="none"/>
                      <w:shd w:val="clear" w:color="auto" w:fill="auto"/>
                      <w:lang w:val="en-US" w:eastAsia="zh-CN"/>
                    </w:rPr>
                  </w:pPr>
                  <w:r>
                    <w:rPr>
                      <w:rFonts w:hint="eastAsia" w:cs="Times New Roman"/>
                      <w:color w:val="auto"/>
                      <w:kern w:val="0"/>
                      <w:sz w:val="21"/>
                      <w:szCs w:val="21"/>
                      <w:highlight w:val="none"/>
                      <w:shd w:val="clear" w:color="auto" w:fill="auto"/>
                      <w:lang w:val="en-US" w:eastAsia="zh-CN" w:bidi="ar-SA"/>
                    </w:rPr>
                    <w:t>项目</w:t>
                  </w:r>
                  <w:r>
                    <w:rPr>
                      <w:rFonts w:hint="eastAsia" w:ascii="Times New Roman" w:hAnsi="Times New Roman" w:cs="Times New Roman"/>
                      <w:color w:val="auto"/>
                      <w:spacing w:val="-5"/>
                      <w:sz w:val="21"/>
                      <w:szCs w:val="21"/>
                      <w:highlight w:val="none"/>
                      <w:lang w:val="en-US" w:eastAsia="zh-CN"/>
                    </w:rPr>
                    <w:t>生活污水经化粪池</w:t>
                  </w:r>
                  <w:r>
                    <w:rPr>
                      <w:rFonts w:hint="default" w:ascii="Times New Roman" w:hAnsi="Times New Roman" w:eastAsia="宋体" w:cs="Times New Roman"/>
                      <w:color w:val="auto"/>
                      <w:spacing w:val="3"/>
                      <w:sz w:val="21"/>
                      <w:szCs w:val="21"/>
                      <w:highlight w:val="none"/>
                    </w:rPr>
                    <w:t>处理</w:t>
                  </w:r>
                  <w:r>
                    <w:rPr>
                      <w:rFonts w:hint="eastAsia" w:cs="Times New Roman"/>
                      <w:color w:val="auto"/>
                      <w:spacing w:val="3"/>
                      <w:sz w:val="21"/>
                      <w:szCs w:val="21"/>
                      <w:highlight w:val="none"/>
                      <w:lang w:eastAsia="zh-CN"/>
                    </w:rPr>
                    <w:t>、</w:t>
                  </w:r>
                  <w:r>
                    <w:rPr>
                      <w:rFonts w:hint="eastAsia" w:cs="Times New Roman"/>
                      <w:color w:val="auto"/>
                      <w:spacing w:val="3"/>
                      <w:sz w:val="21"/>
                      <w:szCs w:val="21"/>
                      <w:highlight w:val="none"/>
                      <w:lang w:val="en-US" w:eastAsia="zh-CN"/>
                    </w:rPr>
                    <w:t>生产废水及废气喷淋废水经污水处理站处理，两股处理后废水与纯水制备废水</w:t>
                  </w:r>
                  <w:r>
                    <w:rPr>
                      <w:rFonts w:hint="default" w:ascii="Times New Roman" w:hAnsi="Times New Roman" w:eastAsia="宋体" w:cs="Times New Roman"/>
                      <w:color w:val="auto"/>
                      <w:spacing w:val="-6"/>
                      <w:sz w:val="21"/>
                      <w:szCs w:val="21"/>
                      <w:highlight w:val="none"/>
                    </w:rPr>
                    <w:t>在厂界内汇聚一同经同一排污口</w:t>
                  </w:r>
                  <w:r>
                    <w:rPr>
                      <w:rFonts w:hint="eastAsia" w:cs="Times New Roman"/>
                      <w:color w:val="auto"/>
                      <w:spacing w:val="-6"/>
                      <w:sz w:val="21"/>
                      <w:szCs w:val="21"/>
                      <w:highlight w:val="none"/>
                      <w:lang w:val="en-US" w:eastAsia="zh-CN"/>
                    </w:rPr>
                    <w:t>排入</w:t>
                  </w:r>
                  <w:r>
                    <w:rPr>
                      <w:rFonts w:hint="eastAsia" w:cs="Times New Roman"/>
                      <w:color w:val="auto"/>
                      <w:spacing w:val="-6"/>
                      <w:sz w:val="21"/>
                      <w:szCs w:val="21"/>
                      <w:highlight w:val="none"/>
                      <w:lang w:val="en-US" w:eastAsia="zh-CN"/>
                    </w:rPr>
                    <w:t>官塘</w:t>
                  </w:r>
                  <w:r>
                    <w:rPr>
                      <w:rFonts w:hint="default" w:ascii="Times New Roman" w:hAnsi="Times New Roman" w:eastAsia="宋体" w:cs="Times New Roman"/>
                      <w:color w:val="auto"/>
                      <w:spacing w:val="23"/>
                      <w:sz w:val="21"/>
                      <w:szCs w:val="21"/>
                      <w:highlight w:val="none"/>
                    </w:rPr>
                    <w:t>污水处理厂处</w:t>
                  </w:r>
                  <w:r>
                    <w:rPr>
                      <w:rFonts w:hint="default" w:ascii="Times New Roman" w:hAnsi="Times New Roman" w:eastAsia="宋体" w:cs="Times New Roman"/>
                      <w:color w:val="auto"/>
                      <w:spacing w:val="-4"/>
                      <w:sz w:val="21"/>
                      <w:szCs w:val="21"/>
                      <w:highlight w:val="none"/>
                    </w:rPr>
                    <w:t>理</w:t>
                  </w:r>
                  <w:r>
                    <w:rPr>
                      <w:rFonts w:hint="eastAsia" w:cs="Times New Roman"/>
                      <w:color w:val="auto"/>
                      <w:kern w:val="0"/>
                      <w:sz w:val="21"/>
                      <w:szCs w:val="21"/>
                      <w:highlight w:val="none"/>
                      <w:shd w:val="clear" w:color="auto" w:fill="auto"/>
                      <w:lang w:val="en-US" w:eastAsia="zh-CN" w:bidi="ar-SA"/>
                    </w:rPr>
                    <w:t>。</w:t>
                  </w:r>
                  <w:r>
                    <w:rPr>
                      <w:rFonts w:hint="eastAsia" w:ascii="Times New Roman" w:hAnsi="Times New Roman" w:eastAsia="宋体" w:cs="Times New Roman"/>
                      <w:color w:val="auto"/>
                      <w:spacing w:val="-6"/>
                      <w:sz w:val="21"/>
                      <w:szCs w:val="21"/>
                      <w:highlight w:val="none"/>
                      <w:lang w:val="en-US" w:eastAsia="zh-CN"/>
                    </w:rPr>
                    <w:t>项目实行雨污分流，雨水经</w:t>
                  </w:r>
                  <w:r>
                    <w:rPr>
                      <w:rFonts w:hint="eastAsia" w:cs="Times New Roman"/>
                      <w:color w:val="auto"/>
                      <w:spacing w:val="-6"/>
                      <w:sz w:val="21"/>
                      <w:szCs w:val="21"/>
                      <w:highlight w:val="none"/>
                      <w:lang w:val="en-US" w:eastAsia="zh-CN"/>
                    </w:rPr>
                    <w:t>园区</w:t>
                  </w:r>
                  <w:r>
                    <w:rPr>
                      <w:rFonts w:hint="eastAsia" w:ascii="Times New Roman" w:hAnsi="Times New Roman" w:eastAsia="宋体" w:cs="Times New Roman"/>
                      <w:color w:val="auto"/>
                      <w:spacing w:val="-6"/>
                      <w:sz w:val="21"/>
                      <w:szCs w:val="21"/>
                      <w:highlight w:val="none"/>
                      <w:lang w:val="en-US" w:eastAsia="zh-CN"/>
                    </w:rPr>
                    <w:t>雨水明沟收集后进入市政雨水管网。</w:t>
                  </w:r>
                </w:p>
              </w:tc>
            </w:tr>
            <w:tr w14:paraId="747F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pct"/>
                  <w:vMerge w:val="continue"/>
                  <w:tcBorders>
                    <w:tl2br w:val="nil"/>
                    <w:tr2bl w:val="nil"/>
                  </w:tcBorders>
                  <w:vAlign w:val="center"/>
                </w:tcPr>
                <w:p w14:paraId="74A5EE30">
                  <w:pPr>
                    <w:pStyle w:val="92"/>
                    <w:spacing w:before="0" w:after="0" w:line="240" w:lineRule="auto"/>
                    <w:ind w:firstLine="0" w:firstLineChars="0"/>
                    <w:rPr>
                      <w:color w:val="auto"/>
                      <w:sz w:val="21"/>
                      <w:szCs w:val="21"/>
                      <w:shd w:val="clear" w:color="auto" w:fill="auto"/>
                      <w:lang w:val="zh-CN"/>
                    </w:rPr>
                  </w:pPr>
                </w:p>
              </w:tc>
              <w:tc>
                <w:tcPr>
                  <w:tcW w:w="944" w:type="pct"/>
                  <w:gridSpan w:val="2"/>
                  <w:tcBorders>
                    <w:tl2br w:val="nil"/>
                    <w:tr2bl w:val="nil"/>
                  </w:tcBorders>
                  <w:vAlign w:val="center"/>
                </w:tcPr>
                <w:p w14:paraId="22D9C554">
                  <w:pPr>
                    <w:pStyle w:val="92"/>
                    <w:spacing w:before="0" w:after="0" w:line="240" w:lineRule="auto"/>
                    <w:ind w:firstLine="0" w:firstLineChars="0"/>
                    <w:rPr>
                      <w:color w:val="auto"/>
                      <w:sz w:val="21"/>
                      <w:szCs w:val="21"/>
                      <w:shd w:val="clear" w:color="auto" w:fill="auto"/>
                      <w:lang w:val="zh-CN"/>
                    </w:rPr>
                  </w:pPr>
                  <w:r>
                    <w:rPr>
                      <w:color w:val="auto"/>
                      <w:sz w:val="21"/>
                      <w:szCs w:val="21"/>
                      <w:shd w:val="clear" w:color="auto" w:fill="auto"/>
                      <w:lang w:val="zh-CN"/>
                    </w:rPr>
                    <w:t>供电工程</w:t>
                  </w:r>
                </w:p>
              </w:tc>
              <w:tc>
                <w:tcPr>
                  <w:tcW w:w="3393" w:type="pct"/>
                  <w:tcBorders>
                    <w:tl2br w:val="nil"/>
                    <w:tr2bl w:val="nil"/>
                  </w:tcBorders>
                  <w:vAlign w:val="center"/>
                </w:tcPr>
                <w:p w14:paraId="56B01CE4">
                  <w:pPr>
                    <w:pStyle w:val="92"/>
                    <w:spacing w:before="0" w:after="0" w:line="240" w:lineRule="auto"/>
                    <w:ind w:firstLine="0" w:firstLineChars="0"/>
                    <w:rPr>
                      <w:color w:val="auto"/>
                      <w:sz w:val="21"/>
                      <w:szCs w:val="21"/>
                      <w:shd w:val="clear" w:color="auto" w:fill="auto"/>
                      <w:lang w:val="zh-CN"/>
                    </w:rPr>
                  </w:pPr>
                  <w:r>
                    <w:rPr>
                      <w:color w:val="auto"/>
                      <w:sz w:val="21"/>
                      <w:szCs w:val="21"/>
                      <w:shd w:val="clear" w:color="auto" w:fill="auto"/>
                      <w:lang w:val="zh-CN"/>
                    </w:rPr>
                    <w:t>接入市政供电管网</w:t>
                  </w:r>
                </w:p>
              </w:tc>
            </w:tr>
            <w:tr w14:paraId="08BB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jc w:val="center"/>
              </w:trPr>
              <w:tc>
                <w:tcPr>
                  <w:tcW w:w="662" w:type="pct"/>
                  <w:vMerge w:val="restart"/>
                  <w:tcBorders>
                    <w:tl2br w:val="nil"/>
                    <w:tr2bl w:val="nil"/>
                  </w:tcBorders>
                  <w:vAlign w:val="center"/>
                </w:tcPr>
                <w:p w14:paraId="1B8F3385">
                  <w:pPr>
                    <w:pStyle w:val="92"/>
                    <w:spacing w:before="0" w:after="0" w:line="240" w:lineRule="auto"/>
                    <w:ind w:firstLine="0" w:firstLineChars="0"/>
                    <w:rPr>
                      <w:color w:val="auto"/>
                      <w:sz w:val="21"/>
                      <w:szCs w:val="21"/>
                      <w:shd w:val="clear" w:color="auto" w:fill="auto"/>
                      <w:lang w:val="zh-CN"/>
                    </w:rPr>
                  </w:pPr>
                  <w:r>
                    <w:rPr>
                      <w:color w:val="auto"/>
                      <w:sz w:val="21"/>
                      <w:szCs w:val="21"/>
                      <w:shd w:val="clear" w:color="auto" w:fill="auto"/>
                      <w:lang w:val="zh-CN"/>
                    </w:rPr>
                    <w:t>环保工程</w:t>
                  </w:r>
                </w:p>
              </w:tc>
              <w:tc>
                <w:tcPr>
                  <w:tcW w:w="944" w:type="pct"/>
                  <w:gridSpan w:val="2"/>
                  <w:tcBorders>
                    <w:tl2br w:val="nil"/>
                    <w:tr2bl w:val="nil"/>
                  </w:tcBorders>
                  <w:vAlign w:val="center"/>
                </w:tcPr>
                <w:p w14:paraId="076BBC2D">
                  <w:pPr>
                    <w:pStyle w:val="92"/>
                    <w:spacing w:before="0" w:after="0" w:line="240" w:lineRule="auto"/>
                    <w:ind w:firstLine="0" w:firstLineChars="0"/>
                    <w:rPr>
                      <w:color w:val="auto"/>
                      <w:sz w:val="21"/>
                      <w:szCs w:val="21"/>
                      <w:shd w:val="clear" w:color="auto" w:fill="auto"/>
                      <w:lang w:val="zh-CN"/>
                    </w:rPr>
                  </w:pPr>
                  <w:r>
                    <w:rPr>
                      <w:color w:val="auto"/>
                      <w:sz w:val="21"/>
                      <w:szCs w:val="21"/>
                      <w:shd w:val="clear" w:color="auto" w:fill="auto"/>
                      <w:lang w:val="zh-CN"/>
                    </w:rPr>
                    <w:t>废气治理措施</w:t>
                  </w:r>
                </w:p>
              </w:tc>
              <w:tc>
                <w:tcPr>
                  <w:tcW w:w="3393" w:type="pct"/>
                  <w:tcBorders>
                    <w:tl2br w:val="nil"/>
                    <w:tr2bl w:val="nil"/>
                  </w:tcBorders>
                  <w:vAlign w:val="center"/>
                </w:tcPr>
                <w:p w14:paraId="3F450BDA">
                  <w:pPr>
                    <w:pStyle w:val="10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eastAsia="宋体"/>
                      <w:color w:val="auto"/>
                      <w:sz w:val="21"/>
                      <w:szCs w:val="21"/>
                      <w:highlight w:val="none"/>
                      <w:lang w:val="en-US" w:eastAsia="zh-CN"/>
                    </w:rPr>
                  </w:pPr>
                  <w:r>
                    <w:rPr>
                      <w:rFonts w:hint="eastAsia"/>
                      <w:color w:val="auto"/>
                      <w:sz w:val="21"/>
                      <w:szCs w:val="21"/>
                      <w:highlight w:val="none"/>
                      <w:lang w:val="en-US" w:eastAsia="zh-CN"/>
                    </w:rPr>
                    <w:t>项目焊接废气经移动式烟尘净化器处理通过15mDA001排气筒排放，喷砂、电泳、电泳烘干、喷粉烘干废气经水喷淋+二级活性炭</w:t>
                  </w:r>
                  <w:r>
                    <w:rPr>
                      <w:rFonts w:hint="eastAsia" w:cs="Times New Roman"/>
                      <w:color w:val="auto"/>
                      <w:sz w:val="21"/>
                      <w:szCs w:val="21"/>
                      <w:lang w:val="en-US" w:eastAsia="zh-CN"/>
                    </w:rPr>
                    <w:t>（含干式过滤棉）</w:t>
                  </w:r>
                  <w:r>
                    <w:rPr>
                      <w:rFonts w:hint="eastAsia"/>
                      <w:color w:val="auto"/>
                      <w:sz w:val="21"/>
                      <w:szCs w:val="21"/>
                      <w:highlight w:val="none"/>
                      <w:lang w:val="en-US" w:eastAsia="zh-CN"/>
                    </w:rPr>
                    <w:t>处理通过15mDA002排气筒排放，喷粉废气经粉料回收装置处理通过15mDA002排气筒排放，液化石油气燃烧废气收集通过15mDA002排气筒排放，机加工废气经收集通过移动式烟尘净化器处理无组织排放</w:t>
                  </w:r>
                  <w:r>
                    <w:rPr>
                      <w:rFonts w:hint="eastAsia"/>
                      <w:color w:val="auto"/>
                      <w:lang w:eastAsia="zh-CN"/>
                    </w:rPr>
                    <w:t>，</w:t>
                  </w:r>
                  <w:r>
                    <w:rPr>
                      <w:rFonts w:hint="eastAsia"/>
                      <w:color w:val="auto"/>
                      <w:lang w:val="en-US" w:eastAsia="zh-CN"/>
                    </w:rPr>
                    <w:t>其他未收集废气无组织排放</w:t>
                  </w:r>
                  <w:r>
                    <w:rPr>
                      <w:rFonts w:hint="eastAsia"/>
                      <w:color w:val="auto"/>
                      <w:sz w:val="21"/>
                      <w:szCs w:val="21"/>
                      <w:highlight w:val="none"/>
                      <w:lang w:val="en-US" w:eastAsia="zh-CN"/>
                    </w:rPr>
                    <w:t>。</w:t>
                  </w:r>
                </w:p>
              </w:tc>
            </w:tr>
            <w:tr w14:paraId="69AE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662" w:type="pct"/>
                  <w:vMerge w:val="continue"/>
                  <w:tcBorders>
                    <w:tl2br w:val="nil"/>
                    <w:tr2bl w:val="nil"/>
                  </w:tcBorders>
                  <w:vAlign w:val="center"/>
                </w:tcPr>
                <w:p w14:paraId="75EC4AE6">
                  <w:pPr>
                    <w:pStyle w:val="92"/>
                    <w:spacing w:before="0" w:after="0" w:line="240" w:lineRule="auto"/>
                    <w:ind w:firstLine="0" w:firstLineChars="0"/>
                    <w:rPr>
                      <w:color w:val="auto"/>
                      <w:sz w:val="21"/>
                      <w:szCs w:val="21"/>
                      <w:shd w:val="clear" w:color="auto" w:fill="auto"/>
                      <w:lang w:val="zh-CN"/>
                    </w:rPr>
                  </w:pPr>
                </w:p>
              </w:tc>
              <w:tc>
                <w:tcPr>
                  <w:tcW w:w="944" w:type="pct"/>
                  <w:gridSpan w:val="2"/>
                  <w:tcBorders>
                    <w:tl2br w:val="nil"/>
                    <w:tr2bl w:val="nil"/>
                  </w:tcBorders>
                  <w:vAlign w:val="center"/>
                </w:tcPr>
                <w:p w14:paraId="512029A5">
                  <w:pPr>
                    <w:pStyle w:val="92"/>
                    <w:spacing w:before="0" w:after="0" w:line="240" w:lineRule="auto"/>
                    <w:ind w:firstLine="0" w:firstLineChars="0"/>
                    <w:rPr>
                      <w:color w:val="auto"/>
                      <w:sz w:val="21"/>
                      <w:szCs w:val="21"/>
                      <w:shd w:val="clear" w:color="auto" w:fill="auto"/>
                      <w:lang w:val="zh-CN"/>
                    </w:rPr>
                  </w:pPr>
                  <w:r>
                    <w:rPr>
                      <w:color w:val="auto"/>
                      <w:sz w:val="21"/>
                      <w:szCs w:val="21"/>
                      <w:shd w:val="clear" w:color="auto" w:fill="auto"/>
                      <w:lang w:val="zh-CN"/>
                    </w:rPr>
                    <w:t>废水治理措施</w:t>
                  </w:r>
                </w:p>
              </w:tc>
              <w:tc>
                <w:tcPr>
                  <w:tcW w:w="3393" w:type="pct"/>
                  <w:tcBorders>
                    <w:tl2br w:val="nil"/>
                    <w:tr2bl w:val="nil"/>
                  </w:tcBorders>
                  <w:shd w:val="clear" w:color="auto" w:fill="auto"/>
                  <w:vAlign w:val="center"/>
                </w:tcPr>
                <w:p w14:paraId="062811C3">
                  <w:pPr>
                    <w:pStyle w:val="92"/>
                    <w:spacing w:before="0" w:after="0" w:line="240" w:lineRule="auto"/>
                    <w:ind w:left="-63" w:leftChars="-30" w:right="-63" w:rightChars="-30" w:firstLine="0" w:firstLineChars="0"/>
                    <w:jc w:val="both"/>
                    <w:rPr>
                      <w:rFonts w:hint="default" w:ascii="Times New Roman" w:hAnsi="Times New Roman" w:eastAsia="宋体" w:cs="Times New Roman"/>
                      <w:color w:val="auto"/>
                      <w:kern w:val="2"/>
                      <w:sz w:val="21"/>
                      <w:szCs w:val="21"/>
                      <w:highlight w:val="yellow"/>
                      <w:shd w:val="clear" w:color="auto" w:fill="auto"/>
                      <w:lang w:val="en-US" w:eastAsia="zh-CN" w:bidi="ar-SA"/>
                    </w:rPr>
                  </w:pPr>
                  <w:r>
                    <w:rPr>
                      <w:rFonts w:hint="eastAsia" w:cs="Times New Roman"/>
                      <w:color w:val="auto"/>
                      <w:kern w:val="0"/>
                      <w:sz w:val="21"/>
                      <w:szCs w:val="21"/>
                      <w:highlight w:val="none"/>
                      <w:shd w:val="clear" w:color="auto" w:fill="auto"/>
                      <w:lang w:val="en-US" w:eastAsia="zh-CN" w:bidi="ar-SA"/>
                    </w:rPr>
                    <w:t>项目</w:t>
                  </w:r>
                  <w:r>
                    <w:rPr>
                      <w:rFonts w:hint="eastAsia" w:ascii="Times New Roman" w:hAnsi="Times New Roman" w:cs="Times New Roman"/>
                      <w:color w:val="auto"/>
                      <w:spacing w:val="-5"/>
                      <w:sz w:val="21"/>
                      <w:szCs w:val="21"/>
                      <w:highlight w:val="none"/>
                      <w:lang w:val="en-US" w:eastAsia="zh-CN"/>
                    </w:rPr>
                    <w:t>生活污水经化粪池</w:t>
                  </w:r>
                  <w:r>
                    <w:rPr>
                      <w:rFonts w:hint="default" w:ascii="Times New Roman" w:hAnsi="Times New Roman" w:eastAsia="宋体" w:cs="Times New Roman"/>
                      <w:color w:val="auto"/>
                      <w:spacing w:val="3"/>
                      <w:sz w:val="21"/>
                      <w:szCs w:val="21"/>
                      <w:highlight w:val="none"/>
                    </w:rPr>
                    <w:t>处理</w:t>
                  </w:r>
                  <w:r>
                    <w:rPr>
                      <w:rFonts w:hint="eastAsia" w:cs="Times New Roman"/>
                      <w:color w:val="auto"/>
                      <w:spacing w:val="3"/>
                      <w:sz w:val="21"/>
                      <w:szCs w:val="21"/>
                      <w:highlight w:val="none"/>
                      <w:lang w:eastAsia="zh-CN"/>
                    </w:rPr>
                    <w:t>，</w:t>
                  </w:r>
                  <w:r>
                    <w:rPr>
                      <w:rFonts w:hint="eastAsia" w:cs="Times New Roman"/>
                      <w:color w:val="auto"/>
                      <w:spacing w:val="3"/>
                      <w:sz w:val="21"/>
                      <w:szCs w:val="21"/>
                      <w:highlight w:val="none"/>
                      <w:lang w:val="en-US" w:eastAsia="zh-CN"/>
                    </w:rPr>
                    <w:t>脱脂清洗废水、表调废水、磷化清洗废水、电泳超滤及喷淋清洗废水、废气喷淋废水</w:t>
                  </w:r>
                  <w:r>
                    <w:rPr>
                      <w:rFonts w:hint="eastAsia" w:cs="Times New Roman"/>
                      <w:color w:val="auto"/>
                      <w:spacing w:val="3"/>
                      <w:sz w:val="21"/>
                      <w:szCs w:val="21"/>
                      <w:highlight w:val="none"/>
                      <w:lang w:val="en-US" w:eastAsia="zh-CN"/>
                    </w:rPr>
                    <w:t>一起排入厂区污水处理站处理，两股处理后废水与纯水制备废水</w:t>
                  </w:r>
                  <w:r>
                    <w:rPr>
                      <w:rFonts w:hint="default" w:ascii="Times New Roman" w:hAnsi="Times New Roman" w:eastAsia="宋体" w:cs="Times New Roman"/>
                      <w:color w:val="auto"/>
                      <w:spacing w:val="-6"/>
                      <w:sz w:val="21"/>
                      <w:szCs w:val="21"/>
                      <w:highlight w:val="none"/>
                    </w:rPr>
                    <w:t>在厂界内汇聚一同经同一排污口</w:t>
                  </w:r>
                  <w:r>
                    <w:rPr>
                      <w:rFonts w:hint="eastAsia" w:cs="Times New Roman"/>
                      <w:color w:val="auto"/>
                      <w:spacing w:val="-6"/>
                      <w:sz w:val="21"/>
                      <w:szCs w:val="21"/>
                      <w:highlight w:val="none"/>
                      <w:lang w:val="en-US" w:eastAsia="zh-CN"/>
                    </w:rPr>
                    <w:t>排入</w:t>
                  </w:r>
                  <w:r>
                    <w:rPr>
                      <w:rFonts w:hint="eastAsia" w:cs="Times New Roman"/>
                      <w:color w:val="auto"/>
                      <w:spacing w:val="-6"/>
                      <w:sz w:val="21"/>
                      <w:szCs w:val="21"/>
                      <w:highlight w:val="none"/>
                      <w:lang w:val="en-US" w:eastAsia="zh-CN"/>
                    </w:rPr>
                    <w:t>官塘</w:t>
                  </w:r>
                  <w:r>
                    <w:rPr>
                      <w:rFonts w:hint="default" w:ascii="Times New Roman" w:hAnsi="Times New Roman" w:eastAsia="宋体" w:cs="Times New Roman"/>
                      <w:color w:val="auto"/>
                      <w:spacing w:val="23"/>
                      <w:sz w:val="21"/>
                      <w:szCs w:val="21"/>
                      <w:highlight w:val="none"/>
                    </w:rPr>
                    <w:t>污水处理厂处</w:t>
                  </w:r>
                  <w:r>
                    <w:rPr>
                      <w:rFonts w:hint="default" w:ascii="Times New Roman" w:hAnsi="Times New Roman" w:eastAsia="宋体" w:cs="Times New Roman"/>
                      <w:color w:val="auto"/>
                      <w:spacing w:val="-4"/>
                      <w:sz w:val="21"/>
                      <w:szCs w:val="21"/>
                      <w:highlight w:val="none"/>
                    </w:rPr>
                    <w:t>理</w:t>
                  </w:r>
                  <w:r>
                    <w:rPr>
                      <w:rFonts w:hint="eastAsia" w:cs="Times New Roman"/>
                      <w:color w:val="auto"/>
                      <w:kern w:val="0"/>
                      <w:sz w:val="21"/>
                      <w:szCs w:val="21"/>
                      <w:highlight w:val="none"/>
                      <w:shd w:val="clear" w:color="auto" w:fill="auto"/>
                      <w:lang w:val="en-US" w:eastAsia="zh-CN" w:bidi="ar-SA"/>
                    </w:rPr>
                    <w:t>。项目设置一个污水处理站，处理规模为10t/d，处理工艺为气浮+三级沉淀+MBR，主要处理生产废水。</w:t>
                  </w:r>
                </w:p>
              </w:tc>
            </w:tr>
            <w:tr w14:paraId="37DC6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pct"/>
                  <w:vMerge w:val="continue"/>
                  <w:tcBorders>
                    <w:tl2br w:val="nil"/>
                    <w:tr2bl w:val="nil"/>
                  </w:tcBorders>
                  <w:vAlign w:val="center"/>
                </w:tcPr>
                <w:p w14:paraId="7D111497">
                  <w:pPr>
                    <w:pStyle w:val="92"/>
                    <w:spacing w:before="0" w:after="0" w:line="240" w:lineRule="auto"/>
                    <w:ind w:firstLine="0" w:firstLineChars="0"/>
                    <w:rPr>
                      <w:color w:val="auto"/>
                      <w:sz w:val="21"/>
                      <w:szCs w:val="21"/>
                      <w:shd w:val="clear" w:color="auto" w:fill="auto"/>
                      <w:lang w:val="zh-CN"/>
                    </w:rPr>
                  </w:pPr>
                </w:p>
              </w:tc>
              <w:tc>
                <w:tcPr>
                  <w:tcW w:w="944" w:type="pct"/>
                  <w:gridSpan w:val="2"/>
                  <w:tcBorders>
                    <w:tl2br w:val="nil"/>
                    <w:tr2bl w:val="nil"/>
                  </w:tcBorders>
                  <w:vAlign w:val="center"/>
                </w:tcPr>
                <w:p w14:paraId="03D5E25A">
                  <w:pPr>
                    <w:pStyle w:val="92"/>
                    <w:spacing w:before="0" w:after="0" w:line="240" w:lineRule="auto"/>
                    <w:ind w:firstLine="0" w:firstLineChars="0"/>
                    <w:rPr>
                      <w:color w:val="auto"/>
                      <w:sz w:val="21"/>
                      <w:szCs w:val="21"/>
                      <w:shd w:val="clear" w:color="auto" w:fill="auto"/>
                      <w:lang w:val="zh-CN"/>
                    </w:rPr>
                  </w:pPr>
                  <w:r>
                    <w:rPr>
                      <w:color w:val="auto"/>
                      <w:sz w:val="21"/>
                      <w:szCs w:val="21"/>
                      <w:shd w:val="clear" w:color="auto" w:fill="auto"/>
                    </w:rPr>
                    <w:t>噪声治理措施</w:t>
                  </w:r>
                </w:p>
              </w:tc>
              <w:tc>
                <w:tcPr>
                  <w:tcW w:w="3393" w:type="pct"/>
                  <w:tcBorders>
                    <w:tl2br w:val="nil"/>
                    <w:tr2bl w:val="nil"/>
                  </w:tcBorders>
                  <w:vAlign w:val="center"/>
                </w:tcPr>
                <w:p w14:paraId="1D74EDB2">
                  <w:pPr>
                    <w:pStyle w:val="92"/>
                    <w:spacing w:before="0" w:after="0" w:line="240" w:lineRule="auto"/>
                    <w:ind w:firstLine="0" w:firstLineChars="0"/>
                    <w:rPr>
                      <w:rFonts w:hint="default" w:eastAsia="宋体"/>
                      <w:color w:val="auto"/>
                      <w:sz w:val="21"/>
                      <w:szCs w:val="21"/>
                      <w:shd w:val="clear" w:color="auto" w:fill="auto"/>
                      <w:lang w:val="en-US" w:eastAsia="zh-CN"/>
                    </w:rPr>
                  </w:pPr>
                  <w:r>
                    <w:rPr>
                      <w:rFonts w:hint="eastAsia"/>
                      <w:color w:val="auto"/>
                      <w:sz w:val="21"/>
                      <w:szCs w:val="21"/>
                      <w:shd w:val="clear" w:color="auto" w:fill="auto"/>
                      <w:lang w:val="en-US" w:eastAsia="zh-CN"/>
                    </w:rPr>
                    <w:t>选用低噪声设备</w:t>
                  </w:r>
                </w:p>
              </w:tc>
            </w:tr>
            <w:tr w14:paraId="263F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662" w:type="pct"/>
                  <w:vMerge w:val="continue"/>
                  <w:tcBorders>
                    <w:tl2br w:val="nil"/>
                    <w:tr2bl w:val="nil"/>
                  </w:tcBorders>
                  <w:vAlign w:val="center"/>
                </w:tcPr>
                <w:p w14:paraId="67255700">
                  <w:pPr>
                    <w:pStyle w:val="92"/>
                    <w:spacing w:before="0" w:after="0" w:line="240" w:lineRule="auto"/>
                    <w:ind w:firstLine="0" w:firstLineChars="0"/>
                    <w:rPr>
                      <w:color w:val="auto"/>
                      <w:sz w:val="21"/>
                      <w:szCs w:val="21"/>
                      <w:shd w:val="clear" w:color="auto" w:fill="auto"/>
                      <w:lang w:val="zh-CN"/>
                    </w:rPr>
                  </w:pPr>
                </w:p>
              </w:tc>
              <w:tc>
                <w:tcPr>
                  <w:tcW w:w="944" w:type="pct"/>
                  <w:gridSpan w:val="2"/>
                  <w:tcBorders>
                    <w:tl2br w:val="nil"/>
                    <w:tr2bl w:val="nil"/>
                  </w:tcBorders>
                  <w:vAlign w:val="center"/>
                </w:tcPr>
                <w:p w14:paraId="541FD2CC">
                  <w:pPr>
                    <w:jc w:val="center"/>
                    <w:rPr>
                      <w:rFonts w:hint="eastAsia" w:eastAsia="宋体"/>
                      <w:color w:val="auto"/>
                      <w:sz w:val="21"/>
                      <w:szCs w:val="21"/>
                      <w:shd w:val="clear" w:color="auto" w:fill="auto"/>
                      <w:lang w:val="en-US" w:eastAsia="zh-CN"/>
                    </w:rPr>
                  </w:pPr>
                  <w:r>
                    <w:rPr>
                      <w:color w:val="auto"/>
                      <w:kern w:val="0"/>
                      <w:sz w:val="21"/>
                      <w:szCs w:val="21"/>
                      <w:shd w:val="clear" w:color="auto" w:fill="auto"/>
                    </w:rPr>
                    <w:t>固体废物处理</w:t>
                  </w:r>
                </w:p>
              </w:tc>
              <w:tc>
                <w:tcPr>
                  <w:tcW w:w="3393" w:type="pct"/>
                  <w:tcBorders>
                    <w:tl2br w:val="nil"/>
                    <w:tr2bl w:val="nil"/>
                  </w:tcBorders>
                  <w:vAlign w:val="center"/>
                </w:tcPr>
                <w:p w14:paraId="368D94A0">
                  <w:pP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一般固废：</w:t>
                  </w:r>
                </w:p>
                <w:p w14:paraId="437E2165">
                  <w:pPr>
                    <w:rPr>
                      <w:rFonts w:hint="eastAsia"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金属碎屑</w:t>
                  </w:r>
                  <w:r>
                    <w:rPr>
                      <w:rFonts w:hint="eastAsia"/>
                      <w:color w:val="auto"/>
                      <w:szCs w:val="21"/>
                      <w:highlight w:val="none"/>
                      <w:lang w:val="en-US" w:eastAsia="zh-CN"/>
                    </w:rPr>
                    <w:t>及边角料、一般废包装</w:t>
                  </w:r>
                  <w:r>
                    <w:rPr>
                      <w:rFonts w:hint="eastAsia" w:ascii="Times New Roman" w:hAnsi="Times New Roman" w:eastAsia="宋体"/>
                      <w:color w:val="auto"/>
                      <w:szCs w:val="21"/>
                      <w:highlight w:val="none"/>
                      <w:lang w:val="en-US" w:eastAsia="zh-CN"/>
                    </w:rPr>
                    <w:t>、</w:t>
                  </w:r>
                  <w:r>
                    <w:rPr>
                      <w:rFonts w:hint="eastAsia"/>
                      <w:color w:val="auto"/>
                      <w:szCs w:val="21"/>
                      <w:highlight w:val="none"/>
                      <w:lang w:val="en-US" w:eastAsia="zh-CN"/>
                    </w:rPr>
                    <w:t>喷粉废料</w:t>
                  </w:r>
                  <w:r>
                    <w:rPr>
                      <w:rFonts w:hint="eastAsia"/>
                      <w:color w:val="auto"/>
                      <w:szCs w:val="21"/>
                      <w:highlight w:val="none"/>
                      <w:lang w:val="en-US" w:eastAsia="zh-CN"/>
                    </w:rPr>
                    <w:t>、</w:t>
                  </w:r>
                  <w:r>
                    <w:rPr>
                      <w:rFonts w:hint="eastAsia" w:ascii="Times New Roman" w:hAnsi="Times New Roman" w:eastAsia="宋体"/>
                      <w:color w:val="auto"/>
                      <w:szCs w:val="21"/>
                      <w:highlight w:val="none"/>
                      <w:lang w:val="en-US" w:eastAsia="zh-CN"/>
                    </w:rPr>
                    <w:t>焊渣定期收集外售处理；</w:t>
                  </w:r>
                  <w:r>
                    <w:rPr>
                      <w:rFonts w:hint="eastAsia"/>
                      <w:color w:val="auto"/>
                      <w:szCs w:val="21"/>
                      <w:highlight w:val="none"/>
                      <w:lang w:val="en-US" w:eastAsia="zh-CN"/>
                    </w:rPr>
                    <w:t>不合格产品回用生产</w:t>
                  </w:r>
                  <w:r>
                    <w:rPr>
                      <w:rFonts w:hint="eastAsia"/>
                      <w:color w:val="auto"/>
                      <w:szCs w:val="21"/>
                      <w:highlight w:val="none"/>
                      <w:lang w:val="en-US" w:eastAsia="zh-CN"/>
                    </w:rPr>
                    <w:t>；</w:t>
                  </w:r>
                </w:p>
                <w:p w14:paraId="50455753">
                  <w:pPr>
                    <w:rPr>
                      <w:rFonts w:hint="default" w:ascii="Times New Roman" w:hAnsi="Times New Roman" w:eastAsia="宋体"/>
                      <w:color w:val="auto"/>
                      <w:szCs w:val="21"/>
                      <w:highlight w:val="none"/>
                      <w:lang w:val="en-US" w:eastAsia="zh-CN"/>
                    </w:rPr>
                  </w:pPr>
                  <w:r>
                    <w:rPr>
                      <w:rFonts w:hint="eastAsia" w:ascii="Times New Roman" w:hAnsi="Times New Roman" w:eastAsia="宋体"/>
                      <w:color w:val="auto"/>
                      <w:szCs w:val="21"/>
                      <w:highlight w:val="none"/>
                      <w:lang w:val="en-US" w:eastAsia="zh-CN"/>
                    </w:rPr>
                    <w:t>危险废物：</w:t>
                  </w:r>
                </w:p>
                <w:p w14:paraId="5B960314">
                  <w:pPr>
                    <w:rPr>
                      <w:rFonts w:ascii="Times New Roman" w:hAnsi="Times New Roman" w:eastAsia="宋体"/>
                      <w:color w:val="auto"/>
                      <w:szCs w:val="21"/>
                      <w:highlight w:val="none"/>
                    </w:rPr>
                  </w:pPr>
                  <w:r>
                    <w:rPr>
                      <w:rFonts w:hint="eastAsia" w:ascii="Times New Roman" w:hAnsi="Times New Roman" w:eastAsia="宋体"/>
                      <w:color w:val="auto"/>
                      <w:szCs w:val="21"/>
                      <w:highlight w:val="none"/>
                      <w:lang w:val="en-US" w:eastAsia="zh-CN"/>
                    </w:rPr>
                    <w:t>危废暂存间建筑面积30m</w:t>
                  </w:r>
                  <w:r>
                    <w:rPr>
                      <w:rFonts w:hint="eastAsia" w:ascii="Times New Roman" w:hAnsi="Times New Roman" w:eastAsia="宋体"/>
                      <w:color w:val="auto"/>
                      <w:szCs w:val="21"/>
                      <w:highlight w:val="none"/>
                      <w:vertAlign w:val="superscript"/>
                      <w:lang w:val="en-US" w:eastAsia="zh-CN"/>
                    </w:rPr>
                    <w:t>2</w:t>
                  </w:r>
                  <w:r>
                    <w:rPr>
                      <w:rFonts w:hint="eastAsia" w:ascii="Times New Roman" w:hAnsi="Times New Roman" w:eastAsia="宋体"/>
                      <w:color w:val="auto"/>
                      <w:szCs w:val="21"/>
                      <w:highlight w:val="none"/>
                      <w:lang w:val="en-US" w:eastAsia="zh-CN"/>
                    </w:rPr>
                    <w:t>，用于暂存项目危险废物；废含油棉纱及抹布、废活性炭、废矿物油、</w:t>
                  </w:r>
                  <w:r>
                    <w:rPr>
                      <w:rFonts w:hint="eastAsia"/>
                      <w:color w:val="auto"/>
                      <w:szCs w:val="21"/>
                      <w:highlight w:val="none"/>
                      <w:lang w:val="en-US" w:eastAsia="zh-CN"/>
                    </w:rPr>
                    <w:t>废</w:t>
                  </w:r>
                  <w:r>
                    <w:rPr>
                      <w:rFonts w:hint="eastAsia" w:ascii="Times New Roman" w:hAnsi="Times New Roman" w:eastAsia="宋体"/>
                      <w:color w:val="auto"/>
                      <w:szCs w:val="21"/>
                      <w:highlight w:val="none"/>
                      <w:lang w:val="en-US" w:eastAsia="zh-CN"/>
                    </w:rPr>
                    <w:t>超滤膜、表面处理水槽沉渣</w:t>
                  </w:r>
                  <w:r>
                    <w:rPr>
                      <w:rFonts w:hint="eastAsia"/>
                      <w:color w:val="auto"/>
                      <w:szCs w:val="21"/>
                      <w:highlight w:val="none"/>
                      <w:lang w:val="en-US" w:eastAsia="zh-CN"/>
                    </w:rPr>
                    <w:t>、电泳槽渣</w:t>
                  </w:r>
                  <w:r>
                    <w:rPr>
                      <w:rFonts w:hint="eastAsia" w:ascii="Times New Roman" w:hAnsi="Times New Roman" w:eastAsia="宋体"/>
                      <w:color w:val="auto"/>
                      <w:szCs w:val="21"/>
                      <w:highlight w:val="none"/>
                      <w:lang w:val="en-US" w:eastAsia="zh-CN"/>
                    </w:rPr>
                    <w:t>、废</w:t>
                  </w:r>
                  <w:r>
                    <w:rPr>
                      <w:rFonts w:hint="eastAsia"/>
                      <w:color w:val="auto"/>
                      <w:szCs w:val="21"/>
                      <w:highlight w:val="none"/>
                      <w:lang w:val="en-US" w:eastAsia="zh-CN"/>
                    </w:rPr>
                    <w:t>化学品</w:t>
                  </w:r>
                  <w:r>
                    <w:rPr>
                      <w:rFonts w:hint="eastAsia" w:ascii="Times New Roman" w:hAnsi="Times New Roman" w:eastAsia="宋体"/>
                      <w:color w:val="auto"/>
                      <w:szCs w:val="21"/>
                      <w:highlight w:val="none"/>
                      <w:lang w:val="en-US" w:eastAsia="zh-CN"/>
                    </w:rPr>
                    <w:t>包装物</w:t>
                  </w:r>
                  <w:r>
                    <w:rPr>
                      <w:rFonts w:hint="eastAsia"/>
                      <w:color w:val="auto"/>
                      <w:szCs w:val="21"/>
                      <w:highlight w:val="none"/>
                      <w:lang w:val="en-US" w:eastAsia="zh-CN"/>
                    </w:rPr>
                    <w:t>、废过滤棉</w:t>
                  </w:r>
                  <w:r>
                    <w:rPr>
                      <w:rFonts w:hint="eastAsia" w:ascii="Times New Roman" w:hAnsi="Times New Roman" w:eastAsia="宋体"/>
                      <w:color w:val="auto"/>
                      <w:szCs w:val="21"/>
                      <w:highlight w:val="none"/>
                      <w:lang w:val="en-US" w:eastAsia="zh-CN"/>
                    </w:rPr>
                    <w:t>暂存危废暂存间，定期交</w:t>
                  </w:r>
                  <w:r>
                    <w:rPr>
                      <w:rFonts w:hint="eastAsia"/>
                      <w:color w:val="auto"/>
                      <w:szCs w:val="21"/>
                      <w:highlight w:val="none"/>
                      <w:lang w:val="en-US" w:eastAsia="zh-CN"/>
                    </w:rPr>
                    <w:t>由</w:t>
                  </w:r>
                  <w:r>
                    <w:rPr>
                      <w:rFonts w:hint="eastAsia" w:ascii="Times New Roman" w:hAnsi="Times New Roman" w:eastAsia="宋体"/>
                      <w:color w:val="auto"/>
                      <w:szCs w:val="21"/>
                      <w:highlight w:val="none"/>
                      <w:lang w:val="en-US" w:eastAsia="zh-CN"/>
                    </w:rPr>
                    <w:t>柳州金太阳工业废物处置有限公司</w:t>
                  </w:r>
                  <w:r>
                    <w:rPr>
                      <w:rFonts w:hint="eastAsia" w:ascii="Times New Roman" w:hAnsi="Times New Roman" w:eastAsia="宋体"/>
                      <w:color w:val="auto"/>
                      <w:szCs w:val="21"/>
                      <w:highlight w:val="none"/>
                      <w:lang w:val="en-US" w:eastAsia="zh-CN"/>
                    </w:rPr>
                    <w:t>处理，污泥定期由柳州金太阳工业废物处置有限公司</w:t>
                  </w:r>
                  <w:r>
                    <w:rPr>
                      <w:rFonts w:hint="eastAsia" w:ascii="Times New Roman" w:hAnsi="Times New Roman" w:eastAsia="宋体"/>
                      <w:color w:val="auto"/>
                      <w:szCs w:val="21"/>
                      <w:highlight w:val="none"/>
                      <w:lang w:val="en-US" w:eastAsia="zh-CN"/>
                    </w:rPr>
                    <w:t>清掏处理</w:t>
                  </w:r>
                  <w:r>
                    <w:rPr>
                      <w:rFonts w:hint="eastAsia"/>
                      <w:color w:val="auto"/>
                      <w:szCs w:val="21"/>
                      <w:highlight w:val="none"/>
                      <w:lang w:val="en-US" w:eastAsia="zh-CN"/>
                    </w:rPr>
                    <w:t>；</w:t>
                  </w:r>
                </w:p>
                <w:p w14:paraId="18BF443F">
                  <w:pPr>
                    <w:rPr>
                      <w:rFonts w:hint="eastAsia" w:ascii="Times New Roman" w:hAnsi="Times New Roman" w:eastAsia="宋体"/>
                      <w:color w:val="auto"/>
                      <w:szCs w:val="21"/>
                      <w:highlight w:val="none"/>
                      <w:lang w:eastAsia="zh-CN"/>
                    </w:rPr>
                  </w:pPr>
                  <w:r>
                    <w:rPr>
                      <w:rFonts w:ascii="Times New Roman" w:hAnsi="Times New Roman" w:eastAsia="宋体"/>
                      <w:color w:val="auto"/>
                      <w:szCs w:val="21"/>
                      <w:highlight w:val="none"/>
                    </w:rPr>
                    <w:t>生活垃圾</w:t>
                  </w:r>
                  <w:r>
                    <w:rPr>
                      <w:rFonts w:hint="eastAsia" w:ascii="Times New Roman" w:hAnsi="Times New Roman" w:eastAsia="宋体"/>
                      <w:color w:val="auto"/>
                      <w:szCs w:val="21"/>
                      <w:highlight w:val="none"/>
                      <w:lang w:eastAsia="zh-CN"/>
                    </w:rPr>
                    <w:t>：</w:t>
                  </w:r>
                </w:p>
                <w:p w14:paraId="4A784995">
                  <w:pPr>
                    <w:rPr>
                      <w:rFonts w:hint="default" w:eastAsia="宋体"/>
                      <w:color w:val="auto"/>
                      <w:sz w:val="21"/>
                      <w:szCs w:val="21"/>
                      <w:highlight w:val="none"/>
                      <w:shd w:val="clear" w:color="auto" w:fill="auto"/>
                      <w:lang w:val="en-US" w:eastAsia="zh-CN"/>
                    </w:rPr>
                  </w:pPr>
                  <w:r>
                    <w:rPr>
                      <w:rFonts w:hint="eastAsia"/>
                      <w:color w:val="auto"/>
                      <w:szCs w:val="21"/>
                      <w:highlight w:val="none"/>
                      <w:lang w:val="en-US" w:eastAsia="zh-CN"/>
                    </w:rPr>
                    <w:t>生活垃圾</w:t>
                  </w:r>
                  <w:r>
                    <w:rPr>
                      <w:rFonts w:ascii="Times New Roman" w:hAnsi="Times New Roman" w:eastAsia="宋体"/>
                      <w:color w:val="auto"/>
                      <w:szCs w:val="21"/>
                      <w:highlight w:val="none"/>
                    </w:rPr>
                    <w:t>送至指定地点，由当地环卫部门统一清运</w:t>
                  </w:r>
                  <w:r>
                    <w:rPr>
                      <w:rFonts w:hint="eastAsia" w:ascii="Times New Roman" w:hAnsi="Times New Roman" w:eastAsia="宋体"/>
                      <w:color w:val="auto"/>
                      <w:szCs w:val="21"/>
                      <w:highlight w:val="none"/>
                      <w:lang w:eastAsia="zh-CN"/>
                    </w:rPr>
                    <w:t>。</w:t>
                  </w:r>
                </w:p>
              </w:tc>
            </w:tr>
          </w:tbl>
          <w:p w14:paraId="34E12684">
            <w:pPr>
              <w:keepNext w:val="0"/>
              <w:keepLines w:val="0"/>
              <w:pageBreakBefore w:val="0"/>
              <w:widowControl w:val="0"/>
              <w:kinsoku/>
              <w:wordWrap/>
              <w:overflowPunct/>
              <w:topLinePunct w:val="0"/>
              <w:autoSpaceDE/>
              <w:autoSpaceDN/>
              <w:bidi w:val="0"/>
              <w:adjustRightInd/>
              <w:snapToGrid/>
              <w:spacing w:before="120" w:beforeLines="50" w:line="360" w:lineRule="auto"/>
              <w:ind w:firstLine="482" w:firstLineChars="200"/>
              <w:textAlignment w:val="auto"/>
              <w:rPr>
                <w:rFonts w:hint="eastAsia" w:ascii="Times New Roman" w:hAnsi="Times New Roman" w:eastAsia="宋体" w:cs="宋体"/>
                <w:b/>
                <w:bCs/>
                <w:color w:val="auto"/>
                <w:sz w:val="24"/>
              </w:rPr>
            </w:pPr>
            <w:r>
              <w:rPr>
                <w:rFonts w:hint="eastAsia" w:cs="宋体"/>
                <w:b/>
                <w:bCs/>
                <w:color w:val="auto"/>
                <w:sz w:val="24"/>
                <w:lang w:val="en-US" w:eastAsia="zh-CN"/>
              </w:rPr>
              <w:t>3</w:t>
            </w:r>
            <w:r>
              <w:rPr>
                <w:rFonts w:hint="eastAsia" w:cs="宋体"/>
                <w:b/>
                <w:bCs/>
                <w:color w:val="auto"/>
                <w:sz w:val="24"/>
                <w:lang w:eastAsia="zh-CN"/>
              </w:rPr>
              <w:t>.</w:t>
            </w:r>
            <w:r>
              <w:rPr>
                <w:rFonts w:hint="eastAsia" w:ascii="Times New Roman" w:hAnsi="Times New Roman" w:eastAsia="宋体" w:cs="宋体"/>
                <w:b/>
                <w:bCs/>
                <w:color w:val="auto"/>
                <w:sz w:val="24"/>
              </w:rPr>
              <w:t>主要产品及产能</w:t>
            </w:r>
          </w:p>
          <w:p w14:paraId="1121CDB4">
            <w:pPr>
              <w:adjustRightInd w:val="0"/>
              <w:snapToGrid w:val="0"/>
              <w:jc w:val="center"/>
              <w:rPr>
                <w:rFonts w:ascii="Times New Roman" w:hAnsi="Times New Roman" w:eastAsia="宋体" w:cs="宋体"/>
                <w:b/>
                <w:bCs/>
                <w:color w:val="auto"/>
                <w:sz w:val="24"/>
                <w:szCs w:val="24"/>
              </w:rPr>
            </w:pPr>
            <w:r>
              <w:rPr>
                <w:rFonts w:ascii="Times New Roman" w:hAnsi="Times New Roman" w:eastAsia="宋体" w:cs="宋体"/>
                <w:b/>
                <w:bCs/>
                <w:color w:val="auto"/>
                <w:sz w:val="24"/>
                <w:szCs w:val="24"/>
              </w:rPr>
              <w:t>表</w:t>
            </w:r>
            <w:r>
              <w:rPr>
                <w:rFonts w:hint="eastAsia" w:ascii="Times New Roman" w:hAnsi="Times New Roman" w:eastAsia="宋体" w:cs="宋体"/>
                <w:b/>
                <w:bCs/>
                <w:color w:val="auto"/>
                <w:sz w:val="24"/>
                <w:szCs w:val="24"/>
              </w:rPr>
              <w:t>2</w:t>
            </w:r>
            <w:r>
              <w:rPr>
                <w:rFonts w:ascii="Times New Roman" w:hAnsi="Times New Roman" w:eastAsia="宋体" w:cs="宋体"/>
                <w:b/>
                <w:bCs/>
                <w:color w:val="auto"/>
                <w:sz w:val="24"/>
                <w:szCs w:val="24"/>
              </w:rPr>
              <w:t>-2</w:t>
            </w:r>
            <w:r>
              <w:rPr>
                <w:rFonts w:hint="eastAsia" w:ascii="Times New Roman" w:hAnsi="Times New Roman" w:eastAsia="宋体" w:cs="宋体"/>
                <w:b/>
                <w:bCs/>
                <w:color w:val="auto"/>
                <w:sz w:val="24"/>
                <w:szCs w:val="24"/>
                <w:lang w:val="en-US" w:eastAsia="zh-CN"/>
              </w:rPr>
              <w:t xml:space="preserve">  </w:t>
            </w:r>
            <w:r>
              <w:rPr>
                <w:rFonts w:ascii="Times New Roman" w:hAnsi="Times New Roman" w:eastAsia="宋体" w:cs="宋体"/>
                <w:b/>
                <w:bCs/>
                <w:color w:val="auto"/>
                <w:sz w:val="24"/>
                <w:szCs w:val="24"/>
              </w:rPr>
              <w:t>项目产品方案</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944"/>
              <w:gridCol w:w="1340"/>
              <w:gridCol w:w="4446"/>
            </w:tblGrid>
            <w:tr w14:paraId="54F8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5" w:type="pct"/>
                  <w:tcBorders>
                    <w:top w:val="single" w:color="auto" w:sz="4" w:space="0"/>
                    <w:left w:val="single" w:color="auto" w:sz="4" w:space="0"/>
                    <w:bottom w:val="single" w:color="auto" w:sz="4" w:space="0"/>
                    <w:right w:val="single" w:color="auto" w:sz="4" w:space="0"/>
                  </w:tcBorders>
                  <w:noWrap w:val="0"/>
                  <w:vAlign w:val="center"/>
                </w:tcPr>
                <w:p w14:paraId="569FF2C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olor w:val="auto"/>
                      <w:szCs w:val="21"/>
                    </w:rPr>
                  </w:pPr>
                  <w:r>
                    <w:rPr>
                      <w:rFonts w:hint="eastAsia" w:ascii="Times New Roman" w:hAnsi="Times New Roman" w:eastAsia="宋体"/>
                      <w:color w:val="auto"/>
                      <w:szCs w:val="21"/>
                    </w:rPr>
                    <w:t>产品名称</w:t>
                  </w:r>
                </w:p>
              </w:tc>
              <w:tc>
                <w:tcPr>
                  <w:tcW w:w="581" w:type="pct"/>
                  <w:tcBorders>
                    <w:top w:val="single" w:color="auto" w:sz="4" w:space="0"/>
                    <w:left w:val="single" w:color="auto" w:sz="4" w:space="0"/>
                    <w:bottom w:val="single" w:color="auto" w:sz="4" w:space="0"/>
                    <w:right w:val="single" w:color="auto" w:sz="4" w:space="0"/>
                  </w:tcBorders>
                  <w:noWrap w:val="0"/>
                  <w:vAlign w:val="center"/>
                </w:tcPr>
                <w:p w14:paraId="6CB8649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olor w:val="auto"/>
                      <w:szCs w:val="21"/>
                    </w:rPr>
                  </w:pPr>
                  <w:r>
                    <w:rPr>
                      <w:rFonts w:hint="eastAsia" w:ascii="Times New Roman" w:hAnsi="Times New Roman" w:eastAsia="宋体"/>
                      <w:color w:val="auto"/>
                      <w:szCs w:val="21"/>
                    </w:rPr>
                    <w:t>单位</w:t>
                  </w:r>
                </w:p>
              </w:tc>
              <w:tc>
                <w:tcPr>
                  <w:tcW w:w="825" w:type="pct"/>
                  <w:tcBorders>
                    <w:top w:val="single" w:color="auto" w:sz="4" w:space="0"/>
                    <w:left w:val="single" w:color="auto" w:sz="4" w:space="0"/>
                    <w:bottom w:val="single" w:color="auto" w:sz="4" w:space="0"/>
                    <w:right w:val="single" w:color="auto" w:sz="4" w:space="0"/>
                  </w:tcBorders>
                  <w:noWrap w:val="0"/>
                  <w:vAlign w:val="center"/>
                </w:tcPr>
                <w:p w14:paraId="4726185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olor w:val="auto"/>
                      <w:szCs w:val="21"/>
                    </w:rPr>
                  </w:pPr>
                  <w:r>
                    <w:rPr>
                      <w:rFonts w:hint="eastAsia" w:ascii="Times New Roman" w:hAnsi="Times New Roman" w:eastAsia="宋体"/>
                      <w:color w:val="auto"/>
                      <w:szCs w:val="21"/>
                    </w:rPr>
                    <w:t>数量</w:t>
                  </w:r>
                </w:p>
              </w:tc>
              <w:tc>
                <w:tcPr>
                  <w:tcW w:w="2737" w:type="pct"/>
                  <w:tcBorders>
                    <w:top w:val="single" w:color="auto" w:sz="4" w:space="0"/>
                    <w:left w:val="single" w:color="auto" w:sz="4" w:space="0"/>
                    <w:bottom w:val="single" w:color="auto" w:sz="4" w:space="0"/>
                    <w:right w:val="single" w:color="auto" w:sz="4" w:space="0"/>
                  </w:tcBorders>
                  <w:noWrap w:val="0"/>
                  <w:vAlign w:val="center"/>
                </w:tcPr>
                <w:p w14:paraId="415BBA5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olor w:val="auto"/>
                      <w:szCs w:val="21"/>
                    </w:rPr>
                  </w:pPr>
                  <w:r>
                    <w:rPr>
                      <w:rFonts w:hint="eastAsia" w:ascii="Times New Roman" w:hAnsi="Times New Roman" w:eastAsia="宋体"/>
                      <w:color w:val="auto"/>
                      <w:szCs w:val="21"/>
                    </w:rPr>
                    <w:t>备注</w:t>
                  </w:r>
                </w:p>
              </w:tc>
            </w:tr>
            <w:tr w14:paraId="6585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F8D1C9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电动助动车</w:t>
                  </w:r>
                </w:p>
              </w:tc>
              <w:tc>
                <w:tcPr>
                  <w:tcW w:w="58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4C7D52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台</w:t>
                  </w:r>
                  <w:r>
                    <w:rPr>
                      <w:rFonts w:hint="eastAsia" w:ascii="Times New Roman" w:hAnsi="Times New Roman" w:eastAsia="宋体"/>
                      <w:color w:val="auto"/>
                      <w:szCs w:val="21"/>
                    </w:rPr>
                    <w:t>/a</w:t>
                  </w:r>
                </w:p>
              </w:tc>
              <w:tc>
                <w:tcPr>
                  <w:tcW w:w="82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56B4BB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50万</w:t>
                  </w:r>
                </w:p>
              </w:tc>
              <w:tc>
                <w:tcPr>
                  <w:tcW w:w="273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F9A85EC">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单车重量62kg，最高车速锁定25km/h；电气回路部件达V-0级阻燃，弹性软垫、纺织品类材料满足特定燃烧性能；塑料总质量不超过整车5.5%；限速器锁定。助动车执行《电动自行车安全技术规范》（GB 17761-2024）</w:t>
                  </w:r>
                </w:p>
              </w:tc>
            </w:tr>
            <w:tr w14:paraId="4B45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57F854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车架</w:t>
                  </w:r>
                </w:p>
              </w:tc>
              <w:tc>
                <w:tcPr>
                  <w:tcW w:w="58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8CA9CA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套/a</w:t>
                  </w:r>
                </w:p>
              </w:tc>
              <w:tc>
                <w:tcPr>
                  <w:tcW w:w="82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5CCDB8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50万</w:t>
                  </w:r>
                </w:p>
              </w:tc>
              <w:tc>
                <w:tcPr>
                  <w:tcW w:w="273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C34940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配套本项目电动助动车使用</w:t>
                  </w:r>
                </w:p>
              </w:tc>
            </w:tr>
            <w:tr w14:paraId="2D62A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8AC216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后平叉</w:t>
                  </w:r>
                </w:p>
              </w:tc>
              <w:tc>
                <w:tcPr>
                  <w:tcW w:w="58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F86979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个/a</w:t>
                  </w:r>
                </w:p>
              </w:tc>
              <w:tc>
                <w:tcPr>
                  <w:tcW w:w="82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265878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50万</w:t>
                  </w:r>
                </w:p>
              </w:tc>
              <w:tc>
                <w:tcPr>
                  <w:tcW w:w="273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73AB26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配套本项目电动助动车使用</w:t>
                  </w:r>
                </w:p>
              </w:tc>
            </w:tr>
            <w:tr w14:paraId="780D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F94A59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方向把</w:t>
                  </w:r>
                </w:p>
              </w:tc>
              <w:tc>
                <w:tcPr>
                  <w:tcW w:w="58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A9585C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heme="minorBidi"/>
                      <w:color w:val="auto"/>
                      <w:kern w:val="2"/>
                      <w:sz w:val="21"/>
                      <w:szCs w:val="21"/>
                      <w:lang w:val="en-US" w:eastAsia="zh-CN" w:bidi="ar-SA"/>
                    </w:rPr>
                  </w:pPr>
                  <w:r>
                    <w:rPr>
                      <w:rFonts w:hint="eastAsia"/>
                      <w:color w:val="auto"/>
                      <w:szCs w:val="21"/>
                      <w:lang w:val="en-US" w:eastAsia="zh-CN"/>
                    </w:rPr>
                    <w:t>个/a</w:t>
                  </w:r>
                </w:p>
              </w:tc>
              <w:tc>
                <w:tcPr>
                  <w:tcW w:w="82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6106F4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heme="minorHAnsi" w:hAnsiTheme="minorHAnsi" w:eastAsiaTheme="minorEastAsia" w:cstheme="minorBidi"/>
                      <w:color w:val="auto"/>
                      <w:kern w:val="2"/>
                      <w:sz w:val="21"/>
                      <w:szCs w:val="21"/>
                      <w:lang w:val="en-US" w:eastAsia="zh-CN" w:bidi="ar-SA"/>
                    </w:rPr>
                  </w:pPr>
                  <w:r>
                    <w:rPr>
                      <w:rFonts w:hint="eastAsia"/>
                      <w:color w:val="auto"/>
                      <w:szCs w:val="21"/>
                      <w:lang w:val="en-US" w:eastAsia="zh-CN"/>
                    </w:rPr>
                    <w:t>50万</w:t>
                  </w:r>
                </w:p>
              </w:tc>
              <w:tc>
                <w:tcPr>
                  <w:tcW w:w="273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5C2D4B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配套本项目电动助动车使用</w:t>
                  </w:r>
                </w:p>
              </w:tc>
            </w:tr>
          </w:tbl>
          <w:p w14:paraId="2CFF6633">
            <w:pPr>
              <w:keepNext w:val="0"/>
              <w:keepLines w:val="0"/>
              <w:pageBreakBefore w:val="0"/>
              <w:widowControl w:val="0"/>
              <w:kinsoku/>
              <w:wordWrap/>
              <w:overflowPunct/>
              <w:topLinePunct w:val="0"/>
              <w:autoSpaceDE/>
              <w:autoSpaceDN/>
              <w:bidi w:val="0"/>
              <w:adjustRightInd/>
              <w:snapToGrid/>
              <w:spacing w:before="120" w:beforeLines="50" w:line="360" w:lineRule="auto"/>
              <w:ind w:firstLine="482" w:firstLineChars="200"/>
              <w:textAlignment w:val="auto"/>
              <w:rPr>
                <w:rFonts w:hint="eastAsia" w:ascii="Times New Roman" w:hAnsi="Times New Roman" w:eastAsia="宋体" w:cs="宋体"/>
                <w:b/>
                <w:bCs/>
                <w:color w:val="auto"/>
                <w:sz w:val="24"/>
              </w:rPr>
            </w:pPr>
            <w:r>
              <w:rPr>
                <w:rFonts w:hint="eastAsia" w:cs="宋体"/>
                <w:b/>
                <w:bCs/>
                <w:color w:val="auto"/>
                <w:sz w:val="24"/>
                <w:lang w:val="en-US" w:eastAsia="zh-CN"/>
              </w:rPr>
              <w:t>4</w:t>
            </w:r>
            <w:r>
              <w:rPr>
                <w:rFonts w:hint="eastAsia" w:cs="宋体"/>
                <w:b/>
                <w:bCs/>
                <w:color w:val="auto"/>
                <w:sz w:val="24"/>
                <w:lang w:eastAsia="zh-CN"/>
              </w:rPr>
              <w:t>.</w:t>
            </w:r>
            <w:r>
              <w:rPr>
                <w:rFonts w:hint="eastAsia" w:ascii="Times New Roman" w:hAnsi="Times New Roman" w:eastAsia="宋体" w:cs="宋体"/>
                <w:b/>
                <w:bCs/>
                <w:color w:val="auto"/>
                <w:sz w:val="24"/>
              </w:rPr>
              <w:t>主要生产设施及设施参数</w:t>
            </w:r>
          </w:p>
          <w:p w14:paraId="1F9438AA">
            <w:pPr>
              <w:ind w:firstLine="0" w:firstLineChars="0"/>
              <w:jc w:val="center"/>
              <w:rPr>
                <w:rFonts w:hint="default"/>
                <w:color w:val="auto"/>
                <w:sz w:val="24"/>
                <w:szCs w:val="24"/>
              </w:rPr>
            </w:pPr>
            <w:r>
              <w:rPr>
                <w:rFonts w:ascii="Times New Roman" w:hAnsi="Times New Roman" w:eastAsia="宋体" w:cs="宋体"/>
                <w:b/>
                <w:bCs/>
                <w:color w:val="auto"/>
                <w:sz w:val="24"/>
                <w:szCs w:val="24"/>
              </w:rPr>
              <w:t>表</w:t>
            </w:r>
            <w:r>
              <w:rPr>
                <w:rFonts w:hint="eastAsia" w:ascii="Times New Roman" w:hAnsi="Times New Roman" w:eastAsia="宋体" w:cs="宋体"/>
                <w:b/>
                <w:bCs/>
                <w:color w:val="auto"/>
                <w:sz w:val="24"/>
                <w:szCs w:val="24"/>
              </w:rPr>
              <w:t>2</w:t>
            </w:r>
            <w:r>
              <w:rPr>
                <w:rFonts w:ascii="Times New Roman" w:hAnsi="Times New Roman" w:eastAsia="宋体" w:cs="宋体"/>
                <w:b/>
                <w:bCs/>
                <w:color w:val="auto"/>
                <w:sz w:val="24"/>
                <w:szCs w:val="24"/>
              </w:rPr>
              <w:t>-3</w:t>
            </w:r>
            <w:r>
              <w:rPr>
                <w:rFonts w:hint="eastAsia" w:ascii="Times New Roman" w:hAnsi="Times New Roman" w:eastAsia="宋体" w:cs="宋体"/>
                <w:b/>
                <w:bCs/>
                <w:color w:val="auto"/>
                <w:sz w:val="24"/>
                <w:szCs w:val="24"/>
                <w:lang w:val="en-US" w:eastAsia="zh-CN"/>
              </w:rPr>
              <w:t xml:space="preserve">  </w:t>
            </w:r>
            <w:r>
              <w:rPr>
                <w:rFonts w:ascii="Times New Roman" w:hAnsi="Times New Roman" w:eastAsia="宋体" w:cs="宋体"/>
                <w:b/>
                <w:bCs/>
                <w:color w:val="auto"/>
                <w:sz w:val="24"/>
                <w:szCs w:val="24"/>
              </w:rPr>
              <w:t>建设项目主要设备一览表</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7"/>
              <w:gridCol w:w="924"/>
              <w:gridCol w:w="1975"/>
              <w:gridCol w:w="1598"/>
              <w:gridCol w:w="1356"/>
              <w:gridCol w:w="1489"/>
            </w:tblGrid>
            <w:tr w14:paraId="7A85E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79" w:type="pct"/>
                  <w:noWrap w:val="0"/>
                  <w:vAlign w:val="center"/>
                </w:tcPr>
                <w:p w14:paraId="34B89F80">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序号</w:t>
                  </w:r>
                </w:p>
              </w:tc>
              <w:tc>
                <w:tcPr>
                  <w:tcW w:w="1785" w:type="pct"/>
                  <w:gridSpan w:val="2"/>
                  <w:noWrap w:val="0"/>
                  <w:vAlign w:val="center"/>
                </w:tcPr>
                <w:p w14:paraId="13B5B93A">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设备名称</w:t>
                  </w:r>
                </w:p>
              </w:tc>
              <w:tc>
                <w:tcPr>
                  <w:tcW w:w="984" w:type="pct"/>
                  <w:noWrap w:val="0"/>
                  <w:vAlign w:val="center"/>
                </w:tcPr>
                <w:p w14:paraId="373E76B2">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型号</w:t>
                  </w:r>
                </w:p>
              </w:tc>
              <w:tc>
                <w:tcPr>
                  <w:tcW w:w="835" w:type="pct"/>
                  <w:noWrap w:val="0"/>
                  <w:vAlign w:val="center"/>
                </w:tcPr>
                <w:p w14:paraId="72975976">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单位</w:t>
                  </w:r>
                </w:p>
              </w:tc>
              <w:tc>
                <w:tcPr>
                  <w:tcW w:w="915" w:type="pct"/>
                  <w:noWrap w:val="0"/>
                  <w:vAlign w:val="center"/>
                </w:tcPr>
                <w:p w14:paraId="2CC5E446">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rPr>
                    <w:t>数量</w:t>
                  </w:r>
                </w:p>
              </w:tc>
            </w:tr>
            <w:tr w14:paraId="3A2D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00" w:type="pct"/>
                  <w:gridSpan w:val="6"/>
                  <w:noWrap w:val="0"/>
                  <w:vAlign w:val="center"/>
                </w:tcPr>
                <w:p w14:paraId="6D07EEE7">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一、下料加</w:t>
                  </w:r>
                  <w:r>
                    <w:rPr>
                      <w:rFonts w:hint="eastAsia" w:ascii="Times New Roman" w:hAnsi="Times New Roman" w:cs="Times New Roman"/>
                      <w:color w:val="auto"/>
                      <w:kern w:val="0"/>
                      <w:sz w:val="21"/>
                      <w:szCs w:val="21"/>
                      <w:lang w:val="en-US" w:eastAsia="zh-CN"/>
                    </w:rPr>
                    <w:t>工</w:t>
                  </w:r>
                  <w:r>
                    <w:rPr>
                      <w:rFonts w:hint="default" w:ascii="Times New Roman" w:hAnsi="Times New Roman" w:cs="Times New Roman"/>
                      <w:color w:val="auto"/>
                      <w:kern w:val="0"/>
                      <w:sz w:val="21"/>
                      <w:szCs w:val="21"/>
                      <w:lang w:val="en-US" w:eastAsia="zh-CN"/>
                    </w:rPr>
                    <w:t>段</w:t>
                  </w:r>
                </w:p>
              </w:tc>
            </w:tr>
            <w:tr w14:paraId="647C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noWrap w:val="0"/>
                  <w:vAlign w:val="center"/>
                </w:tcPr>
                <w:p w14:paraId="1C1BDDAC">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w:t>
                  </w:r>
                </w:p>
              </w:tc>
              <w:tc>
                <w:tcPr>
                  <w:tcW w:w="1785" w:type="pct"/>
                  <w:gridSpan w:val="2"/>
                  <w:noWrap w:val="0"/>
                  <w:vAlign w:val="center"/>
                </w:tcPr>
                <w:p w14:paraId="3BA71388">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激光切管机</w:t>
                  </w:r>
                </w:p>
              </w:tc>
              <w:tc>
                <w:tcPr>
                  <w:tcW w:w="984" w:type="pct"/>
                  <w:noWrap w:val="0"/>
                  <w:vAlign w:val="center"/>
                </w:tcPr>
                <w:p w14:paraId="032B7FE6">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w:t>
                  </w:r>
                </w:p>
              </w:tc>
              <w:tc>
                <w:tcPr>
                  <w:tcW w:w="835" w:type="pct"/>
                  <w:noWrap w:val="0"/>
                  <w:vAlign w:val="center"/>
                </w:tcPr>
                <w:p w14:paraId="76D012C6">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台</w:t>
                  </w:r>
                </w:p>
              </w:tc>
              <w:tc>
                <w:tcPr>
                  <w:tcW w:w="915" w:type="pct"/>
                  <w:noWrap w:val="0"/>
                  <w:vAlign w:val="center"/>
                </w:tcPr>
                <w:p w14:paraId="124EDB2F">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1</w:t>
                  </w:r>
                </w:p>
              </w:tc>
            </w:tr>
            <w:tr w14:paraId="64181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noWrap w:val="0"/>
                  <w:vAlign w:val="center"/>
                </w:tcPr>
                <w:p w14:paraId="02BFAD63">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lang w:val="en-US" w:eastAsia="zh-CN"/>
                    </w:rPr>
                    <w:t>2</w:t>
                  </w:r>
                </w:p>
              </w:tc>
              <w:tc>
                <w:tcPr>
                  <w:tcW w:w="1785" w:type="pct"/>
                  <w:gridSpan w:val="2"/>
                  <w:noWrap w:val="0"/>
                  <w:vAlign w:val="center"/>
                </w:tcPr>
                <w:p w14:paraId="198E337B">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全自动切割机</w:t>
                  </w:r>
                </w:p>
              </w:tc>
              <w:tc>
                <w:tcPr>
                  <w:tcW w:w="984" w:type="pct"/>
                  <w:noWrap w:val="0"/>
                  <w:vAlign w:val="center"/>
                </w:tcPr>
                <w:p w14:paraId="139B356E">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w:t>
                  </w:r>
                </w:p>
              </w:tc>
              <w:tc>
                <w:tcPr>
                  <w:tcW w:w="835" w:type="pct"/>
                  <w:noWrap w:val="0"/>
                  <w:vAlign w:val="center"/>
                </w:tcPr>
                <w:p w14:paraId="45A7DEE7">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val="en-US" w:eastAsia="zh-CN"/>
                    </w:rPr>
                    <w:t>台</w:t>
                  </w:r>
                </w:p>
              </w:tc>
              <w:tc>
                <w:tcPr>
                  <w:tcW w:w="915" w:type="pct"/>
                  <w:noWrap w:val="0"/>
                  <w:vAlign w:val="center"/>
                </w:tcPr>
                <w:p w14:paraId="617FE0A8">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r>
            <w:tr w14:paraId="28B6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noWrap w:val="0"/>
                  <w:vAlign w:val="center"/>
                </w:tcPr>
                <w:p w14:paraId="2FB07E74">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lang w:val="en-US" w:eastAsia="zh-CN"/>
                    </w:rPr>
                    <w:t>3</w:t>
                  </w:r>
                </w:p>
              </w:tc>
              <w:tc>
                <w:tcPr>
                  <w:tcW w:w="1785" w:type="pct"/>
                  <w:gridSpan w:val="2"/>
                  <w:noWrap w:val="0"/>
                  <w:vAlign w:val="center"/>
                </w:tcPr>
                <w:p w14:paraId="1E25DB3B">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数控弯管机</w:t>
                  </w:r>
                </w:p>
              </w:tc>
              <w:tc>
                <w:tcPr>
                  <w:tcW w:w="984" w:type="pct"/>
                  <w:noWrap w:val="0"/>
                  <w:vAlign w:val="center"/>
                </w:tcPr>
                <w:p w14:paraId="77CD03C5">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CNC38</w:t>
                  </w:r>
                  <w:r>
                    <w:rPr>
                      <w:rFonts w:hint="eastAsia" w:ascii="Times New Roman" w:hAnsi="Times New Roman" w:cs="Times New Roman"/>
                      <w:color w:val="auto"/>
                      <w:kern w:val="0"/>
                      <w:sz w:val="21"/>
                      <w:szCs w:val="21"/>
                      <w:lang w:val="en-US" w:eastAsia="zh-CN"/>
                    </w:rPr>
                    <w:t>/CNC50</w:t>
                  </w:r>
                </w:p>
              </w:tc>
              <w:tc>
                <w:tcPr>
                  <w:tcW w:w="835" w:type="pct"/>
                  <w:noWrap w:val="0"/>
                  <w:vAlign w:val="center"/>
                </w:tcPr>
                <w:p w14:paraId="66D0006B">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val="en-US" w:eastAsia="zh-CN"/>
                    </w:rPr>
                    <w:t>台</w:t>
                  </w:r>
                </w:p>
              </w:tc>
              <w:tc>
                <w:tcPr>
                  <w:tcW w:w="915" w:type="pct"/>
                  <w:noWrap w:val="0"/>
                  <w:vAlign w:val="center"/>
                </w:tcPr>
                <w:p w14:paraId="48E8ACD2">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4</w:t>
                  </w:r>
                </w:p>
              </w:tc>
            </w:tr>
            <w:tr w14:paraId="7678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noWrap w:val="0"/>
                  <w:vAlign w:val="center"/>
                </w:tcPr>
                <w:p w14:paraId="5980A8A6">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lang w:val="en-US" w:eastAsia="zh-CN"/>
                    </w:rPr>
                    <w:t>4</w:t>
                  </w:r>
                </w:p>
              </w:tc>
              <w:tc>
                <w:tcPr>
                  <w:tcW w:w="1785" w:type="pct"/>
                  <w:gridSpan w:val="2"/>
                  <w:noWrap w:val="0"/>
                  <w:vAlign w:val="center"/>
                </w:tcPr>
                <w:p w14:paraId="3E54DF07">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弯管机</w:t>
                  </w:r>
                </w:p>
              </w:tc>
              <w:tc>
                <w:tcPr>
                  <w:tcW w:w="984" w:type="pct"/>
                  <w:noWrap w:val="0"/>
                  <w:vAlign w:val="center"/>
                </w:tcPr>
                <w:p w14:paraId="4E551F77">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QB-</w:t>
                  </w:r>
                  <w:r>
                    <w:rPr>
                      <w:rFonts w:hint="eastAsia" w:ascii="Times New Roman" w:hAnsi="Times New Roman" w:cs="Times New Roman"/>
                      <w:color w:val="auto"/>
                      <w:kern w:val="0"/>
                      <w:sz w:val="21"/>
                      <w:szCs w:val="21"/>
                      <w:lang w:val="en-US" w:eastAsia="zh-CN"/>
                    </w:rPr>
                    <w:t>30</w:t>
                  </w:r>
                </w:p>
              </w:tc>
              <w:tc>
                <w:tcPr>
                  <w:tcW w:w="835" w:type="pct"/>
                  <w:noWrap w:val="0"/>
                  <w:vAlign w:val="center"/>
                </w:tcPr>
                <w:p w14:paraId="23C65AF3">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val="en-US" w:eastAsia="zh-CN"/>
                    </w:rPr>
                    <w:t>台</w:t>
                  </w:r>
                </w:p>
              </w:tc>
              <w:tc>
                <w:tcPr>
                  <w:tcW w:w="915" w:type="pct"/>
                  <w:noWrap w:val="0"/>
                  <w:vAlign w:val="center"/>
                </w:tcPr>
                <w:p w14:paraId="58F0EFA9">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2</w:t>
                  </w:r>
                </w:p>
              </w:tc>
            </w:tr>
            <w:tr w14:paraId="05D0E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noWrap w:val="0"/>
                  <w:vAlign w:val="center"/>
                </w:tcPr>
                <w:p w14:paraId="7043A6E0">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lang w:val="en-US" w:eastAsia="zh-CN"/>
                    </w:rPr>
                    <w:t>5</w:t>
                  </w:r>
                </w:p>
              </w:tc>
              <w:tc>
                <w:tcPr>
                  <w:tcW w:w="1785" w:type="pct"/>
                  <w:gridSpan w:val="2"/>
                  <w:noWrap w:val="0"/>
                  <w:vAlign w:val="center"/>
                </w:tcPr>
                <w:p w14:paraId="528AD931">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缩管机</w:t>
                  </w:r>
                </w:p>
              </w:tc>
              <w:tc>
                <w:tcPr>
                  <w:tcW w:w="984" w:type="pct"/>
                  <w:noWrap w:val="0"/>
                  <w:vAlign w:val="center"/>
                </w:tcPr>
                <w:p w14:paraId="4BB0C05E">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w:t>
                  </w:r>
                </w:p>
              </w:tc>
              <w:tc>
                <w:tcPr>
                  <w:tcW w:w="835" w:type="pct"/>
                  <w:noWrap w:val="0"/>
                  <w:vAlign w:val="center"/>
                </w:tcPr>
                <w:p w14:paraId="4AFE3438">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val="en-US" w:eastAsia="zh-CN"/>
                    </w:rPr>
                    <w:t>台</w:t>
                  </w:r>
                </w:p>
              </w:tc>
              <w:tc>
                <w:tcPr>
                  <w:tcW w:w="915" w:type="pct"/>
                  <w:noWrap w:val="0"/>
                  <w:vAlign w:val="center"/>
                </w:tcPr>
                <w:p w14:paraId="567F80E7">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2</w:t>
                  </w:r>
                </w:p>
              </w:tc>
            </w:tr>
            <w:tr w14:paraId="27869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noWrap w:val="0"/>
                  <w:vAlign w:val="center"/>
                </w:tcPr>
                <w:p w14:paraId="393E9AB4">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6</w:t>
                  </w:r>
                </w:p>
              </w:tc>
              <w:tc>
                <w:tcPr>
                  <w:tcW w:w="1785" w:type="pct"/>
                  <w:gridSpan w:val="2"/>
                  <w:noWrap w:val="0"/>
                  <w:vAlign w:val="center"/>
                </w:tcPr>
                <w:p w14:paraId="6CB946FB">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自动双头倒角机</w:t>
                  </w:r>
                </w:p>
              </w:tc>
              <w:tc>
                <w:tcPr>
                  <w:tcW w:w="984" w:type="pct"/>
                  <w:noWrap w:val="0"/>
                  <w:vAlign w:val="center"/>
                </w:tcPr>
                <w:p w14:paraId="7A8C6828">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835" w:type="pct"/>
                  <w:noWrap w:val="0"/>
                  <w:vAlign w:val="center"/>
                </w:tcPr>
                <w:p w14:paraId="5E1FE015">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lang w:val="en-US" w:eastAsia="zh-CN"/>
                    </w:rPr>
                    <w:t>台</w:t>
                  </w:r>
                </w:p>
              </w:tc>
              <w:tc>
                <w:tcPr>
                  <w:tcW w:w="915" w:type="pct"/>
                  <w:noWrap w:val="0"/>
                  <w:vAlign w:val="center"/>
                </w:tcPr>
                <w:p w14:paraId="47A7C85E">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2</w:t>
                  </w:r>
                </w:p>
              </w:tc>
            </w:tr>
            <w:tr w14:paraId="5838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noWrap w:val="0"/>
                  <w:vAlign w:val="center"/>
                </w:tcPr>
                <w:p w14:paraId="52F343CC">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7</w:t>
                  </w:r>
                </w:p>
              </w:tc>
              <w:tc>
                <w:tcPr>
                  <w:tcW w:w="1785" w:type="pct"/>
                  <w:gridSpan w:val="2"/>
                  <w:noWrap w:val="0"/>
                  <w:vAlign w:val="center"/>
                </w:tcPr>
                <w:p w14:paraId="5BA117E0">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984" w:type="pct"/>
                  <w:noWrap w:val="0"/>
                  <w:vAlign w:val="center"/>
                </w:tcPr>
                <w:p w14:paraId="7350830B">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w:t>
                  </w:r>
                </w:p>
              </w:tc>
              <w:tc>
                <w:tcPr>
                  <w:tcW w:w="835" w:type="pct"/>
                  <w:noWrap w:val="0"/>
                  <w:vAlign w:val="center"/>
                </w:tcPr>
                <w:p w14:paraId="673FB696">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val="en-US" w:eastAsia="zh-CN"/>
                    </w:rPr>
                    <w:t>台</w:t>
                  </w:r>
                </w:p>
              </w:tc>
              <w:tc>
                <w:tcPr>
                  <w:tcW w:w="915" w:type="pct"/>
                  <w:noWrap w:val="0"/>
                  <w:vAlign w:val="center"/>
                </w:tcPr>
                <w:p w14:paraId="7807F0FC">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19</w:t>
                  </w:r>
                </w:p>
              </w:tc>
            </w:tr>
            <w:tr w14:paraId="5C89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79" w:type="pct"/>
                  <w:noWrap w:val="0"/>
                  <w:vAlign w:val="center"/>
                </w:tcPr>
                <w:p w14:paraId="4253704A">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8</w:t>
                  </w:r>
                </w:p>
              </w:tc>
              <w:tc>
                <w:tcPr>
                  <w:tcW w:w="1785" w:type="pct"/>
                  <w:gridSpan w:val="2"/>
                  <w:noWrap w:val="0"/>
                  <w:vAlign w:val="center"/>
                </w:tcPr>
                <w:p w14:paraId="0BE0C86C">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台式钻床</w:t>
                  </w:r>
                </w:p>
              </w:tc>
              <w:tc>
                <w:tcPr>
                  <w:tcW w:w="984" w:type="pct"/>
                  <w:noWrap w:val="0"/>
                  <w:vAlign w:val="center"/>
                </w:tcPr>
                <w:p w14:paraId="68E0A584">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w:t>
                  </w:r>
                </w:p>
              </w:tc>
              <w:tc>
                <w:tcPr>
                  <w:tcW w:w="835" w:type="pct"/>
                  <w:noWrap w:val="0"/>
                  <w:vAlign w:val="center"/>
                </w:tcPr>
                <w:p w14:paraId="3E7901B9">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台</w:t>
                  </w:r>
                </w:p>
              </w:tc>
              <w:tc>
                <w:tcPr>
                  <w:tcW w:w="915" w:type="pct"/>
                  <w:noWrap w:val="0"/>
                  <w:vAlign w:val="center"/>
                </w:tcPr>
                <w:p w14:paraId="63006B00">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2</w:t>
                  </w:r>
                </w:p>
              </w:tc>
            </w:tr>
            <w:tr w14:paraId="30B20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6"/>
                  <w:noWrap w:val="0"/>
                  <w:vAlign w:val="center"/>
                </w:tcPr>
                <w:p w14:paraId="5A6E2495">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二、组合焊接</w:t>
                  </w:r>
                  <w:r>
                    <w:rPr>
                      <w:rFonts w:hint="eastAsia" w:ascii="Times New Roman" w:hAnsi="Times New Roman" w:cs="Times New Roman"/>
                      <w:color w:val="auto"/>
                      <w:kern w:val="0"/>
                      <w:sz w:val="21"/>
                      <w:szCs w:val="21"/>
                      <w:lang w:val="en-US" w:eastAsia="zh-CN"/>
                    </w:rPr>
                    <w:t>工</w:t>
                  </w:r>
                  <w:r>
                    <w:rPr>
                      <w:rFonts w:hint="default" w:ascii="Times New Roman" w:hAnsi="Times New Roman" w:cs="Times New Roman"/>
                      <w:color w:val="auto"/>
                      <w:kern w:val="0"/>
                      <w:sz w:val="21"/>
                      <w:szCs w:val="21"/>
                      <w:lang w:val="en-US" w:eastAsia="zh-CN"/>
                    </w:rPr>
                    <w:t>段</w:t>
                  </w:r>
                </w:p>
              </w:tc>
            </w:tr>
            <w:tr w14:paraId="4C96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noWrap w:val="0"/>
                  <w:vAlign w:val="center"/>
                </w:tcPr>
                <w:p w14:paraId="452B11D9">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9</w:t>
                  </w:r>
                </w:p>
              </w:tc>
              <w:tc>
                <w:tcPr>
                  <w:tcW w:w="1785" w:type="pct"/>
                  <w:gridSpan w:val="2"/>
                  <w:noWrap w:val="0"/>
                  <w:vAlign w:val="center"/>
                </w:tcPr>
                <w:p w14:paraId="17B0EEA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none" w:color="auto"/>
                      <w:lang w:val="en-US" w:eastAsia="zh-CN"/>
                    </w:rPr>
                  </w:pPr>
                  <w:r>
                    <w:rPr>
                      <w:rFonts w:hint="default" w:ascii="Times New Roman" w:hAnsi="Times New Roman" w:cs="Times New Roman"/>
                      <w:color w:val="auto"/>
                      <w:kern w:val="0"/>
                      <w:sz w:val="21"/>
                      <w:szCs w:val="21"/>
                      <w:u w:val="none" w:color="auto"/>
                      <w:lang w:val="en-US" w:eastAsia="zh-CN"/>
                    </w:rPr>
                    <w:t>焊接设备</w:t>
                  </w:r>
                </w:p>
              </w:tc>
              <w:tc>
                <w:tcPr>
                  <w:tcW w:w="984" w:type="pct"/>
                  <w:noWrap w:val="0"/>
                  <w:vAlign w:val="center"/>
                </w:tcPr>
                <w:p w14:paraId="47BA3DF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none" w:color="auto"/>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6E6FC807">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台</w:t>
                  </w:r>
                </w:p>
              </w:tc>
              <w:tc>
                <w:tcPr>
                  <w:tcW w:w="915" w:type="pct"/>
                  <w:noWrap w:val="0"/>
                  <w:vAlign w:val="center"/>
                </w:tcPr>
                <w:p w14:paraId="32842B8C">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15</w:t>
                  </w:r>
                </w:p>
              </w:tc>
            </w:tr>
            <w:tr w14:paraId="04F8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6"/>
                  <w:noWrap w:val="0"/>
                  <w:vAlign w:val="center"/>
                </w:tcPr>
                <w:p w14:paraId="79DF6FA1">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ascii="Times New Roman" w:cs="Times New Roman"/>
                      <w:color w:val="auto"/>
                      <w:kern w:val="0"/>
                      <w:sz w:val="21"/>
                      <w:szCs w:val="21"/>
                      <w:highlight w:val="none"/>
                      <w:lang w:val="en-US" w:eastAsia="zh-CN"/>
                    </w:rPr>
                    <w:t>三、喷砂工段</w:t>
                  </w:r>
                </w:p>
              </w:tc>
            </w:tr>
            <w:tr w14:paraId="0E2A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noWrap w:val="0"/>
                  <w:vAlign w:val="center"/>
                </w:tcPr>
                <w:p w14:paraId="5DC129CA">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10</w:t>
                  </w:r>
                </w:p>
              </w:tc>
              <w:tc>
                <w:tcPr>
                  <w:tcW w:w="1785" w:type="pct"/>
                  <w:gridSpan w:val="2"/>
                  <w:noWrap w:val="0"/>
                  <w:vAlign w:val="center"/>
                </w:tcPr>
                <w:p w14:paraId="0C86EA4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eastAsia" w:cs="Times New Roman"/>
                      <w:color w:val="auto"/>
                      <w:kern w:val="0"/>
                      <w:sz w:val="21"/>
                      <w:szCs w:val="21"/>
                      <w:u w:val="none" w:color="auto"/>
                      <w:lang w:val="en-US" w:eastAsia="zh-CN"/>
                    </w:rPr>
                    <w:t>喷砂机</w:t>
                  </w:r>
                </w:p>
              </w:tc>
              <w:tc>
                <w:tcPr>
                  <w:tcW w:w="984" w:type="pct"/>
                  <w:noWrap w:val="0"/>
                  <w:vAlign w:val="center"/>
                </w:tcPr>
                <w:p w14:paraId="54B1C1A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eastAsia" w:cs="Times New Roman"/>
                      <w:color w:val="auto"/>
                      <w:kern w:val="0"/>
                      <w:sz w:val="21"/>
                      <w:szCs w:val="21"/>
                      <w:u w:val="none" w:color="auto"/>
                      <w:lang w:val="en-US" w:eastAsia="zh-CN"/>
                    </w:rPr>
                    <w:t>Q3730</w:t>
                  </w:r>
                </w:p>
              </w:tc>
              <w:tc>
                <w:tcPr>
                  <w:tcW w:w="835" w:type="pct"/>
                  <w:noWrap w:val="0"/>
                  <w:vAlign w:val="center"/>
                </w:tcPr>
                <w:p w14:paraId="1A244CA5">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台</w:t>
                  </w:r>
                </w:p>
              </w:tc>
              <w:tc>
                <w:tcPr>
                  <w:tcW w:w="915" w:type="pct"/>
                  <w:noWrap w:val="0"/>
                  <w:vAlign w:val="center"/>
                </w:tcPr>
                <w:p w14:paraId="6F775583">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ascii="Times New Roman" w:cs="Times New Roman"/>
                      <w:color w:val="auto"/>
                      <w:kern w:val="0"/>
                      <w:sz w:val="21"/>
                      <w:szCs w:val="21"/>
                      <w:lang w:val="en-US" w:eastAsia="zh-CN"/>
                    </w:rPr>
                    <w:t>1</w:t>
                  </w:r>
                </w:p>
              </w:tc>
            </w:tr>
            <w:tr w14:paraId="73A5A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6"/>
                  <w:noWrap w:val="0"/>
                  <w:vAlign w:val="center"/>
                </w:tcPr>
                <w:p w14:paraId="6C519601">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ascii="Times New Roman" w:cs="Times New Roman"/>
                      <w:color w:val="auto"/>
                      <w:kern w:val="0"/>
                      <w:sz w:val="21"/>
                      <w:szCs w:val="21"/>
                      <w:lang w:val="en-US" w:eastAsia="zh-CN"/>
                    </w:rPr>
                    <w:t>四</w:t>
                  </w:r>
                  <w:r>
                    <w:rPr>
                      <w:rFonts w:hint="default" w:ascii="Times New Roman" w:hAnsi="Times New Roman" w:cs="Times New Roman"/>
                      <w:color w:val="auto"/>
                      <w:kern w:val="0"/>
                      <w:sz w:val="21"/>
                      <w:szCs w:val="21"/>
                      <w:lang w:val="en-US" w:eastAsia="zh-CN"/>
                    </w:rPr>
                    <w:t>、电泳涂装</w:t>
                  </w:r>
                  <w:r>
                    <w:rPr>
                      <w:rFonts w:hint="eastAsia" w:ascii="Times New Roman" w:hAnsi="Times New Roman" w:cs="Times New Roman"/>
                      <w:color w:val="auto"/>
                      <w:kern w:val="0"/>
                      <w:sz w:val="21"/>
                      <w:szCs w:val="21"/>
                      <w:lang w:val="en-US" w:eastAsia="zh-CN"/>
                    </w:rPr>
                    <w:t>工</w:t>
                  </w:r>
                  <w:r>
                    <w:rPr>
                      <w:rFonts w:hint="default" w:ascii="Times New Roman" w:hAnsi="Times New Roman" w:cs="Times New Roman"/>
                      <w:color w:val="auto"/>
                      <w:kern w:val="0"/>
                      <w:sz w:val="21"/>
                      <w:szCs w:val="21"/>
                      <w:lang w:val="en-US" w:eastAsia="zh-CN"/>
                    </w:rPr>
                    <w:t>段</w:t>
                  </w:r>
                </w:p>
              </w:tc>
            </w:tr>
            <w:tr w14:paraId="1303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vMerge w:val="restart"/>
                  <w:noWrap w:val="0"/>
                  <w:vAlign w:val="center"/>
                </w:tcPr>
                <w:p w14:paraId="5787FDBD">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11</w:t>
                  </w:r>
                </w:p>
              </w:tc>
              <w:tc>
                <w:tcPr>
                  <w:tcW w:w="1785" w:type="pct"/>
                  <w:gridSpan w:val="2"/>
                  <w:noWrap w:val="0"/>
                  <w:vAlign w:val="center"/>
                </w:tcPr>
                <w:p w14:paraId="69ACAC0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default" w:ascii="Times New Roman" w:hAnsi="Times New Roman" w:cs="Times New Roman"/>
                      <w:color w:val="auto"/>
                      <w:kern w:val="0"/>
                      <w:sz w:val="21"/>
                      <w:szCs w:val="21"/>
                      <w:u w:val="none" w:color="auto"/>
                      <w:lang w:val="en-US" w:eastAsia="zh-CN"/>
                    </w:rPr>
                    <w:t>通过式多室联合清洗机</w:t>
                  </w:r>
                </w:p>
              </w:tc>
              <w:tc>
                <w:tcPr>
                  <w:tcW w:w="984" w:type="pct"/>
                  <w:noWrap w:val="0"/>
                  <w:vAlign w:val="center"/>
                </w:tcPr>
                <w:p w14:paraId="647C9AB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64D59F46">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kern w:val="0"/>
                      <w:sz w:val="21"/>
                      <w:szCs w:val="21"/>
                      <w:lang w:val="en-US" w:eastAsia="zh-CN"/>
                    </w:rPr>
                    <w:t>台</w:t>
                  </w:r>
                </w:p>
              </w:tc>
              <w:tc>
                <w:tcPr>
                  <w:tcW w:w="915" w:type="pct"/>
                  <w:noWrap w:val="0"/>
                  <w:vAlign w:val="center"/>
                </w:tcPr>
                <w:p w14:paraId="2E36EE40">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1</w:t>
                  </w:r>
                </w:p>
              </w:tc>
            </w:tr>
            <w:tr w14:paraId="74B0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9" w:type="pct"/>
                  <w:vMerge w:val="continue"/>
                  <w:noWrap w:val="0"/>
                  <w:vAlign w:val="center"/>
                </w:tcPr>
                <w:p w14:paraId="354D187C">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cs="Times New Roman"/>
                      <w:color w:val="auto"/>
                      <w:kern w:val="0"/>
                      <w:sz w:val="21"/>
                      <w:szCs w:val="21"/>
                      <w:lang w:val="en-US" w:eastAsia="zh-CN"/>
                    </w:rPr>
                  </w:pPr>
                </w:p>
              </w:tc>
              <w:tc>
                <w:tcPr>
                  <w:tcW w:w="569" w:type="pct"/>
                  <w:vMerge w:val="restart"/>
                  <w:noWrap w:val="0"/>
                  <w:vAlign w:val="center"/>
                </w:tcPr>
                <w:p w14:paraId="505F3B1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eastAsia" w:cs="Times New Roman"/>
                      <w:color w:val="auto"/>
                      <w:kern w:val="0"/>
                      <w:sz w:val="21"/>
                      <w:szCs w:val="21"/>
                      <w:u w:val="none" w:color="auto"/>
                      <w:lang w:val="en-US" w:eastAsia="zh-CN"/>
                    </w:rPr>
                    <w:t>包括</w:t>
                  </w:r>
                </w:p>
              </w:tc>
              <w:tc>
                <w:tcPr>
                  <w:tcW w:w="1216" w:type="pct"/>
                  <w:shd w:val="clear" w:color="auto" w:fill="auto"/>
                  <w:noWrap w:val="0"/>
                  <w:vAlign w:val="center"/>
                </w:tcPr>
                <w:p w14:paraId="4AB4AB5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none" w:color="auto"/>
                      <w:lang w:val="en-US" w:eastAsia="zh-CN" w:bidi="ar-SA"/>
                    </w:rPr>
                  </w:pPr>
                  <w:r>
                    <w:rPr>
                      <w:rFonts w:hint="default" w:ascii="Times New Roman" w:hAnsi="Times New Roman" w:cs="Times New Roman"/>
                      <w:color w:val="auto"/>
                      <w:kern w:val="0"/>
                      <w:sz w:val="21"/>
                      <w:szCs w:val="21"/>
                      <w:u w:val="none" w:color="auto"/>
                      <w:lang w:val="en-US" w:eastAsia="zh-CN"/>
                    </w:rPr>
                    <w:t>预脱脂水槽</w:t>
                  </w:r>
                </w:p>
              </w:tc>
              <w:tc>
                <w:tcPr>
                  <w:tcW w:w="984" w:type="pct"/>
                  <w:noWrap w:val="0"/>
                  <w:vAlign w:val="center"/>
                </w:tcPr>
                <w:p w14:paraId="2F52E49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eastAsia" w:cs="Times New Roman"/>
                      <w:color w:val="auto"/>
                      <w:kern w:val="0"/>
                      <w:sz w:val="21"/>
                      <w:szCs w:val="21"/>
                      <w:u w:val="none" w:color="auto"/>
                      <w:lang w:val="en-US" w:eastAsia="zh-CN"/>
                    </w:rPr>
                    <w:t>1.55m</w:t>
                  </w:r>
                  <w:r>
                    <w:rPr>
                      <w:rFonts w:hint="eastAsia" w:cs="Times New Roman"/>
                      <w:color w:val="auto"/>
                      <w:kern w:val="0"/>
                      <w:sz w:val="21"/>
                      <w:szCs w:val="21"/>
                      <w:u w:val="none" w:color="auto"/>
                      <w:vertAlign w:val="superscript"/>
                      <w:lang w:val="en-US" w:eastAsia="zh-CN"/>
                    </w:rPr>
                    <w:t>3</w:t>
                  </w:r>
                </w:p>
              </w:tc>
              <w:tc>
                <w:tcPr>
                  <w:tcW w:w="835" w:type="pct"/>
                  <w:noWrap w:val="0"/>
                  <w:vAlign w:val="center"/>
                </w:tcPr>
                <w:p w14:paraId="3E15AC2B">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个</w:t>
                  </w:r>
                </w:p>
              </w:tc>
              <w:tc>
                <w:tcPr>
                  <w:tcW w:w="915" w:type="pct"/>
                  <w:noWrap w:val="0"/>
                  <w:vAlign w:val="center"/>
                </w:tcPr>
                <w:p w14:paraId="0F2F11B9">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ascii="Times New Roman" w:cs="Times New Roman"/>
                      <w:color w:val="auto"/>
                      <w:kern w:val="0"/>
                      <w:sz w:val="21"/>
                      <w:szCs w:val="21"/>
                      <w:lang w:val="en-US" w:eastAsia="zh-CN"/>
                    </w:rPr>
                    <w:t>1</w:t>
                  </w:r>
                </w:p>
              </w:tc>
            </w:tr>
            <w:tr w14:paraId="39D7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vMerge w:val="continue"/>
                  <w:noWrap w:val="0"/>
                  <w:vAlign w:val="center"/>
                </w:tcPr>
                <w:p w14:paraId="517E387A">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cs="Times New Roman"/>
                      <w:color w:val="auto"/>
                      <w:kern w:val="0"/>
                      <w:sz w:val="21"/>
                      <w:szCs w:val="21"/>
                      <w:lang w:val="en-US" w:eastAsia="zh-CN"/>
                    </w:rPr>
                  </w:pPr>
                </w:p>
              </w:tc>
              <w:tc>
                <w:tcPr>
                  <w:tcW w:w="569" w:type="pct"/>
                  <w:vMerge w:val="continue"/>
                  <w:noWrap w:val="0"/>
                  <w:vAlign w:val="center"/>
                </w:tcPr>
                <w:p w14:paraId="1795214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p>
              </w:tc>
              <w:tc>
                <w:tcPr>
                  <w:tcW w:w="1216" w:type="pct"/>
                  <w:shd w:val="clear" w:color="auto" w:fill="auto"/>
                  <w:noWrap w:val="0"/>
                  <w:vAlign w:val="center"/>
                </w:tcPr>
                <w:p w14:paraId="480B07F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color="auto"/>
                      <w:lang w:val="en-US" w:eastAsia="zh-CN" w:bidi="ar-SA"/>
                    </w:rPr>
                  </w:pPr>
                  <w:r>
                    <w:rPr>
                      <w:rFonts w:hint="eastAsia" w:cs="Times New Roman"/>
                      <w:color w:val="auto"/>
                      <w:kern w:val="0"/>
                      <w:sz w:val="21"/>
                      <w:szCs w:val="21"/>
                      <w:u w:val="none" w:color="auto"/>
                      <w:lang w:val="en-US" w:eastAsia="zh-CN"/>
                    </w:rPr>
                    <w:t>脱脂水槽</w:t>
                  </w:r>
                </w:p>
              </w:tc>
              <w:tc>
                <w:tcPr>
                  <w:tcW w:w="984" w:type="pct"/>
                  <w:noWrap w:val="0"/>
                  <w:vAlign w:val="center"/>
                </w:tcPr>
                <w:p w14:paraId="338C05F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eastAsia" w:cs="Times New Roman"/>
                      <w:color w:val="auto"/>
                      <w:kern w:val="0"/>
                      <w:sz w:val="21"/>
                      <w:szCs w:val="21"/>
                      <w:u w:val="none" w:color="auto"/>
                      <w:lang w:val="en-US" w:eastAsia="zh-CN"/>
                    </w:rPr>
                    <w:t>31.68m</w:t>
                  </w:r>
                  <w:r>
                    <w:rPr>
                      <w:rFonts w:hint="eastAsia" w:cs="Times New Roman"/>
                      <w:color w:val="auto"/>
                      <w:kern w:val="0"/>
                      <w:sz w:val="21"/>
                      <w:szCs w:val="21"/>
                      <w:u w:val="none" w:color="auto"/>
                      <w:vertAlign w:val="superscript"/>
                      <w:lang w:val="en-US" w:eastAsia="zh-CN"/>
                    </w:rPr>
                    <w:t>3</w:t>
                  </w:r>
                </w:p>
              </w:tc>
              <w:tc>
                <w:tcPr>
                  <w:tcW w:w="835" w:type="pct"/>
                  <w:noWrap w:val="0"/>
                  <w:vAlign w:val="center"/>
                </w:tcPr>
                <w:p w14:paraId="21BB24E6">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个</w:t>
                  </w:r>
                </w:p>
              </w:tc>
              <w:tc>
                <w:tcPr>
                  <w:tcW w:w="915" w:type="pct"/>
                  <w:noWrap w:val="0"/>
                  <w:vAlign w:val="center"/>
                </w:tcPr>
                <w:p w14:paraId="5CFDF288">
                  <w:pPr>
                    <w:pStyle w:val="57"/>
                    <w:keepNext w:val="0"/>
                    <w:keepLines w:val="0"/>
                    <w:pageBreakBefore w:val="0"/>
                    <w:kinsoku/>
                    <w:wordWrap/>
                    <w:overflowPunct/>
                    <w:topLinePunct w:val="0"/>
                    <w:autoSpaceDE/>
                    <w:autoSpaceDN/>
                    <w:bidi w:val="0"/>
                    <w:spacing w:before="0" w:beforeLines="0" w:after="0" w:afterLines="0" w:line="240" w:lineRule="auto"/>
                    <w:ind w:left="0" w:leftChars="0" w:right="0" w:rightChars="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ascii="Times New Roman" w:cs="Times New Roman"/>
                      <w:color w:val="auto"/>
                      <w:kern w:val="0"/>
                      <w:sz w:val="21"/>
                      <w:szCs w:val="21"/>
                      <w:lang w:val="en-US" w:eastAsia="zh-CN"/>
                    </w:rPr>
                    <w:t>1</w:t>
                  </w:r>
                </w:p>
              </w:tc>
            </w:tr>
            <w:tr w14:paraId="1530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vMerge w:val="continue"/>
                  <w:noWrap w:val="0"/>
                  <w:vAlign w:val="center"/>
                </w:tcPr>
                <w:p w14:paraId="2515589E">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cs="Times New Roman"/>
                      <w:color w:val="auto"/>
                      <w:kern w:val="0"/>
                      <w:sz w:val="21"/>
                      <w:szCs w:val="21"/>
                      <w:lang w:val="en-US" w:eastAsia="zh-CN"/>
                    </w:rPr>
                  </w:pPr>
                </w:p>
              </w:tc>
              <w:tc>
                <w:tcPr>
                  <w:tcW w:w="569" w:type="pct"/>
                  <w:vMerge w:val="continue"/>
                  <w:noWrap w:val="0"/>
                  <w:vAlign w:val="center"/>
                </w:tcPr>
                <w:p w14:paraId="60A4904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p>
              </w:tc>
              <w:tc>
                <w:tcPr>
                  <w:tcW w:w="1216" w:type="pct"/>
                  <w:shd w:val="clear" w:color="auto" w:fill="auto"/>
                  <w:noWrap w:val="0"/>
                  <w:vAlign w:val="center"/>
                </w:tcPr>
                <w:p w14:paraId="1939CF2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color="auto"/>
                      <w:lang w:val="en-US" w:eastAsia="zh-CN" w:bidi="ar-SA"/>
                    </w:rPr>
                  </w:pPr>
                  <w:r>
                    <w:rPr>
                      <w:rFonts w:hint="eastAsia" w:cs="Times New Roman"/>
                      <w:color w:val="auto"/>
                      <w:kern w:val="0"/>
                      <w:sz w:val="21"/>
                      <w:szCs w:val="21"/>
                      <w:u w:val="none" w:color="auto"/>
                      <w:lang w:val="en-US" w:eastAsia="zh-CN"/>
                    </w:rPr>
                    <w:t>喷淋水槽</w:t>
                  </w:r>
                </w:p>
              </w:tc>
              <w:tc>
                <w:tcPr>
                  <w:tcW w:w="984" w:type="pct"/>
                  <w:noWrap w:val="0"/>
                  <w:vAlign w:val="center"/>
                </w:tcPr>
                <w:p w14:paraId="26D4A55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eastAsia" w:cs="Times New Roman"/>
                      <w:color w:val="auto"/>
                      <w:kern w:val="0"/>
                      <w:sz w:val="21"/>
                      <w:szCs w:val="21"/>
                      <w:u w:val="none" w:color="auto"/>
                      <w:lang w:val="en-US" w:eastAsia="zh-CN"/>
                    </w:rPr>
                    <w:t>1.55m</w:t>
                  </w:r>
                  <w:r>
                    <w:rPr>
                      <w:rFonts w:hint="eastAsia" w:cs="Times New Roman"/>
                      <w:color w:val="auto"/>
                      <w:kern w:val="0"/>
                      <w:sz w:val="21"/>
                      <w:szCs w:val="21"/>
                      <w:u w:val="none" w:color="auto"/>
                      <w:vertAlign w:val="superscript"/>
                      <w:lang w:val="en-US" w:eastAsia="zh-CN"/>
                    </w:rPr>
                    <w:t>3</w:t>
                  </w:r>
                </w:p>
              </w:tc>
              <w:tc>
                <w:tcPr>
                  <w:tcW w:w="835" w:type="pct"/>
                  <w:noWrap w:val="0"/>
                  <w:vAlign w:val="center"/>
                </w:tcPr>
                <w:p w14:paraId="30D10FC0">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个</w:t>
                  </w:r>
                </w:p>
              </w:tc>
              <w:tc>
                <w:tcPr>
                  <w:tcW w:w="915" w:type="pct"/>
                  <w:noWrap w:val="0"/>
                  <w:vAlign w:val="center"/>
                </w:tcPr>
                <w:p w14:paraId="02126DDB">
                  <w:pPr>
                    <w:pStyle w:val="57"/>
                    <w:keepNext w:val="0"/>
                    <w:keepLines w:val="0"/>
                    <w:pageBreakBefore w:val="0"/>
                    <w:kinsoku/>
                    <w:wordWrap/>
                    <w:overflowPunct/>
                    <w:topLinePunct w:val="0"/>
                    <w:autoSpaceDE/>
                    <w:autoSpaceDN/>
                    <w:bidi w:val="0"/>
                    <w:spacing w:before="0" w:beforeLines="0" w:after="0" w:afterLines="0" w:line="240" w:lineRule="auto"/>
                    <w:ind w:left="0" w:leftChars="0" w:right="0" w:rightChars="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ascii="Times New Roman" w:cs="Times New Roman"/>
                      <w:color w:val="auto"/>
                      <w:kern w:val="0"/>
                      <w:sz w:val="21"/>
                      <w:szCs w:val="21"/>
                      <w:lang w:val="en-US" w:eastAsia="zh-CN"/>
                    </w:rPr>
                    <w:t>4</w:t>
                  </w:r>
                </w:p>
              </w:tc>
            </w:tr>
            <w:tr w14:paraId="49A0F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vMerge w:val="continue"/>
                  <w:noWrap w:val="0"/>
                  <w:vAlign w:val="center"/>
                </w:tcPr>
                <w:p w14:paraId="7370C97B">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cs="Times New Roman"/>
                      <w:color w:val="auto"/>
                      <w:kern w:val="0"/>
                      <w:sz w:val="21"/>
                      <w:szCs w:val="21"/>
                      <w:lang w:val="en-US" w:eastAsia="zh-CN"/>
                    </w:rPr>
                  </w:pPr>
                </w:p>
              </w:tc>
              <w:tc>
                <w:tcPr>
                  <w:tcW w:w="569" w:type="pct"/>
                  <w:vMerge w:val="continue"/>
                  <w:noWrap w:val="0"/>
                  <w:vAlign w:val="center"/>
                </w:tcPr>
                <w:p w14:paraId="336BB51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p>
              </w:tc>
              <w:tc>
                <w:tcPr>
                  <w:tcW w:w="1216" w:type="pct"/>
                  <w:shd w:val="clear" w:color="auto" w:fill="auto"/>
                  <w:noWrap w:val="0"/>
                  <w:vAlign w:val="center"/>
                </w:tcPr>
                <w:p w14:paraId="31BCE7C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color="auto"/>
                      <w:lang w:val="en-US" w:eastAsia="zh-CN" w:bidi="ar-SA"/>
                    </w:rPr>
                  </w:pPr>
                  <w:r>
                    <w:rPr>
                      <w:rFonts w:hint="eastAsia" w:cs="Times New Roman"/>
                      <w:color w:val="auto"/>
                      <w:kern w:val="0"/>
                      <w:sz w:val="21"/>
                      <w:szCs w:val="21"/>
                      <w:u w:val="none" w:color="auto"/>
                      <w:lang w:val="en-US" w:eastAsia="zh-CN"/>
                    </w:rPr>
                    <w:t>浸洗水槽</w:t>
                  </w:r>
                </w:p>
              </w:tc>
              <w:tc>
                <w:tcPr>
                  <w:tcW w:w="984" w:type="pct"/>
                  <w:noWrap w:val="0"/>
                  <w:vAlign w:val="center"/>
                </w:tcPr>
                <w:p w14:paraId="0A09010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eastAsia" w:cs="Times New Roman"/>
                      <w:color w:val="auto"/>
                      <w:kern w:val="0"/>
                      <w:sz w:val="21"/>
                      <w:szCs w:val="21"/>
                      <w:u w:val="none" w:color="auto"/>
                      <w:lang w:val="en-US" w:eastAsia="zh-CN"/>
                    </w:rPr>
                    <w:t>1.55m</w:t>
                  </w:r>
                  <w:r>
                    <w:rPr>
                      <w:rFonts w:hint="eastAsia" w:cs="Times New Roman"/>
                      <w:color w:val="auto"/>
                      <w:kern w:val="0"/>
                      <w:sz w:val="21"/>
                      <w:szCs w:val="21"/>
                      <w:u w:val="none" w:color="auto"/>
                      <w:vertAlign w:val="superscript"/>
                      <w:lang w:val="en-US" w:eastAsia="zh-CN"/>
                    </w:rPr>
                    <w:t>3</w:t>
                  </w:r>
                </w:p>
              </w:tc>
              <w:tc>
                <w:tcPr>
                  <w:tcW w:w="835" w:type="pct"/>
                  <w:noWrap w:val="0"/>
                  <w:vAlign w:val="center"/>
                </w:tcPr>
                <w:p w14:paraId="2D914855">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个</w:t>
                  </w:r>
                </w:p>
              </w:tc>
              <w:tc>
                <w:tcPr>
                  <w:tcW w:w="915" w:type="pct"/>
                  <w:noWrap w:val="0"/>
                  <w:vAlign w:val="center"/>
                </w:tcPr>
                <w:p w14:paraId="01C4413C">
                  <w:pPr>
                    <w:pStyle w:val="57"/>
                    <w:keepNext w:val="0"/>
                    <w:keepLines w:val="0"/>
                    <w:pageBreakBefore w:val="0"/>
                    <w:kinsoku/>
                    <w:wordWrap/>
                    <w:overflowPunct/>
                    <w:topLinePunct w:val="0"/>
                    <w:autoSpaceDE/>
                    <w:autoSpaceDN/>
                    <w:bidi w:val="0"/>
                    <w:spacing w:before="0" w:beforeLines="0" w:after="0" w:afterLines="0" w:line="240" w:lineRule="auto"/>
                    <w:ind w:left="0" w:leftChars="0" w:right="0" w:rightChars="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ascii="Times New Roman" w:cs="Times New Roman"/>
                      <w:color w:val="auto"/>
                      <w:kern w:val="0"/>
                      <w:sz w:val="21"/>
                      <w:szCs w:val="21"/>
                      <w:lang w:val="en-US" w:eastAsia="zh-CN"/>
                    </w:rPr>
                    <w:t>2</w:t>
                  </w:r>
                </w:p>
              </w:tc>
            </w:tr>
            <w:tr w14:paraId="77B0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vMerge w:val="continue"/>
                  <w:noWrap w:val="0"/>
                  <w:vAlign w:val="center"/>
                </w:tcPr>
                <w:p w14:paraId="53EA0F4C">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cs="Times New Roman"/>
                      <w:color w:val="auto"/>
                      <w:kern w:val="0"/>
                      <w:sz w:val="21"/>
                      <w:szCs w:val="21"/>
                      <w:lang w:val="en-US" w:eastAsia="zh-CN"/>
                    </w:rPr>
                  </w:pPr>
                </w:p>
              </w:tc>
              <w:tc>
                <w:tcPr>
                  <w:tcW w:w="569" w:type="pct"/>
                  <w:vMerge w:val="continue"/>
                  <w:noWrap w:val="0"/>
                  <w:vAlign w:val="center"/>
                </w:tcPr>
                <w:p w14:paraId="0FD7F4F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p>
              </w:tc>
              <w:tc>
                <w:tcPr>
                  <w:tcW w:w="1216" w:type="pct"/>
                  <w:shd w:val="clear" w:color="auto" w:fill="auto"/>
                  <w:noWrap w:val="0"/>
                  <w:vAlign w:val="center"/>
                </w:tcPr>
                <w:p w14:paraId="0A3CAA0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color="auto"/>
                      <w:lang w:val="en-US" w:eastAsia="zh-CN" w:bidi="ar-SA"/>
                    </w:rPr>
                  </w:pPr>
                  <w:r>
                    <w:rPr>
                      <w:rFonts w:hint="eastAsia" w:cs="Times New Roman"/>
                      <w:color w:val="auto"/>
                      <w:kern w:val="0"/>
                      <w:sz w:val="21"/>
                      <w:szCs w:val="21"/>
                      <w:u w:val="none" w:color="auto"/>
                      <w:lang w:val="en-US" w:eastAsia="zh-CN"/>
                    </w:rPr>
                    <w:t>表调水槽</w:t>
                  </w:r>
                </w:p>
              </w:tc>
              <w:tc>
                <w:tcPr>
                  <w:tcW w:w="984" w:type="pct"/>
                  <w:noWrap w:val="0"/>
                  <w:vAlign w:val="center"/>
                </w:tcPr>
                <w:p w14:paraId="36A8E04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eastAsia" w:cs="Times New Roman"/>
                      <w:color w:val="auto"/>
                      <w:kern w:val="0"/>
                      <w:sz w:val="21"/>
                      <w:szCs w:val="21"/>
                      <w:u w:val="none" w:color="auto"/>
                      <w:lang w:val="en-US" w:eastAsia="zh-CN"/>
                    </w:rPr>
                    <w:t>1.55m</w:t>
                  </w:r>
                  <w:r>
                    <w:rPr>
                      <w:rFonts w:hint="eastAsia" w:cs="Times New Roman"/>
                      <w:color w:val="auto"/>
                      <w:kern w:val="0"/>
                      <w:sz w:val="21"/>
                      <w:szCs w:val="21"/>
                      <w:u w:val="none" w:color="auto"/>
                      <w:vertAlign w:val="superscript"/>
                      <w:lang w:val="en-US" w:eastAsia="zh-CN"/>
                    </w:rPr>
                    <w:t>3</w:t>
                  </w:r>
                </w:p>
              </w:tc>
              <w:tc>
                <w:tcPr>
                  <w:tcW w:w="835" w:type="pct"/>
                  <w:noWrap w:val="0"/>
                  <w:vAlign w:val="center"/>
                </w:tcPr>
                <w:p w14:paraId="7CDC5BA7">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个</w:t>
                  </w:r>
                </w:p>
              </w:tc>
              <w:tc>
                <w:tcPr>
                  <w:tcW w:w="915" w:type="pct"/>
                  <w:noWrap w:val="0"/>
                  <w:vAlign w:val="center"/>
                </w:tcPr>
                <w:p w14:paraId="0A0699AF">
                  <w:pPr>
                    <w:pStyle w:val="57"/>
                    <w:keepNext w:val="0"/>
                    <w:keepLines w:val="0"/>
                    <w:pageBreakBefore w:val="0"/>
                    <w:kinsoku/>
                    <w:wordWrap/>
                    <w:overflowPunct/>
                    <w:topLinePunct w:val="0"/>
                    <w:autoSpaceDE/>
                    <w:autoSpaceDN/>
                    <w:bidi w:val="0"/>
                    <w:spacing w:before="0" w:beforeLines="0" w:after="0" w:afterLines="0" w:line="240" w:lineRule="auto"/>
                    <w:ind w:left="0" w:leftChars="0" w:right="0" w:rightChars="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ascii="Times New Roman" w:cs="Times New Roman"/>
                      <w:color w:val="auto"/>
                      <w:kern w:val="0"/>
                      <w:sz w:val="21"/>
                      <w:szCs w:val="21"/>
                      <w:lang w:val="en-US" w:eastAsia="zh-CN"/>
                    </w:rPr>
                    <w:t>1</w:t>
                  </w:r>
                </w:p>
              </w:tc>
            </w:tr>
            <w:tr w14:paraId="51FD1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vMerge w:val="continue"/>
                  <w:noWrap w:val="0"/>
                  <w:vAlign w:val="center"/>
                </w:tcPr>
                <w:p w14:paraId="46134E94">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cs="Times New Roman"/>
                      <w:color w:val="auto"/>
                      <w:kern w:val="0"/>
                      <w:sz w:val="21"/>
                      <w:szCs w:val="21"/>
                      <w:lang w:val="en-US" w:eastAsia="zh-CN"/>
                    </w:rPr>
                  </w:pPr>
                </w:p>
              </w:tc>
              <w:tc>
                <w:tcPr>
                  <w:tcW w:w="569" w:type="pct"/>
                  <w:vMerge w:val="continue"/>
                  <w:noWrap w:val="0"/>
                  <w:vAlign w:val="center"/>
                </w:tcPr>
                <w:p w14:paraId="5A2017E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p>
              </w:tc>
              <w:tc>
                <w:tcPr>
                  <w:tcW w:w="1216" w:type="pct"/>
                  <w:shd w:val="clear" w:color="auto" w:fill="auto"/>
                  <w:noWrap w:val="0"/>
                  <w:vAlign w:val="center"/>
                </w:tcPr>
                <w:p w14:paraId="6331089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color="auto"/>
                      <w:lang w:val="en-US" w:eastAsia="zh-CN" w:bidi="ar-SA"/>
                    </w:rPr>
                  </w:pPr>
                  <w:r>
                    <w:rPr>
                      <w:rFonts w:hint="eastAsia" w:cs="Times New Roman"/>
                      <w:color w:val="auto"/>
                      <w:kern w:val="0"/>
                      <w:sz w:val="21"/>
                      <w:szCs w:val="21"/>
                      <w:u w:val="none" w:color="auto"/>
                      <w:lang w:val="en-US" w:eastAsia="zh-CN"/>
                    </w:rPr>
                    <w:t>磷化水槽</w:t>
                  </w:r>
                </w:p>
              </w:tc>
              <w:tc>
                <w:tcPr>
                  <w:tcW w:w="984" w:type="pct"/>
                  <w:noWrap w:val="0"/>
                  <w:vAlign w:val="center"/>
                </w:tcPr>
                <w:p w14:paraId="4D91C64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eastAsia" w:cs="Times New Roman"/>
                      <w:color w:val="auto"/>
                      <w:kern w:val="0"/>
                      <w:sz w:val="21"/>
                      <w:szCs w:val="21"/>
                      <w:u w:val="none" w:color="auto"/>
                      <w:lang w:val="en-US" w:eastAsia="zh-CN"/>
                    </w:rPr>
                    <w:t>31.68m</w:t>
                  </w:r>
                  <w:r>
                    <w:rPr>
                      <w:rFonts w:hint="eastAsia" w:cs="Times New Roman"/>
                      <w:color w:val="auto"/>
                      <w:kern w:val="0"/>
                      <w:sz w:val="21"/>
                      <w:szCs w:val="21"/>
                      <w:u w:val="none" w:color="auto"/>
                      <w:vertAlign w:val="superscript"/>
                      <w:lang w:val="en-US" w:eastAsia="zh-CN"/>
                    </w:rPr>
                    <w:t>3</w:t>
                  </w:r>
                </w:p>
              </w:tc>
              <w:tc>
                <w:tcPr>
                  <w:tcW w:w="835" w:type="pct"/>
                  <w:noWrap w:val="0"/>
                  <w:vAlign w:val="center"/>
                </w:tcPr>
                <w:p w14:paraId="40123B67">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个</w:t>
                  </w:r>
                </w:p>
              </w:tc>
              <w:tc>
                <w:tcPr>
                  <w:tcW w:w="915" w:type="pct"/>
                  <w:noWrap w:val="0"/>
                  <w:vAlign w:val="center"/>
                </w:tcPr>
                <w:p w14:paraId="52DE3ACB">
                  <w:pPr>
                    <w:pStyle w:val="57"/>
                    <w:keepNext w:val="0"/>
                    <w:keepLines w:val="0"/>
                    <w:pageBreakBefore w:val="0"/>
                    <w:kinsoku/>
                    <w:wordWrap/>
                    <w:overflowPunct/>
                    <w:topLinePunct w:val="0"/>
                    <w:autoSpaceDE/>
                    <w:autoSpaceDN/>
                    <w:bidi w:val="0"/>
                    <w:spacing w:before="0" w:beforeLines="0" w:after="0" w:afterLines="0" w:line="240" w:lineRule="auto"/>
                    <w:ind w:left="0" w:leftChars="0" w:right="0" w:rightChars="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ascii="Times New Roman" w:cs="Times New Roman"/>
                      <w:color w:val="auto"/>
                      <w:kern w:val="0"/>
                      <w:sz w:val="21"/>
                      <w:szCs w:val="21"/>
                      <w:lang w:val="en-US" w:eastAsia="zh-CN"/>
                    </w:rPr>
                    <w:t>1</w:t>
                  </w:r>
                </w:p>
              </w:tc>
            </w:tr>
            <w:tr w14:paraId="7A74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vMerge w:val="restart"/>
                  <w:shd w:val="clear" w:color="auto" w:fill="auto"/>
                  <w:noWrap w:val="0"/>
                  <w:vAlign w:val="center"/>
                </w:tcPr>
                <w:p w14:paraId="2D169418">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12</w:t>
                  </w:r>
                </w:p>
              </w:tc>
              <w:tc>
                <w:tcPr>
                  <w:tcW w:w="1785" w:type="pct"/>
                  <w:gridSpan w:val="2"/>
                  <w:noWrap w:val="0"/>
                  <w:vAlign w:val="center"/>
                </w:tcPr>
                <w:p w14:paraId="02EF660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default" w:ascii="Times New Roman" w:hAnsi="Times New Roman" w:cs="Times New Roman"/>
                      <w:color w:val="auto"/>
                      <w:kern w:val="0"/>
                      <w:sz w:val="21"/>
                      <w:szCs w:val="21"/>
                      <w:u w:val="none" w:color="auto"/>
                      <w:lang w:val="en-US" w:eastAsia="zh-CN"/>
                    </w:rPr>
                    <w:t>阴极电泳涂装设备</w:t>
                  </w:r>
                </w:p>
              </w:tc>
              <w:tc>
                <w:tcPr>
                  <w:tcW w:w="984" w:type="pct"/>
                  <w:noWrap w:val="0"/>
                  <w:vAlign w:val="center"/>
                </w:tcPr>
                <w:p w14:paraId="3A14762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363DD374">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kern w:val="0"/>
                      <w:sz w:val="21"/>
                      <w:szCs w:val="21"/>
                      <w:lang w:val="en-US" w:eastAsia="zh-CN"/>
                    </w:rPr>
                    <w:t>台</w:t>
                  </w:r>
                </w:p>
              </w:tc>
              <w:tc>
                <w:tcPr>
                  <w:tcW w:w="915" w:type="pct"/>
                  <w:noWrap w:val="0"/>
                  <w:vAlign w:val="center"/>
                </w:tcPr>
                <w:p w14:paraId="0C514D81">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1</w:t>
                  </w:r>
                </w:p>
              </w:tc>
            </w:tr>
            <w:tr w14:paraId="7DF2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vMerge w:val="continue"/>
                  <w:shd w:val="clear" w:color="auto" w:fill="auto"/>
                  <w:noWrap w:val="0"/>
                  <w:vAlign w:val="center"/>
                </w:tcPr>
                <w:p w14:paraId="502AF2C6">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cs="Times New Roman"/>
                      <w:color w:val="auto"/>
                      <w:kern w:val="0"/>
                      <w:sz w:val="21"/>
                      <w:szCs w:val="21"/>
                      <w:lang w:val="en-US" w:eastAsia="zh-CN"/>
                    </w:rPr>
                  </w:pPr>
                </w:p>
              </w:tc>
              <w:tc>
                <w:tcPr>
                  <w:tcW w:w="569" w:type="pct"/>
                  <w:vMerge w:val="restart"/>
                  <w:noWrap w:val="0"/>
                  <w:vAlign w:val="center"/>
                </w:tcPr>
                <w:p w14:paraId="7062ADF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eastAsia" w:cs="Times New Roman"/>
                      <w:color w:val="auto"/>
                      <w:kern w:val="0"/>
                      <w:sz w:val="21"/>
                      <w:szCs w:val="21"/>
                      <w:u w:val="none" w:color="auto"/>
                      <w:lang w:val="en-US" w:eastAsia="zh-CN"/>
                    </w:rPr>
                    <w:t>包括</w:t>
                  </w:r>
                </w:p>
              </w:tc>
              <w:tc>
                <w:tcPr>
                  <w:tcW w:w="1216" w:type="pct"/>
                  <w:shd w:val="clear" w:color="auto" w:fill="auto"/>
                  <w:noWrap w:val="0"/>
                  <w:vAlign w:val="center"/>
                </w:tcPr>
                <w:p w14:paraId="5B1BC84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color="auto"/>
                      <w:lang w:val="en-US" w:eastAsia="zh-CN" w:bidi="ar-SA"/>
                    </w:rPr>
                  </w:pPr>
                  <w:r>
                    <w:rPr>
                      <w:rFonts w:hint="eastAsia" w:cs="Times New Roman"/>
                      <w:color w:val="auto"/>
                      <w:kern w:val="0"/>
                      <w:sz w:val="21"/>
                      <w:szCs w:val="21"/>
                      <w:u w:val="none" w:color="auto"/>
                      <w:lang w:val="en-US" w:eastAsia="zh-CN"/>
                    </w:rPr>
                    <w:t>喷淋水槽</w:t>
                  </w:r>
                </w:p>
              </w:tc>
              <w:tc>
                <w:tcPr>
                  <w:tcW w:w="984" w:type="pct"/>
                  <w:shd w:val="clear" w:color="auto" w:fill="auto"/>
                  <w:noWrap w:val="0"/>
                  <w:vAlign w:val="center"/>
                </w:tcPr>
                <w:p w14:paraId="1C5BCC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none" w:color="auto"/>
                      <w:lang w:val="en-US" w:eastAsia="zh-CN" w:bidi="ar-SA"/>
                    </w:rPr>
                  </w:pPr>
                  <w:r>
                    <w:rPr>
                      <w:rFonts w:hint="eastAsia" w:cs="Times New Roman"/>
                      <w:color w:val="auto"/>
                      <w:kern w:val="0"/>
                      <w:sz w:val="21"/>
                      <w:szCs w:val="21"/>
                      <w:u w:val="none" w:color="auto"/>
                      <w:lang w:val="en-US" w:eastAsia="zh-CN"/>
                    </w:rPr>
                    <w:t>1.55m</w:t>
                  </w:r>
                  <w:r>
                    <w:rPr>
                      <w:rFonts w:hint="eastAsia" w:cs="Times New Roman"/>
                      <w:color w:val="auto"/>
                      <w:kern w:val="0"/>
                      <w:sz w:val="21"/>
                      <w:szCs w:val="21"/>
                      <w:u w:val="none" w:color="auto"/>
                      <w:vertAlign w:val="superscript"/>
                      <w:lang w:val="en-US" w:eastAsia="zh-CN"/>
                    </w:rPr>
                    <w:t>3</w:t>
                  </w:r>
                </w:p>
              </w:tc>
              <w:tc>
                <w:tcPr>
                  <w:tcW w:w="835" w:type="pct"/>
                  <w:shd w:val="clear" w:color="auto" w:fill="auto"/>
                  <w:noWrap w:val="0"/>
                  <w:vAlign w:val="center"/>
                </w:tcPr>
                <w:p w14:paraId="224CD140">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个</w:t>
                  </w:r>
                </w:p>
              </w:tc>
              <w:tc>
                <w:tcPr>
                  <w:tcW w:w="915" w:type="pct"/>
                  <w:shd w:val="clear" w:color="auto" w:fill="auto"/>
                  <w:noWrap w:val="0"/>
                  <w:vAlign w:val="center"/>
                </w:tcPr>
                <w:p w14:paraId="36A9EBB1">
                  <w:pPr>
                    <w:pStyle w:val="57"/>
                    <w:keepNext w:val="0"/>
                    <w:keepLines w:val="0"/>
                    <w:pageBreakBefore w:val="0"/>
                    <w:kinsoku/>
                    <w:wordWrap/>
                    <w:overflowPunct/>
                    <w:topLinePunct w:val="0"/>
                    <w:autoSpaceDE/>
                    <w:autoSpaceDN/>
                    <w:bidi w:val="0"/>
                    <w:spacing w:before="0" w:beforeLines="0" w:after="0" w:afterLines="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cs="Times New Roman"/>
                      <w:color w:val="auto"/>
                      <w:kern w:val="0"/>
                      <w:sz w:val="21"/>
                      <w:szCs w:val="21"/>
                      <w:lang w:val="en-US" w:eastAsia="zh-CN"/>
                    </w:rPr>
                    <w:t>1</w:t>
                  </w:r>
                </w:p>
              </w:tc>
            </w:tr>
            <w:tr w14:paraId="4ABCC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vMerge w:val="continue"/>
                  <w:shd w:val="clear" w:color="auto" w:fill="auto"/>
                  <w:noWrap w:val="0"/>
                  <w:vAlign w:val="center"/>
                </w:tcPr>
                <w:p w14:paraId="71347992">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cs="Times New Roman"/>
                      <w:color w:val="auto"/>
                      <w:kern w:val="0"/>
                      <w:sz w:val="21"/>
                      <w:szCs w:val="21"/>
                      <w:lang w:val="en-US" w:eastAsia="zh-CN"/>
                    </w:rPr>
                  </w:pPr>
                </w:p>
              </w:tc>
              <w:tc>
                <w:tcPr>
                  <w:tcW w:w="569" w:type="pct"/>
                  <w:vMerge w:val="continue"/>
                  <w:shd w:val="clear" w:color="auto" w:fill="auto"/>
                  <w:noWrap w:val="0"/>
                  <w:vAlign w:val="center"/>
                </w:tcPr>
                <w:p w14:paraId="625F5BF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none" w:color="auto"/>
                      <w:lang w:val="en-US" w:eastAsia="zh-CN" w:bidi="ar-SA"/>
                    </w:rPr>
                  </w:pPr>
                </w:p>
              </w:tc>
              <w:tc>
                <w:tcPr>
                  <w:tcW w:w="1216" w:type="pct"/>
                  <w:shd w:val="clear" w:color="auto" w:fill="auto"/>
                  <w:noWrap w:val="0"/>
                  <w:vAlign w:val="center"/>
                </w:tcPr>
                <w:p w14:paraId="424EFBB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color="auto"/>
                      <w:lang w:val="en-US" w:eastAsia="zh-CN" w:bidi="ar-SA"/>
                    </w:rPr>
                  </w:pPr>
                  <w:r>
                    <w:rPr>
                      <w:rFonts w:hint="eastAsia" w:cs="Times New Roman"/>
                      <w:color w:val="auto"/>
                      <w:kern w:val="0"/>
                      <w:sz w:val="21"/>
                      <w:szCs w:val="21"/>
                      <w:u w:val="none" w:color="auto"/>
                      <w:lang w:val="en-US" w:eastAsia="zh-CN"/>
                    </w:rPr>
                    <w:t>电泳水槽</w:t>
                  </w:r>
                </w:p>
              </w:tc>
              <w:tc>
                <w:tcPr>
                  <w:tcW w:w="984" w:type="pct"/>
                  <w:shd w:val="clear" w:color="auto" w:fill="auto"/>
                  <w:noWrap w:val="0"/>
                  <w:vAlign w:val="center"/>
                </w:tcPr>
                <w:p w14:paraId="4B81AE3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none" w:color="auto"/>
                      <w:lang w:val="en-US" w:eastAsia="zh-CN" w:bidi="ar-SA"/>
                    </w:rPr>
                  </w:pPr>
                  <w:r>
                    <w:rPr>
                      <w:rFonts w:hint="eastAsia" w:cs="Times New Roman"/>
                      <w:color w:val="auto"/>
                      <w:kern w:val="0"/>
                      <w:sz w:val="21"/>
                      <w:szCs w:val="21"/>
                      <w:u w:val="none" w:color="auto"/>
                      <w:lang w:val="en-US" w:eastAsia="zh-CN"/>
                    </w:rPr>
                    <w:t>40.65m</w:t>
                  </w:r>
                  <w:r>
                    <w:rPr>
                      <w:rFonts w:hint="eastAsia" w:cs="Times New Roman"/>
                      <w:color w:val="auto"/>
                      <w:kern w:val="0"/>
                      <w:sz w:val="21"/>
                      <w:szCs w:val="21"/>
                      <w:u w:val="none" w:color="auto"/>
                      <w:vertAlign w:val="superscript"/>
                      <w:lang w:val="en-US" w:eastAsia="zh-CN"/>
                    </w:rPr>
                    <w:t>3</w:t>
                  </w:r>
                </w:p>
              </w:tc>
              <w:tc>
                <w:tcPr>
                  <w:tcW w:w="835" w:type="pct"/>
                  <w:shd w:val="clear" w:color="auto" w:fill="auto"/>
                  <w:noWrap w:val="0"/>
                  <w:vAlign w:val="center"/>
                </w:tcPr>
                <w:p w14:paraId="51533BC7">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个</w:t>
                  </w:r>
                </w:p>
              </w:tc>
              <w:tc>
                <w:tcPr>
                  <w:tcW w:w="915" w:type="pct"/>
                  <w:shd w:val="clear" w:color="auto" w:fill="auto"/>
                  <w:noWrap w:val="0"/>
                  <w:vAlign w:val="center"/>
                </w:tcPr>
                <w:p w14:paraId="289689B4">
                  <w:pPr>
                    <w:pStyle w:val="57"/>
                    <w:keepNext w:val="0"/>
                    <w:keepLines w:val="0"/>
                    <w:pageBreakBefore w:val="0"/>
                    <w:kinsoku/>
                    <w:wordWrap/>
                    <w:overflowPunct/>
                    <w:topLinePunct w:val="0"/>
                    <w:autoSpaceDE/>
                    <w:autoSpaceDN/>
                    <w:bidi w:val="0"/>
                    <w:spacing w:before="0" w:beforeLines="0" w:after="0" w:afterLines="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cs="Times New Roman"/>
                      <w:color w:val="auto"/>
                      <w:kern w:val="0"/>
                      <w:sz w:val="21"/>
                      <w:szCs w:val="21"/>
                      <w:lang w:val="en-US" w:eastAsia="zh-CN"/>
                    </w:rPr>
                    <w:t>1</w:t>
                  </w:r>
                </w:p>
              </w:tc>
            </w:tr>
            <w:tr w14:paraId="3B20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vMerge w:val="continue"/>
                  <w:shd w:val="clear" w:color="auto" w:fill="auto"/>
                  <w:noWrap w:val="0"/>
                  <w:vAlign w:val="center"/>
                </w:tcPr>
                <w:p w14:paraId="01241D8C">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cs="Times New Roman"/>
                      <w:color w:val="auto"/>
                      <w:kern w:val="0"/>
                      <w:sz w:val="21"/>
                      <w:szCs w:val="21"/>
                      <w:lang w:val="en-US" w:eastAsia="zh-CN"/>
                    </w:rPr>
                  </w:pPr>
                </w:p>
              </w:tc>
              <w:tc>
                <w:tcPr>
                  <w:tcW w:w="569" w:type="pct"/>
                  <w:vMerge w:val="continue"/>
                  <w:shd w:val="clear" w:color="auto" w:fill="auto"/>
                  <w:noWrap w:val="0"/>
                  <w:vAlign w:val="center"/>
                </w:tcPr>
                <w:p w14:paraId="5BFA3E4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none" w:color="auto"/>
                      <w:lang w:val="en-US" w:eastAsia="zh-CN" w:bidi="ar-SA"/>
                    </w:rPr>
                  </w:pPr>
                </w:p>
              </w:tc>
              <w:tc>
                <w:tcPr>
                  <w:tcW w:w="1216" w:type="pct"/>
                  <w:shd w:val="clear" w:color="auto" w:fill="auto"/>
                  <w:noWrap w:val="0"/>
                  <w:vAlign w:val="center"/>
                </w:tcPr>
                <w:p w14:paraId="1BFF018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color="auto"/>
                      <w:lang w:val="en-US" w:eastAsia="zh-CN" w:bidi="ar-SA"/>
                    </w:rPr>
                  </w:pPr>
                  <w:r>
                    <w:rPr>
                      <w:rFonts w:hint="eastAsia" w:cs="Times New Roman"/>
                      <w:color w:val="auto"/>
                      <w:kern w:val="0"/>
                      <w:sz w:val="21"/>
                      <w:szCs w:val="21"/>
                      <w:u w:val="none" w:color="auto"/>
                      <w:lang w:val="en-US" w:eastAsia="zh-CN"/>
                    </w:rPr>
                    <w:t>超滤清洗水槽</w:t>
                  </w:r>
                </w:p>
              </w:tc>
              <w:tc>
                <w:tcPr>
                  <w:tcW w:w="984" w:type="pct"/>
                  <w:shd w:val="clear" w:color="auto" w:fill="auto"/>
                  <w:noWrap w:val="0"/>
                  <w:vAlign w:val="center"/>
                </w:tcPr>
                <w:p w14:paraId="36DFD9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none" w:color="auto"/>
                      <w:lang w:val="en-US" w:eastAsia="zh-CN" w:bidi="ar-SA"/>
                    </w:rPr>
                  </w:pPr>
                  <w:r>
                    <w:rPr>
                      <w:rFonts w:hint="eastAsia" w:cs="Times New Roman"/>
                      <w:color w:val="auto"/>
                      <w:kern w:val="0"/>
                      <w:sz w:val="21"/>
                      <w:szCs w:val="21"/>
                      <w:u w:val="none" w:color="auto"/>
                      <w:lang w:val="en-US" w:eastAsia="zh-CN"/>
                    </w:rPr>
                    <w:t>1.12m</w:t>
                  </w:r>
                  <w:r>
                    <w:rPr>
                      <w:rFonts w:hint="eastAsia" w:cs="Times New Roman"/>
                      <w:color w:val="auto"/>
                      <w:kern w:val="0"/>
                      <w:sz w:val="21"/>
                      <w:szCs w:val="21"/>
                      <w:u w:val="none" w:color="auto"/>
                      <w:vertAlign w:val="superscript"/>
                      <w:lang w:val="en-US" w:eastAsia="zh-CN"/>
                    </w:rPr>
                    <w:t>3</w:t>
                  </w:r>
                </w:p>
              </w:tc>
              <w:tc>
                <w:tcPr>
                  <w:tcW w:w="835" w:type="pct"/>
                  <w:shd w:val="clear" w:color="auto" w:fill="auto"/>
                  <w:noWrap w:val="0"/>
                  <w:vAlign w:val="center"/>
                </w:tcPr>
                <w:p w14:paraId="32976BA6">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个</w:t>
                  </w:r>
                </w:p>
              </w:tc>
              <w:tc>
                <w:tcPr>
                  <w:tcW w:w="915" w:type="pct"/>
                  <w:shd w:val="clear" w:color="auto" w:fill="auto"/>
                  <w:noWrap w:val="0"/>
                  <w:vAlign w:val="center"/>
                </w:tcPr>
                <w:p w14:paraId="077E9E36">
                  <w:pPr>
                    <w:pStyle w:val="57"/>
                    <w:keepNext w:val="0"/>
                    <w:keepLines w:val="0"/>
                    <w:pageBreakBefore w:val="0"/>
                    <w:kinsoku/>
                    <w:wordWrap/>
                    <w:overflowPunct/>
                    <w:topLinePunct w:val="0"/>
                    <w:autoSpaceDE/>
                    <w:autoSpaceDN/>
                    <w:bidi w:val="0"/>
                    <w:spacing w:before="0" w:beforeLines="0" w:after="0" w:afterLines="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cs="Times New Roman"/>
                      <w:color w:val="auto"/>
                      <w:kern w:val="0"/>
                      <w:sz w:val="21"/>
                      <w:szCs w:val="21"/>
                      <w:lang w:val="en-US" w:eastAsia="zh-CN"/>
                    </w:rPr>
                    <w:t>2</w:t>
                  </w:r>
                </w:p>
              </w:tc>
            </w:tr>
            <w:tr w14:paraId="529A5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9" w:type="pct"/>
                  <w:shd w:val="clear" w:color="auto" w:fill="auto"/>
                  <w:noWrap w:val="0"/>
                  <w:vAlign w:val="center"/>
                </w:tcPr>
                <w:p w14:paraId="215DB17E">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13</w:t>
                  </w:r>
                </w:p>
              </w:tc>
              <w:tc>
                <w:tcPr>
                  <w:tcW w:w="1785" w:type="pct"/>
                  <w:gridSpan w:val="2"/>
                  <w:noWrap w:val="0"/>
                  <w:vAlign w:val="center"/>
                </w:tcPr>
                <w:p w14:paraId="71B20CE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default" w:ascii="Times New Roman" w:hAnsi="Times New Roman" w:cs="Times New Roman"/>
                      <w:color w:val="auto"/>
                      <w:kern w:val="0"/>
                      <w:sz w:val="21"/>
                      <w:szCs w:val="21"/>
                      <w:u w:val="none" w:color="auto"/>
                      <w:lang w:val="en-US" w:eastAsia="zh-CN"/>
                    </w:rPr>
                    <w:t>清洗机</w:t>
                  </w:r>
                </w:p>
              </w:tc>
              <w:tc>
                <w:tcPr>
                  <w:tcW w:w="984" w:type="pct"/>
                  <w:noWrap w:val="0"/>
                  <w:vAlign w:val="center"/>
                </w:tcPr>
                <w:p w14:paraId="2DAF2D4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2B18C6BA">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kern w:val="0"/>
                      <w:sz w:val="21"/>
                      <w:szCs w:val="21"/>
                      <w:lang w:val="en-US" w:eastAsia="zh-CN"/>
                    </w:rPr>
                    <w:t>台</w:t>
                  </w:r>
                </w:p>
              </w:tc>
              <w:tc>
                <w:tcPr>
                  <w:tcW w:w="915" w:type="pct"/>
                  <w:noWrap w:val="0"/>
                  <w:vAlign w:val="center"/>
                </w:tcPr>
                <w:p w14:paraId="08419CA8">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1</w:t>
                  </w:r>
                </w:p>
              </w:tc>
            </w:tr>
            <w:tr w14:paraId="1268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79" w:type="pct"/>
                  <w:shd w:val="clear" w:color="auto" w:fill="auto"/>
                  <w:noWrap w:val="0"/>
                  <w:vAlign w:val="center"/>
                </w:tcPr>
                <w:p w14:paraId="43AC79C4">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14</w:t>
                  </w:r>
                </w:p>
              </w:tc>
              <w:tc>
                <w:tcPr>
                  <w:tcW w:w="1785" w:type="pct"/>
                  <w:gridSpan w:val="2"/>
                  <w:noWrap w:val="0"/>
                  <w:vAlign w:val="center"/>
                </w:tcPr>
                <w:p w14:paraId="2736D83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default" w:ascii="Times New Roman" w:hAnsi="Times New Roman" w:cs="Times New Roman"/>
                      <w:color w:val="auto"/>
                      <w:kern w:val="0"/>
                      <w:sz w:val="21"/>
                      <w:szCs w:val="21"/>
                      <w:u w:val="none" w:color="auto"/>
                      <w:lang w:val="en-US" w:eastAsia="zh-CN"/>
                    </w:rPr>
                    <w:t>烘干</w:t>
                  </w:r>
                  <w:r>
                    <w:rPr>
                      <w:rFonts w:hint="eastAsia" w:cs="Times New Roman"/>
                      <w:color w:val="auto"/>
                      <w:kern w:val="0"/>
                      <w:sz w:val="21"/>
                      <w:szCs w:val="21"/>
                      <w:u w:val="none" w:color="auto"/>
                      <w:lang w:val="en-US" w:eastAsia="zh-CN"/>
                    </w:rPr>
                    <w:t>室</w:t>
                  </w:r>
                </w:p>
              </w:tc>
              <w:tc>
                <w:tcPr>
                  <w:tcW w:w="984" w:type="pct"/>
                  <w:noWrap w:val="0"/>
                  <w:vAlign w:val="center"/>
                </w:tcPr>
                <w:p w14:paraId="719B44A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0683DA98">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eastAsia" w:cs="Times New Roman"/>
                      <w:color w:val="auto"/>
                      <w:kern w:val="0"/>
                      <w:sz w:val="21"/>
                      <w:szCs w:val="21"/>
                      <w:lang w:val="en-US" w:eastAsia="zh-CN"/>
                    </w:rPr>
                    <w:t>个</w:t>
                  </w:r>
                </w:p>
              </w:tc>
              <w:tc>
                <w:tcPr>
                  <w:tcW w:w="915" w:type="pct"/>
                  <w:noWrap w:val="0"/>
                  <w:vAlign w:val="center"/>
                </w:tcPr>
                <w:p w14:paraId="26BA167D">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r>
            <w:tr w14:paraId="7474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13727079">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15</w:t>
                  </w:r>
                </w:p>
              </w:tc>
              <w:tc>
                <w:tcPr>
                  <w:tcW w:w="1785" w:type="pct"/>
                  <w:gridSpan w:val="2"/>
                  <w:noWrap w:val="0"/>
                  <w:vAlign w:val="center"/>
                </w:tcPr>
                <w:p w14:paraId="57E0FFF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default" w:ascii="Times New Roman" w:hAnsi="Times New Roman" w:cs="Times New Roman"/>
                      <w:color w:val="auto"/>
                      <w:kern w:val="0"/>
                      <w:sz w:val="21"/>
                      <w:szCs w:val="21"/>
                      <w:u w:val="none" w:color="auto"/>
                      <w:lang w:val="en-US" w:eastAsia="zh-CN"/>
                    </w:rPr>
                    <w:t>悬挂输送设备</w:t>
                  </w:r>
                </w:p>
              </w:tc>
              <w:tc>
                <w:tcPr>
                  <w:tcW w:w="984" w:type="pct"/>
                  <w:noWrap w:val="0"/>
                  <w:vAlign w:val="center"/>
                </w:tcPr>
                <w:p w14:paraId="5A56393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17B26D76">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套</w:t>
                  </w:r>
                </w:p>
              </w:tc>
              <w:tc>
                <w:tcPr>
                  <w:tcW w:w="915" w:type="pct"/>
                  <w:noWrap w:val="0"/>
                  <w:vAlign w:val="center"/>
                </w:tcPr>
                <w:p w14:paraId="14B8EEA0">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1</w:t>
                  </w:r>
                </w:p>
              </w:tc>
            </w:tr>
            <w:tr w14:paraId="6798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6"/>
                  <w:shd w:val="clear" w:color="auto" w:fill="auto"/>
                  <w:noWrap w:val="0"/>
                  <w:vAlign w:val="center"/>
                </w:tcPr>
                <w:p w14:paraId="109C27BC">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ascii="Times New Roman" w:cs="Times New Roman"/>
                      <w:color w:val="auto"/>
                      <w:kern w:val="0"/>
                      <w:sz w:val="21"/>
                      <w:szCs w:val="21"/>
                      <w:lang w:val="en-US" w:eastAsia="zh-CN"/>
                    </w:rPr>
                    <w:t>五、喷粉工段</w:t>
                  </w:r>
                </w:p>
              </w:tc>
            </w:tr>
            <w:tr w14:paraId="6C90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6371C015">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eastAsiaTheme="minorEastAsia"/>
                      <w:color w:val="auto"/>
                      <w:kern w:val="0"/>
                      <w:sz w:val="21"/>
                      <w:szCs w:val="21"/>
                      <w:lang w:val="en-US" w:eastAsia="zh-CN" w:bidi="ar-SA"/>
                    </w:rPr>
                    <w:t>16</w:t>
                  </w:r>
                </w:p>
              </w:tc>
              <w:tc>
                <w:tcPr>
                  <w:tcW w:w="1785" w:type="pct"/>
                  <w:gridSpan w:val="2"/>
                  <w:shd w:val="clear" w:color="auto" w:fill="auto"/>
                  <w:noWrap w:val="0"/>
                  <w:vAlign w:val="center"/>
                </w:tcPr>
                <w:p w14:paraId="1C4228CB">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静电喷粉机组</w:t>
                  </w:r>
                </w:p>
              </w:tc>
              <w:tc>
                <w:tcPr>
                  <w:tcW w:w="984" w:type="pct"/>
                  <w:shd w:val="clear" w:color="auto" w:fill="auto"/>
                  <w:noWrap w:val="0"/>
                  <w:vAlign w:val="center"/>
                </w:tcPr>
                <w:p w14:paraId="63C316B5">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rPr>
                    <w:t>E7</w:t>
                  </w:r>
                </w:p>
              </w:tc>
              <w:tc>
                <w:tcPr>
                  <w:tcW w:w="835" w:type="pct"/>
                  <w:shd w:val="clear" w:color="auto" w:fill="auto"/>
                  <w:noWrap w:val="0"/>
                  <w:vAlign w:val="center"/>
                </w:tcPr>
                <w:p w14:paraId="122E70CB">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台</w:t>
                  </w:r>
                </w:p>
              </w:tc>
              <w:tc>
                <w:tcPr>
                  <w:tcW w:w="915" w:type="pct"/>
                  <w:shd w:val="clear" w:color="auto" w:fill="auto"/>
                  <w:noWrap w:val="0"/>
                  <w:vAlign w:val="center"/>
                </w:tcPr>
                <w:p w14:paraId="21F341C4">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rPr>
                    <w:t>2</w:t>
                  </w:r>
                </w:p>
              </w:tc>
            </w:tr>
            <w:tr w14:paraId="1D836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0AB1A327">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cs="Times New Roman" w:eastAsiaTheme="minorEastAsia"/>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1</w:t>
                  </w:r>
                  <w:r>
                    <w:rPr>
                      <w:rFonts w:hint="eastAsia" w:cs="Times New Roman"/>
                      <w:color w:val="auto"/>
                      <w:kern w:val="0"/>
                      <w:sz w:val="21"/>
                      <w:szCs w:val="21"/>
                      <w:lang w:val="en-US" w:eastAsia="zh-CN"/>
                    </w:rPr>
                    <w:t>7</w:t>
                  </w:r>
                </w:p>
              </w:tc>
              <w:tc>
                <w:tcPr>
                  <w:tcW w:w="1785" w:type="pct"/>
                  <w:gridSpan w:val="2"/>
                  <w:shd w:val="clear" w:color="auto" w:fill="auto"/>
                  <w:noWrap w:val="0"/>
                  <w:vAlign w:val="center"/>
                </w:tcPr>
                <w:p w14:paraId="39C4E991">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喷粉房</w:t>
                  </w:r>
                </w:p>
              </w:tc>
              <w:tc>
                <w:tcPr>
                  <w:tcW w:w="984" w:type="pct"/>
                  <w:shd w:val="clear" w:color="auto" w:fill="auto"/>
                  <w:noWrap w:val="0"/>
                  <w:vAlign w:val="center"/>
                </w:tcPr>
                <w:p w14:paraId="68DF6A17">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rPr>
                    <w:t>/</w:t>
                  </w:r>
                </w:p>
              </w:tc>
              <w:tc>
                <w:tcPr>
                  <w:tcW w:w="835" w:type="pct"/>
                  <w:shd w:val="clear" w:color="auto" w:fill="auto"/>
                  <w:noWrap w:val="0"/>
                  <w:vAlign w:val="center"/>
                </w:tcPr>
                <w:p w14:paraId="0AE9DF9A">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套</w:t>
                  </w:r>
                </w:p>
              </w:tc>
              <w:tc>
                <w:tcPr>
                  <w:tcW w:w="915" w:type="pct"/>
                  <w:shd w:val="clear" w:color="auto" w:fill="auto"/>
                  <w:noWrap w:val="0"/>
                  <w:vAlign w:val="center"/>
                </w:tcPr>
                <w:p w14:paraId="0960E47F">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1</w:t>
                  </w:r>
                </w:p>
              </w:tc>
            </w:tr>
            <w:tr w14:paraId="0D0DF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355A6EFA">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18</w:t>
                  </w:r>
                </w:p>
              </w:tc>
              <w:tc>
                <w:tcPr>
                  <w:tcW w:w="1785" w:type="pct"/>
                  <w:gridSpan w:val="2"/>
                  <w:shd w:val="clear" w:color="auto" w:fill="auto"/>
                  <w:noWrap w:val="0"/>
                  <w:vAlign w:val="center"/>
                </w:tcPr>
                <w:p w14:paraId="0BE7FFCC">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粉末回收系统</w:t>
                  </w:r>
                </w:p>
              </w:tc>
              <w:tc>
                <w:tcPr>
                  <w:tcW w:w="984" w:type="pct"/>
                  <w:shd w:val="clear" w:color="auto" w:fill="auto"/>
                  <w:noWrap w:val="0"/>
                  <w:vAlign w:val="center"/>
                </w:tcPr>
                <w:p w14:paraId="1AF6FBFF">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rPr>
                    <w:t>/</w:t>
                  </w:r>
                </w:p>
              </w:tc>
              <w:tc>
                <w:tcPr>
                  <w:tcW w:w="835" w:type="pct"/>
                  <w:shd w:val="clear" w:color="auto" w:fill="auto"/>
                  <w:noWrap w:val="0"/>
                  <w:vAlign w:val="center"/>
                </w:tcPr>
                <w:p w14:paraId="441F305F">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套</w:t>
                  </w:r>
                </w:p>
              </w:tc>
              <w:tc>
                <w:tcPr>
                  <w:tcW w:w="915" w:type="pct"/>
                  <w:shd w:val="clear" w:color="auto" w:fill="auto"/>
                  <w:noWrap w:val="0"/>
                  <w:vAlign w:val="center"/>
                </w:tcPr>
                <w:p w14:paraId="5C4E5EAA">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rPr>
                    <w:t>2</w:t>
                  </w:r>
                </w:p>
              </w:tc>
            </w:tr>
            <w:tr w14:paraId="4CDCD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3081B3F9">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19</w:t>
                  </w:r>
                </w:p>
              </w:tc>
              <w:tc>
                <w:tcPr>
                  <w:tcW w:w="1785" w:type="pct"/>
                  <w:gridSpan w:val="2"/>
                  <w:shd w:val="clear" w:color="auto" w:fill="auto"/>
                  <w:noWrap w:val="0"/>
                  <w:vAlign w:val="center"/>
                </w:tcPr>
                <w:p w14:paraId="0E9EC81C">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悬挂输送链</w:t>
                  </w:r>
                </w:p>
              </w:tc>
              <w:tc>
                <w:tcPr>
                  <w:tcW w:w="984" w:type="pct"/>
                  <w:shd w:val="clear" w:color="auto" w:fill="auto"/>
                  <w:noWrap w:val="0"/>
                  <w:vAlign w:val="center"/>
                </w:tcPr>
                <w:p w14:paraId="35ACD6EC">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250型</w:t>
                  </w:r>
                </w:p>
              </w:tc>
              <w:tc>
                <w:tcPr>
                  <w:tcW w:w="835" w:type="pct"/>
                  <w:shd w:val="clear" w:color="auto" w:fill="auto"/>
                  <w:noWrap w:val="0"/>
                  <w:vAlign w:val="center"/>
                </w:tcPr>
                <w:p w14:paraId="4AC11A09">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rPr>
                    <w:t>条</w:t>
                  </w:r>
                </w:p>
              </w:tc>
              <w:tc>
                <w:tcPr>
                  <w:tcW w:w="915" w:type="pct"/>
                  <w:shd w:val="clear" w:color="auto" w:fill="auto"/>
                  <w:noWrap w:val="0"/>
                  <w:vAlign w:val="center"/>
                </w:tcPr>
                <w:p w14:paraId="741CF036">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rPr>
                    <w:t>1</w:t>
                  </w:r>
                </w:p>
              </w:tc>
            </w:tr>
            <w:tr w14:paraId="0CBC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69EA311B">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20</w:t>
                  </w:r>
                </w:p>
              </w:tc>
              <w:tc>
                <w:tcPr>
                  <w:tcW w:w="1785" w:type="pct"/>
                  <w:gridSpan w:val="2"/>
                  <w:shd w:val="clear" w:color="auto" w:fill="auto"/>
                  <w:noWrap w:val="0"/>
                  <w:vAlign w:val="center"/>
                </w:tcPr>
                <w:p w14:paraId="7273535B">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烘干室</w:t>
                  </w:r>
                </w:p>
              </w:tc>
              <w:tc>
                <w:tcPr>
                  <w:tcW w:w="984" w:type="pct"/>
                  <w:shd w:val="clear" w:color="auto" w:fill="auto"/>
                  <w:noWrap w:val="0"/>
                  <w:vAlign w:val="center"/>
                </w:tcPr>
                <w:p w14:paraId="318E1737">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w:t>
                  </w:r>
                </w:p>
              </w:tc>
              <w:tc>
                <w:tcPr>
                  <w:tcW w:w="835" w:type="pct"/>
                  <w:shd w:val="clear" w:color="auto" w:fill="auto"/>
                  <w:noWrap w:val="0"/>
                  <w:vAlign w:val="center"/>
                </w:tcPr>
                <w:p w14:paraId="67369263">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rPr>
                    <w:t>套</w:t>
                  </w:r>
                </w:p>
              </w:tc>
              <w:tc>
                <w:tcPr>
                  <w:tcW w:w="915" w:type="pct"/>
                  <w:shd w:val="clear" w:color="auto" w:fill="auto"/>
                  <w:noWrap w:val="0"/>
                  <w:vAlign w:val="center"/>
                </w:tcPr>
                <w:p w14:paraId="544FDE81">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rPr>
                    <w:t>1</w:t>
                  </w:r>
                </w:p>
              </w:tc>
            </w:tr>
            <w:tr w14:paraId="0EE7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6"/>
                  <w:noWrap w:val="0"/>
                  <w:vAlign w:val="center"/>
                </w:tcPr>
                <w:p w14:paraId="778E01BE">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ascii="Times New Roman" w:cs="Times New Roman"/>
                      <w:color w:val="auto"/>
                      <w:kern w:val="0"/>
                      <w:sz w:val="21"/>
                      <w:szCs w:val="21"/>
                      <w:lang w:val="en-US" w:eastAsia="zh-CN"/>
                    </w:rPr>
                    <w:t>六</w:t>
                  </w:r>
                  <w:r>
                    <w:rPr>
                      <w:rFonts w:hint="default" w:ascii="Times New Roman" w:hAnsi="Times New Roman" w:cs="Times New Roman"/>
                      <w:color w:val="auto"/>
                      <w:kern w:val="0"/>
                      <w:sz w:val="21"/>
                      <w:szCs w:val="21"/>
                      <w:lang w:val="en-US" w:eastAsia="zh-CN"/>
                    </w:rPr>
                    <w:t>、组装装配</w:t>
                  </w:r>
                  <w:r>
                    <w:rPr>
                      <w:rFonts w:hint="eastAsia" w:ascii="Times New Roman" w:hAnsi="Times New Roman" w:cs="Times New Roman"/>
                      <w:color w:val="auto"/>
                      <w:kern w:val="0"/>
                      <w:sz w:val="21"/>
                      <w:szCs w:val="21"/>
                      <w:lang w:val="en-US" w:eastAsia="zh-CN"/>
                    </w:rPr>
                    <w:t>工</w:t>
                  </w:r>
                  <w:r>
                    <w:rPr>
                      <w:rFonts w:hint="default" w:ascii="Times New Roman" w:hAnsi="Times New Roman" w:cs="Times New Roman"/>
                      <w:color w:val="auto"/>
                      <w:kern w:val="0"/>
                      <w:sz w:val="21"/>
                      <w:szCs w:val="21"/>
                      <w:lang w:val="en-US" w:eastAsia="zh-CN"/>
                    </w:rPr>
                    <w:t>段</w:t>
                  </w:r>
                </w:p>
              </w:tc>
            </w:tr>
            <w:tr w14:paraId="226B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0D183708">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21</w:t>
                  </w:r>
                </w:p>
              </w:tc>
              <w:tc>
                <w:tcPr>
                  <w:tcW w:w="1785" w:type="pct"/>
                  <w:gridSpan w:val="2"/>
                  <w:noWrap w:val="0"/>
                  <w:vAlign w:val="center"/>
                </w:tcPr>
                <w:p w14:paraId="58C8F4D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default" w:ascii="Times New Roman" w:hAnsi="Times New Roman" w:cs="Times New Roman"/>
                      <w:color w:val="auto"/>
                      <w:kern w:val="0"/>
                      <w:sz w:val="21"/>
                      <w:szCs w:val="21"/>
                      <w:u w:val="none" w:color="auto"/>
                      <w:lang w:val="en-US" w:eastAsia="zh-CN"/>
                    </w:rPr>
                    <w:t>装配线</w:t>
                  </w:r>
                </w:p>
              </w:tc>
              <w:tc>
                <w:tcPr>
                  <w:tcW w:w="984" w:type="pct"/>
                  <w:noWrap w:val="0"/>
                  <w:vAlign w:val="center"/>
                </w:tcPr>
                <w:p w14:paraId="6AAA82C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412713A7">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915" w:type="pct"/>
                  <w:noWrap w:val="0"/>
                  <w:vAlign w:val="center"/>
                </w:tcPr>
                <w:p w14:paraId="19DF0A1A">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3</w:t>
                  </w:r>
                </w:p>
              </w:tc>
            </w:tr>
            <w:tr w14:paraId="4C81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1B6F16D9">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22</w:t>
                  </w:r>
                </w:p>
              </w:tc>
              <w:tc>
                <w:tcPr>
                  <w:tcW w:w="1785" w:type="pct"/>
                  <w:gridSpan w:val="2"/>
                  <w:noWrap w:val="0"/>
                  <w:vAlign w:val="center"/>
                </w:tcPr>
                <w:p w14:paraId="3F61C45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葫芦吊</w:t>
                  </w:r>
                </w:p>
              </w:tc>
              <w:tc>
                <w:tcPr>
                  <w:tcW w:w="984" w:type="pct"/>
                  <w:noWrap w:val="0"/>
                  <w:vAlign w:val="center"/>
                </w:tcPr>
                <w:p w14:paraId="078A4B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09224586">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个</w:t>
                  </w:r>
                </w:p>
              </w:tc>
              <w:tc>
                <w:tcPr>
                  <w:tcW w:w="915" w:type="pct"/>
                  <w:noWrap w:val="0"/>
                  <w:vAlign w:val="center"/>
                </w:tcPr>
                <w:p w14:paraId="321543B0">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6</w:t>
                  </w:r>
                </w:p>
              </w:tc>
            </w:tr>
            <w:tr w14:paraId="542E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45E04EAA">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23</w:t>
                  </w:r>
                </w:p>
              </w:tc>
              <w:tc>
                <w:tcPr>
                  <w:tcW w:w="1785" w:type="pct"/>
                  <w:gridSpan w:val="2"/>
                  <w:noWrap w:val="0"/>
                  <w:vAlign w:val="center"/>
                </w:tcPr>
                <w:p w14:paraId="191B733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装配夹具</w:t>
                  </w:r>
                </w:p>
              </w:tc>
              <w:tc>
                <w:tcPr>
                  <w:tcW w:w="984" w:type="pct"/>
                  <w:noWrap w:val="0"/>
                  <w:vAlign w:val="center"/>
                </w:tcPr>
                <w:p w14:paraId="6C1907B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4332B24D">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个</w:t>
                  </w:r>
                </w:p>
              </w:tc>
              <w:tc>
                <w:tcPr>
                  <w:tcW w:w="915" w:type="pct"/>
                  <w:noWrap w:val="0"/>
                  <w:vAlign w:val="center"/>
                </w:tcPr>
                <w:p w14:paraId="498B05E0">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105</w:t>
                  </w:r>
                </w:p>
              </w:tc>
            </w:tr>
            <w:tr w14:paraId="169FD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030C4F05">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24</w:t>
                  </w:r>
                </w:p>
              </w:tc>
              <w:tc>
                <w:tcPr>
                  <w:tcW w:w="1785" w:type="pct"/>
                  <w:gridSpan w:val="2"/>
                  <w:noWrap w:val="0"/>
                  <w:vAlign w:val="center"/>
                </w:tcPr>
                <w:p w14:paraId="3EEE70C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气管灯架吊具</w:t>
                  </w:r>
                </w:p>
              </w:tc>
              <w:tc>
                <w:tcPr>
                  <w:tcW w:w="984" w:type="pct"/>
                  <w:noWrap w:val="0"/>
                  <w:vAlign w:val="center"/>
                </w:tcPr>
                <w:p w14:paraId="4BBC8E1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089901E7">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个</w:t>
                  </w:r>
                </w:p>
              </w:tc>
              <w:tc>
                <w:tcPr>
                  <w:tcW w:w="915" w:type="pct"/>
                  <w:noWrap w:val="0"/>
                  <w:vAlign w:val="center"/>
                </w:tcPr>
                <w:p w14:paraId="380CEBC8">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8</w:t>
                  </w:r>
                </w:p>
              </w:tc>
            </w:tr>
            <w:tr w14:paraId="7692E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644E6231">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25</w:t>
                  </w:r>
                </w:p>
              </w:tc>
              <w:tc>
                <w:tcPr>
                  <w:tcW w:w="1785" w:type="pct"/>
                  <w:gridSpan w:val="2"/>
                  <w:noWrap w:val="0"/>
                  <w:vAlign w:val="center"/>
                </w:tcPr>
                <w:p w14:paraId="391424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电器控制系统</w:t>
                  </w:r>
                </w:p>
              </w:tc>
              <w:tc>
                <w:tcPr>
                  <w:tcW w:w="984" w:type="pct"/>
                  <w:noWrap w:val="0"/>
                  <w:vAlign w:val="center"/>
                </w:tcPr>
                <w:p w14:paraId="17A234C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3047F11D">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套</w:t>
                  </w:r>
                </w:p>
              </w:tc>
              <w:tc>
                <w:tcPr>
                  <w:tcW w:w="915" w:type="pct"/>
                  <w:noWrap w:val="0"/>
                  <w:vAlign w:val="center"/>
                </w:tcPr>
                <w:p w14:paraId="589630F8">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3</w:t>
                  </w:r>
                </w:p>
              </w:tc>
            </w:tr>
            <w:tr w14:paraId="5769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46E537F7">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26</w:t>
                  </w:r>
                </w:p>
              </w:tc>
              <w:tc>
                <w:tcPr>
                  <w:tcW w:w="1785" w:type="pct"/>
                  <w:gridSpan w:val="2"/>
                  <w:noWrap w:val="0"/>
                  <w:vAlign w:val="center"/>
                </w:tcPr>
                <w:p w14:paraId="7A6D974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显示屏</w:t>
                  </w:r>
                </w:p>
              </w:tc>
              <w:tc>
                <w:tcPr>
                  <w:tcW w:w="984" w:type="pct"/>
                  <w:noWrap w:val="0"/>
                  <w:vAlign w:val="center"/>
                </w:tcPr>
                <w:p w14:paraId="0F5B1AF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6BF58E6F">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个</w:t>
                  </w:r>
                </w:p>
              </w:tc>
              <w:tc>
                <w:tcPr>
                  <w:tcW w:w="915" w:type="pct"/>
                  <w:noWrap w:val="0"/>
                  <w:vAlign w:val="center"/>
                </w:tcPr>
                <w:p w14:paraId="075D4C08">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3</w:t>
                  </w:r>
                </w:p>
              </w:tc>
            </w:tr>
            <w:tr w14:paraId="1B1D5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20721EDB">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27</w:t>
                  </w:r>
                </w:p>
              </w:tc>
              <w:tc>
                <w:tcPr>
                  <w:tcW w:w="1785" w:type="pct"/>
                  <w:gridSpan w:val="2"/>
                  <w:noWrap w:val="0"/>
                  <w:vAlign w:val="center"/>
                </w:tcPr>
                <w:p w14:paraId="4E6A54D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包装线</w:t>
                  </w:r>
                </w:p>
              </w:tc>
              <w:tc>
                <w:tcPr>
                  <w:tcW w:w="984" w:type="pct"/>
                  <w:noWrap w:val="0"/>
                  <w:vAlign w:val="center"/>
                </w:tcPr>
                <w:p w14:paraId="2339C67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4DB50FE3">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套</w:t>
                  </w:r>
                </w:p>
              </w:tc>
              <w:tc>
                <w:tcPr>
                  <w:tcW w:w="915" w:type="pct"/>
                  <w:noWrap w:val="0"/>
                  <w:vAlign w:val="center"/>
                </w:tcPr>
                <w:p w14:paraId="1A084CFC">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3</w:t>
                  </w:r>
                </w:p>
              </w:tc>
            </w:tr>
            <w:tr w14:paraId="06CD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421FF493">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28</w:t>
                  </w:r>
                </w:p>
              </w:tc>
              <w:tc>
                <w:tcPr>
                  <w:tcW w:w="1785" w:type="pct"/>
                  <w:gridSpan w:val="2"/>
                  <w:noWrap w:val="0"/>
                  <w:vAlign w:val="center"/>
                </w:tcPr>
                <w:p w14:paraId="5EDD865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过渡无动力滚道</w:t>
                  </w:r>
                </w:p>
              </w:tc>
              <w:tc>
                <w:tcPr>
                  <w:tcW w:w="984" w:type="pct"/>
                  <w:noWrap w:val="0"/>
                  <w:vAlign w:val="center"/>
                </w:tcPr>
                <w:p w14:paraId="7BBEB7F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1713F202">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条</w:t>
                  </w:r>
                </w:p>
              </w:tc>
              <w:tc>
                <w:tcPr>
                  <w:tcW w:w="915" w:type="pct"/>
                  <w:noWrap w:val="0"/>
                  <w:vAlign w:val="center"/>
                </w:tcPr>
                <w:p w14:paraId="7A558A38">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2</w:t>
                  </w:r>
                </w:p>
              </w:tc>
            </w:tr>
            <w:tr w14:paraId="5AF6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2E724340">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29</w:t>
                  </w:r>
                </w:p>
              </w:tc>
              <w:tc>
                <w:tcPr>
                  <w:tcW w:w="1785" w:type="pct"/>
                  <w:gridSpan w:val="2"/>
                  <w:noWrap w:val="0"/>
                  <w:vAlign w:val="center"/>
                </w:tcPr>
                <w:p w14:paraId="476EF9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靠边板链线</w:t>
                  </w:r>
                </w:p>
              </w:tc>
              <w:tc>
                <w:tcPr>
                  <w:tcW w:w="984" w:type="pct"/>
                  <w:noWrap w:val="0"/>
                  <w:vAlign w:val="center"/>
                </w:tcPr>
                <w:p w14:paraId="0FD3700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26D8308B">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条</w:t>
                  </w:r>
                </w:p>
              </w:tc>
              <w:tc>
                <w:tcPr>
                  <w:tcW w:w="915" w:type="pct"/>
                  <w:noWrap w:val="0"/>
                  <w:vAlign w:val="center"/>
                </w:tcPr>
                <w:p w14:paraId="79CAFC80">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2</w:t>
                  </w:r>
                </w:p>
              </w:tc>
            </w:tr>
            <w:tr w14:paraId="6B49F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48A354DE">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30</w:t>
                  </w:r>
                </w:p>
              </w:tc>
              <w:tc>
                <w:tcPr>
                  <w:tcW w:w="1785" w:type="pct"/>
                  <w:gridSpan w:val="2"/>
                  <w:noWrap w:val="0"/>
                  <w:vAlign w:val="center"/>
                </w:tcPr>
                <w:p w14:paraId="31D4D1B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打包机</w:t>
                  </w:r>
                </w:p>
              </w:tc>
              <w:tc>
                <w:tcPr>
                  <w:tcW w:w="984" w:type="pct"/>
                  <w:noWrap w:val="0"/>
                  <w:vAlign w:val="center"/>
                </w:tcPr>
                <w:p w14:paraId="373B409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110F113E">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台</w:t>
                  </w:r>
                </w:p>
              </w:tc>
              <w:tc>
                <w:tcPr>
                  <w:tcW w:w="915" w:type="pct"/>
                  <w:noWrap w:val="0"/>
                  <w:vAlign w:val="center"/>
                </w:tcPr>
                <w:p w14:paraId="799D4F57">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2</w:t>
                  </w:r>
                </w:p>
              </w:tc>
            </w:tr>
            <w:tr w14:paraId="141B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18B5AA39">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31</w:t>
                  </w:r>
                </w:p>
              </w:tc>
              <w:tc>
                <w:tcPr>
                  <w:tcW w:w="1785" w:type="pct"/>
                  <w:gridSpan w:val="2"/>
                  <w:noWrap w:val="0"/>
                  <w:vAlign w:val="center"/>
                </w:tcPr>
                <w:p w14:paraId="43EE755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扣箱机</w:t>
                  </w:r>
                </w:p>
              </w:tc>
              <w:tc>
                <w:tcPr>
                  <w:tcW w:w="984" w:type="pct"/>
                  <w:noWrap w:val="0"/>
                  <w:vAlign w:val="center"/>
                </w:tcPr>
                <w:p w14:paraId="6E27B0D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760108A6">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台</w:t>
                  </w:r>
                </w:p>
              </w:tc>
              <w:tc>
                <w:tcPr>
                  <w:tcW w:w="915" w:type="pct"/>
                  <w:noWrap w:val="0"/>
                  <w:vAlign w:val="center"/>
                </w:tcPr>
                <w:p w14:paraId="3E3D2D18">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2</w:t>
                  </w:r>
                </w:p>
              </w:tc>
            </w:tr>
            <w:tr w14:paraId="77F61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1167DC15">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32</w:t>
                  </w:r>
                </w:p>
              </w:tc>
              <w:tc>
                <w:tcPr>
                  <w:tcW w:w="1785" w:type="pct"/>
                  <w:gridSpan w:val="2"/>
                  <w:noWrap w:val="0"/>
                  <w:vAlign w:val="center"/>
                </w:tcPr>
                <w:p w14:paraId="3F01D34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打包输送链</w:t>
                  </w:r>
                </w:p>
              </w:tc>
              <w:tc>
                <w:tcPr>
                  <w:tcW w:w="984" w:type="pct"/>
                  <w:noWrap w:val="0"/>
                  <w:vAlign w:val="center"/>
                </w:tcPr>
                <w:p w14:paraId="530456D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614865D5">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条</w:t>
                  </w:r>
                </w:p>
              </w:tc>
              <w:tc>
                <w:tcPr>
                  <w:tcW w:w="915" w:type="pct"/>
                  <w:noWrap w:val="0"/>
                  <w:vAlign w:val="center"/>
                </w:tcPr>
                <w:p w14:paraId="782F41AA">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2</w:t>
                  </w:r>
                </w:p>
              </w:tc>
            </w:tr>
            <w:tr w14:paraId="51E3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0951A21C">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33</w:t>
                  </w:r>
                </w:p>
              </w:tc>
              <w:tc>
                <w:tcPr>
                  <w:tcW w:w="1785" w:type="pct"/>
                  <w:gridSpan w:val="2"/>
                  <w:noWrap w:val="0"/>
                  <w:vAlign w:val="center"/>
                </w:tcPr>
                <w:p w14:paraId="51012DF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下线无动力辊道</w:t>
                  </w:r>
                </w:p>
              </w:tc>
              <w:tc>
                <w:tcPr>
                  <w:tcW w:w="984" w:type="pct"/>
                  <w:noWrap w:val="0"/>
                  <w:vAlign w:val="center"/>
                </w:tcPr>
                <w:p w14:paraId="35CBF87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7FD8D047">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条</w:t>
                  </w:r>
                </w:p>
              </w:tc>
              <w:tc>
                <w:tcPr>
                  <w:tcW w:w="915" w:type="pct"/>
                  <w:noWrap w:val="0"/>
                  <w:vAlign w:val="center"/>
                </w:tcPr>
                <w:p w14:paraId="4F2FB139">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2</w:t>
                  </w:r>
                </w:p>
              </w:tc>
            </w:tr>
            <w:tr w14:paraId="6B9B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52BABF57">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34</w:t>
                  </w:r>
                </w:p>
              </w:tc>
              <w:tc>
                <w:tcPr>
                  <w:tcW w:w="1785" w:type="pct"/>
                  <w:gridSpan w:val="2"/>
                  <w:noWrap w:val="0"/>
                  <w:vAlign w:val="center"/>
                </w:tcPr>
                <w:p w14:paraId="5677439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电气控制系统</w:t>
                  </w:r>
                </w:p>
              </w:tc>
              <w:tc>
                <w:tcPr>
                  <w:tcW w:w="984" w:type="pct"/>
                  <w:noWrap w:val="0"/>
                  <w:vAlign w:val="center"/>
                </w:tcPr>
                <w:p w14:paraId="2BDCAFC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55681A54">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套</w:t>
                  </w:r>
                </w:p>
              </w:tc>
              <w:tc>
                <w:tcPr>
                  <w:tcW w:w="915" w:type="pct"/>
                  <w:noWrap w:val="0"/>
                  <w:vAlign w:val="center"/>
                </w:tcPr>
                <w:p w14:paraId="56F4C11B">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2</w:t>
                  </w:r>
                </w:p>
              </w:tc>
            </w:tr>
            <w:tr w14:paraId="7A47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1A818E79">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35</w:t>
                  </w:r>
                </w:p>
              </w:tc>
              <w:tc>
                <w:tcPr>
                  <w:tcW w:w="1785" w:type="pct"/>
                  <w:gridSpan w:val="2"/>
                  <w:noWrap w:val="0"/>
                  <w:vAlign w:val="center"/>
                </w:tcPr>
                <w:p w14:paraId="05C2641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底盘停留托板</w:t>
                  </w:r>
                </w:p>
              </w:tc>
              <w:tc>
                <w:tcPr>
                  <w:tcW w:w="984" w:type="pct"/>
                  <w:noWrap w:val="0"/>
                  <w:vAlign w:val="center"/>
                </w:tcPr>
                <w:p w14:paraId="18CC8FA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kern w:val="0"/>
                      <w:sz w:val="21"/>
                      <w:szCs w:val="21"/>
                      <w:u w:val="none" w:color="auto"/>
                      <w:lang w:val="en-US" w:eastAsia="zh-CN"/>
                    </w:rPr>
                    <w:t>/</w:t>
                  </w:r>
                </w:p>
              </w:tc>
              <w:tc>
                <w:tcPr>
                  <w:tcW w:w="835" w:type="pct"/>
                  <w:noWrap w:val="0"/>
                  <w:vAlign w:val="center"/>
                </w:tcPr>
                <w:p w14:paraId="51908577">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个</w:t>
                  </w:r>
                </w:p>
              </w:tc>
              <w:tc>
                <w:tcPr>
                  <w:tcW w:w="915" w:type="pct"/>
                  <w:noWrap w:val="0"/>
                  <w:vAlign w:val="center"/>
                </w:tcPr>
                <w:p w14:paraId="2FE6630E">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2</w:t>
                  </w:r>
                </w:p>
              </w:tc>
            </w:tr>
            <w:tr w14:paraId="39E8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6"/>
                  <w:shd w:val="clear" w:color="auto" w:fill="auto"/>
                  <w:noWrap w:val="0"/>
                  <w:vAlign w:val="center"/>
                </w:tcPr>
                <w:p w14:paraId="6F975662">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ascii="Times New Roman" w:cs="Times New Roman"/>
                      <w:color w:val="auto"/>
                      <w:kern w:val="0"/>
                      <w:sz w:val="21"/>
                      <w:szCs w:val="21"/>
                      <w:lang w:val="en-US" w:eastAsia="zh-CN"/>
                    </w:rPr>
                    <w:t>七、环保设备</w:t>
                  </w:r>
                </w:p>
              </w:tc>
            </w:tr>
            <w:tr w14:paraId="5115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5C4933AD">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36</w:t>
                  </w:r>
                </w:p>
              </w:tc>
              <w:tc>
                <w:tcPr>
                  <w:tcW w:w="1785" w:type="pct"/>
                  <w:gridSpan w:val="2"/>
                  <w:noWrap w:val="0"/>
                  <w:vAlign w:val="center"/>
                </w:tcPr>
                <w:p w14:paraId="43356E8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水喷淋塔</w:t>
                  </w:r>
                </w:p>
              </w:tc>
              <w:tc>
                <w:tcPr>
                  <w:tcW w:w="984" w:type="pct"/>
                  <w:noWrap w:val="0"/>
                  <w:vAlign w:val="center"/>
                </w:tcPr>
                <w:p w14:paraId="178DFDB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eastAsia" w:cs="Times New Roman"/>
                      <w:color w:val="auto"/>
                      <w:kern w:val="0"/>
                      <w:sz w:val="21"/>
                      <w:szCs w:val="21"/>
                      <w:u w:val="none" w:color="auto"/>
                      <w:lang w:val="en-US" w:eastAsia="zh-CN"/>
                    </w:rPr>
                    <w:t>/</w:t>
                  </w:r>
                </w:p>
              </w:tc>
              <w:tc>
                <w:tcPr>
                  <w:tcW w:w="835" w:type="pct"/>
                  <w:noWrap w:val="0"/>
                  <w:vAlign w:val="center"/>
                </w:tcPr>
                <w:p w14:paraId="5E59F89F">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套</w:t>
                  </w:r>
                </w:p>
              </w:tc>
              <w:tc>
                <w:tcPr>
                  <w:tcW w:w="915" w:type="pct"/>
                  <w:noWrap w:val="0"/>
                  <w:vAlign w:val="center"/>
                </w:tcPr>
                <w:p w14:paraId="5BA04C34">
                  <w:pPr>
                    <w:pStyle w:val="57"/>
                    <w:keepNext w:val="0"/>
                    <w:keepLines w:val="0"/>
                    <w:pageBreakBefore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ascii="Times New Roman" w:cs="Times New Roman"/>
                      <w:color w:val="auto"/>
                      <w:kern w:val="0"/>
                      <w:sz w:val="21"/>
                      <w:szCs w:val="21"/>
                      <w:lang w:val="en-US" w:eastAsia="zh-CN"/>
                    </w:rPr>
                    <w:t>1</w:t>
                  </w:r>
                </w:p>
              </w:tc>
            </w:tr>
            <w:tr w14:paraId="25335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4BB4DEBD">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37</w:t>
                  </w:r>
                </w:p>
              </w:tc>
              <w:tc>
                <w:tcPr>
                  <w:tcW w:w="1785" w:type="pct"/>
                  <w:gridSpan w:val="2"/>
                  <w:shd w:val="clear" w:color="auto" w:fill="auto"/>
                  <w:noWrap w:val="0"/>
                  <w:vAlign w:val="center"/>
                </w:tcPr>
                <w:p w14:paraId="0BBA48D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二级活性炭吸附装置（包含干式过滤棉）</w:t>
                  </w:r>
                </w:p>
              </w:tc>
              <w:tc>
                <w:tcPr>
                  <w:tcW w:w="984" w:type="pct"/>
                  <w:shd w:val="clear" w:color="auto" w:fill="auto"/>
                  <w:noWrap w:val="0"/>
                  <w:vAlign w:val="center"/>
                </w:tcPr>
                <w:p w14:paraId="419BEE7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color="auto"/>
                      <w:lang w:val="en-US" w:eastAsia="zh-CN" w:bidi="ar-SA"/>
                    </w:rPr>
                  </w:pPr>
                  <w:r>
                    <w:rPr>
                      <w:rFonts w:hint="eastAsia" w:cs="Times New Roman"/>
                      <w:color w:val="auto"/>
                      <w:kern w:val="0"/>
                      <w:sz w:val="21"/>
                      <w:szCs w:val="21"/>
                      <w:u w:val="none" w:color="auto"/>
                      <w:lang w:val="en-US" w:eastAsia="zh-CN"/>
                    </w:rPr>
                    <w:t>/</w:t>
                  </w:r>
                </w:p>
              </w:tc>
              <w:tc>
                <w:tcPr>
                  <w:tcW w:w="835" w:type="pct"/>
                  <w:shd w:val="clear" w:color="auto" w:fill="auto"/>
                  <w:noWrap w:val="0"/>
                  <w:vAlign w:val="center"/>
                </w:tcPr>
                <w:p w14:paraId="4168650F">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套</w:t>
                  </w:r>
                </w:p>
              </w:tc>
              <w:tc>
                <w:tcPr>
                  <w:tcW w:w="915" w:type="pct"/>
                  <w:shd w:val="clear" w:color="auto" w:fill="auto"/>
                  <w:noWrap w:val="0"/>
                  <w:vAlign w:val="center"/>
                </w:tcPr>
                <w:p w14:paraId="09146C53">
                  <w:pPr>
                    <w:pStyle w:val="57"/>
                    <w:keepNext w:val="0"/>
                    <w:keepLines w:val="0"/>
                    <w:pageBreakBefore w:val="0"/>
                    <w:kinsoku/>
                    <w:wordWrap/>
                    <w:overflowPunct/>
                    <w:topLinePunct w:val="0"/>
                    <w:autoSpaceDE/>
                    <w:autoSpaceDN/>
                    <w:bidi w:val="0"/>
                    <w:spacing w:before="0" w:beforeLines="0" w:after="0" w:afterLines="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
                    </w:rPr>
                  </w:pPr>
                  <w:r>
                    <w:rPr>
                      <w:rFonts w:hint="eastAsia" w:ascii="Times New Roman" w:cs="Times New Roman"/>
                      <w:color w:val="auto"/>
                      <w:kern w:val="0"/>
                      <w:sz w:val="21"/>
                      <w:szCs w:val="21"/>
                      <w:lang w:val="en-US" w:eastAsia="zh-CN"/>
                    </w:rPr>
                    <w:t>1</w:t>
                  </w:r>
                </w:p>
              </w:tc>
            </w:tr>
            <w:tr w14:paraId="5B981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 w:type="pct"/>
                  <w:shd w:val="clear" w:color="auto" w:fill="auto"/>
                  <w:noWrap w:val="0"/>
                  <w:vAlign w:val="center"/>
                </w:tcPr>
                <w:p w14:paraId="613A3D68">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38</w:t>
                  </w:r>
                </w:p>
              </w:tc>
              <w:tc>
                <w:tcPr>
                  <w:tcW w:w="1785" w:type="pct"/>
                  <w:gridSpan w:val="2"/>
                  <w:shd w:val="clear" w:color="auto" w:fill="auto"/>
                  <w:noWrap w:val="0"/>
                  <w:vAlign w:val="center"/>
                </w:tcPr>
                <w:p w14:paraId="2C4CC59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移动烟尘净化器</w:t>
                  </w:r>
                </w:p>
              </w:tc>
              <w:tc>
                <w:tcPr>
                  <w:tcW w:w="984" w:type="pct"/>
                  <w:shd w:val="clear" w:color="auto" w:fill="auto"/>
                  <w:noWrap w:val="0"/>
                  <w:vAlign w:val="center"/>
                </w:tcPr>
                <w:p w14:paraId="3E7EBBC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color="auto"/>
                      <w:lang w:val="en-US" w:eastAsia="zh-CN" w:bidi="ar-SA"/>
                    </w:rPr>
                  </w:pPr>
                  <w:r>
                    <w:rPr>
                      <w:rFonts w:hint="eastAsia" w:cs="Times New Roman"/>
                      <w:color w:val="auto"/>
                      <w:kern w:val="0"/>
                      <w:sz w:val="21"/>
                      <w:szCs w:val="21"/>
                      <w:u w:val="none" w:color="auto"/>
                      <w:lang w:val="en-US" w:eastAsia="zh-CN"/>
                    </w:rPr>
                    <w:t>/</w:t>
                  </w:r>
                </w:p>
              </w:tc>
              <w:tc>
                <w:tcPr>
                  <w:tcW w:w="835" w:type="pct"/>
                  <w:shd w:val="clear" w:color="auto" w:fill="auto"/>
                  <w:noWrap w:val="0"/>
                  <w:vAlign w:val="center"/>
                </w:tcPr>
                <w:p w14:paraId="2BEE0BF1">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套</w:t>
                  </w:r>
                </w:p>
              </w:tc>
              <w:tc>
                <w:tcPr>
                  <w:tcW w:w="915" w:type="pct"/>
                  <w:shd w:val="clear" w:color="auto" w:fill="auto"/>
                  <w:noWrap w:val="0"/>
                  <w:vAlign w:val="center"/>
                </w:tcPr>
                <w:p w14:paraId="5AC562AC">
                  <w:pPr>
                    <w:pStyle w:val="57"/>
                    <w:keepNext w:val="0"/>
                    <w:keepLines w:val="0"/>
                    <w:pageBreakBefore w:val="0"/>
                    <w:kinsoku/>
                    <w:wordWrap/>
                    <w:overflowPunct/>
                    <w:topLinePunct w:val="0"/>
                    <w:autoSpaceDE/>
                    <w:autoSpaceDN/>
                    <w:bidi w:val="0"/>
                    <w:spacing w:before="0" w:beforeLines="0" w:after="0" w:afterLines="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
                    </w:rPr>
                  </w:pPr>
                  <w:r>
                    <w:rPr>
                      <w:rFonts w:hint="eastAsia" w:ascii="Times New Roman" w:cs="Times New Roman"/>
                      <w:color w:val="auto"/>
                      <w:kern w:val="0"/>
                      <w:sz w:val="21"/>
                      <w:szCs w:val="21"/>
                      <w:lang w:val="en-US" w:eastAsia="zh-CN"/>
                    </w:rPr>
                    <w:t>15</w:t>
                  </w:r>
                </w:p>
              </w:tc>
            </w:tr>
          </w:tbl>
          <w:p w14:paraId="55AFD165">
            <w:pPr>
              <w:ind w:firstLine="0" w:firstLineChars="0"/>
              <w:jc w:val="center"/>
              <w:rPr>
                <w:rFonts w:hint="default"/>
                <w:color w:val="auto"/>
                <w:sz w:val="24"/>
                <w:szCs w:val="24"/>
              </w:rPr>
            </w:pPr>
            <w:r>
              <w:rPr>
                <w:rFonts w:ascii="Times New Roman" w:hAnsi="Times New Roman" w:eastAsia="宋体" w:cs="宋体"/>
                <w:b/>
                <w:bCs/>
                <w:color w:val="auto"/>
                <w:sz w:val="24"/>
                <w:szCs w:val="24"/>
              </w:rPr>
              <w:t>表</w:t>
            </w:r>
            <w:r>
              <w:rPr>
                <w:rFonts w:hint="eastAsia" w:ascii="Times New Roman" w:hAnsi="Times New Roman" w:eastAsia="宋体" w:cs="宋体"/>
                <w:b/>
                <w:bCs/>
                <w:color w:val="auto"/>
                <w:sz w:val="24"/>
                <w:szCs w:val="24"/>
              </w:rPr>
              <w:t>2</w:t>
            </w:r>
            <w:r>
              <w:rPr>
                <w:rFonts w:ascii="Times New Roman" w:hAnsi="Times New Roman" w:eastAsia="宋体" w:cs="宋体"/>
                <w:b/>
                <w:bCs/>
                <w:color w:val="auto"/>
                <w:sz w:val="24"/>
                <w:szCs w:val="24"/>
              </w:rPr>
              <w:t>-</w:t>
            </w:r>
            <w:r>
              <w:rPr>
                <w:rFonts w:hint="eastAsia" w:cs="宋体"/>
                <w:b/>
                <w:bCs/>
                <w:color w:val="auto"/>
                <w:sz w:val="24"/>
                <w:szCs w:val="24"/>
                <w:lang w:val="en-US" w:eastAsia="zh-CN"/>
              </w:rPr>
              <w:t>4</w:t>
            </w:r>
            <w:r>
              <w:rPr>
                <w:rFonts w:hint="eastAsia" w:ascii="Times New Roman" w:hAnsi="Times New Roman" w:eastAsia="宋体" w:cs="宋体"/>
                <w:b/>
                <w:bCs/>
                <w:color w:val="auto"/>
                <w:sz w:val="24"/>
                <w:szCs w:val="24"/>
                <w:lang w:val="en-US" w:eastAsia="zh-CN"/>
              </w:rPr>
              <w:t xml:space="preserve"> </w:t>
            </w:r>
            <w:r>
              <w:rPr>
                <w:rFonts w:hint="eastAsia" w:cs="宋体"/>
                <w:b/>
                <w:bCs/>
                <w:color w:val="auto"/>
                <w:sz w:val="24"/>
                <w:szCs w:val="24"/>
                <w:lang w:val="en-US" w:eastAsia="zh-CN"/>
              </w:rPr>
              <w:t>主要槽子尺寸</w:t>
            </w:r>
            <w:r>
              <w:rPr>
                <w:rFonts w:ascii="Times New Roman" w:hAnsi="Times New Roman" w:eastAsia="宋体" w:cs="宋体"/>
                <w:b/>
                <w:bCs/>
                <w:color w:val="auto"/>
                <w:sz w:val="24"/>
                <w:szCs w:val="24"/>
              </w:rPr>
              <w:t>一览表</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1449"/>
              <w:gridCol w:w="1449"/>
              <w:gridCol w:w="1598"/>
              <w:gridCol w:w="1356"/>
              <w:gridCol w:w="1471"/>
            </w:tblGrid>
            <w:tr w14:paraId="1E2F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90" w:type="pct"/>
                  <w:noWrap w:val="0"/>
                  <w:vAlign w:val="center"/>
                </w:tcPr>
                <w:p w14:paraId="5306E551">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序号</w:t>
                  </w:r>
                </w:p>
              </w:tc>
              <w:tc>
                <w:tcPr>
                  <w:tcW w:w="1784" w:type="pct"/>
                  <w:gridSpan w:val="2"/>
                  <w:noWrap w:val="0"/>
                  <w:vAlign w:val="center"/>
                </w:tcPr>
                <w:p w14:paraId="41E6609C">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eastAsia" w:ascii="Times New Roman" w:hAnsi="Times New Roman" w:eastAsia="宋体" w:cs="Times New Roman"/>
                      <w:color w:val="auto"/>
                      <w:kern w:val="0"/>
                      <w:sz w:val="21"/>
                      <w:szCs w:val="21"/>
                      <w:lang w:eastAsia="zh-CN"/>
                    </w:rPr>
                  </w:pPr>
                  <w:r>
                    <w:rPr>
                      <w:rFonts w:hint="eastAsia" w:cs="Times New Roman"/>
                      <w:color w:val="auto"/>
                      <w:kern w:val="0"/>
                      <w:sz w:val="21"/>
                      <w:szCs w:val="21"/>
                      <w:lang w:val="en-US" w:eastAsia="zh-CN"/>
                    </w:rPr>
                    <w:t>工序</w:t>
                  </w:r>
                </w:p>
              </w:tc>
              <w:tc>
                <w:tcPr>
                  <w:tcW w:w="984" w:type="pct"/>
                  <w:noWrap w:val="0"/>
                  <w:vAlign w:val="center"/>
                </w:tcPr>
                <w:p w14:paraId="3E2B6204">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尺寸</w:t>
                  </w:r>
                  <w:r>
                    <w:rPr>
                      <w:rFonts w:hint="eastAsia"/>
                      <w:color w:val="auto"/>
                      <w:lang w:val="en-US" w:eastAsia="zh-CN"/>
                    </w:rPr>
                    <w:t>m</w:t>
                  </w:r>
                </w:p>
              </w:tc>
              <w:tc>
                <w:tcPr>
                  <w:tcW w:w="835" w:type="pct"/>
                  <w:noWrap w:val="0"/>
                  <w:vAlign w:val="center"/>
                </w:tcPr>
                <w:p w14:paraId="0FBC49DA">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容积m</w:t>
                  </w:r>
                  <w:r>
                    <w:rPr>
                      <w:rFonts w:hint="eastAsia" w:cs="Times New Roman"/>
                      <w:color w:val="auto"/>
                      <w:kern w:val="0"/>
                      <w:sz w:val="21"/>
                      <w:szCs w:val="21"/>
                      <w:vertAlign w:val="superscript"/>
                      <w:lang w:val="en-US" w:eastAsia="zh-CN"/>
                    </w:rPr>
                    <w:t>3</w:t>
                  </w:r>
                </w:p>
              </w:tc>
              <w:tc>
                <w:tcPr>
                  <w:tcW w:w="905" w:type="pct"/>
                  <w:noWrap w:val="0"/>
                  <w:vAlign w:val="center"/>
                </w:tcPr>
                <w:p w14:paraId="1F95B44F">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rPr>
                    <w:t>数量</w:t>
                  </w:r>
                </w:p>
              </w:tc>
            </w:tr>
            <w:tr w14:paraId="551D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noWrap w:val="0"/>
                  <w:vAlign w:val="center"/>
                </w:tcPr>
                <w:p w14:paraId="4C46A446">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w:t>
                  </w:r>
                </w:p>
              </w:tc>
              <w:tc>
                <w:tcPr>
                  <w:tcW w:w="1784" w:type="pct"/>
                  <w:gridSpan w:val="2"/>
                  <w:noWrap w:val="0"/>
                  <w:vAlign w:val="center"/>
                </w:tcPr>
                <w:p w14:paraId="182A5FF6">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热水洗</w:t>
                  </w:r>
                </w:p>
              </w:tc>
              <w:tc>
                <w:tcPr>
                  <w:tcW w:w="984" w:type="pct"/>
                  <w:noWrap w:val="0"/>
                  <w:vAlign w:val="center"/>
                </w:tcPr>
                <w:p w14:paraId="686EEE36">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1×1×1.55</w:t>
                  </w:r>
                </w:p>
              </w:tc>
              <w:tc>
                <w:tcPr>
                  <w:tcW w:w="835" w:type="pct"/>
                  <w:noWrap w:val="0"/>
                  <w:vAlign w:val="center"/>
                </w:tcPr>
                <w:p w14:paraId="391EFD73">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1.55</w:t>
                  </w:r>
                </w:p>
              </w:tc>
              <w:tc>
                <w:tcPr>
                  <w:tcW w:w="905" w:type="pct"/>
                  <w:noWrap w:val="0"/>
                  <w:vAlign w:val="center"/>
                </w:tcPr>
                <w:p w14:paraId="527C3BE5">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w:t>
                  </w:r>
                </w:p>
              </w:tc>
            </w:tr>
            <w:tr w14:paraId="7E61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noWrap w:val="0"/>
                  <w:vAlign w:val="center"/>
                </w:tcPr>
                <w:p w14:paraId="712ED7BE">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2</w:t>
                  </w:r>
                </w:p>
              </w:tc>
              <w:tc>
                <w:tcPr>
                  <w:tcW w:w="1784" w:type="pct"/>
                  <w:gridSpan w:val="2"/>
                  <w:noWrap w:val="0"/>
                  <w:vAlign w:val="center"/>
                </w:tcPr>
                <w:p w14:paraId="28C491B3">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预脱脂</w:t>
                  </w:r>
                </w:p>
              </w:tc>
              <w:tc>
                <w:tcPr>
                  <w:tcW w:w="984" w:type="pct"/>
                  <w:noWrap w:val="0"/>
                  <w:vAlign w:val="center"/>
                </w:tcPr>
                <w:p w14:paraId="2BC00200">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1×1×1.55</w:t>
                  </w:r>
                </w:p>
              </w:tc>
              <w:tc>
                <w:tcPr>
                  <w:tcW w:w="835" w:type="pct"/>
                  <w:noWrap w:val="0"/>
                  <w:vAlign w:val="center"/>
                </w:tcPr>
                <w:p w14:paraId="6B0A6472">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rPr>
                  </w:pPr>
                  <w:r>
                    <w:rPr>
                      <w:rFonts w:hint="eastAsia" w:cs="Times New Roman"/>
                      <w:color w:val="auto"/>
                      <w:kern w:val="0"/>
                      <w:sz w:val="21"/>
                      <w:szCs w:val="21"/>
                      <w:lang w:val="en-US" w:eastAsia="zh-CN"/>
                    </w:rPr>
                    <w:t>1.55</w:t>
                  </w:r>
                </w:p>
              </w:tc>
              <w:tc>
                <w:tcPr>
                  <w:tcW w:w="905" w:type="pct"/>
                  <w:noWrap w:val="0"/>
                  <w:vAlign w:val="center"/>
                </w:tcPr>
                <w:p w14:paraId="03A2D0BB">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sz w:val="21"/>
                      <w:szCs w:val="21"/>
                      <w:lang w:val="en-US" w:eastAsia="zh-CN"/>
                    </w:rPr>
                  </w:pPr>
                  <w:r>
                    <w:rPr>
                      <w:rFonts w:hint="eastAsia" w:cs="Times New Roman"/>
                      <w:color w:val="auto"/>
                      <w:kern w:val="0"/>
                      <w:sz w:val="21"/>
                      <w:szCs w:val="21"/>
                      <w:lang w:val="en-US" w:eastAsia="zh-CN"/>
                    </w:rPr>
                    <w:t>1</w:t>
                  </w:r>
                </w:p>
              </w:tc>
            </w:tr>
            <w:tr w14:paraId="3B1EC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noWrap w:val="0"/>
                  <w:vAlign w:val="center"/>
                </w:tcPr>
                <w:p w14:paraId="2C19D5A7">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3</w:t>
                  </w:r>
                </w:p>
              </w:tc>
              <w:tc>
                <w:tcPr>
                  <w:tcW w:w="1784" w:type="pct"/>
                  <w:gridSpan w:val="2"/>
                  <w:noWrap w:val="0"/>
                  <w:vAlign w:val="center"/>
                </w:tcPr>
                <w:p w14:paraId="01C3EDC3">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脱脂</w:t>
                  </w:r>
                </w:p>
              </w:tc>
              <w:tc>
                <w:tcPr>
                  <w:tcW w:w="984" w:type="pct"/>
                  <w:noWrap w:val="0"/>
                  <w:vAlign w:val="center"/>
                </w:tcPr>
                <w:p w14:paraId="44596788">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4×3×2.64</w:t>
                  </w:r>
                </w:p>
              </w:tc>
              <w:tc>
                <w:tcPr>
                  <w:tcW w:w="835" w:type="pct"/>
                  <w:noWrap w:val="0"/>
                  <w:vAlign w:val="center"/>
                </w:tcPr>
                <w:p w14:paraId="020FF261">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31.68</w:t>
                  </w:r>
                </w:p>
              </w:tc>
              <w:tc>
                <w:tcPr>
                  <w:tcW w:w="905" w:type="pct"/>
                  <w:noWrap w:val="0"/>
                  <w:vAlign w:val="center"/>
                </w:tcPr>
                <w:p w14:paraId="5F3469AB">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w:t>
                  </w:r>
                </w:p>
              </w:tc>
            </w:tr>
            <w:tr w14:paraId="021B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noWrap w:val="0"/>
                  <w:vAlign w:val="center"/>
                </w:tcPr>
                <w:p w14:paraId="137B5931">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4</w:t>
                  </w:r>
                </w:p>
              </w:tc>
              <w:tc>
                <w:tcPr>
                  <w:tcW w:w="892" w:type="pct"/>
                  <w:vMerge w:val="restart"/>
                  <w:noWrap w:val="0"/>
                  <w:vAlign w:val="center"/>
                </w:tcPr>
                <w:p w14:paraId="00642F3E">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脱脂后</w:t>
                  </w:r>
                </w:p>
              </w:tc>
              <w:tc>
                <w:tcPr>
                  <w:tcW w:w="892" w:type="pct"/>
                  <w:noWrap w:val="0"/>
                  <w:vAlign w:val="center"/>
                </w:tcPr>
                <w:p w14:paraId="15047ED1">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喷淋1</w:t>
                  </w:r>
                </w:p>
              </w:tc>
              <w:tc>
                <w:tcPr>
                  <w:tcW w:w="984" w:type="pct"/>
                  <w:noWrap w:val="0"/>
                  <w:vAlign w:val="center"/>
                </w:tcPr>
                <w:p w14:paraId="7E6EE762">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1×1×1.55</w:t>
                  </w:r>
                </w:p>
              </w:tc>
              <w:tc>
                <w:tcPr>
                  <w:tcW w:w="835" w:type="pct"/>
                  <w:noWrap w:val="0"/>
                  <w:vAlign w:val="center"/>
                </w:tcPr>
                <w:p w14:paraId="03B4025B">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rPr>
                  </w:pPr>
                  <w:r>
                    <w:rPr>
                      <w:rFonts w:hint="eastAsia" w:cs="Times New Roman"/>
                      <w:color w:val="auto"/>
                      <w:kern w:val="0"/>
                      <w:sz w:val="21"/>
                      <w:szCs w:val="21"/>
                      <w:lang w:val="en-US" w:eastAsia="zh-CN"/>
                    </w:rPr>
                    <w:t>1.55</w:t>
                  </w:r>
                </w:p>
              </w:tc>
              <w:tc>
                <w:tcPr>
                  <w:tcW w:w="905" w:type="pct"/>
                  <w:shd w:val="clear" w:color="auto" w:fill="auto"/>
                  <w:noWrap w:val="0"/>
                  <w:vAlign w:val="center"/>
                </w:tcPr>
                <w:p w14:paraId="55949759">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1</w:t>
                  </w:r>
                </w:p>
              </w:tc>
            </w:tr>
            <w:tr w14:paraId="60E7B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noWrap w:val="0"/>
                  <w:vAlign w:val="center"/>
                </w:tcPr>
                <w:p w14:paraId="1A137AFF">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5</w:t>
                  </w:r>
                </w:p>
              </w:tc>
              <w:tc>
                <w:tcPr>
                  <w:tcW w:w="892" w:type="pct"/>
                  <w:vMerge w:val="continue"/>
                  <w:noWrap w:val="0"/>
                  <w:vAlign w:val="center"/>
                </w:tcPr>
                <w:p w14:paraId="6B82CEA1">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p>
              </w:tc>
              <w:tc>
                <w:tcPr>
                  <w:tcW w:w="892" w:type="pct"/>
                  <w:noWrap w:val="0"/>
                  <w:vAlign w:val="center"/>
                </w:tcPr>
                <w:p w14:paraId="587CF697">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喷淋2</w:t>
                  </w:r>
                </w:p>
              </w:tc>
              <w:tc>
                <w:tcPr>
                  <w:tcW w:w="984" w:type="pct"/>
                  <w:noWrap w:val="0"/>
                  <w:vAlign w:val="center"/>
                </w:tcPr>
                <w:p w14:paraId="6A7A27E6">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1×1×1.55</w:t>
                  </w:r>
                </w:p>
              </w:tc>
              <w:tc>
                <w:tcPr>
                  <w:tcW w:w="835" w:type="pct"/>
                  <w:noWrap w:val="0"/>
                  <w:vAlign w:val="center"/>
                </w:tcPr>
                <w:p w14:paraId="0510177F">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rPr>
                  </w:pPr>
                  <w:r>
                    <w:rPr>
                      <w:rFonts w:hint="eastAsia" w:cs="Times New Roman"/>
                      <w:color w:val="auto"/>
                      <w:kern w:val="0"/>
                      <w:sz w:val="21"/>
                      <w:szCs w:val="21"/>
                      <w:lang w:val="en-US" w:eastAsia="zh-CN"/>
                    </w:rPr>
                    <w:t>1.55</w:t>
                  </w:r>
                </w:p>
              </w:tc>
              <w:tc>
                <w:tcPr>
                  <w:tcW w:w="905" w:type="pct"/>
                  <w:shd w:val="clear" w:color="auto" w:fill="auto"/>
                  <w:noWrap w:val="0"/>
                  <w:vAlign w:val="center"/>
                </w:tcPr>
                <w:p w14:paraId="208DF2B1">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1</w:t>
                  </w:r>
                </w:p>
              </w:tc>
            </w:tr>
            <w:tr w14:paraId="5575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noWrap w:val="0"/>
                  <w:vAlign w:val="center"/>
                </w:tcPr>
                <w:p w14:paraId="06BE1A9E">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6</w:t>
                  </w:r>
                </w:p>
              </w:tc>
              <w:tc>
                <w:tcPr>
                  <w:tcW w:w="892" w:type="pct"/>
                  <w:vMerge w:val="continue"/>
                  <w:noWrap w:val="0"/>
                  <w:vAlign w:val="center"/>
                </w:tcPr>
                <w:p w14:paraId="77621EDC">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892" w:type="pct"/>
                  <w:noWrap w:val="0"/>
                  <w:vAlign w:val="center"/>
                </w:tcPr>
                <w:p w14:paraId="5F83B625">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浸洗</w:t>
                  </w:r>
                </w:p>
              </w:tc>
              <w:tc>
                <w:tcPr>
                  <w:tcW w:w="984" w:type="pct"/>
                  <w:noWrap w:val="0"/>
                  <w:vAlign w:val="center"/>
                </w:tcPr>
                <w:p w14:paraId="0FA091C7">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kern w:val="0"/>
                      <w:sz w:val="21"/>
                      <w:szCs w:val="21"/>
                      <w:lang w:val="en-US" w:eastAsia="zh-CN"/>
                    </w:rPr>
                    <w:t>1×1×1.55</w:t>
                  </w:r>
                </w:p>
              </w:tc>
              <w:tc>
                <w:tcPr>
                  <w:tcW w:w="835" w:type="pct"/>
                  <w:noWrap w:val="0"/>
                  <w:vAlign w:val="center"/>
                </w:tcPr>
                <w:p w14:paraId="376A9896">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eastAsia="zh-CN"/>
                    </w:rPr>
                  </w:pPr>
                  <w:r>
                    <w:rPr>
                      <w:rFonts w:hint="eastAsia" w:cs="Times New Roman"/>
                      <w:color w:val="auto"/>
                      <w:kern w:val="0"/>
                      <w:sz w:val="21"/>
                      <w:szCs w:val="21"/>
                      <w:lang w:val="en-US" w:eastAsia="zh-CN"/>
                    </w:rPr>
                    <w:t>1.55</w:t>
                  </w:r>
                </w:p>
              </w:tc>
              <w:tc>
                <w:tcPr>
                  <w:tcW w:w="905" w:type="pct"/>
                  <w:shd w:val="clear" w:color="auto" w:fill="auto"/>
                  <w:noWrap w:val="0"/>
                  <w:vAlign w:val="center"/>
                </w:tcPr>
                <w:p w14:paraId="74FCF453">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1</w:t>
                  </w:r>
                </w:p>
              </w:tc>
            </w:tr>
            <w:tr w14:paraId="0538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noWrap w:val="0"/>
                  <w:vAlign w:val="center"/>
                </w:tcPr>
                <w:p w14:paraId="3DF5BF7E">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7</w:t>
                  </w:r>
                </w:p>
              </w:tc>
              <w:tc>
                <w:tcPr>
                  <w:tcW w:w="1784" w:type="pct"/>
                  <w:gridSpan w:val="2"/>
                  <w:noWrap w:val="0"/>
                  <w:vAlign w:val="center"/>
                </w:tcPr>
                <w:p w14:paraId="5D623ACC">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表调</w:t>
                  </w:r>
                </w:p>
              </w:tc>
              <w:tc>
                <w:tcPr>
                  <w:tcW w:w="984" w:type="pct"/>
                  <w:noWrap w:val="0"/>
                  <w:vAlign w:val="center"/>
                </w:tcPr>
                <w:p w14:paraId="0B5C296F">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1×1×1.55</w:t>
                  </w:r>
                </w:p>
              </w:tc>
              <w:tc>
                <w:tcPr>
                  <w:tcW w:w="835" w:type="pct"/>
                  <w:noWrap w:val="0"/>
                  <w:vAlign w:val="center"/>
                </w:tcPr>
                <w:p w14:paraId="4DE6F0A1">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rPr>
                  </w:pPr>
                  <w:r>
                    <w:rPr>
                      <w:rFonts w:hint="eastAsia" w:cs="Times New Roman"/>
                      <w:color w:val="auto"/>
                      <w:kern w:val="0"/>
                      <w:sz w:val="21"/>
                      <w:szCs w:val="21"/>
                      <w:lang w:val="en-US" w:eastAsia="zh-CN"/>
                    </w:rPr>
                    <w:t>1.55</w:t>
                  </w:r>
                </w:p>
              </w:tc>
              <w:tc>
                <w:tcPr>
                  <w:tcW w:w="905" w:type="pct"/>
                  <w:noWrap w:val="0"/>
                  <w:vAlign w:val="center"/>
                </w:tcPr>
                <w:p w14:paraId="2E08DD75">
                  <w:pPr>
                    <w:keepNext w:val="0"/>
                    <w:keepLines w:val="0"/>
                    <w:pageBreakBefore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w:t>
                  </w:r>
                </w:p>
              </w:tc>
            </w:tr>
            <w:tr w14:paraId="4E503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90" w:type="pct"/>
                  <w:noWrap w:val="0"/>
                  <w:vAlign w:val="center"/>
                </w:tcPr>
                <w:p w14:paraId="3C2B6C12">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8</w:t>
                  </w:r>
                </w:p>
              </w:tc>
              <w:tc>
                <w:tcPr>
                  <w:tcW w:w="1784" w:type="pct"/>
                  <w:gridSpan w:val="2"/>
                  <w:noWrap w:val="0"/>
                  <w:vAlign w:val="center"/>
                </w:tcPr>
                <w:p w14:paraId="59585290">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磷化</w:t>
                  </w:r>
                </w:p>
              </w:tc>
              <w:tc>
                <w:tcPr>
                  <w:tcW w:w="984" w:type="pct"/>
                  <w:noWrap w:val="0"/>
                  <w:vAlign w:val="center"/>
                </w:tcPr>
                <w:p w14:paraId="00C21C33">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4×3×2.64</w:t>
                  </w:r>
                </w:p>
              </w:tc>
              <w:tc>
                <w:tcPr>
                  <w:tcW w:w="835" w:type="pct"/>
                  <w:noWrap w:val="0"/>
                  <w:vAlign w:val="center"/>
                </w:tcPr>
                <w:p w14:paraId="2D9893CD">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31.68</w:t>
                  </w:r>
                </w:p>
              </w:tc>
              <w:tc>
                <w:tcPr>
                  <w:tcW w:w="905" w:type="pct"/>
                  <w:noWrap w:val="0"/>
                  <w:vAlign w:val="center"/>
                </w:tcPr>
                <w:p w14:paraId="616F4CB8">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w:t>
                  </w:r>
                </w:p>
              </w:tc>
            </w:tr>
            <w:tr w14:paraId="272B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90" w:type="pct"/>
                  <w:noWrap w:val="0"/>
                  <w:vAlign w:val="center"/>
                </w:tcPr>
                <w:p w14:paraId="6EED072E">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9</w:t>
                  </w:r>
                </w:p>
              </w:tc>
              <w:tc>
                <w:tcPr>
                  <w:tcW w:w="892" w:type="pct"/>
                  <w:vMerge w:val="restart"/>
                  <w:noWrap w:val="0"/>
                  <w:vAlign w:val="center"/>
                </w:tcPr>
                <w:p w14:paraId="24826281">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磷化后</w:t>
                  </w:r>
                </w:p>
              </w:tc>
              <w:tc>
                <w:tcPr>
                  <w:tcW w:w="892" w:type="pct"/>
                  <w:noWrap w:val="0"/>
                  <w:vAlign w:val="center"/>
                </w:tcPr>
                <w:p w14:paraId="7778A0A3">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喷淋1</w:t>
                  </w:r>
                </w:p>
              </w:tc>
              <w:tc>
                <w:tcPr>
                  <w:tcW w:w="984" w:type="pct"/>
                  <w:noWrap w:val="0"/>
                  <w:vAlign w:val="center"/>
                </w:tcPr>
                <w:p w14:paraId="1ECF1595">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1×1×1.55</w:t>
                  </w:r>
                </w:p>
              </w:tc>
              <w:tc>
                <w:tcPr>
                  <w:tcW w:w="835" w:type="pct"/>
                  <w:noWrap w:val="0"/>
                  <w:vAlign w:val="center"/>
                </w:tcPr>
                <w:p w14:paraId="03200A50">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1.55</w:t>
                  </w:r>
                </w:p>
              </w:tc>
              <w:tc>
                <w:tcPr>
                  <w:tcW w:w="905" w:type="pct"/>
                  <w:shd w:val="clear" w:color="auto" w:fill="auto"/>
                  <w:noWrap w:val="0"/>
                  <w:vAlign w:val="center"/>
                </w:tcPr>
                <w:p w14:paraId="035D63AD">
                  <w:pPr>
                    <w:keepNext w:val="0"/>
                    <w:keepLines w:val="0"/>
                    <w:pageBreakBefore w:val="0"/>
                    <w:widowControl/>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1</w:t>
                  </w:r>
                </w:p>
              </w:tc>
            </w:tr>
            <w:tr w14:paraId="0684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90" w:type="pct"/>
                  <w:noWrap w:val="0"/>
                  <w:vAlign w:val="center"/>
                </w:tcPr>
                <w:p w14:paraId="559203A7">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10</w:t>
                  </w:r>
                </w:p>
              </w:tc>
              <w:tc>
                <w:tcPr>
                  <w:tcW w:w="892" w:type="pct"/>
                  <w:vMerge w:val="continue"/>
                  <w:noWrap w:val="0"/>
                  <w:vAlign w:val="center"/>
                </w:tcPr>
                <w:p w14:paraId="6C7DE5BC">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eastAsia" w:cs="Times New Roman"/>
                      <w:color w:val="auto"/>
                      <w:kern w:val="0"/>
                      <w:sz w:val="21"/>
                      <w:szCs w:val="21"/>
                      <w:lang w:val="en-US" w:eastAsia="zh-CN"/>
                    </w:rPr>
                  </w:pPr>
                </w:p>
              </w:tc>
              <w:tc>
                <w:tcPr>
                  <w:tcW w:w="892" w:type="pct"/>
                  <w:noWrap w:val="0"/>
                  <w:vAlign w:val="center"/>
                </w:tcPr>
                <w:p w14:paraId="6A6F21A3">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喷淋2</w:t>
                  </w:r>
                </w:p>
              </w:tc>
              <w:tc>
                <w:tcPr>
                  <w:tcW w:w="984" w:type="pct"/>
                  <w:noWrap w:val="0"/>
                  <w:vAlign w:val="center"/>
                </w:tcPr>
                <w:p w14:paraId="1ED060A2">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1×1×1.55</w:t>
                  </w:r>
                </w:p>
              </w:tc>
              <w:tc>
                <w:tcPr>
                  <w:tcW w:w="835" w:type="pct"/>
                  <w:noWrap w:val="0"/>
                  <w:vAlign w:val="center"/>
                </w:tcPr>
                <w:p w14:paraId="2393DBB1">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1.55</w:t>
                  </w:r>
                </w:p>
              </w:tc>
              <w:tc>
                <w:tcPr>
                  <w:tcW w:w="905" w:type="pct"/>
                  <w:shd w:val="clear" w:color="auto" w:fill="auto"/>
                  <w:noWrap w:val="0"/>
                  <w:vAlign w:val="center"/>
                </w:tcPr>
                <w:p w14:paraId="4F801523">
                  <w:pPr>
                    <w:keepNext w:val="0"/>
                    <w:keepLines w:val="0"/>
                    <w:pageBreakBefore w:val="0"/>
                    <w:widowControl/>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1</w:t>
                  </w:r>
                </w:p>
              </w:tc>
            </w:tr>
            <w:tr w14:paraId="26DE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90" w:type="pct"/>
                  <w:noWrap w:val="0"/>
                  <w:vAlign w:val="center"/>
                </w:tcPr>
                <w:p w14:paraId="301A477E">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11</w:t>
                  </w:r>
                </w:p>
              </w:tc>
              <w:tc>
                <w:tcPr>
                  <w:tcW w:w="892" w:type="pct"/>
                  <w:vMerge w:val="continue"/>
                  <w:noWrap w:val="0"/>
                  <w:vAlign w:val="center"/>
                </w:tcPr>
                <w:p w14:paraId="65FA3A2F">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eastAsia" w:cs="Times New Roman"/>
                      <w:color w:val="auto"/>
                      <w:kern w:val="0"/>
                      <w:sz w:val="21"/>
                      <w:szCs w:val="21"/>
                      <w:lang w:val="en-US" w:eastAsia="zh-CN"/>
                    </w:rPr>
                  </w:pPr>
                </w:p>
              </w:tc>
              <w:tc>
                <w:tcPr>
                  <w:tcW w:w="892" w:type="pct"/>
                  <w:noWrap w:val="0"/>
                  <w:vAlign w:val="center"/>
                </w:tcPr>
                <w:p w14:paraId="752B9D91">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浸洗</w:t>
                  </w:r>
                </w:p>
              </w:tc>
              <w:tc>
                <w:tcPr>
                  <w:tcW w:w="984" w:type="pct"/>
                  <w:noWrap w:val="0"/>
                  <w:vAlign w:val="center"/>
                </w:tcPr>
                <w:p w14:paraId="39CF1C44">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1×1×1.55</w:t>
                  </w:r>
                </w:p>
              </w:tc>
              <w:tc>
                <w:tcPr>
                  <w:tcW w:w="835" w:type="pct"/>
                  <w:noWrap w:val="0"/>
                  <w:vAlign w:val="center"/>
                </w:tcPr>
                <w:p w14:paraId="75767D0A">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1.55</w:t>
                  </w:r>
                </w:p>
              </w:tc>
              <w:tc>
                <w:tcPr>
                  <w:tcW w:w="905" w:type="pct"/>
                  <w:shd w:val="clear" w:color="auto" w:fill="auto"/>
                  <w:noWrap w:val="0"/>
                  <w:vAlign w:val="center"/>
                </w:tcPr>
                <w:p w14:paraId="530785EB">
                  <w:pPr>
                    <w:keepNext w:val="0"/>
                    <w:keepLines w:val="0"/>
                    <w:pageBreakBefore w:val="0"/>
                    <w:widowControl/>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1</w:t>
                  </w:r>
                </w:p>
              </w:tc>
            </w:tr>
            <w:tr w14:paraId="26020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90" w:type="pct"/>
                  <w:noWrap w:val="0"/>
                  <w:vAlign w:val="center"/>
                </w:tcPr>
                <w:p w14:paraId="4AD34782">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12</w:t>
                  </w:r>
                </w:p>
              </w:tc>
              <w:tc>
                <w:tcPr>
                  <w:tcW w:w="1784" w:type="pct"/>
                  <w:gridSpan w:val="2"/>
                  <w:noWrap w:val="0"/>
                  <w:vAlign w:val="center"/>
                </w:tcPr>
                <w:p w14:paraId="00B0F3E1">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电泳</w:t>
                  </w:r>
                </w:p>
              </w:tc>
              <w:tc>
                <w:tcPr>
                  <w:tcW w:w="984" w:type="pct"/>
                  <w:noWrap w:val="0"/>
                  <w:vAlign w:val="center"/>
                </w:tcPr>
                <w:p w14:paraId="33E74D26">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5×3×2.71</w:t>
                  </w:r>
                </w:p>
              </w:tc>
              <w:tc>
                <w:tcPr>
                  <w:tcW w:w="835" w:type="pct"/>
                  <w:noWrap w:val="0"/>
                  <w:vAlign w:val="center"/>
                </w:tcPr>
                <w:p w14:paraId="45092193">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40.65</w:t>
                  </w:r>
                </w:p>
              </w:tc>
              <w:tc>
                <w:tcPr>
                  <w:tcW w:w="905" w:type="pct"/>
                  <w:noWrap w:val="0"/>
                  <w:vAlign w:val="center"/>
                </w:tcPr>
                <w:p w14:paraId="345FCDDE">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w:t>
                  </w:r>
                </w:p>
              </w:tc>
            </w:tr>
            <w:tr w14:paraId="191A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90" w:type="pct"/>
                  <w:noWrap w:val="0"/>
                  <w:vAlign w:val="center"/>
                </w:tcPr>
                <w:p w14:paraId="3F9D15E6">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13</w:t>
                  </w:r>
                </w:p>
              </w:tc>
              <w:tc>
                <w:tcPr>
                  <w:tcW w:w="1784" w:type="pct"/>
                  <w:gridSpan w:val="2"/>
                  <w:noWrap w:val="0"/>
                  <w:vAlign w:val="center"/>
                </w:tcPr>
                <w:p w14:paraId="7A5D913D">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UF1</w:t>
                  </w:r>
                </w:p>
              </w:tc>
              <w:tc>
                <w:tcPr>
                  <w:tcW w:w="984" w:type="pct"/>
                  <w:noWrap w:val="0"/>
                  <w:vAlign w:val="center"/>
                </w:tcPr>
                <w:p w14:paraId="7E588CB4">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1×1×1.12</w:t>
                  </w:r>
                </w:p>
              </w:tc>
              <w:tc>
                <w:tcPr>
                  <w:tcW w:w="835" w:type="pct"/>
                  <w:noWrap w:val="0"/>
                  <w:vAlign w:val="center"/>
                </w:tcPr>
                <w:p w14:paraId="40E29909">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1.12</w:t>
                  </w:r>
                </w:p>
              </w:tc>
              <w:tc>
                <w:tcPr>
                  <w:tcW w:w="905" w:type="pct"/>
                  <w:noWrap w:val="0"/>
                  <w:vAlign w:val="center"/>
                </w:tcPr>
                <w:p w14:paraId="7E04B0F3">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w:t>
                  </w:r>
                </w:p>
              </w:tc>
            </w:tr>
            <w:tr w14:paraId="670D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90" w:type="pct"/>
                  <w:noWrap w:val="0"/>
                  <w:vAlign w:val="center"/>
                </w:tcPr>
                <w:p w14:paraId="1FE03E5C">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14</w:t>
                  </w:r>
                </w:p>
              </w:tc>
              <w:tc>
                <w:tcPr>
                  <w:tcW w:w="1784" w:type="pct"/>
                  <w:gridSpan w:val="2"/>
                  <w:noWrap w:val="0"/>
                  <w:vAlign w:val="center"/>
                </w:tcPr>
                <w:p w14:paraId="400CDB48">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UF2</w:t>
                  </w:r>
                </w:p>
              </w:tc>
              <w:tc>
                <w:tcPr>
                  <w:tcW w:w="984" w:type="pct"/>
                  <w:noWrap w:val="0"/>
                  <w:vAlign w:val="center"/>
                </w:tcPr>
                <w:p w14:paraId="0722BD54">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1×1×1.12</w:t>
                  </w:r>
                </w:p>
              </w:tc>
              <w:tc>
                <w:tcPr>
                  <w:tcW w:w="835" w:type="pct"/>
                  <w:noWrap w:val="0"/>
                  <w:vAlign w:val="center"/>
                </w:tcPr>
                <w:p w14:paraId="4E22BA05">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1.12</w:t>
                  </w:r>
                </w:p>
              </w:tc>
              <w:tc>
                <w:tcPr>
                  <w:tcW w:w="905" w:type="pct"/>
                  <w:noWrap w:val="0"/>
                  <w:vAlign w:val="center"/>
                </w:tcPr>
                <w:p w14:paraId="08FE0C1C">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w:t>
                  </w:r>
                </w:p>
              </w:tc>
            </w:tr>
            <w:tr w14:paraId="0845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0" w:type="pct"/>
                  <w:noWrap w:val="0"/>
                  <w:vAlign w:val="center"/>
                </w:tcPr>
                <w:p w14:paraId="269C67D6">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15</w:t>
                  </w:r>
                </w:p>
              </w:tc>
              <w:tc>
                <w:tcPr>
                  <w:tcW w:w="1784" w:type="pct"/>
                  <w:gridSpan w:val="2"/>
                  <w:noWrap w:val="0"/>
                  <w:vAlign w:val="center"/>
                </w:tcPr>
                <w:p w14:paraId="64095B6B">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喷淋</w:t>
                  </w:r>
                </w:p>
              </w:tc>
              <w:tc>
                <w:tcPr>
                  <w:tcW w:w="984" w:type="pct"/>
                  <w:noWrap w:val="0"/>
                  <w:vAlign w:val="center"/>
                </w:tcPr>
                <w:p w14:paraId="1CF2D758">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1×1×1.55</w:t>
                  </w:r>
                </w:p>
              </w:tc>
              <w:tc>
                <w:tcPr>
                  <w:tcW w:w="835" w:type="pct"/>
                  <w:noWrap w:val="0"/>
                  <w:vAlign w:val="center"/>
                </w:tcPr>
                <w:p w14:paraId="46F75789">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1.55</w:t>
                  </w:r>
                </w:p>
              </w:tc>
              <w:tc>
                <w:tcPr>
                  <w:tcW w:w="905" w:type="pct"/>
                  <w:noWrap w:val="0"/>
                  <w:vAlign w:val="center"/>
                </w:tcPr>
                <w:p w14:paraId="4D2088DB">
                  <w:pPr>
                    <w:keepNext w:val="0"/>
                    <w:keepLines w:val="0"/>
                    <w:pageBreakBefore w:val="0"/>
                    <w:widowControl/>
                    <w:kinsoku/>
                    <w:wordWrap/>
                    <w:overflowPunct/>
                    <w:topLinePunct w:val="0"/>
                    <w:autoSpaceDE/>
                    <w:autoSpaceDN/>
                    <w:bidi w:val="0"/>
                    <w:spacing w:line="240" w:lineRule="auto"/>
                    <w:ind w:right="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1</w:t>
                  </w:r>
                </w:p>
              </w:tc>
            </w:tr>
          </w:tbl>
          <w:p w14:paraId="778719E3">
            <w:pPr>
              <w:keepNext w:val="0"/>
              <w:keepLines w:val="0"/>
              <w:pageBreakBefore w:val="0"/>
              <w:widowControl w:val="0"/>
              <w:kinsoku/>
              <w:wordWrap/>
              <w:overflowPunct/>
              <w:topLinePunct w:val="0"/>
              <w:autoSpaceDE/>
              <w:autoSpaceDN/>
              <w:bidi w:val="0"/>
              <w:adjustRightInd/>
              <w:snapToGrid/>
              <w:spacing w:before="120" w:beforeLines="50" w:line="360" w:lineRule="auto"/>
              <w:ind w:firstLine="482" w:firstLineChars="200"/>
              <w:textAlignment w:val="auto"/>
              <w:rPr>
                <w:rFonts w:hint="eastAsia" w:ascii="Times New Roman" w:hAnsi="Times New Roman" w:eastAsia="宋体" w:cs="宋体"/>
                <w:b/>
                <w:bCs/>
                <w:color w:val="auto"/>
                <w:sz w:val="24"/>
              </w:rPr>
            </w:pPr>
            <w:r>
              <w:rPr>
                <w:rFonts w:hint="eastAsia" w:cs="宋体"/>
                <w:b/>
                <w:bCs/>
                <w:color w:val="auto"/>
                <w:sz w:val="24"/>
                <w:lang w:val="en-US" w:eastAsia="zh-CN"/>
              </w:rPr>
              <w:t>5</w:t>
            </w:r>
            <w:r>
              <w:rPr>
                <w:rFonts w:hint="eastAsia" w:cs="宋体"/>
                <w:b/>
                <w:bCs/>
                <w:color w:val="auto"/>
                <w:sz w:val="24"/>
                <w:lang w:eastAsia="zh-CN"/>
              </w:rPr>
              <w:t>.</w:t>
            </w:r>
            <w:r>
              <w:rPr>
                <w:rFonts w:hint="eastAsia" w:ascii="Times New Roman" w:hAnsi="Times New Roman" w:eastAsia="宋体" w:cs="宋体"/>
                <w:b/>
                <w:bCs/>
                <w:color w:val="auto"/>
                <w:sz w:val="24"/>
              </w:rPr>
              <w:t>主要</w:t>
            </w:r>
            <w:r>
              <w:rPr>
                <w:rFonts w:ascii="Times New Roman" w:hAnsi="Times New Roman" w:eastAsia="宋体" w:cs="宋体"/>
                <w:b/>
                <w:bCs/>
                <w:color w:val="auto"/>
                <w:sz w:val="24"/>
              </w:rPr>
              <w:t>原辅材料</w:t>
            </w:r>
            <w:r>
              <w:rPr>
                <w:rFonts w:hint="eastAsia" w:ascii="Times New Roman" w:hAnsi="Times New Roman" w:eastAsia="宋体" w:cs="宋体"/>
                <w:b/>
                <w:bCs/>
                <w:color w:val="auto"/>
                <w:sz w:val="24"/>
              </w:rPr>
              <w:t>及燃料</w:t>
            </w:r>
          </w:p>
          <w:p w14:paraId="5611DD46">
            <w:pPr>
              <w:ind w:firstLine="0" w:firstLineChars="0"/>
              <w:jc w:val="center"/>
              <w:rPr>
                <w:rFonts w:ascii="Times New Roman" w:hAnsi="Times New Roman" w:eastAsia="宋体" w:cs="宋体"/>
                <w:b/>
                <w:bCs/>
                <w:color w:val="auto"/>
                <w:sz w:val="24"/>
                <w:szCs w:val="24"/>
              </w:rPr>
            </w:pPr>
            <w:r>
              <w:rPr>
                <w:rFonts w:ascii="Times New Roman" w:hAnsi="Times New Roman" w:eastAsia="宋体" w:cs="宋体"/>
                <w:b/>
                <w:bCs/>
                <w:color w:val="auto"/>
                <w:sz w:val="24"/>
                <w:szCs w:val="24"/>
              </w:rPr>
              <w:t>表2-</w:t>
            </w:r>
            <w:r>
              <w:rPr>
                <w:rFonts w:hint="eastAsia" w:cs="宋体"/>
                <w:b/>
                <w:bCs/>
                <w:color w:val="auto"/>
                <w:sz w:val="24"/>
                <w:szCs w:val="24"/>
                <w:lang w:val="en-US" w:eastAsia="zh-CN"/>
              </w:rPr>
              <w:t>5</w:t>
            </w:r>
            <w:r>
              <w:rPr>
                <w:rFonts w:hint="eastAsia" w:ascii="Times New Roman" w:hAnsi="Times New Roman" w:eastAsia="宋体" w:cs="宋体"/>
                <w:b/>
                <w:bCs/>
                <w:color w:val="auto"/>
                <w:sz w:val="24"/>
                <w:szCs w:val="24"/>
                <w:lang w:val="en-US" w:eastAsia="zh-CN"/>
              </w:rPr>
              <w:t xml:space="preserve">  </w:t>
            </w:r>
            <w:r>
              <w:rPr>
                <w:rFonts w:ascii="Times New Roman" w:hAnsi="Times New Roman" w:eastAsia="宋体" w:cs="宋体"/>
                <w:b/>
                <w:bCs/>
                <w:color w:val="auto"/>
                <w:sz w:val="24"/>
                <w:szCs w:val="24"/>
              </w:rPr>
              <w:t>项目原辅材料消耗一览表</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2115"/>
              <w:gridCol w:w="1655"/>
              <w:gridCol w:w="1400"/>
              <w:gridCol w:w="1106"/>
              <w:gridCol w:w="1107"/>
            </w:tblGrid>
            <w:tr w14:paraId="39D5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3" w:type="pct"/>
                  <w:noWrap w:val="0"/>
                  <w:vAlign w:val="center"/>
                </w:tcPr>
                <w:p w14:paraId="47545EAC">
                  <w:pPr>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类别</w:t>
                  </w:r>
                </w:p>
              </w:tc>
              <w:tc>
                <w:tcPr>
                  <w:tcW w:w="1302" w:type="pct"/>
                  <w:noWrap w:val="0"/>
                  <w:vAlign w:val="center"/>
                </w:tcPr>
                <w:p w14:paraId="558E7B16">
                  <w:pPr>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名称</w:t>
                  </w:r>
                </w:p>
              </w:tc>
              <w:tc>
                <w:tcPr>
                  <w:tcW w:w="1019" w:type="pct"/>
                  <w:noWrap w:val="0"/>
                  <w:vAlign w:val="center"/>
                </w:tcPr>
                <w:p w14:paraId="37028978">
                  <w:pPr>
                    <w:jc w:val="center"/>
                    <w:rPr>
                      <w:rFonts w:hint="default"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lang w:val="en-US" w:eastAsia="zh-CN"/>
                    </w:rPr>
                    <w:t>单位</w:t>
                  </w:r>
                </w:p>
              </w:tc>
              <w:tc>
                <w:tcPr>
                  <w:tcW w:w="862" w:type="pct"/>
                  <w:noWrap w:val="0"/>
                  <w:vAlign w:val="center"/>
                </w:tcPr>
                <w:p w14:paraId="5CA691B1">
                  <w:pPr>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消耗量</w:t>
                  </w:r>
                </w:p>
              </w:tc>
              <w:tc>
                <w:tcPr>
                  <w:tcW w:w="681" w:type="pct"/>
                  <w:noWrap w:val="0"/>
                  <w:vAlign w:val="center"/>
                </w:tcPr>
                <w:p w14:paraId="13F97AB9">
                  <w:pPr>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最大储存量（t）</w:t>
                  </w:r>
                </w:p>
              </w:tc>
              <w:tc>
                <w:tcPr>
                  <w:tcW w:w="681" w:type="pct"/>
                  <w:noWrap w:val="0"/>
                  <w:vAlign w:val="center"/>
                </w:tcPr>
                <w:p w14:paraId="06E54F7D">
                  <w:pPr>
                    <w:jc w:val="center"/>
                    <w:rPr>
                      <w:rFonts w:hint="default"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lang w:val="en-US" w:eastAsia="zh-CN"/>
                    </w:rPr>
                    <w:t>备注</w:t>
                  </w:r>
                </w:p>
              </w:tc>
            </w:tr>
            <w:tr w14:paraId="695F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3" w:type="pct"/>
                  <w:vMerge w:val="restart"/>
                  <w:noWrap w:val="0"/>
                  <w:vAlign w:val="center"/>
                </w:tcPr>
                <w:p w14:paraId="62976C78">
                  <w:pPr>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产品原料</w:t>
                  </w:r>
                </w:p>
              </w:tc>
              <w:tc>
                <w:tcPr>
                  <w:tcW w:w="1302" w:type="pct"/>
                  <w:noWrap w:val="0"/>
                  <w:vAlign w:val="center"/>
                </w:tcPr>
                <w:p w14:paraId="7F5214EE">
                  <w:pPr>
                    <w:jc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金属件</w:t>
                  </w:r>
                  <w:r>
                    <w:rPr>
                      <w:rFonts w:hint="eastAsia" w:cs="Times New Roman"/>
                      <w:color w:val="auto"/>
                      <w:kern w:val="0"/>
                      <w:sz w:val="21"/>
                      <w:szCs w:val="21"/>
                      <w:highlight w:val="none"/>
                      <w:lang w:val="en-US" w:eastAsia="zh-CN"/>
                    </w:rPr>
                    <w:t>（钢材）</w:t>
                  </w:r>
                </w:p>
              </w:tc>
              <w:tc>
                <w:tcPr>
                  <w:tcW w:w="1019" w:type="pct"/>
                  <w:noWrap w:val="0"/>
                  <w:vAlign w:val="center"/>
                </w:tcPr>
                <w:p w14:paraId="34052D8A">
                  <w:pPr>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t/a</w:t>
                  </w:r>
                </w:p>
              </w:tc>
              <w:tc>
                <w:tcPr>
                  <w:tcW w:w="862" w:type="pct"/>
                  <w:noWrap w:val="0"/>
                  <w:vAlign w:val="center"/>
                </w:tcPr>
                <w:p w14:paraId="652A9DD9">
                  <w:pPr>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5710.57</w:t>
                  </w:r>
                </w:p>
              </w:tc>
              <w:tc>
                <w:tcPr>
                  <w:tcW w:w="681" w:type="pct"/>
                  <w:noWrap w:val="0"/>
                  <w:vAlign w:val="center"/>
                </w:tcPr>
                <w:p w14:paraId="6DE3C15E">
                  <w:pPr>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480</w:t>
                  </w:r>
                </w:p>
              </w:tc>
              <w:tc>
                <w:tcPr>
                  <w:tcW w:w="681" w:type="pct"/>
                  <w:noWrap w:val="0"/>
                  <w:vAlign w:val="center"/>
                </w:tcPr>
                <w:p w14:paraId="71CB0957">
                  <w:pPr>
                    <w:jc w:val="center"/>
                    <w:rPr>
                      <w:rFonts w:hint="eastAsia"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eastAsia="zh-CN"/>
                    </w:rPr>
                    <w:t>外购</w:t>
                  </w:r>
                </w:p>
              </w:tc>
            </w:tr>
            <w:tr w14:paraId="1F04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3" w:type="pct"/>
                  <w:vMerge w:val="continue"/>
                  <w:noWrap w:val="0"/>
                  <w:vAlign w:val="center"/>
                </w:tcPr>
                <w:p w14:paraId="33764193">
                  <w:pPr>
                    <w:jc w:val="center"/>
                    <w:rPr>
                      <w:rFonts w:hint="eastAsia" w:ascii="Times New Roman" w:hAnsi="Times New Roman" w:eastAsia="宋体" w:cs="Times New Roman"/>
                      <w:color w:val="auto"/>
                      <w:kern w:val="0"/>
                      <w:sz w:val="21"/>
                      <w:szCs w:val="21"/>
                      <w:highlight w:val="none"/>
                      <w:lang w:val="en-US" w:eastAsia="zh-CN"/>
                    </w:rPr>
                  </w:pPr>
                </w:p>
              </w:tc>
              <w:tc>
                <w:tcPr>
                  <w:tcW w:w="1302" w:type="pct"/>
                  <w:noWrap w:val="0"/>
                  <w:vAlign w:val="center"/>
                </w:tcPr>
                <w:p w14:paraId="75C59F24">
                  <w:pPr>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电动助动车</w:t>
                  </w:r>
                  <w:r>
                    <w:rPr>
                      <w:rFonts w:hint="eastAsia" w:ascii="Times New Roman" w:hAnsi="Times New Roman" w:eastAsia="宋体" w:cs="Times New Roman"/>
                      <w:color w:val="auto"/>
                      <w:kern w:val="0"/>
                      <w:sz w:val="21"/>
                      <w:szCs w:val="21"/>
                      <w:highlight w:val="none"/>
                      <w:lang w:val="en-US" w:eastAsia="zh-CN"/>
                    </w:rPr>
                    <w:t>组装件</w:t>
                  </w:r>
                </w:p>
              </w:tc>
              <w:tc>
                <w:tcPr>
                  <w:tcW w:w="1019" w:type="pct"/>
                  <w:noWrap w:val="0"/>
                  <w:vAlign w:val="center"/>
                </w:tcPr>
                <w:p w14:paraId="323EF863">
                  <w:pPr>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套/a</w:t>
                  </w:r>
                </w:p>
              </w:tc>
              <w:tc>
                <w:tcPr>
                  <w:tcW w:w="862" w:type="pct"/>
                  <w:noWrap w:val="0"/>
                  <w:vAlign w:val="center"/>
                </w:tcPr>
                <w:p w14:paraId="15D1C3B8">
                  <w:pPr>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50</w:t>
                  </w:r>
                  <w:r>
                    <w:rPr>
                      <w:rFonts w:hint="eastAsia" w:ascii="Times New Roman" w:hAnsi="Times New Roman" w:eastAsia="宋体" w:cs="Times New Roman"/>
                      <w:color w:val="auto"/>
                      <w:kern w:val="0"/>
                      <w:sz w:val="21"/>
                      <w:szCs w:val="21"/>
                      <w:highlight w:val="none"/>
                      <w:lang w:val="en-US" w:eastAsia="zh-CN"/>
                    </w:rPr>
                    <w:t>万</w:t>
                  </w:r>
                </w:p>
              </w:tc>
              <w:tc>
                <w:tcPr>
                  <w:tcW w:w="681" w:type="pct"/>
                  <w:noWrap w:val="0"/>
                  <w:vAlign w:val="center"/>
                </w:tcPr>
                <w:p w14:paraId="2C670A21">
                  <w:pPr>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4</w:t>
                  </w:r>
                  <w:r>
                    <w:rPr>
                      <w:rFonts w:hint="eastAsia" w:ascii="Times New Roman" w:hAnsi="Times New Roman" w:eastAsia="宋体" w:cs="Times New Roman"/>
                      <w:color w:val="auto"/>
                      <w:kern w:val="0"/>
                      <w:sz w:val="21"/>
                      <w:szCs w:val="21"/>
                      <w:highlight w:val="none"/>
                      <w:lang w:val="en-US" w:eastAsia="zh-CN"/>
                    </w:rPr>
                    <w:t>万</w:t>
                  </w:r>
                </w:p>
              </w:tc>
              <w:tc>
                <w:tcPr>
                  <w:tcW w:w="681" w:type="pct"/>
                  <w:noWrap w:val="0"/>
                  <w:vAlign w:val="center"/>
                </w:tcPr>
                <w:p w14:paraId="560EA2CF">
                  <w:pPr>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eastAsia="zh-CN"/>
                    </w:rPr>
                    <w:t>外购</w:t>
                  </w:r>
                  <w:r>
                    <w:rPr>
                      <w:rFonts w:hint="eastAsia" w:cs="Times New Roman"/>
                      <w:color w:val="auto"/>
                      <w:kern w:val="0"/>
                      <w:sz w:val="21"/>
                      <w:szCs w:val="21"/>
                      <w:highlight w:val="none"/>
                      <w:lang w:eastAsia="zh-CN"/>
                    </w:rPr>
                    <w:t>，</w:t>
                  </w:r>
                  <w:r>
                    <w:rPr>
                      <w:rFonts w:hint="eastAsia" w:cs="Times New Roman"/>
                      <w:color w:val="auto"/>
                      <w:kern w:val="0"/>
                      <w:sz w:val="21"/>
                      <w:szCs w:val="21"/>
                      <w:highlight w:val="none"/>
                      <w:lang w:val="en-US" w:eastAsia="zh-CN"/>
                    </w:rPr>
                    <w:t>主要包括车壳、车座、尾箱、电池、轮胎、刹车、电机、仪表盘、紧固件等组装件</w:t>
                  </w:r>
                </w:p>
              </w:tc>
            </w:tr>
            <w:tr w14:paraId="2617A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3" w:type="pct"/>
                  <w:noWrap w:val="0"/>
                  <w:vAlign w:val="center"/>
                </w:tcPr>
                <w:p w14:paraId="3AD7D2CB">
                  <w:pPr>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下料加工工段</w:t>
                  </w:r>
                </w:p>
              </w:tc>
              <w:tc>
                <w:tcPr>
                  <w:tcW w:w="1302" w:type="pct"/>
                  <w:shd w:val="clear" w:color="auto" w:fill="auto"/>
                  <w:noWrap w:val="0"/>
                  <w:vAlign w:val="center"/>
                </w:tcPr>
                <w:p w14:paraId="28152163">
                  <w:pPr>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bidi="ar-SA"/>
                    </w:rPr>
                    <w:t>润滑油脂</w:t>
                  </w:r>
                </w:p>
              </w:tc>
              <w:tc>
                <w:tcPr>
                  <w:tcW w:w="1019" w:type="pct"/>
                  <w:shd w:val="clear" w:color="auto" w:fill="auto"/>
                  <w:noWrap w:val="0"/>
                  <w:vAlign w:val="center"/>
                </w:tcPr>
                <w:p w14:paraId="18BCD558">
                  <w:pPr>
                    <w:jc w:val="center"/>
                    <w:rPr>
                      <w:rFonts w:hint="default" w:ascii="Times New Roman" w:hAnsi="Times New Roman" w:eastAsia="宋体" w:cs="Times New Roman"/>
                      <w:color w:val="auto"/>
                      <w:kern w:val="0"/>
                      <w:sz w:val="21"/>
                      <w:szCs w:val="21"/>
                      <w:highlight w:val="none"/>
                      <w:shd w:val="clear" w:color="auto" w:fill="auto"/>
                      <w:lang w:val="en-US" w:eastAsia="zh-CN" w:bidi="ar-SA"/>
                    </w:rPr>
                  </w:pPr>
                  <w:r>
                    <w:rPr>
                      <w:rFonts w:hint="eastAsia" w:cs="Times New Roman"/>
                      <w:color w:val="auto"/>
                      <w:kern w:val="0"/>
                      <w:sz w:val="21"/>
                      <w:szCs w:val="21"/>
                      <w:highlight w:val="none"/>
                      <w:lang w:val="en-US" w:eastAsia="zh-CN"/>
                    </w:rPr>
                    <w:t>t/a</w:t>
                  </w:r>
                </w:p>
              </w:tc>
              <w:tc>
                <w:tcPr>
                  <w:tcW w:w="862" w:type="pct"/>
                  <w:shd w:val="clear" w:color="auto" w:fill="auto"/>
                  <w:noWrap w:val="0"/>
                  <w:vAlign w:val="center"/>
                </w:tcPr>
                <w:p w14:paraId="00674092">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7.4</w:t>
                  </w:r>
                </w:p>
              </w:tc>
              <w:tc>
                <w:tcPr>
                  <w:tcW w:w="681" w:type="pct"/>
                  <w:shd w:val="clear" w:color="auto" w:fill="auto"/>
                  <w:noWrap w:val="0"/>
                  <w:vAlign w:val="center"/>
                </w:tcPr>
                <w:p w14:paraId="7E096B25">
                  <w:pPr>
                    <w:adjustRightInd w:val="0"/>
                    <w:snapToGrid w:val="0"/>
                    <w:spacing w:line="240" w:lineRule="auto"/>
                    <w:jc w:val="center"/>
                    <w:rPr>
                      <w:rFonts w:hint="default" w:ascii="Times New Roman" w:hAnsi="Times New Roman" w:eastAsia="宋体" w:cs="Times New Roman"/>
                      <w:color w:val="auto"/>
                      <w:kern w:val="0"/>
                      <w:sz w:val="21"/>
                      <w:szCs w:val="21"/>
                      <w:highlight w:val="none"/>
                      <w:shd w:val="clear" w:color="auto" w:fill="auto"/>
                      <w:lang w:val="en-US" w:eastAsia="zh-CN" w:bidi="ar-SA"/>
                    </w:rPr>
                  </w:pPr>
                  <w:r>
                    <w:rPr>
                      <w:rFonts w:hint="eastAsia" w:cs="Times New Roman"/>
                      <w:color w:val="auto"/>
                      <w:kern w:val="0"/>
                      <w:sz w:val="21"/>
                      <w:szCs w:val="21"/>
                      <w:highlight w:val="none"/>
                      <w:shd w:val="clear" w:color="auto" w:fill="auto"/>
                      <w:lang w:val="en-US" w:eastAsia="zh-CN" w:bidi="ar-SA"/>
                    </w:rPr>
                    <w:t>4</w:t>
                  </w:r>
                </w:p>
              </w:tc>
              <w:tc>
                <w:tcPr>
                  <w:tcW w:w="681" w:type="pct"/>
                  <w:shd w:val="clear" w:color="auto" w:fill="auto"/>
                  <w:noWrap w:val="0"/>
                  <w:vAlign w:val="center"/>
                </w:tcPr>
                <w:p w14:paraId="2BAD9A52">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eastAsia="zh-CN"/>
                    </w:rPr>
                    <w:t>外购</w:t>
                  </w:r>
                </w:p>
              </w:tc>
            </w:tr>
            <w:tr w14:paraId="6F933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453" w:type="pct"/>
                  <w:vMerge w:val="restart"/>
                  <w:noWrap w:val="0"/>
                  <w:vAlign w:val="center"/>
                </w:tcPr>
                <w:p w14:paraId="1D0C8D07">
                  <w:pPr>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组合焊接工段</w:t>
                  </w:r>
                </w:p>
              </w:tc>
              <w:tc>
                <w:tcPr>
                  <w:tcW w:w="1302" w:type="pct"/>
                  <w:noWrap w:val="0"/>
                  <w:vAlign w:val="center"/>
                </w:tcPr>
                <w:p w14:paraId="397D3232">
                  <w:pPr>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二氧化碳</w:t>
                  </w:r>
                </w:p>
              </w:tc>
              <w:tc>
                <w:tcPr>
                  <w:tcW w:w="1019" w:type="pct"/>
                  <w:noWrap w:val="0"/>
                  <w:vAlign w:val="center"/>
                </w:tcPr>
                <w:p w14:paraId="16797B8D">
                  <w:pPr>
                    <w:jc w:val="center"/>
                    <w:rPr>
                      <w:rFonts w:hint="default" w:ascii="Times New Roman" w:hAnsi="Times New Roman" w:cs="Times New Roman"/>
                      <w:color w:val="auto"/>
                      <w:kern w:val="0"/>
                      <w:sz w:val="21"/>
                      <w:szCs w:val="21"/>
                      <w:highlight w:val="none"/>
                      <w:shd w:val="clear" w:color="auto" w:fill="auto"/>
                      <w:lang w:val="en-US" w:eastAsia="zh-CN"/>
                    </w:rPr>
                  </w:pPr>
                  <w:r>
                    <w:rPr>
                      <w:rFonts w:hint="eastAsia" w:cs="Times New Roman"/>
                      <w:color w:val="auto"/>
                      <w:kern w:val="0"/>
                      <w:sz w:val="21"/>
                      <w:szCs w:val="21"/>
                      <w:highlight w:val="none"/>
                      <w:shd w:val="clear" w:color="auto" w:fill="auto"/>
                      <w:lang w:val="en-US" w:eastAsia="zh-CN"/>
                    </w:rPr>
                    <w:t>m</w:t>
                  </w:r>
                  <w:r>
                    <w:rPr>
                      <w:rFonts w:hint="eastAsia" w:cs="Times New Roman"/>
                      <w:color w:val="auto"/>
                      <w:kern w:val="0"/>
                      <w:sz w:val="21"/>
                      <w:szCs w:val="21"/>
                      <w:highlight w:val="none"/>
                      <w:shd w:val="clear" w:color="auto" w:fill="auto"/>
                      <w:vertAlign w:val="superscript"/>
                      <w:lang w:val="en-US" w:eastAsia="zh-CN"/>
                    </w:rPr>
                    <w:t>3</w:t>
                  </w:r>
                  <w:r>
                    <w:rPr>
                      <w:rFonts w:hint="eastAsia" w:cs="Times New Roman"/>
                      <w:color w:val="auto"/>
                      <w:kern w:val="0"/>
                      <w:sz w:val="21"/>
                      <w:szCs w:val="21"/>
                      <w:highlight w:val="none"/>
                      <w:shd w:val="clear" w:color="auto" w:fill="auto"/>
                      <w:lang w:val="en-US" w:eastAsia="zh-CN"/>
                    </w:rPr>
                    <w:t>/a</w:t>
                  </w:r>
                </w:p>
              </w:tc>
              <w:tc>
                <w:tcPr>
                  <w:tcW w:w="862" w:type="pct"/>
                  <w:noWrap w:val="0"/>
                  <w:vAlign w:val="center"/>
                </w:tcPr>
                <w:p w14:paraId="10D7D09A">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color w:val="auto"/>
                      <w:kern w:val="0"/>
                      <w:sz w:val="21"/>
                      <w:szCs w:val="21"/>
                      <w:highlight w:val="none"/>
                      <w:shd w:val="clear" w:color="auto" w:fill="auto"/>
                      <w:lang w:val="en-US" w:eastAsia="zh-CN"/>
                    </w:rPr>
                    <w:t>164.03</w:t>
                  </w:r>
                </w:p>
              </w:tc>
              <w:tc>
                <w:tcPr>
                  <w:tcW w:w="681" w:type="pct"/>
                  <w:noWrap w:val="0"/>
                  <w:vAlign w:val="center"/>
                </w:tcPr>
                <w:p w14:paraId="0BB90F99">
                  <w:pPr>
                    <w:adjustRightInd w:val="0"/>
                    <w:snapToGrid w:val="0"/>
                    <w:spacing w:line="240" w:lineRule="auto"/>
                    <w:jc w:val="center"/>
                    <w:rPr>
                      <w:rFonts w:hint="default" w:cs="Times New Roman"/>
                      <w:color w:val="auto"/>
                      <w:kern w:val="0"/>
                      <w:sz w:val="21"/>
                      <w:szCs w:val="21"/>
                      <w:highlight w:val="none"/>
                      <w:shd w:val="clear" w:color="auto" w:fill="auto"/>
                      <w:lang w:val="en-US" w:eastAsia="zh-CN"/>
                    </w:rPr>
                  </w:pPr>
                  <w:r>
                    <w:rPr>
                      <w:rFonts w:hint="eastAsia" w:cs="Times New Roman"/>
                      <w:color w:val="auto"/>
                      <w:kern w:val="0"/>
                      <w:sz w:val="21"/>
                      <w:szCs w:val="21"/>
                      <w:highlight w:val="none"/>
                      <w:shd w:val="clear" w:color="auto" w:fill="auto"/>
                      <w:lang w:val="en-US" w:eastAsia="zh-CN"/>
                    </w:rPr>
                    <w:t>20</w:t>
                  </w:r>
                </w:p>
              </w:tc>
              <w:tc>
                <w:tcPr>
                  <w:tcW w:w="681" w:type="pct"/>
                  <w:noWrap w:val="0"/>
                  <w:vAlign w:val="center"/>
                </w:tcPr>
                <w:p w14:paraId="30516A01">
                  <w:pPr>
                    <w:adjustRightInd w:val="0"/>
                    <w:snapToGrid w:val="0"/>
                    <w:spacing w:line="240" w:lineRule="auto"/>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r w14:paraId="1406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3" w:type="pct"/>
                  <w:vMerge w:val="continue"/>
                  <w:noWrap w:val="0"/>
                  <w:vAlign w:val="center"/>
                </w:tcPr>
                <w:p w14:paraId="2CBEF6C8">
                  <w:pPr>
                    <w:jc w:val="center"/>
                    <w:rPr>
                      <w:rFonts w:hint="default" w:ascii="Times New Roman" w:hAnsi="Times New Roman" w:eastAsia="宋体" w:cs="Times New Roman"/>
                      <w:color w:val="auto"/>
                      <w:kern w:val="0"/>
                      <w:sz w:val="21"/>
                      <w:szCs w:val="21"/>
                      <w:highlight w:val="none"/>
                    </w:rPr>
                  </w:pPr>
                </w:p>
              </w:tc>
              <w:tc>
                <w:tcPr>
                  <w:tcW w:w="1302" w:type="pct"/>
                  <w:noWrap w:val="0"/>
                  <w:vAlign w:val="center"/>
                </w:tcPr>
                <w:p w14:paraId="2729FF27">
                  <w:pPr>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氩气</w:t>
                  </w:r>
                </w:p>
              </w:tc>
              <w:tc>
                <w:tcPr>
                  <w:tcW w:w="1019" w:type="pct"/>
                  <w:noWrap w:val="0"/>
                  <w:vAlign w:val="center"/>
                </w:tcPr>
                <w:p w14:paraId="6B29C27D">
                  <w:pPr>
                    <w:jc w:val="center"/>
                    <w:rPr>
                      <w:rFonts w:hint="default" w:ascii="Times New Roman" w:hAnsi="Times New Roman" w:cs="Times New Roman"/>
                      <w:color w:val="auto"/>
                      <w:kern w:val="0"/>
                      <w:sz w:val="21"/>
                      <w:szCs w:val="21"/>
                      <w:highlight w:val="none"/>
                      <w:shd w:val="clear" w:color="auto" w:fill="auto"/>
                      <w:lang w:val="en-US" w:eastAsia="zh-CN"/>
                    </w:rPr>
                  </w:pPr>
                  <w:r>
                    <w:rPr>
                      <w:rFonts w:hint="eastAsia" w:cs="Times New Roman"/>
                      <w:color w:val="auto"/>
                      <w:kern w:val="0"/>
                      <w:sz w:val="21"/>
                      <w:szCs w:val="21"/>
                      <w:highlight w:val="none"/>
                      <w:shd w:val="clear" w:color="auto" w:fill="auto"/>
                      <w:lang w:val="en-US" w:eastAsia="zh-CN"/>
                    </w:rPr>
                    <w:t>m</w:t>
                  </w:r>
                  <w:r>
                    <w:rPr>
                      <w:rFonts w:hint="eastAsia" w:cs="Times New Roman"/>
                      <w:color w:val="auto"/>
                      <w:kern w:val="0"/>
                      <w:sz w:val="21"/>
                      <w:szCs w:val="21"/>
                      <w:highlight w:val="none"/>
                      <w:shd w:val="clear" w:color="auto" w:fill="auto"/>
                      <w:vertAlign w:val="superscript"/>
                      <w:lang w:val="en-US" w:eastAsia="zh-CN"/>
                    </w:rPr>
                    <w:t>3</w:t>
                  </w:r>
                  <w:r>
                    <w:rPr>
                      <w:rFonts w:hint="eastAsia" w:cs="Times New Roman"/>
                      <w:color w:val="auto"/>
                      <w:kern w:val="0"/>
                      <w:sz w:val="21"/>
                      <w:szCs w:val="21"/>
                      <w:highlight w:val="none"/>
                      <w:shd w:val="clear" w:color="auto" w:fill="auto"/>
                      <w:lang w:val="en-US" w:eastAsia="zh-CN"/>
                    </w:rPr>
                    <w:t>/a</w:t>
                  </w:r>
                </w:p>
              </w:tc>
              <w:tc>
                <w:tcPr>
                  <w:tcW w:w="862" w:type="pct"/>
                  <w:noWrap w:val="0"/>
                  <w:vAlign w:val="center"/>
                </w:tcPr>
                <w:p w14:paraId="7AB4B31B">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color w:val="auto"/>
                      <w:kern w:val="0"/>
                      <w:sz w:val="21"/>
                      <w:szCs w:val="21"/>
                      <w:highlight w:val="none"/>
                      <w:shd w:val="clear" w:color="auto" w:fill="auto"/>
                      <w:lang w:val="en-US" w:eastAsia="zh-CN"/>
                    </w:rPr>
                    <w:t>186.8</w:t>
                  </w:r>
                </w:p>
              </w:tc>
              <w:tc>
                <w:tcPr>
                  <w:tcW w:w="681" w:type="pct"/>
                  <w:noWrap w:val="0"/>
                  <w:vAlign w:val="center"/>
                </w:tcPr>
                <w:p w14:paraId="063F2014">
                  <w:pPr>
                    <w:adjustRightInd w:val="0"/>
                    <w:snapToGrid w:val="0"/>
                    <w:spacing w:line="240" w:lineRule="auto"/>
                    <w:jc w:val="center"/>
                    <w:rPr>
                      <w:rFonts w:hint="default" w:cs="Times New Roman"/>
                      <w:color w:val="auto"/>
                      <w:kern w:val="0"/>
                      <w:sz w:val="21"/>
                      <w:szCs w:val="21"/>
                      <w:highlight w:val="none"/>
                      <w:shd w:val="clear" w:color="auto" w:fill="auto"/>
                      <w:lang w:val="en-US" w:eastAsia="zh-CN"/>
                    </w:rPr>
                  </w:pPr>
                  <w:r>
                    <w:rPr>
                      <w:rFonts w:hint="eastAsia" w:cs="Times New Roman"/>
                      <w:color w:val="auto"/>
                      <w:kern w:val="0"/>
                      <w:sz w:val="21"/>
                      <w:szCs w:val="21"/>
                      <w:highlight w:val="none"/>
                      <w:shd w:val="clear" w:color="auto" w:fill="auto"/>
                      <w:lang w:val="en-US" w:eastAsia="zh-CN"/>
                    </w:rPr>
                    <w:t>20</w:t>
                  </w:r>
                </w:p>
              </w:tc>
              <w:tc>
                <w:tcPr>
                  <w:tcW w:w="681" w:type="pct"/>
                  <w:noWrap w:val="0"/>
                  <w:vAlign w:val="center"/>
                </w:tcPr>
                <w:p w14:paraId="509A2A23">
                  <w:pPr>
                    <w:adjustRightInd w:val="0"/>
                    <w:snapToGrid w:val="0"/>
                    <w:spacing w:line="240" w:lineRule="auto"/>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r w14:paraId="105C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3" w:type="pct"/>
                  <w:vMerge w:val="continue"/>
                  <w:noWrap w:val="0"/>
                  <w:vAlign w:val="center"/>
                </w:tcPr>
                <w:p w14:paraId="434D4D06">
                  <w:pPr>
                    <w:jc w:val="center"/>
                    <w:rPr>
                      <w:rFonts w:hint="default" w:ascii="Times New Roman" w:hAnsi="Times New Roman" w:eastAsia="宋体" w:cs="Times New Roman"/>
                      <w:color w:val="auto"/>
                      <w:kern w:val="0"/>
                      <w:sz w:val="21"/>
                      <w:szCs w:val="21"/>
                      <w:highlight w:val="none"/>
                    </w:rPr>
                  </w:pPr>
                </w:p>
              </w:tc>
              <w:tc>
                <w:tcPr>
                  <w:tcW w:w="1302" w:type="pct"/>
                  <w:noWrap w:val="0"/>
                  <w:vAlign w:val="center"/>
                </w:tcPr>
                <w:p w14:paraId="719E3A50">
                  <w:pPr>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药芯焊丝</w:t>
                  </w:r>
                </w:p>
              </w:tc>
              <w:tc>
                <w:tcPr>
                  <w:tcW w:w="1019" w:type="pct"/>
                  <w:noWrap w:val="0"/>
                  <w:vAlign w:val="center"/>
                </w:tcPr>
                <w:p w14:paraId="096BEC06">
                  <w:pPr>
                    <w:jc w:val="center"/>
                    <w:rPr>
                      <w:rFonts w:hint="default" w:ascii="Times New Roman" w:hAnsi="Times New Roman" w:cs="Times New Roman"/>
                      <w:color w:val="auto"/>
                      <w:kern w:val="0"/>
                      <w:sz w:val="21"/>
                      <w:szCs w:val="21"/>
                      <w:highlight w:val="none"/>
                      <w:shd w:val="clear" w:color="auto" w:fill="auto"/>
                      <w:lang w:val="en-US" w:eastAsia="zh-CN"/>
                    </w:rPr>
                  </w:pPr>
                  <w:r>
                    <w:rPr>
                      <w:rFonts w:hint="eastAsia" w:cs="Times New Roman"/>
                      <w:color w:val="auto"/>
                      <w:kern w:val="0"/>
                      <w:sz w:val="21"/>
                      <w:szCs w:val="21"/>
                      <w:highlight w:val="none"/>
                      <w:lang w:val="en-US" w:eastAsia="zh-CN"/>
                    </w:rPr>
                    <w:t>t/a</w:t>
                  </w:r>
                </w:p>
              </w:tc>
              <w:tc>
                <w:tcPr>
                  <w:tcW w:w="862" w:type="pct"/>
                  <w:noWrap w:val="0"/>
                  <w:vAlign w:val="center"/>
                </w:tcPr>
                <w:p w14:paraId="026652A1">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color w:val="auto"/>
                      <w:kern w:val="0"/>
                      <w:sz w:val="21"/>
                      <w:szCs w:val="21"/>
                      <w:highlight w:val="none"/>
                      <w:shd w:val="clear" w:color="auto" w:fill="auto"/>
                      <w:lang w:val="en-US" w:eastAsia="zh-CN"/>
                    </w:rPr>
                    <w:t>175.62</w:t>
                  </w:r>
                </w:p>
              </w:tc>
              <w:tc>
                <w:tcPr>
                  <w:tcW w:w="681" w:type="pct"/>
                  <w:noWrap w:val="0"/>
                  <w:vAlign w:val="center"/>
                </w:tcPr>
                <w:p w14:paraId="50CE6EC1">
                  <w:pPr>
                    <w:adjustRightInd w:val="0"/>
                    <w:snapToGrid w:val="0"/>
                    <w:spacing w:line="240" w:lineRule="auto"/>
                    <w:jc w:val="center"/>
                    <w:rPr>
                      <w:rFonts w:hint="default" w:cs="Times New Roman"/>
                      <w:color w:val="auto"/>
                      <w:kern w:val="0"/>
                      <w:sz w:val="21"/>
                      <w:szCs w:val="21"/>
                      <w:highlight w:val="none"/>
                      <w:shd w:val="clear" w:color="auto" w:fill="auto"/>
                      <w:lang w:val="en-US" w:eastAsia="zh-CN"/>
                    </w:rPr>
                  </w:pPr>
                  <w:r>
                    <w:rPr>
                      <w:rFonts w:hint="eastAsia" w:cs="Times New Roman"/>
                      <w:color w:val="auto"/>
                      <w:kern w:val="0"/>
                      <w:sz w:val="21"/>
                      <w:szCs w:val="21"/>
                      <w:highlight w:val="none"/>
                      <w:shd w:val="clear" w:color="auto" w:fill="auto"/>
                      <w:lang w:val="en-US" w:eastAsia="zh-CN"/>
                    </w:rPr>
                    <w:t>15</w:t>
                  </w:r>
                </w:p>
              </w:tc>
              <w:tc>
                <w:tcPr>
                  <w:tcW w:w="681" w:type="pct"/>
                  <w:noWrap w:val="0"/>
                  <w:vAlign w:val="center"/>
                </w:tcPr>
                <w:p w14:paraId="77035AC7">
                  <w:pPr>
                    <w:adjustRightInd w:val="0"/>
                    <w:snapToGrid w:val="0"/>
                    <w:spacing w:line="240" w:lineRule="auto"/>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r w14:paraId="6206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3" w:type="pct"/>
                  <w:noWrap w:val="0"/>
                  <w:vAlign w:val="center"/>
                </w:tcPr>
                <w:p w14:paraId="5DED9EE8">
                  <w:pPr>
                    <w:jc w:val="center"/>
                    <w:rPr>
                      <w:rFonts w:hint="default"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lang w:val="en-US" w:eastAsia="zh-CN"/>
                    </w:rPr>
                    <w:t>喷砂工段</w:t>
                  </w:r>
                </w:p>
              </w:tc>
              <w:tc>
                <w:tcPr>
                  <w:tcW w:w="1302" w:type="pct"/>
                  <w:noWrap w:val="0"/>
                  <w:vAlign w:val="center"/>
                </w:tcPr>
                <w:p w14:paraId="5D3D7B7C">
                  <w:pPr>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钢砂</w:t>
                  </w:r>
                </w:p>
              </w:tc>
              <w:tc>
                <w:tcPr>
                  <w:tcW w:w="1019" w:type="pct"/>
                  <w:noWrap w:val="0"/>
                  <w:vAlign w:val="center"/>
                </w:tcPr>
                <w:p w14:paraId="53D56A33">
                  <w:pPr>
                    <w:jc w:val="center"/>
                    <w:rPr>
                      <w:rFonts w:hint="default" w:ascii="Times New Roman" w:hAnsi="Times New Roman" w:cs="Times New Roman"/>
                      <w:color w:val="auto"/>
                      <w:kern w:val="0"/>
                      <w:sz w:val="21"/>
                      <w:szCs w:val="21"/>
                      <w:highlight w:val="none"/>
                      <w:shd w:val="clear" w:color="auto" w:fill="auto"/>
                      <w:lang w:val="en-US" w:eastAsia="zh-CN"/>
                    </w:rPr>
                  </w:pPr>
                  <w:r>
                    <w:rPr>
                      <w:rFonts w:hint="eastAsia" w:cs="Times New Roman"/>
                      <w:color w:val="auto"/>
                      <w:kern w:val="0"/>
                      <w:sz w:val="21"/>
                      <w:szCs w:val="21"/>
                      <w:highlight w:val="none"/>
                      <w:lang w:val="en-US" w:eastAsia="zh-CN"/>
                    </w:rPr>
                    <w:t>t/a</w:t>
                  </w:r>
                </w:p>
              </w:tc>
              <w:tc>
                <w:tcPr>
                  <w:tcW w:w="862" w:type="pct"/>
                  <w:noWrap w:val="0"/>
                  <w:vAlign w:val="center"/>
                </w:tcPr>
                <w:p w14:paraId="7DB7A5EE">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color w:val="auto"/>
                      <w:kern w:val="0"/>
                      <w:sz w:val="21"/>
                      <w:szCs w:val="21"/>
                      <w:highlight w:val="none"/>
                      <w:shd w:val="clear" w:color="auto" w:fill="auto"/>
                      <w:lang w:val="en-US" w:eastAsia="zh-CN"/>
                    </w:rPr>
                    <w:t>12</w:t>
                  </w:r>
                </w:p>
              </w:tc>
              <w:tc>
                <w:tcPr>
                  <w:tcW w:w="681" w:type="pct"/>
                  <w:noWrap w:val="0"/>
                  <w:vAlign w:val="center"/>
                </w:tcPr>
                <w:p w14:paraId="4A5F2827">
                  <w:pPr>
                    <w:adjustRightInd w:val="0"/>
                    <w:snapToGrid w:val="0"/>
                    <w:spacing w:line="240" w:lineRule="auto"/>
                    <w:jc w:val="center"/>
                    <w:rPr>
                      <w:rFonts w:hint="default" w:cs="Times New Roman"/>
                      <w:color w:val="auto"/>
                      <w:kern w:val="0"/>
                      <w:sz w:val="21"/>
                      <w:szCs w:val="21"/>
                      <w:highlight w:val="none"/>
                      <w:shd w:val="clear" w:color="auto" w:fill="auto"/>
                      <w:lang w:val="en-US" w:eastAsia="zh-CN"/>
                    </w:rPr>
                  </w:pPr>
                  <w:r>
                    <w:rPr>
                      <w:rFonts w:hint="eastAsia" w:cs="Times New Roman"/>
                      <w:color w:val="auto"/>
                      <w:kern w:val="0"/>
                      <w:sz w:val="21"/>
                      <w:szCs w:val="21"/>
                      <w:highlight w:val="none"/>
                      <w:shd w:val="clear" w:color="auto" w:fill="auto"/>
                      <w:lang w:val="en-US" w:eastAsia="zh-CN"/>
                    </w:rPr>
                    <w:t>1</w:t>
                  </w:r>
                </w:p>
              </w:tc>
              <w:tc>
                <w:tcPr>
                  <w:tcW w:w="681" w:type="pct"/>
                  <w:noWrap w:val="0"/>
                  <w:vAlign w:val="center"/>
                </w:tcPr>
                <w:p w14:paraId="6881AEC5">
                  <w:pPr>
                    <w:adjustRightInd w:val="0"/>
                    <w:snapToGrid w:val="0"/>
                    <w:spacing w:line="240" w:lineRule="auto"/>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r w14:paraId="48C2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3" w:type="pct"/>
                  <w:vMerge w:val="restart"/>
                  <w:noWrap w:val="0"/>
                  <w:vAlign w:val="center"/>
                </w:tcPr>
                <w:p w14:paraId="2A110EE7">
                  <w:pPr>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喷粉工段</w:t>
                  </w:r>
                </w:p>
              </w:tc>
              <w:tc>
                <w:tcPr>
                  <w:tcW w:w="1302" w:type="pct"/>
                  <w:noWrap w:val="0"/>
                  <w:vAlign w:val="center"/>
                </w:tcPr>
                <w:p w14:paraId="20A16118">
                  <w:pPr>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白色粉料</w:t>
                  </w:r>
                </w:p>
              </w:tc>
              <w:tc>
                <w:tcPr>
                  <w:tcW w:w="1019" w:type="pct"/>
                  <w:noWrap w:val="0"/>
                  <w:vAlign w:val="center"/>
                </w:tcPr>
                <w:p w14:paraId="1AD9C81E">
                  <w:pPr>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t/a</w:t>
                  </w:r>
                </w:p>
              </w:tc>
              <w:tc>
                <w:tcPr>
                  <w:tcW w:w="1400" w:type="dxa"/>
                  <w:shd w:val="clear" w:color="auto" w:fill="auto"/>
                  <w:noWrap w:val="0"/>
                  <w:vAlign w:val="center"/>
                </w:tcPr>
                <w:p w14:paraId="310EDCF1">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cs="Times New Roman"/>
                      <w:i w:val="0"/>
                      <w:iCs w:val="0"/>
                      <w:color w:val="auto"/>
                      <w:sz w:val="21"/>
                      <w:szCs w:val="21"/>
                      <w:highlight w:val="none"/>
                      <w:u w:val="none"/>
                      <w:lang w:val="en-US" w:eastAsia="zh-CN"/>
                    </w:rPr>
                    <w:t>28</w:t>
                  </w:r>
                </w:p>
              </w:tc>
              <w:tc>
                <w:tcPr>
                  <w:tcW w:w="681" w:type="pct"/>
                  <w:noWrap w:val="0"/>
                  <w:vAlign w:val="center"/>
                </w:tcPr>
                <w:p w14:paraId="39776E82">
                  <w:pPr>
                    <w:adjustRightInd w:val="0"/>
                    <w:snapToGrid w:val="0"/>
                    <w:spacing w:line="240" w:lineRule="auto"/>
                    <w:jc w:val="center"/>
                    <w:rPr>
                      <w:rFonts w:hint="default" w:cs="Times New Roman"/>
                      <w:color w:val="auto"/>
                      <w:kern w:val="0"/>
                      <w:sz w:val="21"/>
                      <w:szCs w:val="21"/>
                      <w:highlight w:val="none"/>
                      <w:shd w:val="clear" w:color="auto" w:fill="auto"/>
                      <w:lang w:val="en-US" w:eastAsia="zh-CN"/>
                    </w:rPr>
                  </w:pPr>
                  <w:r>
                    <w:rPr>
                      <w:rFonts w:hint="eastAsia" w:cs="Times New Roman"/>
                      <w:color w:val="auto"/>
                      <w:kern w:val="0"/>
                      <w:sz w:val="21"/>
                      <w:szCs w:val="21"/>
                      <w:highlight w:val="none"/>
                      <w:shd w:val="clear" w:color="auto" w:fill="auto"/>
                      <w:lang w:val="en-US" w:eastAsia="zh-CN"/>
                    </w:rPr>
                    <w:t>5</w:t>
                  </w:r>
                </w:p>
              </w:tc>
              <w:tc>
                <w:tcPr>
                  <w:tcW w:w="681" w:type="pct"/>
                  <w:noWrap w:val="0"/>
                  <w:vAlign w:val="center"/>
                </w:tcPr>
                <w:p w14:paraId="6E50F850">
                  <w:pPr>
                    <w:adjustRightInd w:val="0"/>
                    <w:snapToGrid w:val="0"/>
                    <w:spacing w:line="240" w:lineRule="auto"/>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r w14:paraId="23CC5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3" w:type="pct"/>
                  <w:vMerge w:val="continue"/>
                  <w:noWrap w:val="0"/>
                  <w:vAlign w:val="center"/>
                </w:tcPr>
                <w:p w14:paraId="58C7C6D6">
                  <w:pPr>
                    <w:jc w:val="center"/>
                    <w:rPr>
                      <w:rFonts w:hint="eastAsia" w:ascii="Times New Roman" w:hAnsi="Times New Roman" w:eastAsia="宋体" w:cs="Times New Roman"/>
                      <w:color w:val="auto"/>
                      <w:kern w:val="0"/>
                      <w:sz w:val="21"/>
                      <w:szCs w:val="21"/>
                      <w:highlight w:val="none"/>
                      <w:lang w:val="en-US" w:eastAsia="zh-CN"/>
                    </w:rPr>
                  </w:pPr>
                </w:p>
              </w:tc>
              <w:tc>
                <w:tcPr>
                  <w:tcW w:w="1302" w:type="pct"/>
                  <w:noWrap w:val="0"/>
                  <w:vAlign w:val="center"/>
                </w:tcPr>
                <w:p w14:paraId="61155852">
                  <w:pPr>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绿色粉料</w:t>
                  </w:r>
                </w:p>
              </w:tc>
              <w:tc>
                <w:tcPr>
                  <w:tcW w:w="1019" w:type="pct"/>
                  <w:noWrap w:val="0"/>
                  <w:vAlign w:val="center"/>
                </w:tcPr>
                <w:p w14:paraId="1A2DA9D0">
                  <w:pPr>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t/a</w:t>
                  </w:r>
                </w:p>
              </w:tc>
              <w:tc>
                <w:tcPr>
                  <w:tcW w:w="1400" w:type="dxa"/>
                  <w:shd w:val="clear" w:color="auto" w:fill="auto"/>
                  <w:noWrap w:val="0"/>
                  <w:vAlign w:val="center"/>
                </w:tcPr>
                <w:p w14:paraId="21FD1D9B">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cs="Times New Roman"/>
                      <w:i w:val="0"/>
                      <w:iCs w:val="0"/>
                      <w:color w:val="auto"/>
                      <w:sz w:val="21"/>
                      <w:szCs w:val="21"/>
                      <w:highlight w:val="none"/>
                      <w:u w:val="none"/>
                      <w:lang w:val="en-US" w:eastAsia="zh-CN"/>
                    </w:rPr>
                    <w:t>14</w:t>
                  </w:r>
                </w:p>
              </w:tc>
              <w:tc>
                <w:tcPr>
                  <w:tcW w:w="681" w:type="pct"/>
                  <w:noWrap w:val="0"/>
                  <w:vAlign w:val="center"/>
                </w:tcPr>
                <w:p w14:paraId="46A382F9">
                  <w:pPr>
                    <w:adjustRightInd w:val="0"/>
                    <w:snapToGrid w:val="0"/>
                    <w:spacing w:line="240" w:lineRule="auto"/>
                    <w:jc w:val="center"/>
                    <w:rPr>
                      <w:rFonts w:hint="default" w:cs="Times New Roman"/>
                      <w:color w:val="auto"/>
                      <w:kern w:val="0"/>
                      <w:sz w:val="21"/>
                      <w:szCs w:val="21"/>
                      <w:highlight w:val="none"/>
                      <w:shd w:val="clear" w:color="auto" w:fill="auto"/>
                      <w:lang w:val="en-US" w:eastAsia="zh-CN"/>
                    </w:rPr>
                  </w:pPr>
                  <w:r>
                    <w:rPr>
                      <w:rFonts w:hint="eastAsia" w:cs="Times New Roman"/>
                      <w:color w:val="auto"/>
                      <w:kern w:val="0"/>
                      <w:sz w:val="21"/>
                      <w:szCs w:val="21"/>
                      <w:highlight w:val="none"/>
                      <w:shd w:val="clear" w:color="auto" w:fill="auto"/>
                      <w:lang w:val="en-US" w:eastAsia="zh-CN"/>
                    </w:rPr>
                    <w:t>4</w:t>
                  </w:r>
                </w:p>
              </w:tc>
              <w:tc>
                <w:tcPr>
                  <w:tcW w:w="681" w:type="pct"/>
                  <w:noWrap w:val="0"/>
                  <w:vAlign w:val="center"/>
                </w:tcPr>
                <w:p w14:paraId="24C7D947">
                  <w:pPr>
                    <w:adjustRightInd w:val="0"/>
                    <w:snapToGrid w:val="0"/>
                    <w:spacing w:line="240" w:lineRule="auto"/>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r w14:paraId="72820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3" w:type="pct"/>
                  <w:vMerge w:val="continue"/>
                  <w:noWrap w:val="0"/>
                  <w:vAlign w:val="center"/>
                </w:tcPr>
                <w:p w14:paraId="5DA7AFE7">
                  <w:pPr>
                    <w:jc w:val="center"/>
                    <w:rPr>
                      <w:rFonts w:hint="eastAsia" w:ascii="Times New Roman" w:hAnsi="Times New Roman" w:eastAsia="宋体" w:cs="Times New Roman"/>
                      <w:color w:val="auto"/>
                      <w:kern w:val="0"/>
                      <w:sz w:val="21"/>
                      <w:szCs w:val="21"/>
                      <w:highlight w:val="none"/>
                      <w:lang w:val="en-US" w:eastAsia="zh-CN"/>
                    </w:rPr>
                  </w:pPr>
                </w:p>
              </w:tc>
              <w:tc>
                <w:tcPr>
                  <w:tcW w:w="1302" w:type="pct"/>
                  <w:noWrap w:val="0"/>
                  <w:vAlign w:val="center"/>
                </w:tcPr>
                <w:p w14:paraId="0CB97EC4">
                  <w:pPr>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粉色粉料</w:t>
                  </w:r>
                </w:p>
              </w:tc>
              <w:tc>
                <w:tcPr>
                  <w:tcW w:w="1019" w:type="pct"/>
                  <w:noWrap w:val="0"/>
                  <w:vAlign w:val="center"/>
                </w:tcPr>
                <w:p w14:paraId="60B402A9">
                  <w:pPr>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t/a</w:t>
                  </w:r>
                </w:p>
              </w:tc>
              <w:tc>
                <w:tcPr>
                  <w:tcW w:w="1400" w:type="dxa"/>
                  <w:shd w:val="clear" w:color="auto" w:fill="auto"/>
                  <w:noWrap w:val="0"/>
                  <w:vAlign w:val="center"/>
                </w:tcPr>
                <w:p w14:paraId="71691AAA">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cs="Times New Roman"/>
                      <w:i w:val="0"/>
                      <w:iCs w:val="0"/>
                      <w:color w:val="auto"/>
                      <w:sz w:val="21"/>
                      <w:szCs w:val="21"/>
                      <w:highlight w:val="none"/>
                      <w:u w:val="none"/>
                      <w:lang w:val="en-US" w:eastAsia="zh-CN"/>
                    </w:rPr>
                    <w:t>14</w:t>
                  </w:r>
                </w:p>
              </w:tc>
              <w:tc>
                <w:tcPr>
                  <w:tcW w:w="681" w:type="pct"/>
                  <w:noWrap w:val="0"/>
                  <w:vAlign w:val="center"/>
                </w:tcPr>
                <w:p w14:paraId="11C696DB">
                  <w:pPr>
                    <w:adjustRightInd w:val="0"/>
                    <w:snapToGrid w:val="0"/>
                    <w:spacing w:line="240" w:lineRule="auto"/>
                    <w:jc w:val="center"/>
                    <w:rPr>
                      <w:rFonts w:hint="default" w:cs="Times New Roman"/>
                      <w:color w:val="auto"/>
                      <w:kern w:val="0"/>
                      <w:sz w:val="21"/>
                      <w:szCs w:val="21"/>
                      <w:highlight w:val="none"/>
                      <w:shd w:val="clear" w:color="auto" w:fill="auto"/>
                      <w:lang w:val="en-US" w:eastAsia="zh-CN"/>
                    </w:rPr>
                  </w:pPr>
                  <w:r>
                    <w:rPr>
                      <w:rFonts w:hint="eastAsia" w:cs="Times New Roman"/>
                      <w:color w:val="auto"/>
                      <w:kern w:val="0"/>
                      <w:sz w:val="21"/>
                      <w:szCs w:val="21"/>
                      <w:highlight w:val="none"/>
                      <w:shd w:val="clear" w:color="auto" w:fill="auto"/>
                      <w:lang w:val="en-US" w:eastAsia="zh-CN"/>
                    </w:rPr>
                    <w:t>4</w:t>
                  </w:r>
                </w:p>
              </w:tc>
              <w:tc>
                <w:tcPr>
                  <w:tcW w:w="681" w:type="pct"/>
                  <w:noWrap w:val="0"/>
                  <w:vAlign w:val="center"/>
                </w:tcPr>
                <w:p w14:paraId="2FDB9081">
                  <w:pPr>
                    <w:adjustRightInd w:val="0"/>
                    <w:snapToGrid w:val="0"/>
                    <w:spacing w:line="240" w:lineRule="auto"/>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r w14:paraId="087F9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53" w:type="pct"/>
                  <w:vMerge w:val="restart"/>
                  <w:noWrap w:val="0"/>
                  <w:vAlign w:val="center"/>
                </w:tcPr>
                <w:p w14:paraId="202F4671">
                  <w:pPr>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电泳涂装工段</w:t>
                  </w:r>
                </w:p>
              </w:tc>
              <w:tc>
                <w:tcPr>
                  <w:tcW w:w="1302" w:type="pct"/>
                  <w:shd w:val="clear" w:color="auto" w:fill="auto"/>
                  <w:noWrap w:val="0"/>
                  <w:vAlign w:val="center"/>
                </w:tcPr>
                <w:p w14:paraId="59BBF94F">
                  <w:pPr>
                    <w:jc w:val="center"/>
                    <w:rPr>
                      <w:rFonts w:hint="default" w:ascii="Times New Roman" w:hAnsi="Times New Roman" w:cs="Times New Roman"/>
                      <w:color w:val="auto"/>
                      <w:kern w:val="0"/>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bidi="ar-SA"/>
                    </w:rPr>
                    <w:t>脱脂剂</w:t>
                  </w:r>
                </w:p>
              </w:tc>
              <w:tc>
                <w:tcPr>
                  <w:tcW w:w="1019" w:type="pct"/>
                  <w:shd w:val="clear" w:color="auto" w:fill="auto"/>
                  <w:noWrap w:val="0"/>
                  <w:vAlign w:val="center"/>
                </w:tcPr>
                <w:p w14:paraId="752A8F82">
                  <w:pPr>
                    <w:jc w:val="center"/>
                    <w:rPr>
                      <w:rFonts w:hint="default" w:ascii="Times New Roman" w:hAnsi="Times New Roman" w:cs="Times New Roman"/>
                      <w:b w:val="0"/>
                      <w:bCs w:val="0"/>
                      <w:color w:val="auto"/>
                      <w:sz w:val="21"/>
                      <w:szCs w:val="21"/>
                      <w:highlight w:val="none"/>
                      <w:lang w:val="en-US" w:eastAsia="zh-CN"/>
                    </w:rPr>
                  </w:pPr>
                  <w:r>
                    <w:rPr>
                      <w:rFonts w:hint="eastAsia" w:cs="Times New Roman"/>
                      <w:color w:val="auto"/>
                      <w:kern w:val="0"/>
                      <w:sz w:val="21"/>
                      <w:szCs w:val="21"/>
                      <w:highlight w:val="none"/>
                      <w:lang w:val="en-US" w:eastAsia="zh-CN"/>
                    </w:rPr>
                    <w:t>t/a</w:t>
                  </w:r>
                </w:p>
              </w:tc>
              <w:tc>
                <w:tcPr>
                  <w:tcW w:w="862" w:type="pct"/>
                  <w:noWrap w:val="0"/>
                  <w:vAlign w:val="center"/>
                </w:tcPr>
                <w:p w14:paraId="1EBCCC86">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b w:val="0"/>
                      <w:bCs w:val="0"/>
                      <w:color w:val="auto"/>
                      <w:kern w:val="2"/>
                      <w:sz w:val="21"/>
                      <w:szCs w:val="21"/>
                      <w:highlight w:val="none"/>
                      <w:lang w:val="en-US" w:eastAsia="zh-CN" w:bidi="ar-SA"/>
                    </w:rPr>
                    <w:t>10</w:t>
                  </w:r>
                </w:p>
              </w:tc>
              <w:tc>
                <w:tcPr>
                  <w:tcW w:w="681" w:type="pct"/>
                  <w:noWrap w:val="0"/>
                  <w:vAlign w:val="center"/>
                </w:tcPr>
                <w:p w14:paraId="57B57F45">
                  <w:pPr>
                    <w:adjustRightInd w:val="0"/>
                    <w:snapToGrid w:val="0"/>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1</w:t>
                  </w:r>
                </w:p>
              </w:tc>
              <w:tc>
                <w:tcPr>
                  <w:tcW w:w="681" w:type="pct"/>
                  <w:noWrap w:val="0"/>
                  <w:vAlign w:val="center"/>
                </w:tcPr>
                <w:p w14:paraId="7BD3A913">
                  <w:pPr>
                    <w:adjustRightInd w:val="0"/>
                    <w:snapToGrid w:val="0"/>
                    <w:spacing w:line="240" w:lineRule="auto"/>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r w14:paraId="38E0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53" w:type="pct"/>
                  <w:vMerge w:val="continue"/>
                  <w:noWrap w:val="0"/>
                  <w:vAlign w:val="center"/>
                </w:tcPr>
                <w:p w14:paraId="3409103D">
                  <w:pPr>
                    <w:jc w:val="center"/>
                    <w:rPr>
                      <w:rFonts w:hint="default" w:ascii="Times New Roman" w:hAnsi="Times New Roman" w:cs="Times New Roman"/>
                      <w:color w:val="auto"/>
                      <w:kern w:val="0"/>
                      <w:sz w:val="21"/>
                      <w:szCs w:val="21"/>
                      <w:highlight w:val="none"/>
                      <w:lang w:val="en-US" w:eastAsia="zh-CN"/>
                    </w:rPr>
                  </w:pPr>
                </w:p>
              </w:tc>
              <w:tc>
                <w:tcPr>
                  <w:tcW w:w="1302" w:type="pct"/>
                  <w:shd w:val="clear" w:color="auto" w:fill="auto"/>
                  <w:noWrap w:val="0"/>
                  <w:vAlign w:val="center"/>
                </w:tcPr>
                <w:p w14:paraId="74751F27">
                  <w:pPr>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bidi="ar-SA"/>
                    </w:rPr>
                    <w:t>脱脂助剂</w:t>
                  </w:r>
                </w:p>
              </w:tc>
              <w:tc>
                <w:tcPr>
                  <w:tcW w:w="1019" w:type="pct"/>
                  <w:shd w:val="clear" w:color="auto" w:fill="auto"/>
                  <w:noWrap w:val="0"/>
                  <w:vAlign w:val="center"/>
                </w:tcPr>
                <w:p w14:paraId="2A33EE44">
                  <w:pPr>
                    <w:jc w:val="center"/>
                    <w:rPr>
                      <w:rFonts w:hint="default" w:ascii="Times New Roman" w:hAnsi="Times New Roman" w:cs="Times New Roman"/>
                      <w:b w:val="0"/>
                      <w:bCs w:val="0"/>
                      <w:color w:val="auto"/>
                      <w:sz w:val="21"/>
                      <w:szCs w:val="21"/>
                      <w:highlight w:val="none"/>
                      <w:lang w:val="en-US" w:eastAsia="zh-CN"/>
                    </w:rPr>
                  </w:pPr>
                  <w:r>
                    <w:rPr>
                      <w:rFonts w:hint="eastAsia" w:cs="Times New Roman"/>
                      <w:color w:val="auto"/>
                      <w:kern w:val="0"/>
                      <w:sz w:val="21"/>
                      <w:szCs w:val="21"/>
                      <w:highlight w:val="none"/>
                      <w:lang w:val="en-US" w:eastAsia="zh-CN"/>
                    </w:rPr>
                    <w:t>t/a</w:t>
                  </w:r>
                </w:p>
              </w:tc>
              <w:tc>
                <w:tcPr>
                  <w:tcW w:w="862" w:type="pct"/>
                  <w:noWrap w:val="0"/>
                  <w:vAlign w:val="center"/>
                </w:tcPr>
                <w:p w14:paraId="796F8EE0">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b w:val="0"/>
                      <w:bCs w:val="0"/>
                      <w:color w:val="auto"/>
                      <w:sz w:val="21"/>
                      <w:szCs w:val="21"/>
                      <w:highlight w:val="none"/>
                      <w:lang w:val="en-US" w:eastAsia="zh-CN"/>
                    </w:rPr>
                    <w:t>4</w:t>
                  </w:r>
                </w:p>
              </w:tc>
              <w:tc>
                <w:tcPr>
                  <w:tcW w:w="681" w:type="pct"/>
                  <w:noWrap w:val="0"/>
                  <w:vAlign w:val="center"/>
                </w:tcPr>
                <w:p w14:paraId="5FFC85F6">
                  <w:pPr>
                    <w:adjustRightInd w:val="0"/>
                    <w:snapToGrid w:val="0"/>
                    <w:spacing w:line="240" w:lineRule="auto"/>
                    <w:jc w:val="center"/>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4</w:t>
                  </w:r>
                </w:p>
              </w:tc>
              <w:tc>
                <w:tcPr>
                  <w:tcW w:w="681" w:type="pct"/>
                  <w:noWrap w:val="0"/>
                  <w:vAlign w:val="center"/>
                </w:tcPr>
                <w:p w14:paraId="2385949C">
                  <w:pPr>
                    <w:adjustRightInd w:val="0"/>
                    <w:snapToGrid w:val="0"/>
                    <w:spacing w:line="240" w:lineRule="auto"/>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r w14:paraId="1C50A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53" w:type="pct"/>
                  <w:vMerge w:val="continue"/>
                  <w:noWrap w:val="0"/>
                  <w:vAlign w:val="center"/>
                </w:tcPr>
                <w:p w14:paraId="3160A3C7">
                  <w:pPr>
                    <w:jc w:val="center"/>
                    <w:rPr>
                      <w:rFonts w:hint="default" w:ascii="Times New Roman" w:hAnsi="Times New Roman" w:cs="Times New Roman"/>
                      <w:color w:val="auto"/>
                      <w:kern w:val="0"/>
                      <w:sz w:val="21"/>
                      <w:szCs w:val="21"/>
                      <w:highlight w:val="none"/>
                      <w:lang w:val="en-US" w:eastAsia="zh-CN"/>
                    </w:rPr>
                  </w:pPr>
                </w:p>
              </w:tc>
              <w:tc>
                <w:tcPr>
                  <w:tcW w:w="1302" w:type="pct"/>
                  <w:shd w:val="clear" w:color="auto" w:fill="auto"/>
                  <w:noWrap w:val="0"/>
                  <w:vAlign w:val="center"/>
                </w:tcPr>
                <w:p w14:paraId="312FA47C">
                  <w:pPr>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除油粉</w:t>
                  </w:r>
                </w:p>
              </w:tc>
              <w:tc>
                <w:tcPr>
                  <w:tcW w:w="1019" w:type="pct"/>
                  <w:shd w:val="clear" w:color="auto" w:fill="auto"/>
                  <w:noWrap w:val="0"/>
                  <w:vAlign w:val="center"/>
                </w:tcPr>
                <w:p w14:paraId="740A2D53">
                  <w:pPr>
                    <w:jc w:val="center"/>
                    <w:rPr>
                      <w:rFonts w:hint="default" w:ascii="Times New Roman" w:hAnsi="Times New Roman" w:cs="Times New Roman"/>
                      <w:b w:val="0"/>
                      <w:bCs w:val="0"/>
                      <w:color w:val="auto"/>
                      <w:sz w:val="21"/>
                      <w:szCs w:val="21"/>
                      <w:highlight w:val="none"/>
                      <w:lang w:val="en-US" w:eastAsia="zh-CN"/>
                    </w:rPr>
                  </w:pPr>
                  <w:r>
                    <w:rPr>
                      <w:rFonts w:hint="eastAsia" w:cs="Times New Roman"/>
                      <w:color w:val="auto"/>
                      <w:kern w:val="0"/>
                      <w:sz w:val="21"/>
                      <w:szCs w:val="21"/>
                      <w:highlight w:val="none"/>
                      <w:lang w:val="en-US" w:eastAsia="zh-CN"/>
                    </w:rPr>
                    <w:t>t/a</w:t>
                  </w:r>
                </w:p>
              </w:tc>
              <w:tc>
                <w:tcPr>
                  <w:tcW w:w="862" w:type="pct"/>
                  <w:noWrap w:val="0"/>
                  <w:vAlign w:val="center"/>
                </w:tcPr>
                <w:p w14:paraId="17E0E871">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b w:val="0"/>
                      <w:bCs w:val="0"/>
                      <w:color w:val="auto"/>
                      <w:sz w:val="21"/>
                      <w:szCs w:val="21"/>
                      <w:highlight w:val="none"/>
                      <w:lang w:val="en-US" w:eastAsia="zh-CN"/>
                    </w:rPr>
                    <w:t>2</w:t>
                  </w:r>
                </w:p>
              </w:tc>
              <w:tc>
                <w:tcPr>
                  <w:tcW w:w="681" w:type="pct"/>
                  <w:noWrap w:val="0"/>
                  <w:vAlign w:val="center"/>
                </w:tcPr>
                <w:p w14:paraId="6F34579D">
                  <w:pPr>
                    <w:adjustRightInd w:val="0"/>
                    <w:snapToGrid w:val="0"/>
                    <w:spacing w:line="240" w:lineRule="auto"/>
                    <w:jc w:val="center"/>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w:t>
                  </w:r>
                </w:p>
              </w:tc>
              <w:tc>
                <w:tcPr>
                  <w:tcW w:w="681" w:type="pct"/>
                  <w:noWrap w:val="0"/>
                  <w:vAlign w:val="center"/>
                </w:tcPr>
                <w:p w14:paraId="243F90FA">
                  <w:pPr>
                    <w:adjustRightInd w:val="0"/>
                    <w:snapToGrid w:val="0"/>
                    <w:spacing w:line="240" w:lineRule="auto"/>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r w14:paraId="3FC6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53" w:type="pct"/>
                  <w:vMerge w:val="continue"/>
                  <w:noWrap w:val="0"/>
                  <w:vAlign w:val="center"/>
                </w:tcPr>
                <w:p w14:paraId="13B1C29C">
                  <w:pPr>
                    <w:jc w:val="center"/>
                    <w:rPr>
                      <w:rFonts w:hint="default" w:ascii="Times New Roman" w:hAnsi="Times New Roman" w:cs="Times New Roman"/>
                      <w:color w:val="auto"/>
                      <w:kern w:val="0"/>
                      <w:sz w:val="21"/>
                      <w:szCs w:val="21"/>
                      <w:highlight w:val="none"/>
                      <w:lang w:val="en-US" w:eastAsia="zh-CN"/>
                    </w:rPr>
                  </w:pPr>
                </w:p>
              </w:tc>
              <w:tc>
                <w:tcPr>
                  <w:tcW w:w="1302" w:type="pct"/>
                  <w:shd w:val="clear" w:color="auto" w:fill="auto"/>
                  <w:noWrap w:val="0"/>
                  <w:vAlign w:val="center"/>
                </w:tcPr>
                <w:p w14:paraId="396EAC79">
                  <w:pPr>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促进剂</w:t>
                  </w:r>
                </w:p>
              </w:tc>
              <w:tc>
                <w:tcPr>
                  <w:tcW w:w="1019" w:type="pct"/>
                  <w:shd w:val="clear" w:color="auto" w:fill="auto"/>
                  <w:noWrap w:val="0"/>
                  <w:vAlign w:val="center"/>
                </w:tcPr>
                <w:p w14:paraId="0A2A749B">
                  <w:pPr>
                    <w:jc w:val="center"/>
                    <w:rPr>
                      <w:rFonts w:hint="default" w:ascii="Times New Roman" w:hAnsi="Times New Roman" w:cs="Times New Roman"/>
                      <w:b w:val="0"/>
                      <w:bCs w:val="0"/>
                      <w:color w:val="auto"/>
                      <w:sz w:val="21"/>
                      <w:szCs w:val="21"/>
                      <w:highlight w:val="none"/>
                      <w:lang w:val="en-US" w:eastAsia="zh-CN"/>
                    </w:rPr>
                  </w:pPr>
                  <w:r>
                    <w:rPr>
                      <w:rFonts w:hint="eastAsia" w:cs="Times New Roman"/>
                      <w:color w:val="auto"/>
                      <w:kern w:val="0"/>
                      <w:sz w:val="21"/>
                      <w:szCs w:val="21"/>
                      <w:highlight w:val="none"/>
                      <w:lang w:val="en-US" w:eastAsia="zh-CN"/>
                    </w:rPr>
                    <w:t>t/a</w:t>
                  </w:r>
                </w:p>
              </w:tc>
              <w:tc>
                <w:tcPr>
                  <w:tcW w:w="862" w:type="pct"/>
                  <w:noWrap w:val="0"/>
                  <w:vAlign w:val="center"/>
                </w:tcPr>
                <w:p w14:paraId="6E59B3CF">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b w:val="0"/>
                      <w:bCs w:val="0"/>
                      <w:color w:val="auto"/>
                      <w:sz w:val="21"/>
                      <w:szCs w:val="21"/>
                      <w:highlight w:val="none"/>
                      <w:lang w:val="en-US" w:eastAsia="zh-CN"/>
                    </w:rPr>
                    <w:t>2</w:t>
                  </w:r>
                </w:p>
              </w:tc>
              <w:tc>
                <w:tcPr>
                  <w:tcW w:w="681" w:type="pct"/>
                  <w:noWrap w:val="0"/>
                  <w:vAlign w:val="center"/>
                </w:tcPr>
                <w:p w14:paraId="2DBEB093">
                  <w:pPr>
                    <w:adjustRightInd w:val="0"/>
                    <w:snapToGrid w:val="0"/>
                    <w:spacing w:line="240" w:lineRule="auto"/>
                    <w:jc w:val="center"/>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w:t>
                  </w:r>
                </w:p>
              </w:tc>
              <w:tc>
                <w:tcPr>
                  <w:tcW w:w="681" w:type="pct"/>
                  <w:noWrap w:val="0"/>
                  <w:vAlign w:val="center"/>
                </w:tcPr>
                <w:p w14:paraId="14A2AB0D">
                  <w:pPr>
                    <w:adjustRightInd w:val="0"/>
                    <w:snapToGrid w:val="0"/>
                    <w:spacing w:line="240" w:lineRule="auto"/>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r w14:paraId="02810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53" w:type="pct"/>
                  <w:vMerge w:val="continue"/>
                  <w:noWrap w:val="0"/>
                  <w:vAlign w:val="center"/>
                </w:tcPr>
                <w:p w14:paraId="360B8BF0">
                  <w:pPr>
                    <w:jc w:val="center"/>
                    <w:rPr>
                      <w:rFonts w:hint="default" w:ascii="Times New Roman" w:hAnsi="Times New Roman" w:cs="Times New Roman"/>
                      <w:color w:val="auto"/>
                      <w:kern w:val="0"/>
                      <w:sz w:val="21"/>
                      <w:szCs w:val="21"/>
                      <w:highlight w:val="none"/>
                      <w:lang w:val="en-US" w:eastAsia="zh-CN"/>
                    </w:rPr>
                  </w:pPr>
                </w:p>
              </w:tc>
              <w:tc>
                <w:tcPr>
                  <w:tcW w:w="1302" w:type="pct"/>
                  <w:shd w:val="clear" w:color="auto" w:fill="auto"/>
                  <w:noWrap w:val="0"/>
                  <w:vAlign w:val="center"/>
                </w:tcPr>
                <w:p w14:paraId="191A321D">
                  <w:pPr>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表调粉</w:t>
                  </w:r>
                </w:p>
              </w:tc>
              <w:tc>
                <w:tcPr>
                  <w:tcW w:w="1019" w:type="pct"/>
                  <w:shd w:val="clear" w:color="auto" w:fill="auto"/>
                  <w:noWrap w:val="0"/>
                  <w:vAlign w:val="center"/>
                </w:tcPr>
                <w:p w14:paraId="0D47D344">
                  <w:pPr>
                    <w:jc w:val="center"/>
                    <w:rPr>
                      <w:rFonts w:hint="default" w:ascii="Times New Roman" w:hAnsi="Times New Roman" w:cs="Times New Roman"/>
                      <w:b w:val="0"/>
                      <w:bCs w:val="0"/>
                      <w:color w:val="auto"/>
                      <w:sz w:val="21"/>
                      <w:szCs w:val="21"/>
                      <w:highlight w:val="none"/>
                      <w:lang w:val="en-US" w:eastAsia="zh-CN"/>
                    </w:rPr>
                  </w:pPr>
                  <w:r>
                    <w:rPr>
                      <w:rFonts w:hint="eastAsia" w:cs="Times New Roman"/>
                      <w:color w:val="auto"/>
                      <w:kern w:val="0"/>
                      <w:sz w:val="21"/>
                      <w:szCs w:val="21"/>
                      <w:highlight w:val="none"/>
                      <w:lang w:val="en-US" w:eastAsia="zh-CN"/>
                    </w:rPr>
                    <w:t>t/a</w:t>
                  </w:r>
                </w:p>
              </w:tc>
              <w:tc>
                <w:tcPr>
                  <w:tcW w:w="862" w:type="pct"/>
                  <w:noWrap w:val="0"/>
                  <w:vAlign w:val="center"/>
                </w:tcPr>
                <w:p w14:paraId="5667C6B6">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b w:val="0"/>
                      <w:bCs w:val="0"/>
                      <w:color w:val="auto"/>
                      <w:kern w:val="2"/>
                      <w:sz w:val="21"/>
                      <w:szCs w:val="21"/>
                      <w:highlight w:val="none"/>
                      <w:lang w:val="en-US" w:eastAsia="zh-CN" w:bidi="ar-SA"/>
                    </w:rPr>
                    <w:t>0.24</w:t>
                  </w:r>
                </w:p>
              </w:tc>
              <w:tc>
                <w:tcPr>
                  <w:tcW w:w="681" w:type="pct"/>
                  <w:noWrap w:val="0"/>
                  <w:vAlign w:val="center"/>
                </w:tcPr>
                <w:p w14:paraId="7D45B20D">
                  <w:pPr>
                    <w:adjustRightInd w:val="0"/>
                    <w:snapToGrid w:val="0"/>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0.24</w:t>
                  </w:r>
                </w:p>
              </w:tc>
              <w:tc>
                <w:tcPr>
                  <w:tcW w:w="681" w:type="pct"/>
                  <w:noWrap w:val="0"/>
                  <w:vAlign w:val="center"/>
                </w:tcPr>
                <w:p w14:paraId="06FC459D">
                  <w:pPr>
                    <w:adjustRightInd w:val="0"/>
                    <w:snapToGrid w:val="0"/>
                    <w:spacing w:line="240" w:lineRule="auto"/>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r w14:paraId="300C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3" w:type="pct"/>
                  <w:vMerge w:val="continue"/>
                  <w:noWrap w:val="0"/>
                  <w:vAlign w:val="center"/>
                </w:tcPr>
                <w:p w14:paraId="45E401A1">
                  <w:pPr>
                    <w:jc w:val="center"/>
                    <w:rPr>
                      <w:rFonts w:hint="default" w:ascii="Times New Roman" w:hAnsi="Times New Roman" w:cs="Times New Roman"/>
                      <w:color w:val="auto"/>
                      <w:kern w:val="0"/>
                      <w:sz w:val="21"/>
                      <w:szCs w:val="21"/>
                      <w:highlight w:val="none"/>
                      <w:lang w:val="en-US" w:eastAsia="zh-CN"/>
                    </w:rPr>
                  </w:pPr>
                </w:p>
              </w:tc>
              <w:tc>
                <w:tcPr>
                  <w:tcW w:w="1302" w:type="pct"/>
                  <w:shd w:val="clear" w:color="auto" w:fill="auto"/>
                  <w:noWrap w:val="0"/>
                  <w:vAlign w:val="center"/>
                </w:tcPr>
                <w:p w14:paraId="17C2C39D">
                  <w:pPr>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无镍磷化液</w:t>
                  </w:r>
                </w:p>
              </w:tc>
              <w:tc>
                <w:tcPr>
                  <w:tcW w:w="1019" w:type="pct"/>
                  <w:shd w:val="clear" w:color="auto" w:fill="auto"/>
                  <w:noWrap w:val="0"/>
                  <w:vAlign w:val="center"/>
                </w:tcPr>
                <w:p w14:paraId="5226F207">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color w:val="auto"/>
                      <w:kern w:val="0"/>
                      <w:sz w:val="21"/>
                      <w:szCs w:val="21"/>
                      <w:highlight w:val="none"/>
                      <w:lang w:val="en-US" w:eastAsia="zh-CN"/>
                    </w:rPr>
                    <w:t>t/a</w:t>
                  </w:r>
                </w:p>
              </w:tc>
              <w:tc>
                <w:tcPr>
                  <w:tcW w:w="862" w:type="pct"/>
                  <w:noWrap w:val="0"/>
                  <w:vAlign w:val="center"/>
                </w:tcPr>
                <w:p w14:paraId="5EA7A945">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b w:val="0"/>
                      <w:bCs w:val="0"/>
                      <w:color w:val="auto"/>
                      <w:kern w:val="2"/>
                      <w:sz w:val="21"/>
                      <w:szCs w:val="21"/>
                      <w:highlight w:val="none"/>
                      <w:lang w:val="en-US" w:eastAsia="zh-CN" w:bidi="ar-SA"/>
                    </w:rPr>
                    <w:t>12</w:t>
                  </w:r>
                </w:p>
              </w:tc>
              <w:tc>
                <w:tcPr>
                  <w:tcW w:w="681" w:type="pct"/>
                  <w:noWrap w:val="0"/>
                  <w:vAlign w:val="center"/>
                </w:tcPr>
                <w:p w14:paraId="10413A63">
                  <w:pPr>
                    <w:adjustRightInd w:val="0"/>
                    <w:snapToGrid w:val="0"/>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1</w:t>
                  </w:r>
                </w:p>
              </w:tc>
              <w:tc>
                <w:tcPr>
                  <w:tcW w:w="681" w:type="pct"/>
                  <w:noWrap w:val="0"/>
                  <w:vAlign w:val="center"/>
                </w:tcPr>
                <w:p w14:paraId="2115508F">
                  <w:pPr>
                    <w:adjustRightInd w:val="0"/>
                    <w:snapToGrid w:val="0"/>
                    <w:spacing w:line="240" w:lineRule="auto"/>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r w14:paraId="1A406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3" w:type="pct"/>
                  <w:vMerge w:val="continue"/>
                  <w:noWrap w:val="0"/>
                  <w:vAlign w:val="center"/>
                </w:tcPr>
                <w:p w14:paraId="647279ED">
                  <w:pPr>
                    <w:jc w:val="center"/>
                    <w:rPr>
                      <w:rFonts w:hint="default" w:ascii="Times New Roman" w:hAnsi="Times New Roman" w:cs="Times New Roman"/>
                      <w:color w:val="auto"/>
                      <w:kern w:val="0"/>
                      <w:sz w:val="21"/>
                      <w:szCs w:val="21"/>
                      <w:highlight w:val="none"/>
                      <w:lang w:val="en-US" w:eastAsia="zh-CN"/>
                    </w:rPr>
                  </w:pPr>
                </w:p>
              </w:tc>
              <w:tc>
                <w:tcPr>
                  <w:tcW w:w="1302" w:type="pct"/>
                  <w:shd w:val="clear" w:color="auto" w:fill="auto"/>
                  <w:noWrap w:val="0"/>
                  <w:vAlign w:val="center"/>
                </w:tcPr>
                <w:p w14:paraId="218F5139">
                  <w:pPr>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bidi="ar-SA"/>
                    </w:rPr>
                    <w:t>环氧树脂电泳涂料</w:t>
                  </w:r>
                </w:p>
              </w:tc>
              <w:tc>
                <w:tcPr>
                  <w:tcW w:w="1019" w:type="pct"/>
                  <w:shd w:val="clear" w:color="auto" w:fill="auto"/>
                  <w:noWrap w:val="0"/>
                  <w:vAlign w:val="center"/>
                </w:tcPr>
                <w:p w14:paraId="47BE6F23">
                  <w:pPr>
                    <w:jc w:val="center"/>
                    <w:rPr>
                      <w:rFonts w:hint="default" w:ascii="Times New Roman" w:hAnsi="Times New Roman" w:cs="Times New Roman"/>
                      <w:b w:val="0"/>
                      <w:bCs w:val="0"/>
                      <w:color w:val="auto"/>
                      <w:sz w:val="21"/>
                      <w:szCs w:val="21"/>
                      <w:highlight w:val="none"/>
                      <w:lang w:val="en-US" w:eastAsia="zh-CN"/>
                    </w:rPr>
                  </w:pPr>
                  <w:r>
                    <w:rPr>
                      <w:rFonts w:hint="eastAsia" w:cs="Times New Roman"/>
                      <w:color w:val="auto"/>
                      <w:kern w:val="0"/>
                      <w:sz w:val="21"/>
                      <w:szCs w:val="21"/>
                      <w:highlight w:val="none"/>
                      <w:lang w:val="en-US" w:eastAsia="zh-CN"/>
                    </w:rPr>
                    <w:t>t/a</w:t>
                  </w:r>
                </w:p>
              </w:tc>
              <w:tc>
                <w:tcPr>
                  <w:tcW w:w="862" w:type="pct"/>
                  <w:noWrap w:val="0"/>
                  <w:vAlign w:val="center"/>
                </w:tcPr>
                <w:p w14:paraId="24B7DFCE">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b w:val="0"/>
                      <w:bCs w:val="0"/>
                      <w:color w:val="auto"/>
                      <w:kern w:val="2"/>
                      <w:sz w:val="21"/>
                      <w:szCs w:val="21"/>
                      <w:highlight w:val="none"/>
                      <w:lang w:val="en-US" w:eastAsia="zh-CN" w:bidi="ar-SA"/>
                    </w:rPr>
                    <w:t>52</w:t>
                  </w:r>
                </w:p>
              </w:tc>
              <w:tc>
                <w:tcPr>
                  <w:tcW w:w="681" w:type="pct"/>
                  <w:noWrap w:val="0"/>
                  <w:vAlign w:val="center"/>
                </w:tcPr>
                <w:p w14:paraId="1F9ED51F">
                  <w:pPr>
                    <w:adjustRightInd w:val="0"/>
                    <w:snapToGrid w:val="0"/>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10</w:t>
                  </w:r>
                </w:p>
              </w:tc>
              <w:tc>
                <w:tcPr>
                  <w:tcW w:w="681" w:type="pct"/>
                  <w:noWrap w:val="0"/>
                  <w:vAlign w:val="center"/>
                </w:tcPr>
                <w:p w14:paraId="6CF05609">
                  <w:pPr>
                    <w:adjustRightInd w:val="0"/>
                    <w:snapToGrid w:val="0"/>
                    <w:spacing w:line="240" w:lineRule="auto"/>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r w14:paraId="18BD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3" w:type="pct"/>
                  <w:vMerge w:val="restart"/>
                  <w:noWrap w:val="0"/>
                  <w:vAlign w:val="center"/>
                </w:tcPr>
                <w:p w14:paraId="0B406F48">
                  <w:pPr>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污水处理</w:t>
                  </w:r>
                </w:p>
              </w:tc>
              <w:tc>
                <w:tcPr>
                  <w:tcW w:w="1302" w:type="pct"/>
                  <w:shd w:val="clear" w:color="auto" w:fill="auto"/>
                  <w:noWrap w:val="0"/>
                  <w:vAlign w:val="center"/>
                </w:tcPr>
                <w:p w14:paraId="6487214A">
                  <w:pPr>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rPr>
                    <w:t>PAC</w:t>
                  </w:r>
                </w:p>
              </w:tc>
              <w:tc>
                <w:tcPr>
                  <w:tcW w:w="1019" w:type="pct"/>
                  <w:shd w:val="clear" w:color="auto" w:fill="auto"/>
                  <w:noWrap w:val="0"/>
                  <w:vAlign w:val="center"/>
                </w:tcPr>
                <w:p w14:paraId="7B63C6BE">
                  <w:pPr>
                    <w:jc w:val="center"/>
                    <w:rPr>
                      <w:rFonts w:hint="default" w:ascii="Times New Roman" w:hAnsi="Times New Roman" w:cs="Times New Roman"/>
                      <w:b w:val="0"/>
                      <w:bCs w:val="0"/>
                      <w:color w:val="auto"/>
                      <w:sz w:val="21"/>
                      <w:szCs w:val="21"/>
                      <w:highlight w:val="none"/>
                      <w:lang w:val="en-US" w:eastAsia="zh-CN"/>
                    </w:rPr>
                  </w:pPr>
                  <w:r>
                    <w:rPr>
                      <w:rFonts w:hint="eastAsia" w:cs="Times New Roman"/>
                      <w:color w:val="auto"/>
                      <w:kern w:val="0"/>
                      <w:sz w:val="21"/>
                      <w:szCs w:val="21"/>
                      <w:highlight w:val="none"/>
                      <w:lang w:val="en-US" w:eastAsia="zh-CN"/>
                    </w:rPr>
                    <w:t>t/a</w:t>
                  </w:r>
                </w:p>
              </w:tc>
              <w:tc>
                <w:tcPr>
                  <w:tcW w:w="862" w:type="pct"/>
                  <w:noWrap w:val="0"/>
                  <w:vAlign w:val="center"/>
                </w:tcPr>
                <w:p w14:paraId="55EDBD5D">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b w:val="0"/>
                      <w:bCs w:val="0"/>
                      <w:color w:val="auto"/>
                      <w:sz w:val="21"/>
                      <w:szCs w:val="21"/>
                      <w:highlight w:val="none"/>
                      <w:lang w:val="en-US" w:eastAsia="zh-CN"/>
                    </w:rPr>
                    <w:t>5</w:t>
                  </w:r>
                </w:p>
              </w:tc>
              <w:tc>
                <w:tcPr>
                  <w:tcW w:w="681" w:type="pct"/>
                  <w:noWrap w:val="0"/>
                  <w:vAlign w:val="center"/>
                </w:tcPr>
                <w:p w14:paraId="7FD4423B">
                  <w:pPr>
                    <w:adjustRightInd w:val="0"/>
                    <w:snapToGrid w:val="0"/>
                    <w:spacing w:line="240" w:lineRule="auto"/>
                    <w:jc w:val="center"/>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w:t>
                  </w:r>
                </w:p>
              </w:tc>
              <w:tc>
                <w:tcPr>
                  <w:tcW w:w="681" w:type="pct"/>
                  <w:noWrap w:val="0"/>
                  <w:vAlign w:val="center"/>
                </w:tcPr>
                <w:p w14:paraId="0C8B2713">
                  <w:pPr>
                    <w:adjustRightInd w:val="0"/>
                    <w:snapToGrid w:val="0"/>
                    <w:spacing w:line="240" w:lineRule="auto"/>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r w14:paraId="72DF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3" w:type="pct"/>
                  <w:vMerge w:val="continue"/>
                  <w:noWrap w:val="0"/>
                  <w:vAlign w:val="center"/>
                </w:tcPr>
                <w:p w14:paraId="6335B9E6">
                  <w:pPr>
                    <w:jc w:val="center"/>
                    <w:rPr>
                      <w:rFonts w:hint="default" w:ascii="Times New Roman" w:hAnsi="Times New Roman" w:cs="Times New Roman"/>
                      <w:color w:val="auto"/>
                      <w:kern w:val="0"/>
                      <w:sz w:val="21"/>
                      <w:szCs w:val="21"/>
                      <w:highlight w:val="none"/>
                      <w:lang w:val="en-US" w:eastAsia="zh-CN"/>
                    </w:rPr>
                  </w:pPr>
                </w:p>
              </w:tc>
              <w:tc>
                <w:tcPr>
                  <w:tcW w:w="1302" w:type="pct"/>
                  <w:shd w:val="clear" w:color="auto" w:fill="auto"/>
                  <w:noWrap w:val="0"/>
                  <w:vAlign w:val="center"/>
                </w:tcPr>
                <w:p w14:paraId="6497BBD0">
                  <w:pPr>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rPr>
                    <w:t>氢氧化钙</w:t>
                  </w:r>
                </w:p>
              </w:tc>
              <w:tc>
                <w:tcPr>
                  <w:tcW w:w="1019" w:type="pct"/>
                  <w:shd w:val="clear" w:color="auto" w:fill="auto"/>
                  <w:noWrap w:val="0"/>
                  <w:vAlign w:val="center"/>
                </w:tcPr>
                <w:p w14:paraId="4447652F">
                  <w:pPr>
                    <w:jc w:val="center"/>
                    <w:rPr>
                      <w:rFonts w:hint="default" w:ascii="Times New Roman" w:hAnsi="Times New Roman" w:cs="Times New Roman"/>
                      <w:b w:val="0"/>
                      <w:bCs w:val="0"/>
                      <w:color w:val="auto"/>
                      <w:sz w:val="21"/>
                      <w:szCs w:val="21"/>
                      <w:highlight w:val="none"/>
                      <w:lang w:val="en-US" w:eastAsia="zh-CN"/>
                    </w:rPr>
                  </w:pPr>
                  <w:r>
                    <w:rPr>
                      <w:rFonts w:hint="eastAsia" w:cs="Times New Roman"/>
                      <w:color w:val="auto"/>
                      <w:kern w:val="0"/>
                      <w:sz w:val="21"/>
                      <w:szCs w:val="21"/>
                      <w:highlight w:val="none"/>
                      <w:lang w:val="en-US" w:eastAsia="zh-CN"/>
                    </w:rPr>
                    <w:t>t/a</w:t>
                  </w:r>
                </w:p>
              </w:tc>
              <w:tc>
                <w:tcPr>
                  <w:tcW w:w="862" w:type="pct"/>
                  <w:noWrap w:val="0"/>
                  <w:vAlign w:val="center"/>
                </w:tcPr>
                <w:p w14:paraId="2CC7C262">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b w:val="0"/>
                      <w:bCs w:val="0"/>
                      <w:color w:val="auto"/>
                      <w:sz w:val="21"/>
                      <w:szCs w:val="21"/>
                      <w:highlight w:val="none"/>
                      <w:lang w:val="en-US" w:eastAsia="zh-CN"/>
                    </w:rPr>
                    <w:t>0.1</w:t>
                  </w:r>
                </w:p>
              </w:tc>
              <w:tc>
                <w:tcPr>
                  <w:tcW w:w="681" w:type="pct"/>
                  <w:noWrap w:val="0"/>
                  <w:vAlign w:val="center"/>
                </w:tcPr>
                <w:p w14:paraId="7BFCDC7F">
                  <w:pPr>
                    <w:adjustRightInd w:val="0"/>
                    <w:snapToGrid w:val="0"/>
                    <w:spacing w:line="240" w:lineRule="auto"/>
                    <w:jc w:val="center"/>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0.1</w:t>
                  </w:r>
                </w:p>
              </w:tc>
              <w:tc>
                <w:tcPr>
                  <w:tcW w:w="681" w:type="pct"/>
                  <w:noWrap w:val="0"/>
                  <w:vAlign w:val="center"/>
                </w:tcPr>
                <w:p w14:paraId="701CF0AA">
                  <w:pPr>
                    <w:adjustRightInd w:val="0"/>
                    <w:snapToGrid w:val="0"/>
                    <w:spacing w:line="240" w:lineRule="auto"/>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r w14:paraId="4B8F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3" w:type="pct"/>
                  <w:vMerge w:val="continue"/>
                  <w:noWrap w:val="0"/>
                  <w:vAlign w:val="center"/>
                </w:tcPr>
                <w:p w14:paraId="35DC2D0D">
                  <w:pPr>
                    <w:jc w:val="center"/>
                    <w:rPr>
                      <w:rFonts w:hint="default" w:ascii="Times New Roman" w:hAnsi="Times New Roman" w:cs="Times New Roman"/>
                      <w:color w:val="auto"/>
                      <w:kern w:val="0"/>
                      <w:sz w:val="21"/>
                      <w:szCs w:val="21"/>
                      <w:highlight w:val="none"/>
                      <w:lang w:val="en-US" w:eastAsia="zh-CN"/>
                    </w:rPr>
                  </w:pPr>
                </w:p>
              </w:tc>
              <w:tc>
                <w:tcPr>
                  <w:tcW w:w="1302" w:type="pct"/>
                  <w:shd w:val="clear" w:color="auto" w:fill="auto"/>
                  <w:noWrap w:val="0"/>
                  <w:vAlign w:val="center"/>
                </w:tcPr>
                <w:p w14:paraId="7FAE5930">
                  <w:pPr>
                    <w:jc w:val="center"/>
                    <w:rPr>
                      <w:rFonts w:hint="eastAsia"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破乳剂</w:t>
                  </w:r>
                </w:p>
              </w:tc>
              <w:tc>
                <w:tcPr>
                  <w:tcW w:w="1019" w:type="pct"/>
                  <w:shd w:val="clear" w:color="auto" w:fill="auto"/>
                  <w:noWrap w:val="0"/>
                  <w:vAlign w:val="center"/>
                </w:tcPr>
                <w:p w14:paraId="01211800">
                  <w:pPr>
                    <w:jc w:val="center"/>
                    <w:rPr>
                      <w:rFonts w:hint="eastAsia"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t/a</w:t>
                  </w:r>
                </w:p>
              </w:tc>
              <w:tc>
                <w:tcPr>
                  <w:tcW w:w="862" w:type="pct"/>
                  <w:noWrap w:val="0"/>
                  <w:vAlign w:val="center"/>
                </w:tcPr>
                <w:p w14:paraId="037467CF">
                  <w:pPr>
                    <w:adjustRightInd w:val="0"/>
                    <w:snapToGrid w:val="0"/>
                    <w:spacing w:line="240" w:lineRule="auto"/>
                    <w:jc w:val="center"/>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0.1</w:t>
                  </w:r>
                </w:p>
              </w:tc>
              <w:tc>
                <w:tcPr>
                  <w:tcW w:w="681" w:type="pct"/>
                  <w:noWrap w:val="0"/>
                  <w:vAlign w:val="center"/>
                </w:tcPr>
                <w:p w14:paraId="63E1D8F9">
                  <w:pPr>
                    <w:adjustRightInd w:val="0"/>
                    <w:snapToGrid w:val="0"/>
                    <w:spacing w:line="240" w:lineRule="auto"/>
                    <w:jc w:val="center"/>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0.1</w:t>
                  </w:r>
                </w:p>
              </w:tc>
              <w:tc>
                <w:tcPr>
                  <w:tcW w:w="681" w:type="pct"/>
                  <w:noWrap w:val="0"/>
                  <w:vAlign w:val="center"/>
                </w:tcPr>
                <w:p w14:paraId="3851D924">
                  <w:pPr>
                    <w:adjustRightInd w:val="0"/>
                    <w:snapToGrid w:val="0"/>
                    <w:spacing w:line="240" w:lineRule="auto"/>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r w14:paraId="3596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3" w:type="pct"/>
                  <w:vMerge w:val="continue"/>
                  <w:noWrap w:val="0"/>
                  <w:vAlign w:val="center"/>
                </w:tcPr>
                <w:p w14:paraId="09FC5B72">
                  <w:pPr>
                    <w:jc w:val="center"/>
                    <w:rPr>
                      <w:rFonts w:hint="default" w:ascii="Times New Roman" w:hAnsi="Times New Roman" w:cs="Times New Roman"/>
                      <w:color w:val="auto"/>
                      <w:kern w:val="0"/>
                      <w:sz w:val="21"/>
                      <w:szCs w:val="21"/>
                      <w:highlight w:val="none"/>
                      <w:lang w:val="en-US" w:eastAsia="zh-CN"/>
                    </w:rPr>
                  </w:pPr>
                </w:p>
              </w:tc>
              <w:tc>
                <w:tcPr>
                  <w:tcW w:w="1302" w:type="pct"/>
                  <w:shd w:val="clear" w:color="auto" w:fill="auto"/>
                  <w:noWrap w:val="0"/>
                  <w:vAlign w:val="center"/>
                </w:tcPr>
                <w:p w14:paraId="63A14082">
                  <w:pPr>
                    <w:jc w:val="center"/>
                    <w:rPr>
                      <w:rFonts w:hint="eastAsia"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PAM</w:t>
                  </w:r>
                </w:p>
              </w:tc>
              <w:tc>
                <w:tcPr>
                  <w:tcW w:w="1019" w:type="pct"/>
                  <w:shd w:val="clear" w:color="auto" w:fill="auto"/>
                  <w:noWrap w:val="0"/>
                  <w:vAlign w:val="center"/>
                </w:tcPr>
                <w:p w14:paraId="3C19A2E8">
                  <w:pPr>
                    <w:jc w:val="center"/>
                    <w:rPr>
                      <w:rFonts w:hint="eastAsia"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t/a</w:t>
                  </w:r>
                </w:p>
              </w:tc>
              <w:tc>
                <w:tcPr>
                  <w:tcW w:w="862" w:type="pct"/>
                  <w:noWrap w:val="0"/>
                  <w:vAlign w:val="center"/>
                </w:tcPr>
                <w:p w14:paraId="4BFD33CE">
                  <w:pPr>
                    <w:adjustRightInd w:val="0"/>
                    <w:snapToGrid w:val="0"/>
                    <w:spacing w:line="240" w:lineRule="auto"/>
                    <w:jc w:val="center"/>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0.3</w:t>
                  </w:r>
                </w:p>
              </w:tc>
              <w:tc>
                <w:tcPr>
                  <w:tcW w:w="681" w:type="pct"/>
                  <w:noWrap w:val="0"/>
                  <w:vAlign w:val="center"/>
                </w:tcPr>
                <w:p w14:paraId="7814956B">
                  <w:pPr>
                    <w:adjustRightInd w:val="0"/>
                    <w:snapToGrid w:val="0"/>
                    <w:spacing w:line="240" w:lineRule="auto"/>
                    <w:jc w:val="center"/>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0.3</w:t>
                  </w:r>
                </w:p>
              </w:tc>
              <w:tc>
                <w:tcPr>
                  <w:tcW w:w="681" w:type="pct"/>
                  <w:noWrap w:val="0"/>
                  <w:vAlign w:val="center"/>
                </w:tcPr>
                <w:p w14:paraId="3E575C47">
                  <w:pPr>
                    <w:adjustRightInd w:val="0"/>
                    <w:snapToGrid w:val="0"/>
                    <w:spacing w:line="240" w:lineRule="auto"/>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r w14:paraId="5D637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3" w:type="pct"/>
                  <w:vMerge w:val="restart"/>
                  <w:noWrap w:val="0"/>
                  <w:vAlign w:val="center"/>
                </w:tcPr>
                <w:p w14:paraId="44E0076B">
                  <w:pPr>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能源</w:t>
                  </w:r>
                </w:p>
              </w:tc>
              <w:tc>
                <w:tcPr>
                  <w:tcW w:w="1302" w:type="pct"/>
                  <w:noWrap w:val="0"/>
                  <w:vAlign w:val="center"/>
                </w:tcPr>
                <w:p w14:paraId="729FB432">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w:t>
                  </w:r>
                </w:p>
              </w:tc>
              <w:tc>
                <w:tcPr>
                  <w:tcW w:w="1019" w:type="pct"/>
                  <w:noWrap w:val="0"/>
                  <w:vAlign w:val="center"/>
                </w:tcPr>
                <w:p w14:paraId="4627A798">
                  <w:pPr>
                    <w:spacing w:line="240" w:lineRule="auto"/>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rPr>
                    <w:t>/a</w:t>
                  </w:r>
                </w:p>
              </w:tc>
              <w:tc>
                <w:tcPr>
                  <w:tcW w:w="862" w:type="pct"/>
                  <w:noWrap w:val="0"/>
                  <w:vAlign w:val="center"/>
                </w:tcPr>
                <w:p w14:paraId="6E9D300F">
                  <w:pPr>
                    <w:spacing w:line="240" w:lineRule="auto"/>
                    <w:jc w:val="center"/>
                    <w:rPr>
                      <w:rFonts w:hint="default" w:ascii="Times New Roman" w:hAnsi="Times New Roman" w:eastAsia="宋体" w:cs="Times New Roman"/>
                      <w:color w:val="auto"/>
                      <w:kern w:val="0"/>
                      <w:sz w:val="21"/>
                      <w:szCs w:val="21"/>
                      <w:highlight w:val="none"/>
                    </w:rPr>
                  </w:pPr>
                  <w:r>
                    <w:rPr>
                      <w:rFonts w:hint="eastAsia" w:eastAsia="宋体" w:cs="Times New Roman"/>
                      <w:b w:val="0"/>
                      <w:color w:val="auto"/>
                      <w:sz w:val="21"/>
                      <w:szCs w:val="21"/>
                      <w:lang w:val="en-US" w:eastAsia="zh-CN"/>
                    </w:rPr>
                    <w:t>9739.13</w:t>
                  </w:r>
                </w:p>
              </w:tc>
              <w:tc>
                <w:tcPr>
                  <w:tcW w:w="681" w:type="pct"/>
                  <w:noWrap w:val="0"/>
                  <w:vAlign w:val="center"/>
                </w:tcPr>
                <w:p w14:paraId="0773AE0C">
                  <w:pPr>
                    <w:spacing w:line="240" w:lineRule="auto"/>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w:t>
                  </w:r>
                </w:p>
              </w:tc>
              <w:tc>
                <w:tcPr>
                  <w:tcW w:w="681" w:type="pct"/>
                  <w:noWrap w:val="0"/>
                  <w:vAlign w:val="center"/>
                </w:tcPr>
                <w:p w14:paraId="097DF48C">
                  <w:pPr>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自来水</w:t>
                  </w:r>
                </w:p>
              </w:tc>
            </w:tr>
            <w:tr w14:paraId="4E9C5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3" w:type="pct"/>
                  <w:vMerge w:val="continue"/>
                  <w:noWrap w:val="0"/>
                  <w:vAlign w:val="center"/>
                </w:tcPr>
                <w:p w14:paraId="71EACFAF">
                  <w:pPr>
                    <w:jc w:val="center"/>
                    <w:rPr>
                      <w:rFonts w:hint="default" w:ascii="Times New Roman" w:hAnsi="Times New Roman" w:eastAsia="宋体" w:cs="Times New Roman"/>
                      <w:color w:val="auto"/>
                      <w:kern w:val="0"/>
                      <w:sz w:val="21"/>
                      <w:szCs w:val="21"/>
                      <w:highlight w:val="none"/>
                    </w:rPr>
                  </w:pPr>
                </w:p>
              </w:tc>
              <w:tc>
                <w:tcPr>
                  <w:tcW w:w="1302" w:type="pct"/>
                  <w:noWrap w:val="0"/>
                  <w:vAlign w:val="center"/>
                </w:tcPr>
                <w:p w14:paraId="10016674">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电</w:t>
                  </w:r>
                </w:p>
              </w:tc>
              <w:tc>
                <w:tcPr>
                  <w:tcW w:w="1019" w:type="pct"/>
                  <w:noWrap w:val="0"/>
                  <w:vAlign w:val="center"/>
                </w:tcPr>
                <w:p w14:paraId="3727C297">
                  <w:pPr>
                    <w:spacing w:line="240" w:lineRule="auto"/>
                    <w:jc w:val="center"/>
                    <w:rPr>
                      <w:rFonts w:hint="default" w:ascii="Times New Roman" w:hAnsi="Times New Roman" w:eastAsia="宋体" w:cs="Times New Roman"/>
                      <w:color w:val="auto"/>
                      <w:kern w:val="0"/>
                      <w:sz w:val="21"/>
                      <w:szCs w:val="21"/>
                      <w:highlight w:val="none"/>
                    </w:rPr>
                  </w:pPr>
                  <w:r>
                    <w:rPr>
                      <w:rFonts w:hint="default" w:ascii="Times New Roman" w:hAnsi="Times New Roman" w:cs="Times New Roman"/>
                      <w:color w:val="auto"/>
                      <w:sz w:val="21"/>
                      <w:szCs w:val="21"/>
                      <w:highlight w:val="none"/>
                    </w:rPr>
                    <w:t>万</w:t>
                  </w:r>
                  <w:r>
                    <w:rPr>
                      <w:rFonts w:hint="default" w:ascii="Times New Roman" w:hAnsi="Times New Roman" w:cs="Times New Roman"/>
                      <w:color w:val="auto"/>
                      <w:sz w:val="21"/>
                      <w:szCs w:val="21"/>
                      <w:highlight w:val="none"/>
                      <w:lang w:eastAsia="zh-CN"/>
                    </w:rPr>
                    <w:t>kW</w:t>
                  </w:r>
                  <w:r>
                    <w:rPr>
                      <w:rFonts w:hint="default" w:ascii="Times New Roman" w:hAnsi="Times New Roman" w:cs="Times New Roman"/>
                      <w:color w:val="auto"/>
                      <w:sz w:val="21"/>
                      <w:szCs w:val="21"/>
                      <w:highlight w:val="none"/>
                    </w:rPr>
                    <w:t>·h</w:t>
                  </w:r>
                </w:p>
              </w:tc>
              <w:tc>
                <w:tcPr>
                  <w:tcW w:w="862" w:type="pct"/>
                  <w:noWrap w:val="0"/>
                  <w:vAlign w:val="center"/>
                </w:tcPr>
                <w:p w14:paraId="5D655449">
                  <w:pPr>
                    <w:spacing w:line="240" w:lineRule="auto"/>
                    <w:jc w:val="center"/>
                    <w:rPr>
                      <w:rFonts w:hint="default" w:ascii="Times New Roman" w:hAnsi="Times New Roman" w:eastAsia="宋体" w:cs="Times New Roman"/>
                      <w:color w:val="auto"/>
                      <w:kern w:val="0"/>
                      <w:sz w:val="21"/>
                      <w:szCs w:val="21"/>
                      <w:highlight w:val="none"/>
                    </w:rPr>
                  </w:pPr>
                  <w:r>
                    <w:rPr>
                      <w:rFonts w:hint="default" w:ascii="Times New Roman" w:hAnsi="Times New Roman" w:cs="Times New Roman"/>
                      <w:color w:val="auto"/>
                      <w:sz w:val="21"/>
                      <w:szCs w:val="21"/>
                      <w:highlight w:val="none"/>
                      <w:lang w:val="en-US" w:eastAsia="zh-CN"/>
                    </w:rPr>
                    <w:t>101.99</w:t>
                  </w:r>
                </w:p>
              </w:tc>
              <w:tc>
                <w:tcPr>
                  <w:tcW w:w="681" w:type="pct"/>
                  <w:noWrap w:val="0"/>
                  <w:vAlign w:val="center"/>
                </w:tcPr>
                <w:p w14:paraId="67380958">
                  <w:pPr>
                    <w:spacing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c>
                <w:tcPr>
                  <w:tcW w:w="681" w:type="pct"/>
                  <w:noWrap w:val="0"/>
                  <w:vAlign w:val="center"/>
                </w:tcPr>
                <w:p w14:paraId="5986746F">
                  <w:pPr>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市供电网</w:t>
                  </w:r>
                </w:p>
              </w:tc>
            </w:tr>
            <w:tr w14:paraId="2A2F4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453" w:type="pct"/>
                  <w:vMerge w:val="continue"/>
                  <w:noWrap w:val="0"/>
                  <w:vAlign w:val="center"/>
                </w:tcPr>
                <w:p w14:paraId="3A2DDE74">
                  <w:pPr>
                    <w:jc w:val="center"/>
                    <w:rPr>
                      <w:rFonts w:hint="default" w:ascii="Times New Roman" w:hAnsi="Times New Roman" w:eastAsia="宋体" w:cs="Times New Roman"/>
                      <w:color w:val="auto"/>
                      <w:kern w:val="0"/>
                      <w:sz w:val="21"/>
                      <w:szCs w:val="21"/>
                      <w:highlight w:val="none"/>
                    </w:rPr>
                  </w:pPr>
                </w:p>
              </w:tc>
              <w:tc>
                <w:tcPr>
                  <w:tcW w:w="1302" w:type="pct"/>
                  <w:shd w:val="clear" w:color="auto" w:fill="auto"/>
                  <w:noWrap w:val="0"/>
                  <w:vAlign w:val="center"/>
                </w:tcPr>
                <w:p w14:paraId="663014CC">
                  <w:pPr>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rPr>
                    <w:t>瓶装液化石油气</w:t>
                  </w:r>
                </w:p>
              </w:tc>
              <w:tc>
                <w:tcPr>
                  <w:tcW w:w="1019" w:type="pct"/>
                  <w:shd w:val="clear" w:color="auto" w:fill="auto"/>
                  <w:noWrap w:val="0"/>
                  <w:vAlign w:val="center"/>
                </w:tcPr>
                <w:p w14:paraId="4C47A105">
                  <w:pPr>
                    <w:jc w:val="center"/>
                    <w:rPr>
                      <w:rFonts w:hint="default" w:ascii="Times New Roman" w:hAnsi="Times New Roman" w:eastAsia="宋体" w:cs="Times New Roman"/>
                      <w:color w:val="auto"/>
                      <w:kern w:val="0"/>
                      <w:sz w:val="21"/>
                      <w:szCs w:val="21"/>
                      <w:highlight w:val="none"/>
                      <w:shd w:val="clear" w:color="auto" w:fill="auto"/>
                      <w:lang w:val="en-US" w:eastAsia="zh-CN" w:bidi="ar-SA"/>
                    </w:rPr>
                  </w:pPr>
                  <w:r>
                    <w:rPr>
                      <w:rFonts w:hint="eastAsia" w:cs="Times New Roman"/>
                      <w:color w:val="auto"/>
                      <w:kern w:val="0"/>
                      <w:sz w:val="21"/>
                      <w:szCs w:val="21"/>
                      <w:highlight w:val="none"/>
                      <w:shd w:val="clear" w:color="auto" w:fill="auto"/>
                      <w:lang w:val="en-US" w:eastAsia="zh-CN"/>
                    </w:rPr>
                    <w:t>m</w:t>
                  </w:r>
                  <w:r>
                    <w:rPr>
                      <w:rFonts w:hint="eastAsia" w:cs="Times New Roman"/>
                      <w:color w:val="auto"/>
                      <w:kern w:val="0"/>
                      <w:sz w:val="21"/>
                      <w:szCs w:val="21"/>
                      <w:highlight w:val="none"/>
                      <w:shd w:val="clear" w:color="auto" w:fill="auto"/>
                      <w:vertAlign w:val="superscript"/>
                      <w:lang w:val="en-US" w:eastAsia="zh-CN"/>
                    </w:rPr>
                    <w:t>3</w:t>
                  </w:r>
                  <w:r>
                    <w:rPr>
                      <w:rFonts w:hint="eastAsia" w:cs="Times New Roman"/>
                      <w:color w:val="auto"/>
                      <w:kern w:val="0"/>
                      <w:sz w:val="21"/>
                      <w:szCs w:val="21"/>
                      <w:highlight w:val="none"/>
                      <w:shd w:val="clear" w:color="auto" w:fill="auto"/>
                      <w:lang w:val="en-US" w:eastAsia="zh-CN"/>
                    </w:rPr>
                    <w:t>/a</w:t>
                  </w:r>
                </w:p>
              </w:tc>
              <w:tc>
                <w:tcPr>
                  <w:tcW w:w="862" w:type="pct"/>
                  <w:shd w:val="clear" w:color="auto" w:fill="auto"/>
                  <w:noWrap w:val="0"/>
                  <w:vAlign w:val="center"/>
                </w:tcPr>
                <w:p w14:paraId="744DC0C8">
                  <w:pPr>
                    <w:adjustRightInd w:val="0"/>
                    <w:snapToGrid w:val="0"/>
                    <w:spacing w:line="240" w:lineRule="auto"/>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10万</w:t>
                  </w:r>
                </w:p>
              </w:tc>
              <w:tc>
                <w:tcPr>
                  <w:tcW w:w="681" w:type="pct"/>
                  <w:noWrap w:val="0"/>
                  <w:vAlign w:val="center"/>
                </w:tcPr>
                <w:p w14:paraId="646AB574">
                  <w:pPr>
                    <w:adjustRightInd w:val="0"/>
                    <w:snapToGrid w:val="0"/>
                    <w:spacing w:line="240" w:lineRule="auto"/>
                    <w:jc w:val="center"/>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2000</w:t>
                  </w:r>
                </w:p>
              </w:tc>
              <w:tc>
                <w:tcPr>
                  <w:tcW w:w="681" w:type="pct"/>
                  <w:noWrap w:val="0"/>
                  <w:vAlign w:val="center"/>
                </w:tcPr>
                <w:p w14:paraId="6777AF06">
                  <w:pPr>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r w14:paraId="385C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3" w:type="pct"/>
                  <w:vMerge w:val="continue"/>
                  <w:noWrap w:val="0"/>
                  <w:vAlign w:val="center"/>
                </w:tcPr>
                <w:p w14:paraId="625E2AD4">
                  <w:pPr>
                    <w:jc w:val="center"/>
                    <w:rPr>
                      <w:rFonts w:hint="default" w:ascii="Times New Roman" w:hAnsi="Times New Roman" w:eastAsia="宋体" w:cs="Times New Roman"/>
                      <w:color w:val="auto"/>
                      <w:kern w:val="0"/>
                      <w:sz w:val="21"/>
                      <w:szCs w:val="21"/>
                      <w:highlight w:val="none"/>
                    </w:rPr>
                  </w:pPr>
                </w:p>
              </w:tc>
              <w:tc>
                <w:tcPr>
                  <w:tcW w:w="1302" w:type="pct"/>
                  <w:noWrap w:val="0"/>
                  <w:vAlign w:val="center"/>
                </w:tcPr>
                <w:p w14:paraId="0564EE63">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kern w:val="0"/>
                      <w:sz w:val="21"/>
                      <w:szCs w:val="21"/>
                      <w:highlight w:val="none"/>
                      <w:lang w:val="en-US" w:eastAsia="zh-CN"/>
                    </w:rPr>
                    <w:t>活性炭</w:t>
                  </w:r>
                </w:p>
              </w:tc>
              <w:tc>
                <w:tcPr>
                  <w:tcW w:w="1019" w:type="pct"/>
                  <w:noWrap w:val="0"/>
                  <w:vAlign w:val="center"/>
                </w:tcPr>
                <w:p w14:paraId="73D60865">
                  <w:pPr>
                    <w:adjustRightInd w:val="0"/>
                    <w:snapToGrid w:val="0"/>
                    <w:spacing w:line="240" w:lineRule="auto"/>
                    <w:jc w:val="center"/>
                    <w:rPr>
                      <w:rFonts w:hint="default" w:ascii="Times New Roman" w:hAnsi="Times New Roman" w:cs="Times New Roman"/>
                      <w:color w:val="auto"/>
                      <w:kern w:val="0"/>
                      <w:sz w:val="21"/>
                      <w:szCs w:val="21"/>
                      <w:highlight w:val="none"/>
                      <w:shd w:val="clear" w:color="auto" w:fill="auto"/>
                      <w:lang w:val="en-US" w:eastAsia="zh-CN"/>
                    </w:rPr>
                  </w:pPr>
                  <w:r>
                    <w:rPr>
                      <w:rFonts w:hint="default" w:ascii="Times New Roman" w:hAnsi="Times New Roman" w:eastAsia="宋体" w:cs="Times New Roman"/>
                      <w:color w:val="auto"/>
                      <w:kern w:val="0"/>
                      <w:sz w:val="21"/>
                      <w:szCs w:val="21"/>
                      <w:highlight w:val="none"/>
                      <w:shd w:val="clear" w:color="auto" w:fill="auto"/>
                    </w:rPr>
                    <w:t>t/a</w:t>
                  </w:r>
                </w:p>
              </w:tc>
              <w:tc>
                <w:tcPr>
                  <w:tcW w:w="862" w:type="pct"/>
                  <w:noWrap w:val="0"/>
                  <w:vAlign w:val="center"/>
                </w:tcPr>
                <w:p w14:paraId="52EB0EA2">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color w:val="auto"/>
                      <w:kern w:val="0"/>
                      <w:sz w:val="21"/>
                      <w:szCs w:val="21"/>
                      <w:highlight w:val="none"/>
                      <w:shd w:val="clear" w:color="auto" w:fill="auto"/>
                      <w:lang w:val="en-US" w:eastAsia="zh-CN"/>
                    </w:rPr>
                    <w:t>4.8</w:t>
                  </w:r>
                </w:p>
              </w:tc>
              <w:tc>
                <w:tcPr>
                  <w:tcW w:w="681" w:type="pct"/>
                  <w:noWrap w:val="0"/>
                  <w:vAlign w:val="center"/>
                </w:tcPr>
                <w:p w14:paraId="04AF93E5">
                  <w:pPr>
                    <w:adjustRightInd w:val="0"/>
                    <w:snapToGrid w:val="0"/>
                    <w:spacing w:line="240" w:lineRule="auto"/>
                    <w:jc w:val="center"/>
                    <w:rPr>
                      <w:rFonts w:hint="default" w:ascii="Times New Roman" w:hAnsi="Times New Roman" w:cs="Times New Roman"/>
                      <w:color w:val="auto"/>
                      <w:kern w:val="0"/>
                      <w:sz w:val="21"/>
                      <w:szCs w:val="21"/>
                      <w:highlight w:val="none"/>
                      <w:shd w:val="clear" w:color="auto" w:fill="auto"/>
                      <w:lang w:val="en-US" w:eastAsia="zh-CN"/>
                    </w:rPr>
                  </w:pPr>
                  <w:r>
                    <w:rPr>
                      <w:rFonts w:hint="eastAsia" w:cs="Times New Roman"/>
                      <w:color w:val="auto"/>
                      <w:kern w:val="0"/>
                      <w:sz w:val="21"/>
                      <w:szCs w:val="21"/>
                      <w:highlight w:val="none"/>
                      <w:shd w:val="clear" w:color="auto" w:fill="auto"/>
                      <w:lang w:val="en-US" w:eastAsia="zh-CN"/>
                    </w:rPr>
                    <w:t>1.2</w:t>
                  </w:r>
                </w:p>
              </w:tc>
              <w:tc>
                <w:tcPr>
                  <w:tcW w:w="681" w:type="pct"/>
                  <w:noWrap w:val="0"/>
                  <w:vAlign w:val="center"/>
                </w:tcPr>
                <w:p w14:paraId="35A8427F">
                  <w:pPr>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p>
              </w:tc>
            </w:tr>
          </w:tbl>
          <w:p w14:paraId="1C5B935D">
            <w:pPr>
              <w:adjustRightInd w:val="0"/>
              <w:snapToGrid w:val="0"/>
              <w:spacing w:beforeLines="50" w:line="360" w:lineRule="auto"/>
              <w:ind w:firstLine="480" w:firstLineChars="200"/>
              <w:rPr>
                <w:b/>
                <w:bCs/>
                <w:color w:val="auto"/>
                <w:highlight w:val="none"/>
              </w:rPr>
            </w:pPr>
            <w:r>
              <w:rPr>
                <w:rFonts w:hint="eastAsia"/>
                <w:bCs/>
                <w:color w:val="auto"/>
                <w:sz w:val="24"/>
                <w:highlight w:val="none"/>
              </w:rPr>
              <w:t>主要原辅材料理化性质详见表2</w:t>
            </w:r>
            <w:r>
              <w:rPr>
                <w:rFonts w:hint="eastAsia"/>
                <w:bCs/>
                <w:color w:val="auto"/>
                <w:sz w:val="24"/>
                <w:highlight w:val="none"/>
                <w:lang w:val="en-US" w:eastAsia="zh-CN"/>
              </w:rPr>
              <w:t>-6</w:t>
            </w:r>
            <w:r>
              <w:rPr>
                <w:rFonts w:hint="eastAsia"/>
                <w:bCs/>
                <w:color w:val="auto"/>
                <w:sz w:val="24"/>
                <w:highlight w:val="none"/>
              </w:rPr>
              <w:t>。</w:t>
            </w:r>
          </w:p>
          <w:p w14:paraId="1EBCF9A2">
            <w:pPr>
              <w:jc w:val="center"/>
              <w:rPr>
                <w:b/>
                <w:bCs/>
                <w:color w:val="auto"/>
                <w:sz w:val="24"/>
                <w:highlight w:val="none"/>
              </w:rPr>
            </w:pPr>
            <w:r>
              <w:rPr>
                <w:rFonts w:hint="eastAsia"/>
                <w:b/>
                <w:bCs/>
                <w:color w:val="auto"/>
                <w:sz w:val="24"/>
                <w:highlight w:val="none"/>
              </w:rPr>
              <w:t>表2-</w:t>
            </w:r>
            <w:r>
              <w:rPr>
                <w:rFonts w:hint="eastAsia"/>
                <w:b/>
                <w:bCs/>
                <w:color w:val="auto"/>
                <w:sz w:val="24"/>
                <w:highlight w:val="none"/>
                <w:lang w:val="en-US" w:eastAsia="zh-CN"/>
              </w:rPr>
              <w:t>6</w:t>
            </w:r>
            <w:r>
              <w:rPr>
                <w:rFonts w:hint="eastAsia"/>
                <w:b/>
                <w:bCs/>
                <w:color w:val="auto"/>
                <w:sz w:val="24"/>
                <w:highlight w:val="none"/>
              </w:rPr>
              <w:t xml:space="preserve">  主要原辅材料理化性质一览表</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9"/>
              <w:gridCol w:w="6840"/>
            </w:tblGrid>
            <w:tr w14:paraId="063A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tcBorders>
                    <w:tl2br w:val="nil"/>
                    <w:tr2bl w:val="nil"/>
                  </w:tcBorders>
                  <w:vAlign w:val="center"/>
                </w:tcPr>
                <w:p w14:paraId="08E23434">
                  <w:pPr>
                    <w:keepNext w:val="0"/>
                    <w:keepLines w:val="0"/>
                    <w:pageBreakBefore w:val="0"/>
                    <w:widowControl w:val="0"/>
                    <w:kinsoku/>
                    <w:wordWrap/>
                    <w:overflowPunct/>
                    <w:topLinePunct w:val="0"/>
                    <w:autoSpaceDE/>
                    <w:autoSpaceDN/>
                    <w:bidi w:val="0"/>
                    <w:ind w:firstLine="0" w:firstLineChars="0"/>
                    <w:jc w:val="center"/>
                    <w:textAlignment w:val="auto"/>
                    <w:rPr>
                      <w:b/>
                      <w:bCs/>
                      <w:color w:val="auto"/>
                      <w:szCs w:val="21"/>
                      <w:highlight w:val="none"/>
                    </w:rPr>
                  </w:pPr>
                  <w:r>
                    <w:rPr>
                      <w:b/>
                      <w:bCs/>
                      <w:color w:val="auto"/>
                      <w:szCs w:val="21"/>
                      <w:highlight w:val="none"/>
                    </w:rPr>
                    <w:t>名称</w:t>
                  </w:r>
                </w:p>
              </w:tc>
              <w:tc>
                <w:tcPr>
                  <w:tcW w:w="4211" w:type="pct"/>
                  <w:tcBorders>
                    <w:tl2br w:val="nil"/>
                    <w:tr2bl w:val="nil"/>
                  </w:tcBorders>
                  <w:vAlign w:val="center"/>
                </w:tcPr>
                <w:p w14:paraId="441BFAA4">
                  <w:pPr>
                    <w:keepNext w:val="0"/>
                    <w:keepLines w:val="0"/>
                    <w:pageBreakBefore w:val="0"/>
                    <w:widowControl w:val="0"/>
                    <w:kinsoku/>
                    <w:wordWrap/>
                    <w:overflowPunct/>
                    <w:topLinePunct w:val="0"/>
                    <w:autoSpaceDE/>
                    <w:autoSpaceDN/>
                    <w:bidi w:val="0"/>
                    <w:jc w:val="center"/>
                    <w:textAlignment w:val="auto"/>
                    <w:rPr>
                      <w:b/>
                      <w:bCs/>
                      <w:color w:val="auto"/>
                      <w:szCs w:val="21"/>
                      <w:highlight w:val="none"/>
                    </w:rPr>
                  </w:pPr>
                  <w:r>
                    <w:rPr>
                      <w:b/>
                      <w:bCs/>
                      <w:color w:val="auto"/>
                      <w:szCs w:val="21"/>
                      <w:highlight w:val="none"/>
                    </w:rPr>
                    <w:t>性质</w:t>
                  </w:r>
                </w:p>
              </w:tc>
            </w:tr>
            <w:tr w14:paraId="1BB5F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tcBorders>
                    <w:tl2br w:val="nil"/>
                    <w:tr2bl w:val="nil"/>
                  </w:tcBorders>
                  <w:vAlign w:val="center"/>
                </w:tcPr>
                <w:p w14:paraId="0DB86934">
                  <w:pPr>
                    <w:keepNext w:val="0"/>
                    <w:keepLines w:val="0"/>
                    <w:pageBreakBefore w:val="0"/>
                    <w:widowControl w:val="0"/>
                    <w:kinsoku/>
                    <w:wordWrap/>
                    <w:overflowPunct/>
                    <w:topLinePunct w:val="0"/>
                    <w:autoSpaceDE/>
                    <w:autoSpaceDN/>
                    <w:bidi w:val="0"/>
                    <w:ind w:firstLine="0" w:firstLineChars="0"/>
                    <w:jc w:val="center"/>
                    <w:textAlignment w:val="auto"/>
                    <w:rPr>
                      <w:rFonts w:hint="default" w:eastAsia="宋体"/>
                      <w:b/>
                      <w:bCs/>
                      <w:color w:val="auto"/>
                      <w:szCs w:val="21"/>
                      <w:highlight w:val="none"/>
                      <w:lang w:val="en-US" w:eastAsia="zh-CN"/>
                    </w:rPr>
                  </w:pPr>
                  <w:r>
                    <w:rPr>
                      <w:rFonts w:hint="eastAsia"/>
                      <w:b/>
                      <w:bCs/>
                      <w:color w:val="auto"/>
                      <w:szCs w:val="21"/>
                      <w:highlight w:val="none"/>
                      <w:lang w:val="en-US" w:eastAsia="zh-CN"/>
                    </w:rPr>
                    <w:t>无镍磷化剂</w:t>
                  </w:r>
                </w:p>
              </w:tc>
              <w:tc>
                <w:tcPr>
                  <w:tcW w:w="4211" w:type="pct"/>
                  <w:tcBorders>
                    <w:tl2br w:val="nil"/>
                    <w:tr2bl w:val="nil"/>
                  </w:tcBorders>
                  <w:vAlign w:val="center"/>
                </w:tcPr>
                <w:p w14:paraId="396B4CB6">
                  <w:pPr>
                    <w:keepNext w:val="0"/>
                    <w:keepLines w:val="0"/>
                    <w:pageBreakBefore w:val="0"/>
                    <w:widowControl w:val="0"/>
                    <w:kinsoku/>
                    <w:wordWrap/>
                    <w:overflowPunct/>
                    <w:topLinePunct w:val="0"/>
                    <w:autoSpaceDE/>
                    <w:autoSpaceDN/>
                    <w:bidi w:val="0"/>
                    <w:ind w:firstLine="420" w:firstLineChars="200"/>
                    <w:jc w:val="left"/>
                    <w:textAlignment w:val="auto"/>
                    <w:rPr>
                      <w:rFonts w:hint="default" w:eastAsia="宋体"/>
                      <w:b w:val="0"/>
                      <w:bCs w:val="0"/>
                      <w:color w:val="auto"/>
                      <w:szCs w:val="21"/>
                      <w:highlight w:val="none"/>
                      <w:lang w:val="en-US" w:eastAsia="zh-CN"/>
                    </w:rPr>
                  </w:pPr>
                  <w:r>
                    <w:rPr>
                      <w:rFonts w:hint="eastAsia"/>
                      <w:b w:val="0"/>
                      <w:bCs w:val="0"/>
                      <w:color w:val="auto"/>
                      <w:szCs w:val="21"/>
                      <w:highlight w:val="none"/>
                      <w:lang w:val="en-US" w:eastAsia="zh-CN"/>
                    </w:rPr>
                    <w:t>浅蓝色液体，沸点105℃，相对密度（水=1）1.193，易溶于水，可混溶于醇、醚，不溶于苯、氯仿，用于金属加工表面成膜防腐，主要成分磷酸（25%）、马日夫盐（10%）、锌盐（20%）、铁盐（15%）、水（30%），不燃不爆，LD50:5000～9000mg/kg（大鼠经口）。</w:t>
                  </w:r>
                </w:p>
              </w:tc>
            </w:tr>
            <w:tr w14:paraId="0AD4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tcBorders>
                    <w:tl2br w:val="nil"/>
                    <w:tr2bl w:val="nil"/>
                  </w:tcBorders>
                  <w:vAlign w:val="center"/>
                </w:tcPr>
                <w:p w14:paraId="79983786">
                  <w:pPr>
                    <w:keepNext w:val="0"/>
                    <w:keepLines w:val="0"/>
                    <w:pageBreakBefore w:val="0"/>
                    <w:widowControl w:val="0"/>
                    <w:kinsoku/>
                    <w:wordWrap/>
                    <w:overflowPunct/>
                    <w:topLinePunct w:val="0"/>
                    <w:autoSpaceDE/>
                    <w:autoSpaceDN/>
                    <w:bidi w:val="0"/>
                    <w:ind w:firstLine="0" w:firstLineChars="0"/>
                    <w:jc w:val="center"/>
                    <w:textAlignment w:val="auto"/>
                    <w:rPr>
                      <w:rFonts w:hint="eastAsia" w:eastAsia="宋体"/>
                      <w:b/>
                      <w:bCs/>
                      <w:color w:val="auto"/>
                      <w:szCs w:val="21"/>
                      <w:highlight w:val="none"/>
                      <w:lang w:eastAsia="zh-CN"/>
                    </w:rPr>
                  </w:pPr>
                  <w:r>
                    <w:rPr>
                      <w:rFonts w:hint="eastAsia"/>
                      <w:b/>
                      <w:bCs/>
                      <w:color w:val="auto"/>
                      <w:szCs w:val="21"/>
                      <w:highlight w:val="none"/>
                      <w:lang w:eastAsia="zh-CN"/>
                    </w:rPr>
                    <w:t>脱脂剂</w:t>
                  </w:r>
                </w:p>
              </w:tc>
              <w:tc>
                <w:tcPr>
                  <w:tcW w:w="4211" w:type="pct"/>
                  <w:tcBorders>
                    <w:tl2br w:val="nil"/>
                    <w:tr2bl w:val="nil"/>
                  </w:tcBorders>
                  <w:vAlign w:val="center"/>
                </w:tcPr>
                <w:p w14:paraId="05A52AC4">
                  <w:pPr>
                    <w:pStyle w:val="37"/>
                    <w:keepNext w:val="0"/>
                    <w:keepLines w:val="0"/>
                    <w:pageBreakBefore w:val="0"/>
                    <w:widowControl w:val="0"/>
                    <w:tabs>
                      <w:tab w:val="left" w:pos="-213"/>
                    </w:tabs>
                    <w:kinsoku/>
                    <w:wordWrap/>
                    <w:overflowPunct/>
                    <w:topLinePunct w:val="0"/>
                    <w:autoSpaceDE/>
                    <w:autoSpaceDN/>
                    <w:bidi w:val="0"/>
                    <w:adjustRightInd/>
                    <w:snapToGrid/>
                    <w:spacing w:after="0"/>
                    <w:ind w:left="0" w:leftChars="0" w:firstLine="420" w:firstLineChars="200"/>
                    <w:textAlignment w:val="auto"/>
                    <w:rPr>
                      <w:rFonts w:hint="default" w:ascii="Times New Roman" w:hAnsi="Times New Roman"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无色</w:t>
                  </w:r>
                  <w:r>
                    <w:rPr>
                      <w:rFonts w:hint="eastAsia" w:ascii="Times New Roman" w:hAnsi="Times New Roman" w:eastAsia="宋体"/>
                      <w:b w:val="0"/>
                      <w:bCs w:val="0"/>
                      <w:color w:val="auto"/>
                      <w:sz w:val="21"/>
                      <w:szCs w:val="21"/>
                      <w:highlight w:val="none"/>
                      <w:lang w:val="en-US" w:eastAsia="zh-CN"/>
                    </w:rPr>
                    <w:t>或淡黄色透明液体，有轻微刺激性气味，主要成分为</w:t>
                  </w:r>
                  <w:r>
                    <w:rPr>
                      <w:rFonts w:hint="eastAsia"/>
                      <w:b w:val="0"/>
                      <w:bCs w:val="0"/>
                      <w:color w:val="auto"/>
                      <w:sz w:val="21"/>
                      <w:szCs w:val="21"/>
                      <w:highlight w:val="none"/>
                      <w:lang w:val="en-US" w:eastAsia="zh-CN"/>
                    </w:rPr>
                    <w:t>碱类（20%）、硅酸盐（25%）、钠盐（20%）、水（35%）</w:t>
                  </w:r>
                  <w:r>
                    <w:rPr>
                      <w:rFonts w:hint="eastAsia" w:ascii="Times New Roman" w:hAnsi="Times New Roman" w:eastAsia="宋体"/>
                      <w:b w:val="0"/>
                      <w:bCs w:val="0"/>
                      <w:color w:val="auto"/>
                      <w:sz w:val="21"/>
                      <w:szCs w:val="21"/>
                      <w:highlight w:val="none"/>
                      <w:lang w:val="en-US" w:eastAsia="zh-CN"/>
                    </w:rPr>
                    <w:t>，沸点</w:t>
                  </w:r>
                  <w:r>
                    <w:rPr>
                      <w:rFonts w:hint="eastAsia"/>
                      <w:b w:val="0"/>
                      <w:bCs w:val="0"/>
                      <w:color w:val="auto"/>
                      <w:sz w:val="21"/>
                      <w:szCs w:val="21"/>
                      <w:highlight w:val="none"/>
                      <w:lang w:val="en-US" w:eastAsia="zh-CN"/>
                    </w:rPr>
                    <w:t>103</w:t>
                  </w:r>
                  <w:r>
                    <w:rPr>
                      <w:rFonts w:hint="eastAsia" w:ascii="Times New Roman" w:hAnsi="Times New Roman" w:eastAsia="宋体"/>
                      <w:b w:val="0"/>
                      <w:bCs w:val="0"/>
                      <w:color w:val="auto"/>
                      <w:sz w:val="21"/>
                      <w:szCs w:val="21"/>
                      <w:highlight w:val="none"/>
                      <w:lang w:val="en-US" w:eastAsia="zh-CN"/>
                    </w:rPr>
                    <w:t>℃</w:t>
                  </w:r>
                  <w:r>
                    <w:rPr>
                      <w:rFonts w:hint="eastAsia"/>
                      <w:b w:val="0"/>
                      <w:bCs w:val="0"/>
                      <w:color w:val="auto"/>
                      <w:sz w:val="21"/>
                      <w:szCs w:val="21"/>
                      <w:highlight w:val="none"/>
                      <w:lang w:val="en-US" w:eastAsia="zh-CN"/>
                    </w:rPr>
                    <w:t>，</w:t>
                  </w:r>
                  <w:r>
                    <w:rPr>
                      <w:rFonts w:hint="eastAsia"/>
                      <w:b w:val="0"/>
                      <w:bCs w:val="0"/>
                      <w:color w:val="auto"/>
                      <w:szCs w:val="21"/>
                      <w:highlight w:val="none"/>
                      <w:lang w:val="en-US" w:eastAsia="zh-CN"/>
                    </w:rPr>
                    <w:t>相对密度（水=1）1.28</w:t>
                  </w:r>
                  <w:r>
                    <w:rPr>
                      <w:rFonts w:hint="eastAsia" w:ascii="Times New Roman" w:hAnsi="Times New Roman" w:eastAsia="宋体"/>
                      <w:b w:val="0"/>
                      <w:bCs w:val="0"/>
                      <w:color w:val="auto"/>
                      <w:sz w:val="21"/>
                      <w:szCs w:val="21"/>
                      <w:highlight w:val="none"/>
                      <w:lang w:val="en-US" w:eastAsia="zh-CN"/>
                    </w:rPr>
                    <w:t>，不可燃，</w:t>
                  </w:r>
                  <w:r>
                    <w:rPr>
                      <w:rFonts w:hint="eastAsia"/>
                      <w:b w:val="0"/>
                      <w:bCs w:val="0"/>
                      <w:color w:val="auto"/>
                      <w:szCs w:val="21"/>
                      <w:highlight w:val="none"/>
                      <w:lang w:val="en-US" w:eastAsia="zh-CN"/>
                    </w:rPr>
                    <w:t>用于金属表面脱脂除油，易溶于水，可混溶于醇、醚，不溶于苯、氯仿，不燃不爆，LD50:5000～9000mg/kg（大鼠经口）</w:t>
                  </w:r>
                  <w:r>
                    <w:rPr>
                      <w:rFonts w:hint="eastAsia" w:ascii="Times New Roman" w:hAnsi="Times New Roman" w:eastAsia="宋体"/>
                      <w:b w:val="0"/>
                      <w:bCs w:val="0"/>
                      <w:color w:val="auto"/>
                      <w:sz w:val="21"/>
                      <w:szCs w:val="21"/>
                      <w:highlight w:val="none"/>
                      <w:lang w:val="en-US" w:eastAsia="zh-CN"/>
                    </w:rPr>
                    <w:t>。</w:t>
                  </w:r>
                </w:p>
              </w:tc>
            </w:tr>
            <w:tr w14:paraId="6B6A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tcBorders>
                    <w:tl2br w:val="nil"/>
                    <w:tr2bl w:val="nil"/>
                  </w:tcBorders>
                  <w:vAlign w:val="center"/>
                </w:tcPr>
                <w:p w14:paraId="7BC4A53A">
                  <w:pPr>
                    <w:keepNext w:val="0"/>
                    <w:keepLines w:val="0"/>
                    <w:pageBreakBefore w:val="0"/>
                    <w:widowControl w:val="0"/>
                    <w:kinsoku/>
                    <w:wordWrap/>
                    <w:overflowPunct/>
                    <w:topLinePunct w:val="0"/>
                    <w:autoSpaceDE/>
                    <w:autoSpaceDN/>
                    <w:bidi w:val="0"/>
                    <w:ind w:firstLine="0" w:firstLineChars="0"/>
                    <w:jc w:val="center"/>
                    <w:textAlignment w:val="auto"/>
                    <w:rPr>
                      <w:rFonts w:hint="default"/>
                      <w:b/>
                      <w:bCs/>
                      <w:color w:val="auto"/>
                      <w:szCs w:val="21"/>
                      <w:highlight w:val="none"/>
                      <w:lang w:val="en-US" w:eastAsia="zh-CN"/>
                    </w:rPr>
                  </w:pPr>
                  <w:r>
                    <w:rPr>
                      <w:rFonts w:hint="eastAsia"/>
                      <w:b/>
                      <w:bCs/>
                      <w:color w:val="auto"/>
                      <w:szCs w:val="21"/>
                      <w:highlight w:val="none"/>
                      <w:lang w:val="en-US" w:eastAsia="zh-CN"/>
                    </w:rPr>
                    <w:t>脱脂助剂</w:t>
                  </w:r>
                </w:p>
              </w:tc>
              <w:tc>
                <w:tcPr>
                  <w:tcW w:w="4211" w:type="pct"/>
                  <w:tcBorders>
                    <w:tl2br w:val="nil"/>
                    <w:tr2bl w:val="nil"/>
                  </w:tcBorders>
                  <w:vAlign w:val="center"/>
                </w:tcPr>
                <w:p w14:paraId="2297F009">
                  <w:pPr>
                    <w:pStyle w:val="37"/>
                    <w:keepNext w:val="0"/>
                    <w:keepLines w:val="0"/>
                    <w:pageBreakBefore w:val="0"/>
                    <w:widowControl w:val="0"/>
                    <w:tabs>
                      <w:tab w:val="left" w:pos="-213"/>
                    </w:tabs>
                    <w:kinsoku/>
                    <w:wordWrap/>
                    <w:overflowPunct/>
                    <w:topLinePunct w:val="0"/>
                    <w:autoSpaceDE/>
                    <w:autoSpaceDN/>
                    <w:bidi w:val="0"/>
                    <w:adjustRightInd/>
                    <w:snapToGrid/>
                    <w:spacing w:after="0"/>
                    <w:ind w:left="0" w:leftChars="0" w:firstLine="420" w:firstLineChars="200"/>
                    <w:textAlignment w:val="auto"/>
                    <w:rPr>
                      <w:rFonts w:hint="default" w:ascii="Times New Roman" w:hAnsi="Times New Roman"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无色透明液体，主要成分乳化剂（20%）、硅酸盐（25%）、钠盐（20%）、水（35%），沸点103</w:t>
                  </w:r>
                  <w:r>
                    <w:rPr>
                      <w:rFonts w:hint="eastAsia" w:ascii="Times New Roman" w:hAnsi="Times New Roman" w:eastAsia="宋体"/>
                      <w:b w:val="0"/>
                      <w:bCs w:val="0"/>
                      <w:color w:val="auto"/>
                      <w:sz w:val="21"/>
                      <w:szCs w:val="21"/>
                      <w:highlight w:val="none"/>
                      <w:lang w:val="en-US" w:eastAsia="zh-CN"/>
                    </w:rPr>
                    <w:t>℃，</w:t>
                  </w:r>
                  <w:r>
                    <w:rPr>
                      <w:rFonts w:hint="eastAsia"/>
                      <w:b w:val="0"/>
                      <w:bCs w:val="0"/>
                      <w:color w:val="auto"/>
                      <w:szCs w:val="21"/>
                      <w:highlight w:val="none"/>
                      <w:lang w:val="en-US" w:eastAsia="zh-CN"/>
                    </w:rPr>
                    <w:t>相对密度（水=1）108，易溶于水，可混溶于醇、醚，不溶于苯、氯仿，用于金属加工表面脱脂除油，不燃不爆，LD50:5000～9000mg/kg（大鼠经口）。</w:t>
                  </w:r>
                </w:p>
              </w:tc>
            </w:tr>
            <w:tr w14:paraId="0CDA2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tcBorders>
                    <w:tl2br w:val="nil"/>
                    <w:tr2bl w:val="nil"/>
                  </w:tcBorders>
                  <w:vAlign w:val="center"/>
                </w:tcPr>
                <w:p w14:paraId="1ABB915C">
                  <w:pPr>
                    <w:keepNext w:val="0"/>
                    <w:keepLines w:val="0"/>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环氧树脂电泳涂料</w:t>
                  </w:r>
                </w:p>
              </w:tc>
              <w:tc>
                <w:tcPr>
                  <w:tcW w:w="4211" w:type="pct"/>
                  <w:tcBorders>
                    <w:tl2br w:val="nil"/>
                    <w:tr2bl w:val="nil"/>
                  </w:tcBorders>
                  <w:vAlign w:val="center"/>
                </w:tcPr>
                <w:p w14:paraId="38AB43E8">
                  <w:pPr>
                    <w:pStyle w:val="37"/>
                    <w:keepNext w:val="0"/>
                    <w:keepLines w:val="0"/>
                    <w:pageBreakBefore w:val="0"/>
                    <w:widowControl w:val="0"/>
                    <w:tabs>
                      <w:tab w:val="left" w:pos="-213"/>
                    </w:tabs>
                    <w:kinsoku/>
                    <w:wordWrap/>
                    <w:overflowPunct/>
                    <w:topLinePunct w:val="0"/>
                    <w:autoSpaceDE/>
                    <w:autoSpaceDN/>
                    <w:bidi w:val="0"/>
                    <w:adjustRightInd/>
                    <w:snapToGrid/>
                    <w:spacing w:after="0"/>
                    <w:ind w:left="0" w:leftChars="0" w:firstLine="420" w:firstLineChars="200"/>
                    <w:textAlignment w:val="auto"/>
                    <w:rPr>
                      <w:rFonts w:hint="default" w:ascii="Times New Roman" w:hAnsi="Times New Roman" w:eastAsia="宋体"/>
                      <w:b w:val="0"/>
                      <w:bCs w:val="0"/>
                      <w:color w:val="auto"/>
                      <w:sz w:val="21"/>
                      <w:szCs w:val="21"/>
                      <w:highlight w:val="none"/>
                      <w:lang w:val="en-US" w:eastAsia="zh-CN"/>
                    </w:rPr>
                  </w:pPr>
                  <w:r>
                    <w:rPr>
                      <w:rFonts w:hint="default" w:ascii="Times New Roman" w:hAnsi="Times New Roman" w:eastAsia="宋体"/>
                      <w:b w:val="0"/>
                      <w:bCs w:val="0"/>
                      <w:color w:val="auto"/>
                      <w:sz w:val="21"/>
                      <w:szCs w:val="21"/>
                      <w:highlight w:val="none"/>
                      <w:lang w:val="en-US" w:eastAsia="zh-CN"/>
                    </w:rPr>
                    <w:t>黑色</w:t>
                  </w:r>
                  <w:r>
                    <w:rPr>
                      <w:rFonts w:hint="eastAsia"/>
                      <w:b w:val="0"/>
                      <w:bCs w:val="0"/>
                      <w:color w:val="auto"/>
                      <w:sz w:val="21"/>
                      <w:szCs w:val="21"/>
                      <w:highlight w:val="none"/>
                      <w:lang w:val="en-US" w:eastAsia="zh-CN"/>
                    </w:rPr>
                    <w:t>黏稠</w:t>
                  </w:r>
                  <w:r>
                    <w:rPr>
                      <w:rFonts w:hint="default" w:ascii="Times New Roman" w:hAnsi="Times New Roman" w:eastAsia="宋体"/>
                      <w:b w:val="0"/>
                      <w:bCs w:val="0"/>
                      <w:color w:val="auto"/>
                      <w:sz w:val="21"/>
                      <w:szCs w:val="21"/>
                      <w:highlight w:val="none"/>
                      <w:lang w:val="en-US" w:eastAsia="zh-CN"/>
                    </w:rPr>
                    <w:t>状混合液体，有轻微的刺激气味</w:t>
                  </w:r>
                  <w:r>
                    <w:rPr>
                      <w:rFonts w:hint="eastAsia" w:ascii="Times New Roman" w:hAnsi="Times New Roman" w:eastAsia="宋体"/>
                      <w:b w:val="0"/>
                      <w:bCs w:val="0"/>
                      <w:color w:val="auto"/>
                      <w:sz w:val="21"/>
                      <w:szCs w:val="21"/>
                      <w:highlight w:val="none"/>
                      <w:lang w:val="en-US" w:eastAsia="zh-CN"/>
                    </w:rPr>
                    <w:t>，不可燃，与水任意比例混溶，不聚合，遇碱性物质易沉淀分层。主要成分为环氧树脂（</w:t>
                  </w:r>
                  <w:r>
                    <w:rPr>
                      <w:rFonts w:hint="eastAsia"/>
                      <w:b w:val="0"/>
                      <w:bCs w:val="0"/>
                      <w:color w:val="auto"/>
                      <w:sz w:val="21"/>
                      <w:szCs w:val="21"/>
                      <w:highlight w:val="none"/>
                      <w:lang w:val="en-US" w:eastAsia="zh-CN"/>
                    </w:rPr>
                    <w:t>31</w:t>
                  </w:r>
                  <w:r>
                    <w:rPr>
                      <w:rFonts w:hint="eastAsia" w:ascii="Times New Roman" w:hAnsi="Times New Roman" w:eastAsia="宋体"/>
                      <w:b w:val="0"/>
                      <w:bCs w:val="0"/>
                      <w:color w:val="auto"/>
                      <w:sz w:val="21"/>
                      <w:szCs w:val="21"/>
                      <w:highlight w:val="none"/>
                      <w:lang w:val="en-US" w:eastAsia="zh-CN"/>
                    </w:rPr>
                    <w:t>%）、碳黑（</w:t>
                  </w:r>
                  <w:r>
                    <w:rPr>
                      <w:rFonts w:hint="eastAsia"/>
                      <w:b w:val="0"/>
                      <w:bCs w:val="0"/>
                      <w:color w:val="auto"/>
                      <w:sz w:val="21"/>
                      <w:szCs w:val="21"/>
                      <w:highlight w:val="none"/>
                      <w:lang w:val="en-US" w:eastAsia="zh-CN"/>
                    </w:rPr>
                    <w:t>1.4</w:t>
                  </w:r>
                  <w:r>
                    <w:rPr>
                      <w:rFonts w:hint="eastAsia" w:ascii="Times New Roman" w:hAnsi="Times New Roman" w:eastAsia="宋体"/>
                      <w:b w:val="0"/>
                      <w:bCs w:val="0"/>
                      <w:color w:val="auto"/>
                      <w:sz w:val="21"/>
                      <w:szCs w:val="21"/>
                      <w:highlight w:val="none"/>
                      <w:lang w:val="en-US" w:eastAsia="zh-CN"/>
                    </w:rPr>
                    <w:t>%）、高岭土（</w:t>
                  </w:r>
                  <w:r>
                    <w:rPr>
                      <w:rFonts w:hint="eastAsia"/>
                      <w:b w:val="0"/>
                      <w:bCs w:val="0"/>
                      <w:color w:val="auto"/>
                      <w:sz w:val="21"/>
                      <w:szCs w:val="21"/>
                      <w:highlight w:val="none"/>
                      <w:lang w:val="en-US" w:eastAsia="zh-CN"/>
                    </w:rPr>
                    <w:t>4</w:t>
                  </w:r>
                  <w:r>
                    <w:rPr>
                      <w:rFonts w:hint="eastAsia" w:ascii="Times New Roman" w:hAnsi="Times New Roman" w:eastAsia="宋体"/>
                      <w:b w:val="0"/>
                      <w:bCs w:val="0"/>
                      <w:color w:val="auto"/>
                      <w:sz w:val="21"/>
                      <w:szCs w:val="21"/>
                      <w:highlight w:val="none"/>
                      <w:lang w:val="en-US" w:eastAsia="zh-CN"/>
                    </w:rPr>
                    <w:t>%）、乙二醇（</w:t>
                  </w:r>
                  <w:r>
                    <w:rPr>
                      <w:rFonts w:hint="eastAsia"/>
                      <w:b w:val="0"/>
                      <w:bCs w:val="0"/>
                      <w:color w:val="auto"/>
                      <w:sz w:val="21"/>
                      <w:szCs w:val="21"/>
                      <w:highlight w:val="none"/>
                      <w:lang w:val="en-US" w:eastAsia="zh-CN"/>
                    </w:rPr>
                    <w:t>2</w:t>
                  </w:r>
                  <w:r>
                    <w:rPr>
                      <w:rFonts w:hint="eastAsia" w:ascii="Times New Roman" w:hAnsi="Times New Roman" w:eastAsia="宋体"/>
                      <w:b w:val="0"/>
                      <w:bCs w:val="0"/>
                      <w:color w:val="auto"/>
                      <w:sz w:val="21"/>
                      <w:szCs w:val="21"/>
                      <w:highlight w:val="none"/>
                      <w:lang w:val="en-US" w:eastAsia="zh-CN"/>
                    </w:rPr>
                    <w:t>%）</w:t>
                  </w:r>
                  <w:r>
                    <w:rPr>
                      <w:rFonts w:hint="eastAsia"/>
                      <w:b w:val="0"/>
                      <w:bCs w:val="0"/>
                      <w:color w:val="auto"/>
                      <w:sz w:val="21"/>
                      <w:szCs w:val="21"/>
                      <w:highlight w:val="none"/>
                      <w:lang w:val="en-US" w:eastAsia="zh-CN"/>
                    </w:rPr>
                    <w:t>、丁醚（5.1%）</w:t>
                  </w:r>
                  <w:r>
                    <w:rPr>
                      <w:rFonts w:hint="eastAsia" w:ascii="Times New Roman" w:hAnsi="Times New Roman" w:eastAsia="宋体"/>
                      <w:b w:val="0"/>
                      <w:bCs w:val="0"/>
                      <w:color w:val="auto"/>
                      <w:sz w:val="21"/>
                      <w:szCs w:val="21"/>
                      <w:highlight w:val="none"/>
                      <w:lang w:val="en-US" w:eastAsia="zh-CN"/>
                    </w:rPr>
                    <w:t>、</w:t>
                  </w:r>
                  <w:r>
                    <w:rPr>
                      <w:rFonts w:hint="eastAsia"/>
                      <w:b w:val="0"/>
                      <w:bCs w:val="0"/>
                      <w:color w:val="auto"/>
                      <w:sz w:val="21"/>
                      <w:szCs w:val="21"/>
                      <w:highlight w:val="none"/>
                      <w:lang w:val="en-US" w:eastAsia="zh-CN"/>
                    </w:rPr>
                    <w:t>甲基异丁酮（1%）、纯</w:t>
                  </w:r>
                  <w:r>
                    <w:rPr>
                      <w:rFonts w:hint="eastAsia" w:ascii="Times New Roman" w:hAnsi="Times New Roman" w:eastAsia="宋体"/>
                      <w:b w:val="0"/>
                      <w:bCs w:val="0"/>
                      <w:color w:val="auto"/>
                      <w:sz w:val="21"/>
                      <w:szCs w:val="21"/>
                      <w:highlight w:val="none"/>
                      <w:lang w:val="en-US" w:eastAsia="zh-CN"/>
                    </w:rPr>
                    <w:t>水（</w:t>
                  </w:r>
                  <w:r>
                    <w:rPr>
                      <w:rFonts w:hint="eastAsia"/>
                      <w:b w:val="0"/>
                      <w:bCs w:val="0"/>
                      <w:color w:val="auto"/>
                      <w:sz w:val="21"/>
                      <w:szCs w:val="21"/>
                      <w:highlight w:val="none"/>
                      <w:lang w:val="en-US" w:eastAsia="zh-CN"/>
                    </w:rPr>
                    <w:t>54.1</w:t>
                  </w:r>
                  <w:r>
                    <w:rPr>
                      <w:rFonts w:hint="eastAsia" w:ascii="Times New Roman" w:hAnsi="Times New Roman" w:eastAsia="宋体"/>
                      <w:b w:val="0"/>
                      <w:bCs w:val="0"/>
                      <w:color w:val="auto"/>
                      <w:sz w:val="21"/>
                      <w:szCs w:val="21"/>
                      <w:highlight w:val="none"/>
                      <w:lang w:val="en-US" w:eastAsia="zh-CN"/>
                    </w:rPr>
                    <w:t>%）、</w:t>
                  </w:r>
                  <w:r>
                    <w:rPr>
                      <w:rFonts w:hint="eastAsia"/>
                      <w:b w:val="0"/>
                      <w:bCs w:val="0"/>
                      <w:color w:val="auto"/>
                      <w:sz w:val="21"/>
                      <w:szCs w:val="21"/>
                      <w:highlight w:val="none"/>
                      <w:lang w:val="en-US" w:eastAsia="zh-CN"/>
                    </w:rPr>
                    <w:t>助剂</w:t>
                  </w:r>
                  <w:r>
                    <w:rPr>
                      <w:rFonts w:hint="eastAsia" w:ascii="Times New Roman" w:hAnsi="Times New Roman" w:eastAsia="宋体"/>
                      <w:b w:val="0"/>
                      <w:bCs w:val="0"/>
                      <w:color w:val="auto"/>
                      <w:sz w:val="21"/>
                      <w:szCs w:val="21"/>
                      <w:highlight w:val="none"/>
                      <w:lang w:val="en-US" w:eastAsia="zh-CN"/>
                    </w:rPr>
                    <w:t>（</w:t>
                  </w:r>
                  <w:r>
                    <w:rPr>
                      <w:rFonts w:hint="eastAsia"/>
                      <w:b w:val="0"/>
                      <w:bCs w:val="0"/>
                      <w:color w:val="auto"/>
                      <w:sz w:val="21"/>
                      <w:szCs w:val="21"/>
                      <w:highlight w:val="none"/>
                      <w:lang w:val="en-US" w:eastAsia="zh-CN"/>
                    </w:rPr>
                    <w:t>0.7</w:t>
                  </w:r>
                  <w:r>
                    <w:rPr>
                      <w:rFonts w:hint="eastAsia" w:ascii="Times New Roman" w:hAnsi="Times New Roman" w:eastAsia="宋体"/>
                      <w:b w:val="0"/>
                      <w:bCs w:val="0"/>
                      <w:color w:val="auto"/>
                      <w:sz w:val="21"/>
                      <w:szCs w:val="21"/>
                      <w:highlight w:val="none"/>
                      <w:lang w:val="en-US" w:eastAsia="zh-CN"/>
                    </w:rPr>
                    <w:t>%）、有机酸（醋酸）（0.</w:t>
                  </w:r>
                  <w:r>
                    <w:rPr>
                      <w:rFonts w:hint="eastAsia"/>
                      <w:b w:val="0"/>
                      <w:bCs w:val="0"/>
                      <w:color w:val="auto"/>
                      <w:sz w:val="21"/>
                      <w:szCs w:val="21"/>
                      <w:highlight w:val="none"/>
                      <w:lang w:val="en-US" w:eastAsia="zh-CN"/>
                    </w:rPr>
                    <w:t>7</w:t>
                  </w:r>
                  <w:r>
                    <w:rPr>
                      <w:rFonts w:hint="eastAsia" w:ascii="Times New Roman" w:hAnsi="Times New Roman" w:eastAsia="宋体"/>
                      <w:b w:val="0"/>
                      <w:bCs w:val="0"/>
                      <w:color w:val="auto"/>
                      <w:sz w:val="21"/>
                      <w:szCs w:val="21"/>
                      <w:highlight w:val="none"/>
                      <w:lang w:val="en-US" w:eastAsia="zh-CN"/>
                    </w:rPr>
                    <w:t>%）。</w:t>
                  </w:r>
                </w:p>
              </w:tc>
            </w:tr>
            <w:tr w14:paraId="2B59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tcBorders>
                    <w:tl2br w:val="nil"/>
                    <w:tr2bl w:val="nil"/>
                  </w:tcBorders>
                  <w:vAlign w:val="center"/>
                </w:tcPr>
                <w:p w14:paraId="4A28E7EC">
                  <w:pPr>
                    <w:keepNext w:val="0"/>
                    <w:keepLines w:val="0"/>
                    <w:pageBreakBefore w:val="0"/>
                    <w:widowControl w:val="0"/>
                    <w:kinsoku/>
                    <w:wordWrap/>
                    <w:overflowPunct/>
                    <w:topLinePunct w:val="0"/>
                    <w:autoSpaceDE/>
                    <w:autoSpaceDN/>
                    <w:bidi w:val="0"/>
                    <w:ind w:firstLine="0" w:firstLineChars="0"/>
                    <w:jc w:val="center"/>
                    <w:textAlignment w:val="auto"/>
                    <w:rPr>
                      <w:rFonts w:hint="default" w:eastAsia="宋体"/>
                      <w:b/>
                      <w:bCs/>
                      <w:color w:val="auto"/>
                      <w:szCs w:val="21"/>
                      <w:highlight w:val="none"/>
                      <w:lang w:val="en-US" w:eastAsia="zh-CN"/>
                    </w:rPr>
                  </w:pPr>
                  <w:r>
                    <w:rPr>
                      <w:rFonts w:hint="eastAsia"/>
                      <w:b/>
                      <w:bCs/>
                      <w:color w:val="auto"/>
                      <w:szCs w:val="21"/>
                      <w:highlight w:val="none"/>
                      <w:lang w:val="en-US" w:eastAsia="zh-CN"/>
                    </w:rPr>
                    <w:t>表调剂</w:t>
                  </w:r>
                </w:p>
              </w:tc>
              <w:tc>
                <w:tcPr>
                  <w:tcW w:w="4211" w:type="pct"/>
                  <w:tcBorders>
                    <w:tl2br w:val="nil"/>
                    <w:tr2bl w:val="nil"/>
                  </w:tcBorders>
                  <w:vAlign w:val="center"/>
                </w:tcPr>
                <w:p w14:paraId="593A8C08">
                  <w:pPr>
                    <w:pStyle w:val="37"/>
                    <w:keepNext w:val="0"/>
                    <w:keepLines w:val="0"/>
                    <w:pageBreakBefore w:val="0"/>
                    <w:widowControl w:val="0"/>
                    <w:tabs>
                      <w:tab w:val="left" w:pos="-213"/>
                    </w:tabs>
                    <w:kinsoku/>
                    <w:wordWrap/>
                    <w:overflowPunct/>
                    <w:topLinePunct w:val="0"/>
                    <w:autoSpaceDE/>
                    <w:autoSpaceDN/>
                    <w:bidi w:val="0"/>
                    <w:adjustRightInd/>
                    <w:snapToGrid/>
                    <w:spacing w:after="0"/>
                    <w:ind w:left="0" w:leftChars="0" w:firstLine="420" w:firstLineChars="200"/>
                    <w:textAlignment w:val="auto"/>
                    <w:rPr>
                      <w:rFonts w:hint="default" w:ascii="Times New Roman" w:hAnsi="Times New Roman" w:eastAsia="宋体"/>
                      <w:b w:val="0"/>
                      <w:bCs w:val="0"/>
                      <w:color w:val="auto"/>
                      <w:szCs w:val="21"/>
                      <w:highlight w:val="none"/>
                      <w:lang w:val="en-US" w:eastAsia="zh-CN"/>
                    </w:rPr>
                  </w:pPr>
                  <w:r>
                    <w:rPr>
                      <w:rFonts w:hint="eastAsia"/>
                      <w:b w:val="0"/>
                      <w:bCs w:val="0"/>
                      <w:color w:val="auto"/>
                      <w:szCs w:val="21"/>
                      <w:highlight w:val="none"/>
                      <w:lang w:val="en-US" w:eastAsia="zh-CN"/>
                    </w:rPr>
                    <w:t>白色粉状固体，相对密度（水=1）2.35，微溶于水、不溶于醇、醚、苯、氯仿，主要成分为磷酸盐（25%）、纯碱（55%）、钛盐（20%）。不燃不爆，LD50:5000～9000mg/kg（大鼠经口）。</w:t>
                  </w:r>
                </w:p>
              </w:tc>
            </w:tr>
            <w:tr w14:paraId="2BD60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tcBorders>
                    <w:tl2br w:val="nil"/>
                    <w:tr2bl w:val="nil"/>
                  </w:tcBorders>
                  <w:vAlign w:val="center"/>
                </w:tcPr>
                <w:p w14:paraId="6251E800">
                  <w:pPr>
                    <w:keepNext w:val="0"/>
                    <w:keepLines w:val="0"/>
                    <w:pageBreakBefore w:val="0"/>
                    <w:widowControl w:val="0"/>
                    <w:kinsoku/>
                    <w:wordWrap/>
                    <w:overflowPunct/>
                    <w:topLinePunct w:val="0"/>
                    <w:autoSpaceDE/>
                    <w:autoSpaceDN/>
                    <w:bidi w:val="0"/>
                    <w:ind w:firstLine="0" w:firstLineChars="0"/>
                    <w:jc w:val="center"/>
                    <w:textAlignment w:val="auto"/>
                    <w:rPr>
                      <w:rFonts w:hint="default"/>
                      <w:b/>
                      <w:bCs/>
                      <w:color w:val="auto"/>
                      <w:szCs w:val="21"/>
                      <w:highlight w:val="none"/>
                      <w:lang w:val="en-US" w:eastAsia="zh-CN"/>
                    </w:rPr>
                  </w:pPr>
                  <w:r>
                    <w:rPr>
                      <w:rFonts w:hint="eastAsia"/>
                      <w:b/>
                      <w:bCs/>
                      <w:color w:val="auto"/>
                      <w:szCs w:val="21"/>
                      <w:highlight w:val="none"/>
                      <w:lang w:val="en-US" w:eastAsia="zh-CN"/>
                    </w:rPr>
                    <w:t>除油粉</w:t>
                  </w:r>
                </w:p>
              </w:tc>
              <w:tc>
                <w:tcPr>
                  <w:tcW w:w="4211" w:type="pct"/>
                  <w:tcBorders>
                    <w:tl2br w:val="nil"/>
                    <w:tr2bl w:val="nil"/>
                  </w:tcBorders>
                  <w:vAlign w:val="center"/>
                </w:tcPr>
                <w:p w14:paraId="42368643">
                  <w:pPr>
                    <w:pStyle w:val="37"/>
                    <w:keepNext w:val="0"/>
                    <w:keepLines w:val="0"/>
                    <w:pageBreakBefore w:val="0"/>
                    <w:widowControl w:val="0"/>
                    <w:tabs>
                      <w:tab w:val="left" w:pos="-213"/>
                    </w:tabs>
                    <w:kinsoku/>
                    <w:wordWrap/>
                    <w:overflowPunct/>
                    <w:topLinePunct w:val="0"/>
                    <w:autoSpaceDE/>
                    <w:autoSpaceDN/>
                    <w:bidi w:val="0"/>
                    <w:adjustRightInd/>
                    <w:snapToGrid/>
                    <w:spacing w:after="0"/>
                    <w:ind w:left="0" w:leftChars="0" w:firstLine="420" w:firstLineChars="200"/>
                    <w:textAlignment w:val="auto"/>
                    <w:rPr>
                      <w:rFonts w:hint="default"/>
                      <w:b w:val="0"/>
                      <w:bCs w:val="0"/>
                      <w:color w:val="auto"/>
                      <w:szCs w:val="21"/>
                      <w:highlight w:val="none"/>
                      <w:lang w:val="en-US" w:eastAsia="zh-CN"/>
                    </w:rPr>
                  </w:pPr>
                  <w:r>
                    <w:rPr>
                      <w:rFonts w:hint="eastAsia"/>
                      <w:b w:val="0"/>
                      <w:bCs w:val="0"/>
                      <w:color w:val="auto"/>
                      <w:szCs w:val="21"/>
                      <w:highlight w:val="none"/>
                      <w:lang w:val="en-US" w:eastAsia="zh-CN"/>
                    </w:rPr>
                    <w:t>白色粉状固体，熔点305℃，相对密度（水=1）2.35，易溶于水，不溶于苯、氯仿等溶剂，用于金属表面脱脂除油，主要成分碱类（20%）、硅酸盐（25%）、钠盐（20%）、纯碱（35%），不燃不爆，LD50:5000～9000mg/kg（大鼠经口）。</w:t>
                  </w:r>
                </w:p>
              </w:tc>
            </w:tr>
            <w:tr w14:paraId="57958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tcBorders>
                    <w:tl2br w:val="nil"/>
                    <w:tr2bl w:val="nil"/>
                  </w:tcBorders>
                  <w:vAlign w:val="center"/>
                </w:tcPr>
                <w:p w14:paraId="492F0783">
                  <w:pPr>
                    <w:keepNext w:val="0"/>
                    <w:keepLines w:val="0"/>
                    <w:pageBreakBefore w:val="0"/>
                    <w:widowControl w:val="0"/>
                    <w:kinsoku/>
                    <w:wordWrap/>
                    <w:overflowPunct/>
                    <w:topLinePunct w:val="0"/>
                    <w:autoSpaceDE/>
                    <w:autoSpaceDN/>
                    <w:bidi w:val="0"/>
                    <w:ind w:firstLine="0" w:firstLineChars="0"/>
                    <w:jc w:val="center"/>
                    <w:textAlignment w:val="auto"/>
                    <w:rPr>
                      <w:rFonts w:hint="default"/>
                      <w:b/>
                      <w:bCs/>
                      <w:color w:val="auto"/>
                      <w:szCs w:val="21"/>
                      <w:highlight w:val="none"/>
                      <w:lang w:val="en-US" w:eastAsia="zh-CN"/>
                    </w:rPr>
                  </w:pPr>
                  <w:r>
                    <w:rPr>
                      <w:rFonts w:hint="eastAsia"/>
                      <w:b/>
                      <w:bCs/>
                      <w:color w:val="auto"/>
                      <w:szCs w:val="21"/>
                      <w:highlight w:val="none"/>
                      <w:lang w:val="en-US" w:eastAsia="zh-CN"/>
                    </w:rPr>
                    <w:t>促进剂</w:t>
                  </w:r>
                </w:p>
              </w:tc>
              <w:tc>
                <w:tcPr>
                  <w:tcW w:w="4211" w:type="pct"/>
                  <w:tcBorders>
                    <w:tl2br w:val="nil"/>
                    <w:tr2bl w:val="nil"/>
                  </w:tcBorders>
                  <w:vAlign w:val="center"/>
                </w:tcPr>
                <w:p w14:paraId="38CF479C">
                  <w:pPr>
                    <w:pStyle w:val="37"/>
                    <w:keepNext w:val="0"/>
                    <w:keepLines w:val="0"/>
                    <w:pageBreakBefore w:val="0"/>
                    <w:widowControl w:val="0"/>
                    <w:tabs>
                      <w:tab w:val="left" w:pos="-213"/>
                    </w:tabs>
                    <w:kinsoku/>
                    <w:wordWrap/>
                    <w:overflowPunct/>
                    <w:topLinePunct w:val="0"/>
                    <w:autoSpaceDE/>
                    <w:autoSpaceDN/>
                    <w:bidi w:val="0"/>
                    <w:adjustRightInd/>
                    <w:snapToGrid/>
                    <w:spacing w:after="0"/>
                    <w:ind w:left="0" w:leftChars="0" w:firstLine="420" w:firstLineChars="200"/>
                    <w:textAlignment w:val="auto"/>
                    <w:rPr>
                      <w:rFonts w:hint="default"/>
                      <w:b w:val="0"/>
                      <w:bCs w:val="0"/>
                      <w:color w:val="auto"/>
                      <w:szCs w:val="21"/>
                      <w:highlight w:val="none"/>
                      <w:lang w:val="en-US" w:eastAsia="zh-CN"/>
                    </w:rPr>
                  </w:pPr>
                  <w:r>
                    <w:rPr>
                      <w:rFonts w:hint="eastAsia"/>
                      <w:b w:val="0"/>
                      <w:bCs w:val="0"/>
                      <w:color w:val="auto"/>
                      <w:szCs w:val="21"/>
                      <w:highlight w:val="none"/>
                      <w:lang w:val="en-US" w:eastAsia="zh-CN"/>
                    </w:rPr>
                    <w:t>淡黄色透明液体，沸点105℃，相对密度（水=1）1.12，易溶于水，可混溶于醇、醚，不溶于苯、氯仿，用于金属加工表面成膜防腐，主要成分亚硝酸盐（35%）、水（65%），不燃不爆，LD50:5000～9000mg/kg（大鼠经口）。</w:t>
                  </w:r>
                </w:p>
              </w:tc>
            </w:tr>
            <w:tr w14:paraId="651E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tcBorders>
                    <w:tl2br w:val="nil"/>
                    <w:tr2bl w:val="nil"/>
                  </w:tcBorders>
                  <w:vAlign w:val="center"/>
                </w:tcPr>
                <w:p w14:paraId="757FE143">
                  <w:pPr>
                    <w:keepNext w:val="0"/>
                    <w:keepLines w:val="0"/>
                    <w:pageBreakBefore w:val="0"/>
                    <w:widowControl w:val="0"/>
                    <w:kinsoku/>
                    <w:wordWrap/>
                    <w:overflowPunct/>
                    <w:topLinePunct w:val="0"/>
                    <w:autoSpaceDE/>
                    <w:autoSpaceDN/>
                    <w:bidi w:val="0"/>
                    <w:ind w:firstLine="0" w:firstLineChars="0"/>
                    <w:jc w:val="center"/>
                    <w:textAlignment w:val="auto"/>
                    <w:rPr>
                      <w:rFonts w:hint="default"/>
                      <w:b/>
                      <w:bCs/>
                      <w:color w:val="auto"/>
                      <w:szCs w:val="21"/>
                      <w:highlight w:val="none"/>
                      <w:lang w:val="en-US" w:eastAsia="zh-CN"/>
                    </w:rPr>
                  </w:pPr>
                  <w:r>
                    <w:rPr>
                      <w:rFonts w:hint="eastAsia"/>
                      <w:b/>
                      <w:bCs/>
                      <w:color w:val="auto"/>
                      <w:szCs w:val="21"/>
                      <w:highlight w:val="none"/>
                      <w:lang w:val="en-US" w:eastAsia="zh-CN"/>
                    </w:rPr>
                    <w:t>片碱</w:t>
                  </w:r>
                </w:p>
              </w:tc>
              <w:tc>
                <w:tcPr>
                  <w:tcW w:w="4211" w:type="pct"/>
                  <w:tcBorders>
                    <w:tl2br w:val="nil"/>
                    <w:tr2bl w:val="nil"/>
                  </w:tcBorders>
                  <w:vAlign w:val="center"/>
                </w:tcPr>
                <w:p w14:paraId="0510432B">
                  <w:pPr>
                    <w:pStyle w:val="37"/>
                    <w:keepNext w:val="0"/>
                    <w:keepLines w:val="0"/>
                    <w:pageBreakBefore w:val="0"/>
                    <w:widowControl w:val="0"/>
                    <w:tabs>
                      <w:tab w:val="left" w:pos="-213"/>
                    </w:tabs>
                    <w:kinsoku/>
                    <w:wordWrap/>
                    <w:overflowPunct/>
                    <w:topLinePunct w:val="0"/>
                    <w:autoSpaceDE/>
                    <w:autoSpaceDN/>
                    <w:bidi w:val="0"/>
                    <w:adjustRightInd/>
                    <w:snapToGrid/>
                    <w:spacing w:after="0"/>
                    <w:ind w:left="0" w:leftChars="0" w:firstLine="420" w:firstLineChars="200"/>
                    <w:textAlignment w:val="auto"/>
                    <w:rPr>
                      <w:rFonts w:hint="default"/>
                      <w:b w:val="0"/>
                      <w:bCs w:val="0"/>
                      <w:color w:val="auto"/>
                      <w:szCs w:val="21"/>
                      <w:highlight w:val="none"/>
                      <w:lang w:val="en-US" w:eastAsia="zh-CN"/>
                    </w:rPr>
                  </w:pPr>
                  <w:r>
                    <w:rPr>
                      <w:rFonts w:hint="eastAsia"/>
                      <w:b w:val="0"/>
                      <w:bCs w:val="0"/>
                      <w:color w:val="auto"/>
                      <w:szCs w:val="21"/>
                      <w:highlight w:val="none"/>
                      <w:lang w:val="en-US" w:eastAsia="zh-CN"/>
                    </w:rPr>
                    <w:t>白色片状固体，别名氢氧化钠，不燃，熔点318℃，相对密度（水=1）2.13，易溶于水，可混溶于醇、醚，不溶于苯、氯仿，用于金属加工表面清洗，LD50:5000～9000mg/kg（大鼠经口）。</w:t>
                  </w:r>
                </w:p>
              </w:tc>
            </w:tr>
            <w:tr w14:paraId="2F2B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tcBorders>
                    <w:tl2br w:val="nil"/>
                    <w:tr2bl w:val="nil"/>
                  </w:tcBorders>
                  <w:vAlign w:val="center"/>
                </w:tcPr>
                <w:p w14:paraId="42978C6D">
                  <w:pPr>
                    <w:keepNext w:val="0"/>
                    <w:keepLines w:val="0"/>
                    <w:pageBreakBefore w:val="0"/>
                    <w:widowControl w:val="0"/>
                    <w:kinsoku/>
                    <w:wordWrap/>
                    <w:overflowPunct/>
                    <w:topLinePunct w:val="0"/>
                    <w:autoSpaceDE/>
                    <w:autoSpaceDN/>
                    <w:bidi w:val="0"/>
                    <w:ind w:firstLine="0" w:firstLineChars="0"/>
                    <w:jc w:val="center"/>
                    <w:textAlignment w:val="auto"/>
                    <w:rPr>
                      <w:rFonts w:hint="default"/>
                      <w:b/>
                      <w:bCs/>
                      <w:color w:val="auto"/>
                      <w:szCs w:val="21"/>
                      <w:highlight w:val="none"/>
                      <w:lang w:val="en-US" w:eastAsia="zh-CN"/>
                    </w:rPr>
                  </w:pPr>
                  <w:r>
                    <w:rPr>
                      <w:rFonts w:hint="eastAsia"/>
                      <w:b/>
                      <w:bCs/>
                      <w:color w:val="auto"/>
                      <w:szCs w:val="21"/>
                      <w:highlight w:val="none"/>
                      <w:lang w:val="en-US" w:eastAsia="zh-CN"/>
                    </w:rPr>
                    <w:t>氢氧化钙</w:t>
                  </w:r>
                </w:p>
              </w:tc>
              <w:tc>
                <w:tcPr>
                  <w:tcW w:w="4211" w:type="pct"/>
                  <w:tcBorders>
                    <w:tl2br w:val="nil"/>
                    <w:tr2bl w:val="nil"/>
                  </w:tcBorders>
                  <w:vAlign w:val="center"/>
                </w:tcPr>
                <w:p w14:paraId="36079C4D">
                  <w:pPr>
                    <w:pStyle w:val="37"/>
                    <w:keepNext w:val="0"/>
                    <w:keepLines w:val="0"/>
                    <w:pageBreakBefore w:val="0"/>
                    <w:widowControl w:val="0"/>
                    <w:tabs>
                      <w:tab w:val="left" w:pos="-213"/>
                    </w:tabs>
                    <w:kinsoku/>
                    <w:wordWrap/>
                    <w:overflowPunct/>
                    <w:topLinePunct w:val="0"/>
                    <w:autoSpaceDE/>
                    <w:autoSpaceDN/>
                    <w:bidi w:val="0"/>
                    <w:adjustRightInd/>
                    <w:snapToGrid/>
                    <w:spacing w:after="0"/>
                    <w:ind w:left="0" w:leftChars="0" w:firstLine="420" w:firstLineChars="200"/>
                    <w:textAlignment w:val="auto"/>
                    <w:rPr>
                      <w:rFonts w:hint="default"/>
                      <w:b w:val="0"/>
                      <w:bCs w:val="0"/>
                      <w:color w:val="auto"/>
                      <w:szCs w:val="21"/>
                      <w:highlight w:val="none"/>
                      <w:lang w:val="en-US" w:eastAsia="zh-CN"/>
                    </w:rPr>
                  </w:pPr>
                  <w:r>
                    <w:rPr>
                      <w:rFonts w:hint="eastAsia"/>
                      <w:b w:val="0"/>
                      <w:bCs w:val="0"/>
                      <w:color w:val="auto"/>
                      <w:szCs w:val="21"/>
                      <w:highlight w:val="none"/>
                      <w:lang w:val="en-US" w:eastAsia="zh-CN"/>
                    </w:rPr>
                    <w:t>细腻白色粉末，不溶于水，溶于酸、甘油，不溶于醇，熔点580℃，沸点2850℃，不燃，具有强刺激性，LD50:5000～9000mg/kg（大鼠经口）。</w:t>
                  </w:r>
                </w:p>
              </w:tc>
            </w:tr>
            <w:tr w14:paraId="6469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tcBorders>
                    <w:tl2br w:val="nil"/>
                    <w:tr2bl w:val="nil"/>
                  </w:tcBorders>
                  <w:vAlign w:val="center"/>
                </w:tcPr>
                <w:p w14:paraId="2BDB4245">
                  <w:pPr>
                    <w:keepNext w:val="0"/>
                    <w:keepLines w:val="0"/>
                    <w:pageBreakBefore w:val="0"/>
                    <w:widowControl w:val="0"/>
                    <w:kinsoku/>
                    <w:wordWrap/>
                    <w:overflowPunct/>
                    <w:topLinePunct w:val="0"/>
                    <w:autoSpaceDE/>
                    <w:autoSpaceDN/>
                    <w:bidi w:val="0"/>
                    <w:ind w:firstLine="0" w:firstLineChars="0"/>
                    <w:jc w:val="center"/>
                    <w:textAlignment w:val="auto"/>
                    <w:rPr>
                      <w:rFonts w:hint="default"/>
                      <w:b/>
                      <w:bCs/>
                      <w:color w:val="auto"/>
                      <w:szCs w:val="21"/>
                      <w:highlight w:val="none"/>
                      <w:lang w:val="en-US" w:eastAsia="zh-CN"/>
                    </w:rPr>
                  </w:pPr>
                  <w:r>
                    <w:rPr>
                      <w:rFonts w:hint="eastAsia"/>
                      <w:b/>
                      <w:bCs/>
                      <w:color w:val="auto"/>
                      <w:szCs w:val="21"/>
                      <w:highlight w:val="none"/>
                      <w:lang w:val="en-US" w:eastAsia="zh-CN"/>
                    </w:rPr>
                    <w:t>破乳剂</w:t>
                  </w:r>
                </w:p>
              </w:tc>
              <w:tc>
                <w:tcPr>
                  <w:tcW w:w="4211" w:type="pct"/>
                  <w:tcBorders>
                    <w:tl2br w:val="nil"/>
                    <w:tr2bl w:val="nil"/>
                  </w:tcBorders>
                  <w:vAlign w:val="center"/>
                </w:tcPr>
                <w:p w14:paraId="3BC4450D">
                  <w:pPr>
                    <w:pStyle w:val="37"/>
                    <w:keepNext w:val="0"/>
                    <w:keepLines w:val="0"/>
                    <w:pageBreakBefore w:val="0"/>
                    <w:widowControl w:val="0"/>
                    <w:tabs>
                      <w:tab w:val="left" w:pos="-213"/>
                    </w:tabs>
                    <w:kinsoku/>
                    <w:wordWrap/>
                    <w:overflowPunct/>
                    <w:topLinePunct w:val="0"/>
                    <w:autoSpaceDE/>
                    <w:autoSpaceDN/>
                    <w:bidi w:val="0"/>
                    <w:adjustRightInd/>
                    <w:snapToGrid/>
                    <w:spacing w:after="0"/>
                    <w:ind w:left="0" w:leftChars="0" w:firstLine="420" w:firstLineChars="200"/>
                    <w:textAlignment w:val="auto"/>
                    <w:rPr>
                      <w:rFonts w:hint="default"/>
                      <w:b w:val="0"/>
                      <w:bCs w:val="0"/>
                      <w:color w:val="auto"/>
                      <w:szCs w:val="21"/>
                      <w:highlight w:val="none"/>
                      <w:lang w:val="en-US" w:eastAsia="zh-CN"/>
                    </w:rPr>
                  </w:pPr>
                  <w:r>
                    <w:rPr>
                      <w:rFonts w:hint="eastAsia"/>
                      <w:b w:val="0"/>
                      <w:bCs w:val="0"/>
                      <w:color w:val="auto"/>
                      <w:szCs w:val="21"/>
                      <w:highlight w:val="none"/>
                      <w:lang w:val="en-US" w:eastAsia="zh-CN"/>
                    </w:rPr>
                    <w:t>棕褐色液体，是一种能破坏乳状液的表面活性剂，易溶于水，肥皂气味，凝固点25～ 40℃，相对密度（水=1）1.1，LD50:5000～9000mg/kg（大鼠经口）。</w:t>
                  </w:r>
                </w:p>
              </w:tc>
            </w:tr>
            <w:tr w14:paraId="61DB5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tcBorders>
                    <w:tl2br w:val="nil"/>
                    <w:tr2bl w:val="nil"/>
                  </w:tcBorders>
                  <w:vAlign w:val="center"/>
                </w:tcPr>
                <w:p w14:paraId="6E67B435">
                  <w:pPr>
                    <w:keepNext w:val="0"/>
                    <w:keepLines w:val="0"/>
                    <w:pageBreakBefore w:val="0"/>
                    <w:widowControl w:val="0"/>
                    <w:kinsoku/>
                    <w:wordWrap/>
                    <w:overflowPunct/>
                    <w:topLinePunct w:val="0"/>
                    <w:autoSpaceDE/>
                    <w:autoSpaceDN/>
                    <w:bidi w:val="0"/>
                    <w:ind w:firstLine="0" w:firstLineChars="0"/>
                    <w:jc w:val="center"/>
                    <w:textAlignment w:val="auto"/>
                    <w:rPr>
                      <w:rFonts w:hint="default"/>
                      <w:b/>
                      <w:bCs/>
                      <w:color w:val="auto"/>
                      <w:szCs w:val="21"/>
                      <w:highlight w:val="none"/>
                      <w:lang w:val="en-US" w:eastAsia="zh-CN"/>
                    </w:rPr>
                  </w:pPr>
                  <w:r>
                    <w:rPr>
                      <w:rFonts w:hint="eastAsia"/>
                      <w:b/>
                      <w:bCs/>
                      <w:color w:val="auto"/>
                      <w:szCs w:val="21"/>
                      <w:highlight w:val="none"/>
                      <w:lang w:val="en-US" w:eastAsia="zh-CN"/>
                    </w:rPr>
                    <w:t>液化石油气</w:t>
                  </w:r>
                </w:p>
              </w:tc>
              <w:tc>
                <w:tcPr>
                  <w:tcW w:w="4211" w:type="pct"/>
                  <w:tcBorders>
                    <w:tl2br w:val="nil"/>
                    <w:tr2bl w:val="nil"/>
                  </w:tcBorders>
                  <w:vAlign w:val="center"/>
                </w:tcPr>
                <w:p w14:paraId="08780D7D">
                  <w:pPr>
                    <w:pStyle w:val="37"/>
                    <w:keepNext w:val="0"/>
                    <w:keepLines w:val="0"/>
                    <w:pageBreakBefore w:val="0"/>
                    <w:widowControl w:val="0"/>
                    <w:tabs>
                      <w:tab w:val="left" w:pos="-213"/>
                    </w:tabs>
                    <w:kinsoku/>
                    <w:wordWrap/>
                    <w:overflowPunct/>
                    <w:topLinePunct w:val="0"/>
                    <w:autoSpaceDE/>
                    <w:autoSpaceDN/>
                    <w:bidi w:val="0"/>
                    <w:adjustRightInd/>
                    <w:snapToGrid/>
                    <w:spacing w:after="0"/>
                    <w:ind w:left="0" w:leftChars="0" w:firstLine="420" w:firstLineChars="200"/>
                    <w:textAlignment w:val="auto"/>
                    <w:rPr>
                      <w:rFonts w:hint="default"/>
                      <w:b w:val="0"/>
                      <w:bCs w:val="0"/>
                      <w:color w:val="auto"/>
                      <w:szCs w:val="21"/>
                      <w:highlight w:val="none"/>
                      <w:lang w:val="en-US" w:eastAsia="zh-CN"/>
                    </w:rPr>
                  </w:pPr>
                  <w:r>
                    <w:rPr>
                      <w:rFonts w:hint="eastAsia"/>
                      <w:b w:val="0"/>
                      <w:bCs w:val="0"/>
                      <w:color w:val="auto"/>
                      <w:szCs w:val="21"/>
                      <w:highlight w:val="none"/>
                      <w:lang w:val="en-US" w:eastAsia="zh-CN"/>
                    </w:rPr>
                    <w:t>无色气体或黄棕色油状液体，主要成分丙烷（80%）、丁烷（20%），不溶于水，熔点-160~-107℃，沸点-12~4℃，闪点-80~-60℃</w:t>
                  </w:r>
                  <w:r>
                    <w:rPr>
                      <w:rFonts w:hint="default" w:ascii="Times New Roman" w:hAnsi="Times New Roman" w:cs="Times New Roman"/>
                      <w:b w:val="0"/>
                      <w:bCs w:val="0"/>
                      <w:color w:val="auto"/>
                      <w:sz w:val="21"/>
                      <w:szCs w:val="21"/>
                      <w:highlight w:val="none"/>
                      <w:lang w:val="en-US" w:eastAsia="zh-CN"/>
                    </w:rPr>
                    <w:t>，密度2.35</w:t>
                  </w:r>
                  <w:r>
                    <w:rPr>
                      <w:rFonts w:hint="default" w:ascii="Times New Roman" w:hAnsi="Times New Roman" w:eastAsia="宋体" w:cs="Times New Roman"/>
                      <w:color w:val="auto"/>
                      <w:sz w:val="21"/>
                      <w:szCs w:val="21"/>
                    </w:rPr>
                    <w:t>kg/m</w:t>
                  </w:r>
                  <w:r>
                    <w:rPr>
                      <w:rFonts w:hint="default" w:ascii="Times New Roman" w:hAnsi="Times New Roman" w:eastAsia="宋体" w:cs="Times New Roman"/>
                      <w:color w:val="auto"/>
                      <w:sz w:val="21"/>
                      <w:szCs w:val="21"/>
                      <w:vertAlign w:val="superscript"/>
                    </w:rPr>
                    <w:t>3</w:t>
                  </w:r>
                  <w:r>
                    <w:rPr>
                      <w:rFonts w:hint="default" w:ascii="Times New Roman" w:hAnsi="Times New Roman" w:cs="Times New Roman"/>
                      <w:b w:val="0"/>
                      <w:bCs w:val="0"/>
                      <w:color w:val="auto"/>
                      <w:sz w:val="21"/>
                      <w:szCs w:val="21"/>
                      <w:highlight w:val="none"/>
                      <w:lang w:val="en-US" w:eastAsia="zh-CN"/>
                    </w:rPr>
                    <w:t>，</w:t>
                  </w:r>
                  <w:r>
                    <w:rPr>
                      <w:rFonts w:hint="eastAsia"/>
                      <w:b w:val="0"/>
                      <w:bCs w:val="0"/>
                      <w:color w:val="auto"/>
                      <w:szCs w:val="21"/>
                      <w:highlight w:val="none"/>
                      <w:lang w:val="en-US" w:eastAsia="zh-CN"/>
                    </w:rPr>
                    <w:t>极易燃。</w:t>
                  </w:r>
                </w:p>
              </w:tc>
            </w:tr>
            <w:tr w14:paraId="2035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tcBorders>
                    <w:tl2br w:val="nil"/>
                    <w:tr2bl w:val="nil"/>
                  </w:tcBorders>
                  <w:vAlign w:val="center"/>
                </w:tcPr>
                <w:p w14:paraId="5EDD3D2A">
                  <w:pPr>
                    <w:pStyle w:val="57"/>
                    <w:keepNext w:val="0"/>
                    <w:keepLines w:val="0"/>
                    <w:pageBreakBefore w:val="0"/>
                    <w:widowControl w:val="0"/>
                    <w:kinsoku/>
                    <w:wordWrap/>
                    <w:overflowPunct/>
                    <w:topLinePunct w:val="0"/>
                    <w:autoSpaceDE/>
                    <w:autoSpaceDN/>
                    <w:bidi w:val="0"/>
                    <w:spacing w:before="0" w:beforeLines="0" w:after="0" w:afterLines="0" w:line="240" w:lineRule="auto"/>
                    <w:ind w:firstLine="0" w:firstLineChars="0"/>
                    <w:jc w:val="both"/>
                    <w:textAlignment w:val="auto"/>
                    <w:rPr>
                      <w:rFonts w:hint="eastAsia"/>
                      <w:b/>
                      <w:bCs/>
                      <w:color w:val="auto"/>
                      <w:szCs w:val="21"/>
                      <w:highlight w:val="none"/>
                      <w:lang w:eastAsia="zh-CN"/>
                    </w:rPr>
                  </w:pPr>
                  <w:r>
                    <w:rPr>
                      <w:rFonts w:ascii="Times New Roman" w:hAnsi="Times New Roman"/>
                      <w:b/>
                      <w:bCs/>
                      <w:color w:val="auto"/>
                      <w:sz w:val="21"/>
                      <w:szCs w:val="21"/>
                      <w:highlight w:val="none"/>
                    </w:rPr>
                    <w:t>聚丙烯酰胺（PA</w:t>
                  </w:r>
                  <w:r>
                    <w:rPr>
                      <w:rFonts w:hint="eastAsia" w:ascii="Times New Roman" w:hAnsi="Times New Roman"/>
                      <w:b/>
                      <w:bCs/>
                      <w:color w:val="auto"/>
                      <w:sz w:val="21"/>
                      <w:szCs w:val="21"/>
                      <w:highlight w:val="none"/>
                      <w:lang w:val="en-US" w:eastAsia="zh-CN"/>
                    </w:rPr>
                    <w:t>M</w:t>
                  </w:r>
                  <w:r>
                    <w:rPr>
                      <w:rFonts w:ascii="Times New Roman" w:hAnsi="Times New Roman"/>
                      <w:b/>
                      <w:bCs/>
                      <w:color w:val="auto"/>
                      <w:sz w:val="21"/>
                      <w:szCs w:val="21"/>
                      <w:highlight w:val="none"/>
                    </w:rPr>
                    <w:t>）</w:t>
                  </w:r>
                </w:p>
              </w:tc>
              <w:tc>
                <w:tcPr>
                  <w:tcW w:w="4211" w:type="pct"/>
                  <w:tcBorders>
                    <w:tl2br w:val="nil"/>
                    <w:tr2bl w:val="nil"/>
                  </w:tcBorders>
                  <w:vAlign w:val="center"/>
                </w:tcPr>
                <w:p w14:paraId="24B9D0BA">
                  <w:pPr>
                    <w:pStyle w:val="107"/>
                    <w:keepNext w:val="0"/>
                    <w:keepLines w:val="0"/>
                    <w:pageBreakBefore w:val="0"/>
                    <w:widowControl w:val="0"/>
                    <w:kinsoku/>
                    <w:wordWrap/>
                    <w:overflowPunct/>
                    <w:topLinePunct w:val="0"/>
                    <w:autoSpaceDE/>
                    <w:autoSpaceDN/>
                    <w:bidi w:val="0"/>
                    <w:adjustRightInd/>
                    <w:snapToGrid/>
                    <w:spacing w:beforeLines="0" w:line="240" w:lineRule="auto"/>
                    <w:ind w:firstLine="420" w:firstLineChars="200"/>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 xml:space="preserve">PAM </w:t>
                  </w:r>
                  <w:r>
                    <w:rPr>
                      <w:rFonts w:hint="eastAsia" w:ascii="Times New Roman" w:hAnsi="Times New Roman" w:eastAsia="宋体" w:cs="Times New Roman"/>
                      <w:b w:val="0"/>
                      <w:bCs w:val="0"/>
                      <w:color w:val="auto"/>
                      <w:kern w:val="2"/>
                      <w:sz w:val="21"/>
                      <w:szCs w:val="21"/>
                      <w:highlight w:val="none"/>
                      <w:lang w:val="en-US" w:eastAsia="zh-CN" w:bidi="ar-SA"/>
                    </w:rPr>
                    <w:t xml:space="preserve">是一种线型高分子聚合物，它易溶于水，几乎不溶于苯、乙醚、酯类、丙酮等一般有机溶剂，其水溶液几近透明的粘稠液体，属非危险品，无毒，无腐蚀性，固体 </w:t>
                  </w:r>
                  <w:r>
                    <w:rPr>
                      <w:rFonts w:hint="default" w:ascii="Times New Roman" w:hAnsi="Times New Roman" w:eastAsia="宋体" w:cs="Times New Roman"/>
                      <w:b w:val="0"/>
                      <w:bCs w:val="0"/>
                      <w:color w:val="auto"/>
                      <w:kern w:val="2"/>
                      <w:sz w:val="21"/>
                      <w:szCs w:val="21"/>
                      <w:highlight w:val="none"/>
                      <w:lang w:val="en-US" w:eastAsia="zh-CN" w:bidi="ar-SA"/>
                    </w:rPr>
                    <w:t xml:space="preserve">PAM </w:t>
                  </w:r>
                  <w:r>
                    <w:rPr>
                      <w:rFonts w:hint="eastAsia" w:ascii="Times New Roman" w:hAnsi="Times New Roman" w:eastAsia="宋体" w:cs="Times New Roman"/>
                      <w:b w:val="0"/>
                      <w:bCs w:val="0"/>
                      <w:color w:val="auto"/>
                      <w:kern w:val="2"/>
                      <w:sz w:val="21"/>
                      <w:szCs w:val="21"/>
                      <w:highlight w:val="none"/>
                      <w:lang w:val="en-US" w:eastAsia="zh-CN" w:bidi="ar-SA"/>
                    </w:rPr>
                    <w:t>有吸湿性，吸温性随离子度的增加而增加，</w:t>
                  </w:r>
                  <w:r>
                    <w:rPr>
                      <w:rFonts w:hint="default" w:ascii="Times New Roman" w:hAnsi="Times New Roman" w:eastAsia="宋体" w:cs="Times New Roman"/>
                      <w:b w:val="0"/>
                      <w:bCs w:val="0"/>
                      <w:color w:val="auto"/>
                      <w:kern w:val="2"/>
                      <w:sz w:val="21"/>
                      <w:szCs w:val="21"/>
                      <w:highlight w:val="none"/>
                      <w:lang w:val="en-US" w:eastAsia="zh-CN" w:bidi="ar-SA"/>
                    </w:rPr>
                    <w:t xml:space="preserve">PAM </w:t>
                  </w:r>
                  <w:r>
                    <w:rPr>
                      <w:rFonts w:hint="eastAsia" w:ascii="Times New Roman" w:hAnsi="Times New Roman" w:eastAsia="宋体" w:cs="Times New Roman"/>
                      <w:b w:val="0"/>
                      <w:bCs w:val="0"/>
                      <w:color w:val="auto"/>
                      <w:kern w:val="2"/>
                      <w:sz w:val="21"/>
                      <w:szCs w:val="21"/>
                      <w:highlight w:val="none"/>
                      <w:lang w:val="en-US" w:eastAsia="zh-CN" w:bidi="ar-SA"/>
                    </w:rPr>
                    <w:t xml:space="preserve">热稳定性好，加热到 </w:t>
                  </w:r>
                  <w:r>
                    <w:rPr>
                      <w:rFonts w:hint="default" w:ascii="Times New Roman" w:hAnsi="Times New Roman" w:eastAsia="宋体" w:cs="Times New Roman"/>
                      <w:b w:val="0"/>
                      <w:bCs w:val="0"/>
                      <w:color w:val="auto"/>
                      <w:kern w:val="2"/>
                      <w:sz w:val="21"/>
                      <w:szCs w:val="21"/>
                      <w:highlight w:val="none"/>
                      <w:lang w:val="en-US" w:eastAsia="zh-CN" w:bidi="ar-SA"/>
                    </w:rPr>
                    <w:t>100</w:t>
                  </w:r>
                  <w:r>
                    <w:rPr>
                      <w:rFonts w:hint="eastAsia" w:ascii="Times New Roman" w:hAnsi="Times New Roman" w:eastAsia="宋体" w:cs="Times New Roman"/>
                      <w:b w:val="0"/>
                      <w:bCs w:val="0"/>
                      <w:color w:val="auto"/>
                      <w:kern w:val="2"/>
                      <w:sz w:val="21"/>
                      <w:szCs w:val="21"/>
                      <w:highlight w:val="none"/>
                      <w:lang w:val="en-US" w:eastAsia="zh-CN" w:bidi="ar-SA"/>
                    </w:rPr>
                    <w:t>℃稳定性良好，但在</w:t>
                  </w:r>
                  <w:r>
                    <w:rPr>
                      <w:rFonts w:hint="default" w:ascii="Times New Roman" w:hAnsi="Times New Roman" w:eastAsia="宋体" w:cs="Times New Roman"/>
                      <w:b w:val="0"/>
                      <w:bCs w:val="0"/>
                      <w:color w:val="auto"/>
                      <w:kern w:val="2"/>
                      <w:sz w:val="21"/>
                      <w:szCs w:val="21"/>
                      <w:highlight w:val="none"/>
                      <w:lang w:val="en-US" w:eastAsia="zh-CN" w:bidi="ar-SA"/>
                    </w:rPr>
                    <w:t>150</w:t>
                  </w:r>
                  <w:r>
                    <w:rPr>
                      <w:rFonts w:hint="eastAsia" w:ascii="Times New Roman" w:hAnsi="Times New Roman" w:eastAsia="宋体" w:cs="Times New Roman"/>
                      <w:b w:val="0"/>
                      <w:bCs w:val="0"/>
                      <w:color w:val="auto"/>
                      <w:kern w:val="2"/>
                      <w:sz w:val="21"/>
                      <w:szCs w:val="21"/>
                      <w:highlight w:val="none"/>
                      <w:lang w:val="en-US" w:eastAsia="zh-CN" w:bidi="ar-SA"/>
                    </w:rPr>
                    <w:t>℃以上时易分解产生氮气，在分子间发生亚胺化作用而不溶于水，密度</w:t>
                  </w:r>
                  <w:r>
                    <w:rPr>
                      <w:rFonts w:hint="default" w:ascii="Times New Roman" w:hAnsi="Times New Roman" w:eastAsia="宋体" w:cs="Times New Roman"/>
                      <w:b w:val="0"/>
                      <w:bCs w:val="0"/>
                      <w:color w:val="auto"/>
                      <w:kern w:val="2"/>
                      <w:sz w:val="21"/>
                      <w:szCs w:val="21"/>
                      <w:highlight w:val="none"/>
                      <w:lang w:val="en-US" w:eastAsia="zh-CN" w:bidi="ar-SA"/>
                    </w:rPr>
                    <w:t>g/L</w:t>
                  </w:r>
                  <w:r>
                    <w:rPr>
                      <w:rFonts w:hint="eastAsia" w:ascii="Times New Roman" w:hAnsi="Times New Roman" w:eastAsia="宋体" w:cs="Times New Roman"/>
                      <w:b w:val="0"/>
                      <w:bCs w:val="0"/>
                      <w:color w:val="auto"/>
                      <w:kern w:val="2"/>
                      <w:sz w:val="21"/>
                      <w:szCs w:val="21"/>
                      <w:highlight w:val="none"/>
                      <w:lang w:val="en-US" w:eastAsia="zh-CN" w:bidi="ar-SA"/>
                    </w:rPr>
                    <w:t>，</w:t>
                  </w:r>
                  <w:r>
                    <w:rPr>
                      <w:rFonts w:hint="default" w:ascii="Times New Roman" w:hAnsi="Times New Roman" w:eastAsia="宋体" w:cs="Times New Roman"/>
                      <w:b w:val="0"/>
                      <w:bCs w:val="0"/>
                      <w:color w:val="auto"/>
                      <w:kern w:val="2"/>
                      <w:sz w:val="21"/>
                      <w:szCs w:val="21"/>
                      <w:highlight w:val="none"/>
                      <w:lang w:val="en-US" w:eastAsia="zh-CN" w:bidi="ar-SA"/>
                    </w:rPr>
                    <w:t>23</w:t>
                  </w:r>
                  <w:r>
                    <w:rPr>
                      <w:rFonts w:hint="eastAsia" w:ascii="Times New Roman" w:hAnsi="Times New Roman" w:eastAsia="宋体" w:cs="Times New Roman"/>
                      <w:b w:val="0"/>
                      <w:bCs w:val="0"/>
                      <w:color w:val="auto"/>
                      <w:kern w:val="2"/>
                      <w:sz w:val="21"/>
                      <w:szCs w:val="21"/>
                      <w:highlight w:val="none"/>
                      <w:lang w:val="en-US" w:eastAsia="zh-CN" w:bidi="ar-SA"/>
                    </w:rPr>
                    <w:t>℃）</w:t>
                  </w:r>
                  <w:r>
                    <w:rPr>
                      <w:rFonts w:hint="default" w:ascii="Times New Roman" w:hAnsi="Times New Roman" w:eastAsia="宋体" w:cs="Times New Roman"/>
                      <w:b w:val="0"/>
                      <w:bCs w:val="0"/>
                      <w:color w:val="auto"/>
                      <w:kern w:val="2"/>
                      <w:sz w:val="21"/>
                      <w:szCs w:val="21"/>
                      <w:highlight w:val="none"/>
                      <w:lang w:val="en-US" w:eastAsia="zh-CN" w:bidi="ar-SA"/>
                    </w:rPr>
                    <w:t>1.302</w:t>
                  </w:r>
                  <w:r>
                    <w:rPr>
                      <w:rFonts w:hint="eastAsia" w:ascii="Times New Roman" w:hAnsi="Times New Roman" w:eastAsia="宋体" w:cs="Times New Roman"/>
                      <w:b w:val="0"/>
                      <w:bCs w:val="0"/>
                      <w:color w:val="auto"/>
                      <w:kern w:val="2"/>
                      <w:sz w:val="21"/>
                      <w:szCs w:val="21"/>
                      <w:highlight w:val="none"/>
                      <w:lang w:val="en-US" w:eastAsia="zh-CN" w:bidi="ar-SA"/>
                    </w:rPr>
                    <w:t xml:space="preserve">。玻璃化温度在 </w:t>
                  </w:r>
                  <w:r>
                    <w:rPr>
                      <w:rFonts w:hint="default" w:ascii="Times New Roman" w:hAnsi="Times New Roman" w:eastAsia="宋体" w:cs="Times New Roman"/>
                      <w:b w:val="0"/>
                      <w:bCs w:val="0"/>
                      <w:color w:val="auto"/>
                      <w:kern w:val="2"/>
                      <w:sz w:val="21"/>
                      <w:szCs w:val="21"/>
                      <w:highlight w:val="none"/>
                      <w:lang w:val="en-US" w:eastAsia="zh-CN" w:bidi="ar-SA"/>
                    </w:rPr>
                    <w:t>153</w:t>
                  </w:r>
                  <w:r>
                    <w:rPr>
                      <w:rFonts w:hint="eastAsia" w:ascii="Times New Roman" w:hAnsi="Times New Roman" w:eastAsia="宋体" w:cs="Times New Roman"/>
                      <w:b w:val="0"/>
                      <w:bCs w:val="0"/>
                      <w:color w:val="auto"/>
                      <w:kern w:val="2"/>
                      <w:sz w:val="21"/>
                      <w:szCs w:val="21"/>
                      <w:highlight w:val="none"/>
                      <w:lang w:val="en-US" w:eastAsia="zh-CN" w:bidi="ar-SA"/>
                    </w:rPr>
                    <w:t>℃，</w:t>
                  </w:r>
                  <w:r>
                    <w:rPr>
                      <w:rFonts w:hint="default" w:ascii="Times New Roman" w:hAnsi="Times New Roman" w:eastAsia="宋体" w:cs="Times New Roman"/>
                      <w:b w:val="0"/>
                      <w:bCs w:val="0"/>
                      <w:color w:val="auto"/>
                      <w:kern w:val="2"/>
                      <w:sz w:val="21"/>
                      <w:szCs w:val="21"/>
                      <w:highlight w:val="none"/>
                      <w:lang w:val="en-US" w:eastAsia="zh-CN" w:bidi="ar-SA"/>
                    </w:rPr>
                    <w:t xml:space="preserve">PAM </w:t>
                  </w:r>
                  <w:r>
                    <w:rPr>
                      <w:rFonts w:hint="eastAsia" w:ascii="Times New Roman" w:hAnsi="Times New Roman" w:eastAsia="宋体" w:cs="Times New Roman"/>
                      <w:b w:val="0"/>
                      <w:bCs w:val="0"/>
                      <w:color w:val="auto"/>
                      <w:kern w:val="2"/>
                      <w:sz w:val="21"/>
                      <w:szCs w:val="21"/>
                      <w:highlight w:val="none"/>
                      <w:lang w:val="en-US" w:eastAsia="zh-CN" w:bidi="ar-SA"/>
                    </w:rPr>
                    <w:t xml:space="preserve">在应力作用下表现出非牛顿流动性。 </w:t>
                  </w:r>
                  <w:r>
                    <w:rPr>
                      <w:rFonts w:hint="default" w:ascii="Times New Roman" w:hAnsi="Times New Roman" w:eastAsia="宋体" w:cs="Times New Roman"/>
                      <w:b w:val="0"/>
                      <w:bCs w:val="0"/>
                      <w:color w:val="auto"/>
                      <w:kern w:val="2"/>
                      <w:sz w:val="21"/>
                      <w:szCs w:val="21"/>
                      <w:highlight w:val="none"/>
                      <w:lang w:val="en-US" w:eastAsia="zh-CN" w:bidi="ar-SA"/>
                    </w:rPr>
                    <w:t xml:space="preserve">PAM </w:t>
                  </w:r>
                  <w:r>
                    <w:rPr>
                      <w:rFonts w:hint="eastAsia" w:ascii="Times New Roman" w:hAnsi="Times New Roman" w:eastAsia="宋体" w:cs="Times New Roman"/>
                      <w:b w:val="0"/>
                      <w:bCs w:val="0"/>
                      <w:color w:val="auto"/>
                      <w:kern w:val="2"/>
                      <w:sz w:val="21"/>
                      <w:szCs w:val="21"/>
                      <w:highlight w:val="none"/>
                      <w:lang w:val="en-US" w:eastAsia="zh-CN" w:bidi="ar-SA"/>
                    </w:rPr>
                    <w:t xml:space="preserve">用于絮凝时，与被絮凝物种类表面性质，特别是动电位，粘度、浊度及悬浮液的 </w:t>
                  </w:r>
                  <w:r>
                    <w:rPr>
                      <w:rFonts w:hint="default" w:ascii="Times New Roman" w:hAnsi="Times New Roman" w:eastAsia="宋体" w:cs="Times New Roman"/>
                      <w:b w:val="0"/>
                      <w:bCs w:val="0"/>
                      <w:color w:val="auto"/>
                      <w:kern w:val="2"/>
                      <w:sz w:val="21"/>
                      <w:szCs w:val="21"/>
                      <w:highlight w:val="none"/>
                      <w:lang w:val="en-US" w:eastAsia="zh-CN" w:bidi="ar-SA"/>
                    </w:rPr>
                    <w:t xml:space="preserve">pH </w:t>
                  </w:r>
                  <w:r>
                    <w:rPr>
                      <w:rFonts w:hint="eastAsia" w:ascii="Times New Roman" w:hAnsi="Times New Roman" w:eastAsia="宋体" w:cs="Times New Roman"/>
                      <w:b w:val="0"/>
                      <w:bCs w:val="0"/>
                      <w:color w:val="auto"/>
                      <w:kern w:val="2"/>
                      <w:sz w:val="21"/>
                      <w:szCs w:val="21"/>
                      <w:highlight w:val="none"/>
                      <w:lang w:val="en-US" w:eastAsia="zh-CN" w:bidi="ar-SA"/>
                    </w:rPr>
                    <w:t xml:space="preserve">值有关，颗粒表面的动电位，是颗粒阻聚的原因加入表面电荷相反的 </w:t>
                  </w:r>
                  <w:r>
                    <w:rPr>
                      <w:rFonts w:hint="default" w:ascii="Times New Roman" w:hAnsi="Times New Roman" w:eastAsia="宋体" w:cs="Times New Roman"/>
                      <w:b w:val="0"/>
                      <w:bCs w:val="0"/>
                      <w:color w:val="auto"/>
                      <w:kern w:val="2"/>
                      <w:sz w:val="21"/>
                      <w:szCs w:val="21"/>
                      <w:highlight w:val="none"/>
                      <w:lang w:val="en-US" w:eastAsia="zh-CN" w:bidi="ar-SA"/>
                    </w:rPr>
                    <w:t>PAM</w:t>
                  </w:r>
                  <w:r>
                    <w:rPr>
                      <w:rFonts w:hint="eastAsia" w:ascii="Times New Roman" w:hAnsi="Times New Roman" w:eastAsia="宋体" w:cs="Times New Roman"/>
                      <w:b w:val="0"/>
                      <w:bCs w:val="0"/>
                      <w:color w:val="auto"/>
                      <w:kern w:val="2"/>
                      <w:sz w:val="21"/>
                      <w:szCs w:val="21"/>
                      <w:highlight w:val="none"/>
                      <w:lang w:val="en-US" w:eastAsia="zh-CN" w:bidi="ar-SA"/>
                    </w:rPr>
                    <w:t>，能速动电位降低而凝聚。</w:t>
                  </w:r>
                  <w:r>
                    <w:rPr>
                      <w:rFonts w:hint="default" w:ascii="Times New Roman" w:hAnsi="Times New Roman" w:eastAsia="宋体" w:cs="Times New Roman"/>
                      <w:b w:val="0"/>
                      <w:bCs w:val="0"/>
                      <w:color w:val="auto"/>
                      <w:kern w:val="2"/>
                      <w:sz w:val="21"/>
                      <w:szCs w:val="21"/>
                      <w:highlight w:val="none"/>
                      <w:lang w:val="en-US" w:eastAsia="zh-CN" w:bidi="ar-SA"/>
                    </w:rPr>
                    <w:t xml:space="preserve">PAM </w:t>
                  </w:r>
                  <w:r>
                    <w:rPr>
                      <w:rFonts w:hint="eastAsia" w:ascii="Times New Roman" w:hAnsi="Times New Roman" w:eastAsia="宋体" w:cs="Times New Roman"/>
                      <w:b w:val="0"/>
                      <w:bCs w:val="0"/>
                      <w:color w:val="auto"/>
                      <w:kern w:val="2"/>
                      <w:sz w:val="21"/>
                      <w:szCs w:val="21"/>
                      <w:highlight w:val="none"/>
                      <w:lang w:val="en-US" w:eastAsia="zh-CN" w:bidi="ar-SA"/>
                    </w:rPr>
                    <w:t>分子链固定在不同的颗粒表面上，各颗粒之间形成聚合物的桥，使颗粒形成聚集体而沉降。</w:t>
                  </w:r>
                </w:p>
              </w:tc>
            </w:tr>
            <w:tr w14:paraId="2B03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tcBorders>
                    <w:tl2br w:val="nil"/>
                    <w:tr2bl w:val="nil"/>
                  </w:tcBorders>
                  <w:vAlign w:val="center"/>
                </w:tcPr>
                <w:p w14:paraId="49ED074F">
                  <w:pPr>
                    <w:pStyle w:val="57"/>
                    <w:keepNext w:val="0"/>
                    <w:keepLines w:val="0"/>
                    <w:pageBreakBefore w:val="0"/>
                    <w:widowControl w:val="0"/>
                    <w:kinsoku/>
                    <w:wordWrap/>
                    <w:overflowPunct/>
                    <w:topLinePunct w:val="0"/>
                    <w:autoSpaceDE/>
                    <w:autoSpaceDN/>
                    <w:bidi w:val="0"/>
                    <w:spacing w:before="0" w:beforeLines="0" w:after="0" w:afterLines="0" w:line="240" w:lineRule="auto"/>
                    <w:ind w:firstLine="0" w:firstLineChars="0"/>
                    <w:jc w:val="center"/>
                    <w:textAlignment w:val="auto"/>
                    <w:rPr>
                      <w:rFonts w:hint="eastAsia"/>
                      <w:b/>
                      <w:bCs/>
                      <w:color w:val="auto"/>
                      <w:szCs w:val="21"/>
                      <w:highlight w:val="none"/>
                      <w:lang w:eastAsia="zh-CN"/>
                    </w:rPr>
                  </w:pPr>
                  <w:r>
                    <w:rPr>
                      <w:rFonts w:ascii="Times New Roman" w:hAnsi="Times New Roman"/>
                      <w:b/>
                      <w:bCs/>
                      <w:color w:val="auto"/>
                      <w:sz w:val="21"/>
                      <w:szCs w:val="21"/>
                      <w:highlight w:val="none"/>
                    </w:rPr>
                    <w:t>聚合氯化铝（PAC）</w:t>
                  </w:r>
                </w:p>
              </w:tc>
              <w:tc>
                <w:tcPr>
                  <w:tcW w:w="4211" w:type="pct"/>
                  <w:tcBorders>
                    <w:tl2br w:val="nil"/>
                    <w:tr2bl w:val="nil"/>
                  </w:tcBorders>
                  <w:vAlign w:val="center"/>
                </w:tcPr>
                <w:p w14:paraId="03990AD1">
                  <w:pPr>
                    <w:pStyle w:val="107"/>
                    <w:keepNext w:val="0"/>
                    <w:keepLines w:val="0"/>
                    <w:pageBreakBefore w:val="0"/>
                    <w:widowControl w:val="0"/>
                    <w:kinsoku/>
                    <w:wordWrap/>
                    <w:overflowPunct/>
                    <w:topLinePunct w:val="0"/>
                    <w:autoSpaceDE/>
                    <w:autoSpaceDN/>
                    <w:bidi w:val="0"/>
                    <w:adjustRightInd/>
                    <w:snapToGrid/>
                    <w:spacing w:beforeLines="0" w:line="240" w:lineRule="auto"/>
                    <w:ind w:firstLine="420" w:firstLineChars="200"/>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聚合氯化铝是一种净水材料，无机高分子混凝剂，又被简称为聚铝，英文缩写为PAC，由于氢氧根离子的架桥作用和多价阴离子的聚合作用而生产的分子量较大、电荷较高的无机高分子水处理药剂。在形态上又可以分为固体和液体两种。固体按颜色不同又分为棕褐色、米黄色、金黄色和白色，液体可以呈现为无色透明、微黄色、浅黄色至黄褐色。易溶于水及稀酒精，不溶于无水酒精及甘油。</w:t>
                  </w:r>
                </w:p>
              </w:tc>
            </w:tr>
            <w:tr w14:paraId="2A9C7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8" w:type="pct"/>
                  <w:tcBorders>
                    <w:tl2br w:val="nil"/>
                    <w:tr2bl w:val="nil"/>
                  </w:tcBorders>
                  <w:vAlign w:val="center"/>
                </w:tcPr>
                <w:p w14:paraId="46B89C44">
                  <w:pPr>
                    <w:pStyle w:val="57"/>
                    <w:keepNext w:val="0"/>
                    <w:keepLines w:val="0"/>
                    <w:pageBreakBefore w:val="0"/>
                    <w:widowControl w:val="0"/>
                    <w:kinsoku/>
                    <w:wordWrap/>
                    <w:overflowPunct/>
                    <w:topLinePunct w:val="0"/>
                    <w:autoSpaceDE/>
                    <w:autoSpaceDN/>
                    <w:bidi w:val="0"/>
                    <w:spacing w:before="0" w:beforeLines="0" w:after="0" w:afterLines="0" w:line="240" w:lineRule="auto"/>
                    <w:ind w:firstLine="0" w:firstLineChars="0"/>
                    <w:jc w:val="center"/>
                    <w:textAlignment w:val="auto"/>
                    <w:rPr>
                      <w:rFonts w:hint="default" w:ascii="Times New Roman" w:hAnsi="Times New Roman" w:eastAsia="宋体"/>
                      <w:b/>
                      <w:bCs/>
                      <w:color w:val="auto"/>
                      <w:sz w:val="21"/>
                      <w:szCs w:val="21"/>
                      <w:highlight w:val="yellow"/>
                      <w:lang w:val="en-US" w:eastAsia="zh-CN"/>
                    </w:rPr>
                  </w:pPr>
                  <w:r>
                    <w:rPr>
                      <w:rFonts w:hint="eastAsia" w:ascii="Times New Roman"/>
                      <w:b/>
                      <w:bCs/>
                      <w:color w:val="auto"/>
                      <w:sz w:val="21"/>
                      <w:szCs w:val="21"/>
                      <w:highlight w:val="none"/>
                      <w:lang w:val="en-US" w:eastAsia="zh-CN"/>
                    </w:rPr>
                    <w:t>喷粉粉料</w:t>
                  </w:r>
                </w:p>
              </w:tc>
              <w:tc>
                <w:tcPr>
                  <w:tcW w:w="4211" w:type="pct"/>
                  <w:tcBorders>
                    <w:tl2br w:val="nil"/>
                    <w:tr2bl w:val="nil"/>
                  </w:tcBorders>
                  <w:vAlign w:val="center"/>
                </w:tcPr>
                <w:p w14:paraId="569C88DF">
                  <w:pPr>
                    <w:pStyle w:val="107"/>
                    <w:keepNext w:val="0"/>
                    <w:keepLines w:val="0"/>
                    <w:pageBreakBefore w:val="0"/>
                    <w:widowControl w:val="0"/>
                    <w:kinsoku/>
                    <w:wordWrap/>
                    <w:overflowPunct/>
                    <w:topLinePunct w:val="0"/>
                    <w:autoSpaceDE/>
                    <w:autoSpaceDN/>
                    <w:bidi w:val="0"/>
                    <w:adjustRightInd/>
                    <w:snapToGrid/>
                    <w:spacing w:beforeLines="0" w:line="240" w:lineRule="auto"/>
                    <w:ind w:firstLine="420" w:firstLineChars="200"/>
                    <w:jc w:val="both"/>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eastAsia="宋体" w:cs="Times New Roman"/>
                      <w:b w:val="0"/>
                      <w:bCs w:val="0"/>
                      <w:color w:val="auto"/>
                      <w:kern w:val="2"/>
                      <w:sz w:val="21"/>
                      <w:szCs w:val="21"/>
                      <w:highlight w:val="none"/>
                      <w:lang w:val="en-US" w:eastAsia="zh-CN" w:bidi="ar-SA"/>
                    </w:rPr>
                    <w:t>固体，无气味，主要成分为聚酯树脂（90%）、2-丙烯酸丁酯的均聚物（5%）、二氧化硅（4.6%）、2-羟基-1,2-二苯基乙酮（0.4%），储存在密封的贮藏器内，并放在阴凉、干爽的位置。</w:t>
                  </w:r>
                </w:p>
              </w:tc>
            </w:tr>
          </w:tbl>
          <w:p w14:paraId="08711039">
            <w:pPr>
              <w:jc w:val="center"/>
              <w:rPr>
                <w:rFonts w:hint="default" w:eastAsia="宋体"/>
                <w:b/>
                <w:bCs/>
                <w:color w:val="auto"/>
                <w:sz w:val="24"/>
                <w:highlight w:val="none"/>
                <w:lang w:val="en-US" w:eastAsia="zh-CN"/>
              </w:rPr>
            </w:pPr>
            <w:r>
              <w:rPr>
                <w:rFonts w:hint="eastAsia"/>
                <w:b/>
                <w:bCs/>
                <w:color w:val="auto"/>
                <w:sz w:val="24"/>
                <w:highlight w:val="none"/>
              </w:rPr>
              <w:t>表2-</w:t>
            </w:r>
            <w:r>
              <w:rPr>
                <w:rFonts w:hint="eastAsia"/>
                <w:b/>
                <w:bCs/>
                <w:color w:val="auto"/>
                <w:sz w:val="24"/>
                <w:highlight w:val="none"/>
                <w:lang w:val="en-US" w:eastAsia="zh-CN"/>
              </w:rPr>
              <w:t>7</w:t>
            </w:r>
            <w:r>
              <w:rPr>
                <w:rFonts w:hint="eastAsia"/>
                <w:b/>
                <w:bCs/>
                <w:color w:val="auto"/>
                <w:sz w:val="24"/>
                <w:highlight w:val="none"/>
              </w:rPr>
              <w:t xml:space="preserve">  </w:t>
            </w:r>
            <w:r>
              <w:rPr>
                <w:rFonts w:hint="eastAsia"/>
                <w:b/>
                <w:bCs/>
                <w:color w:val="auto"/>
                <w:sz w:val="24"/>
                <w:highlight w:val="none"/>
                <w:lang w:val="en-US" w:eastAsia="zh-CN"/>
              </w:rPr>
              <w:t>电泳涂料组成成分表</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1311"/>
              <w:gridCol w:w="4431"/>
              <w:gridCol w:w="1710"/>
            </w:tblGrid>
            <w:tr w14:paraId="6B13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1" w:type="pct"/>
                  <w:tcBorders>
                    <w:tl2br w:val="nil"/>
                    <w:tr2bl w:val="nil"/>
                  </w:tcBorders>
                  <w:vAlign w:val="center"/>
                </w:tcPr>
                <w:p w14:paraId="635A42D2">
                  <w:pPr>
                    <w:keepNext w:val="0"/>
                    <w:keepLines w:val="0"/>
                    <w:pageBreakBefore w:val="0"/>
                    <w:widowControl w:val="0"/>
                    <w:kinsoku/>
                    <w:wordWrap/>
                    <w:overflowPunct/>
                    <w:topLinePunct w:val="0"/>
                    <w:autoSpaceDE/>
                    <w:autoSpaceDN/>
                    <w:bidi w:val="0"/>
                    <w:adjustRightInd/>
                    <w:snapToGrid/>
                    <w:ind w:firstLine="0"/>
                    <w:jc w:val="center"/>
                    <w:textAlignment w:val="auto"/>
                    <w:rPr>
                      <w:b/>
                      <w:bCs/>
                      <w:color w:val="auto"/>
                      <w:szCs w:val="21"/>
                      <w:highlight w:val="none"/>
                    </w:rPr>
                  </w:pPr>
                  <w:r>
                    <w:rPr>
                      <w:b/>
                      <w:bCs/>
                      <w:color w:val="auto"/>
                      <w:szCs w:val="21"/>
                      <w:highlight w:val="none"/>
                    </w:rPr>
                    <w:t>名称</w:t>
                  </w:r>
                </w:p>
              </w:tc>
              <w:tc>
                <w:tcPr>
                  <w:tcW w:w="807" w:type="pct"/>
                  <w:tcBorders>
                    <w:tl2br w:val="nil"/>
                    <w:tr2bl w:val="nil"/>
                  </w:tcBorders>
                  <w:vAlign w:val="center"/>
                </w:tcPr>
                <w:p w14:paraId="0AE09F34">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eastAsia="宋体"/>
                      <w:b/>
                      <w:bCs/>
                      <w:color w:val="auto"/>
                      <w:szCs w:val="21"/>
                      <w:highlight w:val="none"/>
                      <w:lang w:val="en-US" w:eastAsia="zh-CN"/>
                    </w:rPr>
                  </w:pPr>
                  <w:r>
                    <w:rPr>
                      <w:rFonts w:hint="eastAsia"/>
                      <w:b/>
                      <w:bCs/>
                      <w:color w:val="auto"/>
                      <w:szCs w:val="21"/>
                      <w:highlight w:val="none"/>
                      <w:lang w:val="en-US" w:eastAsia="zh-CN"/>
                    </w:rPr>
                    <w:t>类别</w:t>
                  </w:r>
                </w:p>
              </w:tc>
              <w:tc>
                <w:tcPr>
                  <w:tcW w:w="2728" w:type="pct"/>
                  <w:tcBorders>
                    <w:tl2br w:val="nil"/>
                    <w:tr2bl w:val="nil"/>
                  </w:tcBorders>
                  <w:vAlign w:val="center"/>
                </w:tcPr>
                <w:p w14:paraId="52C6560F">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eastAsia="宋体"/>
                      <w:b/>
                      <w:bCs/>
                      <w:color w:val="auto"/>
                      <w:szCs w:val="21"/>
                      <w:highlight w:val="none"/>
                      <w:lang w:val="en-US" w:eastAsia="zh-CN"/>
                    </w:rPr>
                  </w:pPr>
                  <w:r>
                    <w:rPr>
                      <w:rFonts w:hint="eastAsia"/>
                      <w:b/>
                      <w:bCs/>
                      <w:color w:val="auto"/>
                      <w:szCs w:val="21"/>
                      <w:highlight w:val="none"/>
                      <w:lang w:val="en-US" w:eastAsia="zh-CN"/>
                    </w:rPr>
                    <w:t>组成</w:t>
                  </w:r>
                </w:p>
              </w:tc>
              <w:tc>
                <w:tcPr>
                  <w:tcW w:w="1053" w:type="pct"/>
                  <w:tcBorders>
                    <w:tl2br w:val="nil"/>
                    <w:tr2bl w:val="nil"/>
                  </w:tcBorders>
                  <w:vAlign w:val="center"/>
                </w:tcPr>
                <w:p w14:paraId="5B2F3CE1">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eastAsia="宋体"/>
                      <w:b/>
                      <w:bCs/>
                      <w:color w:val="auto"/>
                      <w:szCs w:val="21"/>
                      <w:highlight w:val="none"/>
                      <w:lang w:val="en-US" w:eastAsia="zh-CN"/>
                    </w:rPr>
                  </w:pPr>
                  <w:r>
                    <w:rPr>
                      <w:rFonts w:hint="eastAsia"/>
                      <w:b/>
                      <w:bCs/>
                      <w:color w:val="auto"/>
                      <w:szCs w:val="21"/>
                      <w:highlight w:val="none"/>
                      <w:lang w:val="en-US" w:eastAsia="zh-CN"/>
                    </w:rPr>
                    <w:t>配比</w:t>
                  </w:r>
                </w:p>
              </w:tc>
            </w:tr>
            <w:tr w14:paraId="2C90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411" w:type="pct"/>
                  <w:vMerge w:val="restart"/>
                  <w:tcBorders>
                    <w:tl2br w:val="nil"/>
                    <w:tr2bl w:val="nil"/>
                  </w:tcBorders>
                  <w:vAlign w:val="center"/>
                </w:tcPr>
                <w:p w14:paraId="20137649">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eastAsia="宋体"/>
                      <w:b/>
                      <w:bCs/>
                      <w:color w:val="auto"/>
                      <w:szCs w:val="21"/>
                      <w:highlight w:val="none"/>
                      <w:lang w:val="en-US" w:eastAsia="zh-CN"/>
                    </w:rPr>
                  </w:pPr>
                  <w:r>
                    <w:rPr>
                      <w:rFonts w:hint="eastAsia"/>
                      <w:b/>
                      <w:bCs/>
                      <w:color w:val="auto"/>
                      <w:szCs w:val="21"/>
                      <w:highlight w:val="none"/>
                      <w:lang w:val="en-US" w:eastAsia="zh-CN"/>
                    </w:rPr>
                    <w:t>电泳涂料</w:t>
                  </w:r>
                </w:p>
              </w:tc>
              <w:tc>
                <w:tcPr>
                  <w:tcW w:w="807" w:type="pct"/>
                  <w:tcBorders>
                    <w:tl2br w:val="nil"/>
                    <w:tr2bl w:val="nil"/>
                  </w:tcBorders>
                  <w:vAlign w:val="center"/>
                </w:tcPr>
                <w:p w14:paraId="125C6EA5">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eastAsia="宋体"/>
                      <w:b w:val="0"/>
                      <w:bCs w:val="0"/>
                      <w:color w:val="auto"/>
                      <w:szCs w:val="21"/>
                      <w:highlight w:val="none"/>
                      <w:lang w:val="en-US" w:eastAsia="zh-CN"/>
                    </w:rPr>
                  </w:pPr>
                  <w:r>
                    <w:rPr>
                      <w:rFonts w:hint="eastAsia"/>
                      <w:b w:val="0"/>
                      <w:bCs w:val="0"/>
                      <w:color w:val="auto"/>
                      <w:szCs w:val="21"/>
                      <w:highlight w:val="none"/>
                      <w:lang w:val="en-US" w:eastAsia="zh-CN"/>
                    </w:rPr>
                    <w:t>固体份</w:t>
                  </w:r>
                </w:p>
              </w:tc>
              <w:tc>
                <w:tcPr>
                  <w:tcW w:w="2728" w:type="pct"/>
                  <w:tcBorders>
                    <w:tl2br w:val="nil"/>
                    <w:tr2bl w:val="nil"/>
                  </w:tcBorders>
                  <w:vAlign w:val="center"/>
                </w:tcPr>
                <w:p w14:paraId="56C6E539">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b w:val="0"/>
                      <w:bCs w:val="0"/>
                      <w:color w:val="auto"/>
                      <w:szCs w:val="21"/>
                      <w:highlight w:val="none"/>
                      <w:lang w:val="en-US" w:eastAsia="zh-CN"/>
                    </w:rPr>
                  </w:pPr>
                  <w:r>
                    <w:rPr>
                      <w:rFonts w:hint="eastAsia" w:ascii="Times New Roman" w:hAnsi="Times New Roman" w:eastAsia="宋体"/>
                      <w:b w:val="0"/>
                      <w:bCs w:val="0"/>
                      <w:color w:val="auto"/>
                      <w:sz w:val="21"/>
                      <w:szCs w:val="21"/>
                      <w:highlight w:val="none"/>
                      <w:lang w:val="en-US" w:eastAsia="zh-CN"/>
                    </w:rPr>
                    <w:t>环氧树脂（</w:t>
                  </w:r>
                  <w:r>
                    <w:rPr>
                      <w:rFonts w:hint="eastAsia"/>
                      <w:b w:val="0"/>
                      <w:bCs w:val="0"/>
                      <w:color w:val="auto"/>
                      <w:sz w:val="21"/>
                      <w:szCs w:val="21"/>
                      <w:highlight w:val="none"/>
                      <w:lang w:val="en-US" w:eastAsia="zh-CN"/>
                    </w:rPr>
                    <w:t>31</w:t>
                  </w:r>
                  <w:r>
                    <w:rPr>
                      <w:rFonts w:hint="eastAsia" w:ascii="Times New Roman" w:hAnsi="Times New Roman" w:eastAsia="宋体"/>
                      <w:b w:val="0"/>
                      <w:bCs w:val="0"/>
                      <w:color w:val="auto"/>
                      <w:sz w:val="21"/>
                      <w:szCs w:val="21"/>
                      <w:highlight w:val="none"/>
                      <w:lang w:val="en-US" w:eastAsia="zh-CN"/>
                    </w:rPr>
                    <w:t>%）、碳黑（</w:t>
                  </w:r>
                  <w:r>
                    <w:rPr>
                      <w:rFonts w:hint="eastAsia"/>
                      <w:b w:val="0"/>
                      <w:bCs w:val="0"/>
                      <w:color w:val="auto"/>
                      <w:sz w:val="21"/>
                      <w:szCs w:val="21"/>
                      <w:highlight w:val="none"/>
                      <w:lang w:val="en-US" w:eastAsia="zh-CN"/>
                    </w:rPr>
                    <w:t>1.4</w:t>
                  </w:r>
                  <w:r>
                    <w:rPr>
                      <w:rFonts w:hint="eastAsia" w:ascii="Times New Roman" w:hAnsi="Times New Roman" w:eastAsia="宋体"/>
                      <w:b w:val="0"/>
                      <w:bCs w:val="0"/>
                      <w:color w:val="auto"/>
                      <w:sz w:val="21"/>
                      <w:szCs w:val="21"/>
                      <w:highlight w:val="none"/>
                      <w:lang w:val="en-US" w:eastAsia="zh-CN"/>
                    </w:rPr>
                    <w:t>%）、高岭土（</w:t>
                  </w:r>
                  <w:r>
                    <w:rPr>
                      <w:rFonts w:hint="eastAsia"/>
                      <w:b w:val="0"/>
                      <w:bCs w:val="0"/>
                      <w:color w:val="auto"/>
                      <w:sz w:val="21"/>
                      <w:szCs w:val="21"/>
                      <w:highlight w:val="none"/>
                      <w:lang w:val="en-US" w:eastAsia="zh-CN"/>
                    </w:rPr>
                    <w:t>4</w:t>
                  </w:r>
                  <w:r>
                    <w:rPr>
                      <w:rFonts w:hint="eastAsia" w:ascii="Times New Roman" w:hAnsi="Times New Roman" w:eastAsia="宋体"/>
                      <w:b w:val="0"/>
                      <w:bCs w:val="0"/>
                      <w:color w:val="auto"/>
                      <w:sz w:val="21"/>
                      <w:szCs w:val="21"/>
                      <w:highlight w:val="none"/>
                      <w:lang w:val="en-US" w:eastAsia="zh-CN"/>
                    </w:rPr>
                    <w:t>%）</w:t>
                  </w:r>
                </w:p>
              </w:tc>
              <w:tc>
                <w:tcPr>
                  <w:tcW w:w="1053" w:type="pct"/>
                  <w:tcBorders>
                    <w:tl2br w:val="nil"/>
                    <w:tr2bl w:val="nil"/>
                  </w:tcBorders>
                  <w:vAlign w:val="center"/>
                </w:tcPr>
                <w:p w14:paraId="3BA24B42">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b w:val="0"/>
                      <w:bCs w:val="0"/>
                      <w:color w:val="auto"/>
                      <w:szCs w:val="21"/>
                      <w:highlight w:val="none"/>
                      <w:lang w:val="en-US" w:eastAsia="zh-CN"/>
                    </w:rPr>
                  </w:pPr>
                  <w:r>
                    <w:rPr>
                      <w:rFonts w:hint="eastAsia"/>
                      <w:b w:val="0"/>
                      <w:bCs w:val="0"/>
                      <w:color w:val="auto"/>
                      <w:szCs w:val="21"/>
                      <w:highlight w:val="none"/>
                      <w:lang w:val="en-US" w:eastAsia="zh-CN"/>
                    </w:rPr>
                    <w:t>36.4%</w:t>
                  </w:r>
                </w:p>
              </w:tc>
            </w:tr>
            <w:tr w14:paraId="30A4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411" w:type="pct"/>
                  <w:vMerge w:val="continue"/>
                  <w:tcBorders>
                    <w:tl2br w:val="nil"/>
                    <w:tr2bl w:val="nil"/>
                  </w:tcBorders>
                  <w:vAlign w:val="center"/>
                </w:tcPr>
                <w:p w14:paraId="164DC272">
                  <w:pPr>
                    <w:keepNext w:val="0"/>
                    <w:keepLines w:val="0"/>
                    <w:pageBreakBefore w:val="0"/>
                    <w:widowControl w:val="0"/>
                    <w:kinsoku/>
                    <w:wordWrap/>
                    <w:overflowPunct/>
                    <w:topLinePunct w:val="0"/>
                    <w:autoSpaceDE/>
                    <w:autoSpaceDN/>
                    <w:bidi w:val="0"/>
                    <w:adjustRightInd/>
                    <w:snapToGrid/>
                    <w:ind w:firstLine="0"/>
                    <w:jc w:val="center"/>
                    <w:textAlignment w:val="auto"/>
                    <w:rPr>
                      <w:color w:val="auto"/>
                    </w:rPr>
                  </w:pPr>
                </w:p>
              </w:tc>
              <w:tc>
                <w:tcPr>
                  <w:tcW w:w="807" w:type="pct"/>
                  <w:tcBorders>
                    <w:tl2br w:val="nil"/>
                    <w:tr2bl w:val="nil"/>
                  </w:tcBorders>
                  <w:vAlign w:val="center"/>
                </w:tcPr>
                <w:p w14:paraId="728094FE">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b w:val="0"/>
                      <w:bCs w:val="0"/>
                      <w:color w:val="auto"/>
                      <w:szCs w:val="21"/>
                      <w:highlight w:val="none"/>
                      <w:lang w:val="en-US" w:eastAsia="zh-CN"/>
                    </w:rPr>
                  </w:pPr>
                  <w:r>
                    <w:rPr>
                      <w:rFonts w:hint="eastAsia"/>
                      <w:b w:val="0"/>
                      <w:bCs w:val="0"/>
                      <w:color w:val="auto"/>
                      <w:szCs w:val="21"/>
                      <w:highlight w:val="none"/>
                      <w:lang w:val="en-US" w:eastAsia="zh-CN"/>
                    </w:rPr>
                    <w:t>挥发分</w:t>
                  </w:r>
                </w:p>
              </w:tc>
              <w:tc>
                <w:tcPr>
                  <w:tcW w:w="2728" w:type="pct"/>
                  <w:tcBorders>
                    <w:tl2br w:val="nil"/>
                    <w:tr2bl w:val="nil"/>
                  </w:tcBorders>
                  <w:vAlign w:val="center"/>
                </w:tcPr>
                <w:p w14:paraId="2194A59B">
                  <w:pPr>
                    <w:keepNext w:val="0"/>
                    <w:keepLines w:val="0"/>
                    <w:pageBreakBefore w:val="0"/>
                    <w:widowControl w:val="0"/>
                    <w:kinsoku/>
                    <w:wordWrap/>
                    <w:overflowPunct/>
                    <w:topLinePunct w:val="0"/>
                    <w:autoSpaceDE/>
                    <w:autoSpaceDN/>
                    <w:bidi w:val="0"/>
                    <w:adjustRightInd/>
                    <w:snapToGrid/>
                    <w:ind w:firstLine="0"/>
                    <w:jc w:val="both"/>
                    <w:textAlignment w:val="auto"/>
                    <w:rPr>
                      <w:rFonts w:hint="eastAsia"/>
                      <w:b w:val="0"/>
                      <w:bCs w:val="0"/>
                      <w:color w:val="auto"/>
                      <w:szCs w:val="21"/>
                      <w:highlight w:val="none"/>
                      <w:lang w:val="en-US" w:eastAsia="zh-CN"/>
                    </w:rPr>
                  </w:pPr>
                  <w:r>
                    <w:rPr>
                      <w:rFonts w:hint="eastAsia" w:ascii="Times New Roman" w:hAnsi="Times New Roman" w:eastAsia="宋体"/>
                      <w:b w:val="0"/>
                      <w:bCs w:val="0"/>
                      <w:color w:val="auto"/>
                      <w:sz w:val="21"/>
                      <w:szCs w:val="21"/>
                      <w:highlight w:val="none"/>
                      <w:lang w:val="en-US" w:eastAsia="zh-CN"/>
                    </w:rPr>
                    <w:t>乙二醇（</w:t>
                  </w:r>
                  <w:r>
                    <w:rPr>
                      <w:rFonts w:hint="eastAsia"/>
                      <w:b w:val="0"/>
                      <w:bCs w:val="0"/>
                      <w:color w:val="auto"/>
                      <w:sz w:val="21"/>
                      <w:szCs w:val="21"/>
                      <w:highlight w:val="none"/>
                      <w:lang w:val="en-US" w:eastAsia="zh-CN"/>
                    </w:rPr>
                    <w:t>2</w:t>
                  </w:r>
                  <w:r>
                    <w:rPr>
                      <w:rFonts w:hint="eastAsia" w:ascii="Times New Roman" w:hAnsi="Times New Roman" w:eastAsia="宋体"/>
                      <w:b w:val="0"/>
                      <w:bCs w:val="0"/>
                      <w:color w:val="auto"/>
                      <w:sz w:val="21"/>
                      <w:szCs w:val="21"/>
                      <w:highlight w:val="none"/>
                      <w:lang w:val="en-US" w:eastAsia="zh-CN"/>
                    </w:rPr>
                    <w:t>%）</w:t>
                  </w:r>
                  <w:r>
                    <w:rPr>
                      <w:rFonts w:hint="eastAsia"/>
                      <w:b w:val="0"/>
                      <w:bCs w:val="0"/>
                      <w:color w:val="auto"/>
                      <w:sz w:val="21"/>
                      <w:szCs w:val="21"/>
                      <w:highlight w:val="none"/>
                      <w:lang w:val="en-US" w:eastAsia="zh-CN"/>
                    </w:rPr>
                    <w:t>、丁醚（5.1%）</w:t>
                  </w:r>
                  <w:r>
                    <w:rPr>
                      <w:rFonts w:hint="eastAsia" w:ascii="Times New Roman" w:hAnsi="Times New Roman" w:eastAsia="宋体"/>
                      <w:b w:val="0"/>
                      <w:bCs w:val="0"/>
                      <w:color w:val="auto"/>
                      <w:sz w:val="21"/>
                      <w:szCs w:val="21"/>
                      <w:highlight w:val="none"/>
                      <w:lang w:val="en-US" w:eastAsia="zh-CN"/>
                    </w:rPr>
                    <w:t>、</w:t>
                  </w:r>
                  <w:r>
                    <w:rPr>
                      <w:rFonts w:hint="eastAsia"/>
                      <w:b w:val="0"/>
                      <w:bCs w:val="0"/>
                      <w:color w:val="auto"/>
                      <w:sz w:val="21"/>
                      <w:szCs w:val="21"/>
                      <w:highlight w:val="none"/>
                      <w:lang w:val="en-US" w:eastAsia="zh-CN"/>
                    </w:rPr>
                    <w:t>甲基异丁酮（1%）、助剂</w:t>
                  </w:r>
                  <w:r>
                    <w:rPr>
                      <w:rFonts w:hint="eastAsia" w:ascii="Times New Roman" w:hAnsi="Times New Roman" w:eastAsia="宋体"/>
                      <w:b w:val="0"/>
                      <w:bCs w:val="0"/>
                      <w:color w:val="auto"/>
                      <w:sz w:val="21"/>
                      <w:szCs w:val="21"/>
                      <w:highlight w:val="none"/>
                      <w:lang w:val="en-US" w:eastAsia="zh-CN"/>
                    </w:rPr>
                    <w:t>（</w:t>
                  </w:r>
                  <w:r>
                    <w:rPr>
                      <w:rFonts w:hint="eastAsia"/>
                      <w:b w:val="0"/>
                      <w:bCs w:val="0"/>
                      <w:color w:val="auto"/>
                      <w:sz w:val="21"/>
                      <w:szCs w:val="21"/>
                      <w:highlight w:val="none"/>
                      <w:lang w:val="en-US" w:eastAsia="zh-CN"/>
                    </w:rPr>
                    <w:t>0.7</w:t>
                  </w:r>
                  <w:r>
                    <w:rPr>
                      <w:rFonts w:hint="eastAsia" w:ascii="Times New Roman" w:hAnsi="Times New Roman" w:eastAsia="宋体"/>
                      <w:b w:val="0"/>
                      <w:bCs w:val="0"/>
                      <w:color w:val="auto"/>
                      <w:sz w:val="21"/>
                      <w:szCs w:val="21"/>
                      <w:highlight w:val="none"/>
                      <w:lang w:val="en-US" w:eastAsia="zh-CN"/>
                    </w:rPr>
                    <w:t>%）、有机酸（醋酸）（0.</w:t>
                  </w:r>
                  <w:r>
                    <w:rPr>
                      <w:rFonts w:hint="eastAsia"/>
                      <w:b w:val="0"/>
                      <w:bCs w:val="0"/>
                      <w:color w:val="auto"/>
                      <w:sz w:val="21"/>
                      <w:szCs w:val="21"/>
                      <w:highlight w:val="none"/>
                      <w:lang w:val="en-US" w:eastAsia="zh-CN"/>
                    </w:rPr>
                    <w:t>7</w:t>
                  </w:r>
                  <w:r>
                    <w:rPr>
                      <w:rFonts w:hint="eastAsia" w:ascii="Times New Roman" w:hAnsi="Times New Roman" w:eastAsia="宋体"/>
                      <w:b w:val="0"/>
                      <w:bCs w:val="0"/>
                      <w:color w:val="auto"/>
                      <w:sz w:val="21"/>
                      <w:szCs w:val="21"/>
                      <w:highlight w:val="none"/>
                      <w:lang w:val="en-US" w:eastAsia="zh-CN"/>
                    </w:rPr>
                    <w:t>%）</w:t>
                  </w:r>
                  <w:r>
                    <w:rPr>
                      <w:rFonts w:hint="eastAsia"/>
                      <w:b w:val="0"/>
                      <w:bCs w:val="0"/>
                      <w:color w:val="auto"/>
                      <w:sz w:val="21"/>
                      <w:szCs w:val="21"/>
                      <w:highlight w:val="none"/>
                      <w:lang w:val="en-US" w:eastAsia="zh-CN"/>
                    </w:rPr>
                    <w:t>、纯</w:t>
                  </w:r>
                  <w:r>
                    <w:rPr>
                      <w:rFonts w:hint="eastAsia" w:ascii="Times New Roman" w:hAnsi="Times New Roman" w:eastAsia="宋体"/>
                      <w:b w:val="0"/>
                      <w:bCs w:val="0"/>
                      <w:color w:val="auto"/>
                      <w:sz w:val="21"/>
                      <w:szCs w:val="21"/>
                      <w:highlight w:val="none"/>
                      <w:lang w:val="en-US" w:eastAsia="zh-CN"/>
                    </w:rPr>
                    <w:t>水（</w:t>
                  </w:r>
                  <w:r>
                    <w:rPr>
                      <w:rFonts w:hint="eastAsia"/>
                      <w:b w:val="0"/>
                      <w:bCs w:val="0"/>
                      <w:color w:val="auto"/>
                      <w:sz w:val="21"/>
                      <w:szCs w:val="21"/>
                      <w:highlight w:val="none"/>
                      <w:lang w:val="en-US" w:eastAsia="zh-CN"/>
                    </w:rPr>
                    <w:t>54.1</w:t>
                  </w:r>
                  <w:r>
                    <w:rPr>
                      <w:rFonts w:hint="eastAsia" w:ascii="Times New Roman" w:hAnsi="Times New Roman" w:eastAsia="宋体"/>
                      <w:b w:val="0"/>
                      <w:bCs w:val="0"/>
                      <w:color w:val="auto"/>
                      <w:sz w:val="21"/>
                      <w:szCs w:val="21"/>
                      <w:highlight w:val="none"/>
                      <w:lang w:val="en-US" w:eastAsia="zh-CN"/>
                    </w:rPr>
                    <w:t>%）</w:t>
                  </w:r>
                </w:p>
              </w:tc>
              <w:tc>
                <w:tcPr>
                  <w:tcW w:w="1053" w:type="pct"/>
                  <w:tcBorders>
                    <w:tl2br w:val="nil"/>
                    <w:tr2bl w:val="nil"/>
                  </w:tcBorders>
                  <w:vAlign w:val="center"/>
                </w:tcPr>
                <w:p w14:paraId="5B8EE0A3">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b w:val="0"/>
                      <w:bCs w:val="0"/>
                      <w:color w:val="auto"/>
                      <w:szCs w:val="21"/>
                      <w:highlight w:val="none"/>
                      <w:lang w:val="en-US" w:eastAsia="zh-CN"/>
                    </w:rPr>
                  </w:pPr>
                  <w:r>
                    <w:rPr>
                      <w:rFonts w:hint="eastAsia"/>
                      <w:b w:val="0"/>
                      <w:bCs w:val="0"/>
                      <w:color w:val="auto"/>
                      <w:szCs w:val="21"/>
                      <w:highlight w:val="none"/>
                      <w:lang w:val="en-US" w:eastAsia="zh-CN"/>
                    </w:rPr>
                    <w:t>63.6%</w:t>
                  </w:r>
                </w:p>
              </w:tc>
            </w:tr>
          </w:tbl>
          <w:p w14:paraId="6EEDF4BD">
            <w:pPr>
              <w:keepNext w:val="0"/>
              <w:keepLines w:val="0"/>
              <w:pageBreakBefore w:val="0"/>
              <w:widowControl/>
              <w:kinsoku/>
              <w:wordWrap/>
              <w:overflowPunct/>
              <w:topLinePunct w:val="0"/>
              <w:autoSpaceDE/>
              <w:autoSpaceDN/>
              <w:bidi w:val="0"/>
              <w:adjustRightInd/>
              <w:snapToGrid/>
              <w:spacing w:line="500" w:lineRule="exact"/>
              <w:ind w:firstLine="482" w:firstLineChars="200"/>
              <w:textAlignment w:val="auto"/>
              <w:rPr>
                <w:rFonts w:hint="eastAsia" w:cs="宋体"/>
                <w:b/>
                <w:bCs/>
                <w:color w:val="auto"/>
                <w:sz w:val="24"/>
                <w:szCs w:val="24"/>
                <w:lang w:val="en-US" w:eastAsia="zh-CN"/>
              </w:rPr>
            </w:pPr>
          </w:p>
          <w:p w14:paraId="4439DADE">
            <w:pPr>
              <w:keepNext w:val="0"/>
              <w:keepLines w:val="0"/>
              <w:pageBreakBefore w:val="0"/>
              <w:widowControl/>
              <w:kinsoku/>
              <w:wordWrap/>
              <w:overflowPunct/>
              <w:topLinePunct w:val="0"/>
              <w:autoSpaceDE/>
              <w:autoSpaceDN/>
              <w:bidi w:val="0"/>
              <w:adjustRightInd/>
              <w:snapToGrid/>
              <w:spacing w:line="500" w:lineRule="exact"/>
              <w:ind w:firstLine="482" w:firstLineChars="200"/>
              <w:textAlignment w:val="auto"/>
              <w:rPr>
                <w:rFonts w:hint="eastAsia"/>
                <w:b/>
                <w:bCs/>
                <w:i w:val="0"/>
                <w:iCs w:val="0"/>
                <w:color w:val="auto"/>
                <w:sz w:val="24"/>
                <w:szCs w:val="24"/>
                <w:highlight w:val="none"/>
                <w:u w:val="none"/>
                <w:lang w:eastAsia="zh-CN"/>
              </w:rPr>
            </w:pPr>
            <w:r>
              <w:rPr>
                <w:rFonts w:hint="eastAsia" w:cs="宋体"/>
                <w:b/>
                <w:bCs/>
                <w:color w:val="auto"/>
                <w:sz w:val="24"/>
                <w:szCs w:val="24"/>
                <w:lang w:val="en-US" w:eastAsia="zh-CN"/>
              </w:rPr>
              <w:t>6.涂料</w:t>
            </w:r>
            <w:r>
              <w:rPr>
                <w:rFonts w:hint="eastAsia"/>
                <w:b/>
                <w:bCs/>
                <w:i w:val="0"/>
                <w:iCs w:val="0"/>
                <w:color w:val="auto"/>
                <w:sz w:val="24"/>
                <w:szCs w:val="24"/>
                <w:highlight w:val="none"/>
                <w:u w:val="none"/>
                <w:lang w:eastAsia="zh-CN"/>
              </w:rPr>
              <w:t>用量核算</w:t>
            </w:r>
          </w:p>
          <w:p w14:paraId="717B543E">
            <w:pPr>
              <w:keepNext w:val="0"/>
              <w:keepLines w:val="0"/>
              <w:pageBreakBefore w:val="0"/>
              <w:widowControl/>
              <w:tabs>
                <w:tab w:val="left" w:pos="463"/>
              </w:tabs>
              <w:kinsoku/>
              <w:wordWrap/>
              <w:overflowPunct/>
              <w:topLinePunct w:val="0"/>
              <w:autoSpaceDE/>
              <w:autoSpaceDN/>
              <w:bidi w:val="0"/>
              <w:adjustRightInd/>
              <w:snapToGrid/>
              <w:spacing w:line="500" w:lineRule="exact"/>
              <w:ind w:firstLine="480" w:firstLineChars="200"/>
              <w:jc w:val="left"/>
              <w:textAlignment w:val="auto"/>
              <w:rPr>
                <w:rFonts w:hint="eastAsia"/>
                <w:i w:val="0"/>
                <w:iCs w:val="0"/>
                <w:color w:val="auto"/>
                <w:sz w:val="24"/>
                <w:szCs w:val="24"/>
                <w:highlight w:val="none"/>
                <w:u w:val="none"/>
              </w:rPr>
            </w:pPr>
            <w:r>
              <w:rPr>
                <w:rFonts w:hint="default" w:ascii="Times New Roman" w:hAnsi="Times New Roman" w:cs="Times New Roman"/>
                <w:bCs/>
                <w:i w:val="0"/>
                <w:iCs w:val="0"/>
                <w:color w:val="auto"/>
                <w:kern w:val="0"/>
                <w:sz w:val="24"/>
                <w:szCs w:val="24"/>
                <w:highlight w:val="none"/>
                <w:u w:val="none"/>
              </w:rPr>
              <w:t>根据《涂装技术使用手册》（叶扬详主编，机械工业出版社出版），</w:t>
            </w:r>
            <w:r>
              <w:rPr>
                <w:rFonts w:hint="eastAsia"/>
                <w:i w:val="0"/>
                <w:iCs w:val="0"/>
                <w:color w:val="auto"/>
                <w:sz w:val="24"/>
                <w:szCs w:val="24"/>
                <w:highlight w:val="none"/>
                <w:u w:val="none"/>
              </w:rPr>
              <w:t>项目</w:t>
            </w:r>
            <w:r>
              <w:rPr>
                <w:rFonts w:hint="eastAsia"/>
                <w:i w:val="0"/>
                <w:iCs w:val="0"/>
                <w:color w:val="auto"/>
                <w:sz w:val="24"/>
                <w:szCs w:val="24"/>
                <w:highlight w:val="none"/>
                <w:u w:val="none"/>
                <w:lang w:eastAsia="zh-CN"/>
              </w:rPr>
              <w:t>涂料</w:t>
            </w:r>
            <w:r>
              <w:rPr>
                <w:rFonts w:hint="eastAsia"/>
                <w:i w:val="0"/>
                <w:iCs w:val="0"/>
                <w:color w:val="auto"/>
                <w:sz w:val="24"/>
                <w:szCs w:val="24"/>
                <w:highlight w:val="none"/>
                <w:u w:val="none"/>
              </w:rPr>
              <w:t>用量校核计算：</w:t>
            </w:r>
          </w:p>
          <w:p w14:paraId="73B3E0BB">
            <w:pPr>
              <w:keepNext w:val="0"/>
              <w:keepLines w:val="0"/>
              <w:pageBreakBefore w:val="0"/>
              <w:widowControl/>
              <w:tabs>
                <w:tab w:val="left" w:pos="463"/>
              </w:tabs>
              <w:kinsoku/>
              <w:wordWrap/>
              <w:overflowPunct/>
              <w:topLinePunct w:val="0"/>
              <w:autoSpaceDE/>
              <w:autoSpaceDN/>
              <w:bidi w:val="0"/>
              <w:adjustRightInd/>
              <w:snapToGrid/>
              <w:spacing w:line="500" w:lineRule="exact"/>
              <w:ind w:firstLine="480" w:firstLineChars="200"/>
              <w:jc w:val="left"/>
              <w:textAlignment w:val="auto"/>
              <w:rPr>
                <w:rFonts w:hint="eastAsia"/>
                <w:i w:val="0"/>
                <w:iCs w:val="0"/>
                <w:color w:val="auto"/>
                <w:sz w:val="24"/>
                <w:szCs w:val="24"/>
                <w:highlight w:val="none"/>
                <w:u w:val="none"/>
              </w:rPr>
            </w:pPr>
            <w:r>
              <w:rPr>
                <w:rFonts w:hint="eastAsia"/>
                <w:i w:val="0"/>
                <w:iCs w:val="0"/>
                <w:color w:val="auto"/>
                <w:sz w:val="24"/>
                <w:szCs w:val="24"/>
                <w:highlight w:val="none"/>
                <w:u w:val="none"/>
              </w:rPr>
              <w:t>①涂料用量采用以下公式计算：</w:t>
            </w:r>
          </w:p>
          <w:p w14:paraId="13B06A7E">
            <w:pPr>
              <w:pStyle w:val="37"/>
              <w:spacing w:line="240" w:lineRule="auto"/>
              <w:ind w:left="0" w:leftChars="0" w:firstLine="0" w:firstLineChars="0"/>
              <w:jc w:val="center"/>
              <w:rPr>
                <w:rFonts w:hint="eastAsia"/>
                <w:i w:val="0"/>
                <w:iCs w:val="0"/>
                <w:color w:val="auto"/>
                <w:highlight w:val="none"/>
                <w:u w:val="none"/>
                <w:lang w:val="en-US"/>
              </w:rPr>
            </w:pPr>
            <w:r>
              <w:rPr>
                <w:rFonts w:hint="eastAsia"/>
                <w:i w:val="0"/>
                <w:iCs w:val="0"/>
                <w:color w:val="auto"/>
                <w:position w:val="-24"/>
                <w:highlight w:val="none"/>
                <w:u w:val="none"/>
                <w:lang w:val="en-US"/>
              </w:rPr>
              <w:object>
                <v:shape id="_x0000_i1025" o:spt="75" type="#_x0000_t75" style="height:33pt;width:99pt;" o:ole="t" filled="f" o:preferrelative="t" stroked="f" coordsize="21600,21600">
                  <v:path/>
                  <v:fill on="f" focussize="0,0"/>
                  <v:stroke on="f"/>
                  <v:imagedata r:id="rId22" o:title=""/>
                  <o:lock v:ext="edit" aspectratio="t"/>
                  <w10:wrap type="none"/>
                  <w10:anchorlock/>
                </v:shape>
                <o:OLEObject Type="Embed" ProgID="Equation.KSEE3" ShapeID="_x0000_i1025" DrawAspect="Content" ObjectID="_1468075725" r:id="rId21">
                  <o:LockedField>false</o:LockedField>
                </o:OLEObject>
              </w:object>
            </w:r>
          </w:p>
          <w:p w14:paraId="70C47607">
            <w:pPr>
              <w:keepNext w:val="0"/>
              <w:keepLines w:val="0"/>
              <w:pageBreakBefore w:val="0"/>
              <w:widowControl/>
              <w:tabs>
                <w:tab w:val="left" w:pos="463"/>
              </w:tabs>
              <w:kinsoku/>
              <w:wordWrap/>
              <w:overflowPunct/>
              <w:topLinePunct w:val="0"/>
              <w:autoSpaceDE/>
              <w:autoSpaceDN/>
              <w:bidi w:val="0"/>
              <w:adjustRightInd/>
              <w:snapToGrid/>
              <w:spacing w:line="500" w:lineRule="exact"/>
              <w:ind w:left="0" w:leftChars="0" w:firstLine="0" w:firstLineChars="0"/>
              <w:jc w:val="both"/>
              <w:textAlignment w:val="auto"/>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cs="Times New Roman"/>
                <w:i w:val="0"/>
                <w:iCs w:val="0"/>
                <w:color w:val="auto"/>
                <w:sz w:val="24"/>
                <w:szCs w:val="24"/>
                <w:highlight w:val="none"/>
                <w:u w:val="none"/>
              </w:rPr>
              <w:t>其</w:t>
            </w:r>
            <w:r>
              <w:rPr>
                <w:rFonts w:hint="default" w:ascii="Times New Roman" w:hAnsi="Times New Roman" w:eastAsia="宋体" w:cs="Times New Roman"/>
                <w:i w:val="0"/>
                <w:iCs w:val="0"/>
                <w:color w:val="auto"/>
                <w:sz w:val="24"/>
                <w:szCs w:val="24"/>
                <w:highlight w:val="none"/>
                <w:u w:val="none"/>
              </w:rPr>
              <w:t>中：m—</w:t>
            </w:r>
            <w:r>
              <w:rPr>
                <w:rFonts w:hint="eastAsia" w:cs="Times New Roman"/>
                <w:i w:val="0"/>
                <w:iCs w:val="0"/>
                <w:color w:val="auto"/>
                <w:sz w:val="24"/>
                <w:szCs w:val="24"/>
                <w:highlight w:val="none"/>
                <w:u w:val="none"/>
                <w:lang w:eastAsia="zh-CN"/>
              </w:rPr>
              <w:t>涂料</w:t>
            </w:r>
            <w:r>
              <w:rPr>
                <w:rFonts w:hint="default" w:ascii="Times New Roman" w:hAnsi="Times New Roman" w:eastAsia="宋体" w:cs="Times New Roman"/>
                <w:i w:val="0"/>
                <w:iCs w:val="0"/>
                <w:color w:val="auto"/>
                <w:sz w:val="24"/>
                <w:szCs w:val="24"/>
                <w:highlight w:val="none"/>
                <w:u w:val="none"/>
                <w:lang w:eastAsia="zh-CN"/>
              </w:rPr>
              <w:t>总用量</w:t>
            </w:r>
            <w:r>
              <w:rPr>
                <w:rFonts w:hint="default" w:ascii="Times New Roman" w:hAnsi="Times New Roman" w:eastAsia="宋体" w:cs="Times New Roman"/>
                <w:i w:val="0"/>
                <w:iCs w:val="0"/>
                <w:color w:val="auto"/>
                <w:sz w:val="24"/>
                <w:szCs w:val="24"/>
                <w:highlight w:val="none"/>
                <w:u w:val="none"/>
              </w:rPr>
              <w:t>（t）；</w:t>
            </w:r>
          </w:p>
          <w:p w14:paraId="6C82E5F9">
            <w:pPr>
              <w:pStyle w:val="37"/>
              <w:keepNext w:val="0"/>
              <w:keepLines w:val="0"/>
              <w:pageBreakBefore w:val="0"/>
              <w:widowControl/>
              <w:kinsoku/>
              <w:wordWrap/>
              <w:overflowPunct/>
              <w:topLinePunct w:val="0"/>
              <w:autoSpaceDE/>
              <w:autoSpaceDN/>
              <w:bidi w:val="0"/>
              <w:adjustRightInd/>
              <w:snapToGrid/>
              <w:spacing w:after="0" w:line="500" w:lineRule="exact"/>
              <w:ind w:left="0" w:leftChars="0" w:firstLine="720" w:firstLineChars="300"/>
              <w:jc w:val="both"/>
              <w:textAlignment w:val="auto"/>
              <w:rPr>
                <w:rFonts w:hint="default" w:ascii="Times New Roman" w:hAnsi="Times New Roman" w:eastAsia="宋体" w:cs="Times New Roman"/>
                <w:i w:val="0"/>
                <w:iCs w:val="0"/>
                <w:color w:val="auto"/>
                <w:sz w:val="24"/>
                <w:szCs w:val="24"/>
                <w:highlight w:val="none"/>
                <w:u w:val="none"/>
                <w:lang w:val="en-US"/>
              </w:rPr>
            </w:pPr>
            <w:r>
              <w:rPr>
                <w:rFonts w:hint="default" w:ascii="Times New Roman" w:hAnsi="Times New Roman" w:eastAsia="宋体" w:cs="Times New Roman"/>
                <w:i w:val="0"/>
                <w:iCs w:val="0"/>
                <w:color w:val="auto"/>
                <w:sz w:val="24"/>
                <w:szCs w:val="24"/>
                <w:highlight w:val="none"/>
                <w:u w:val="none"/>
                <w:lang w:val="en-US"/>
              </w:rPr>
              <w:t>ρ—</w:t>
            </w:r>
            <w:r>
              <w:rPr>
                <w:rFonts w:hint="eastAsia" w:ascii="Times New Roman" w:hAnsi="Times New Roman" w:eastAsia="宋体" w:cs="Times New Roman"/>
                <w:i w:val="0"/>
                <w:iCs w:val="0"/>
                <w:color w:val="auto"/>
                <w:sz w:val="24"/>
                <w:szCs w:val="24"/>
                <w:highlight w:val="none"/>
                <w:u w:val="none"/>
                <w:lang w:val="en-US" w:eastAsia="zh-CN"/>
              </w:rPr>
              <w:t>涂料</w:t>
            </w:r>
            <w:r>
              <w:rPr>
                <w:rFonts w:hint="default" w:ascii="Times New Roman" w:hAnsi="Times New Roman" w:eastAsia="宋体" w:cs="Times New Roman"/>
                <w:i w:val="0"/>
                <w:iCs w:val="0"/>
                <w:color w:val="auto"/>
                <w:sz w:val="24"/>
                <w:szCs w:val="24"/>
                <w:highlight w:val="none"/>
                <w:u w:val="none"/>
                <w:lang w:val="en-US"/>
              </w:rPr>
              <w:t>密度，（g/cm</w:t>
            </w:r>
            <w:r>
              <w:rPr>
                <w:rFonts w:hint="default" w:ascii="Times New Roman" w:hAnsi="Times New Roman" w:eastAsia="宋体" w:cs="Times New Roman"/>
                <w:i w:val="0"/>
                <w:iCs w:val="0"/>
                <w:color w:val="auto"/>
                <w:sz w:val="24"/>
                <w:szCs w:val="24"/>
                <w:highlight w:val="none"/>
                <w:u w:val="none"/>
                <w:vertAlign w:val="superscript"/>
                <w:lang w:val="en-US"/>
              </w:rPr>
              <w:t>3</w:t>
            </w:r>
            <w:r>
              <w:rPr>
                <w:rFonts w:hint="default" w:ascii="Times New Roman" w:hAnsi="Times New Roman" w:eastAsia="宋体" w:cs="Times New Roman"/>
                <w:i w:val="0"/>
                <w:iCs w:val="0"/>
                <w:color w:val="auto"/>
                <w:sz w:val="24"/>
                <w:szCs w:val="24"/>
                <w:highlight w:val="none"/>
                <w:u w:val="none"/>
                <w:lang w:val="en-US"/>
              </w:rPr>
              <w:t>）</w:t>
            </w:r>
            <w:r>
              <w:rPr>
                <w:rFonts w:hint="default" w:ascii="Times New Roman" w:hAnsi="Times New Roman" w:eastAsia="宋体" w:cs="Times New Roman"/>
                <w:b w:val="0"/>
                <w:bCs w:val="0"/>
                <w:i w:val="0"/>
                <w:iCs w:val="0"/>
                <w:color w:val="auto"/>
                <w:sz w:val="24"/>
                <w:szCs w:val="24"/>
                <w:highlight w:val="none"/>
                <w:u w:val="none"/>
                <w:lang w:val="en-US"/>
              </w:rPr>
              <w:t>；</w:t>
            </w:r>
          </w:p>
          <w:p w14:paraId="3607C6A9">
            <w:pPr>
              <w:keepNext w:val="0"/>
              <w:keepLines w:val="0"/>
              <w:pageBreakBefore w:val="0"/>
              <w:widowControl/>
              <w:tabs>
                <w:tab w:val="left" w:pos="463"/>
              </w:tabs>
              <w:kinsoku/>
              <w:wordWrap/>
              <w:overflowPunct/>
              <w:topLinePunct w:val="0"/>
              <w:autoSpaceDE/>
              <w:autoSpaceDN/>
              <w:bidi w:val="0"/>
              <w:adjustRightInd/>
              <w:snapToGrid/>
              <w:spacing w:line="500" w:lineRule="exact"/>
              <w:ind w:left="0" w:leftChars="0" w:firstLine="720" w:firstLineChars="300"/>
              <w:jc w:val="both"/>
              <w:textAlignment w:val="auto"/>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sz w:val="24"/>
                <w:szCs w:val="24"/>
                <w:highlight w:val="none"/>
                <w:u w:val="none"/>
              </w:rPr>
              <w:t>δ—涂层厚度（干膜厚度）（μm）；</w:t>
            </w:r>
          </w:p>
          <w:p w14:paraId="582EF2E6">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auto"/>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sz w:val="24"/>
                <w:szCs w:val="24"/>
                <w:highlight w:val="none"/>
                <w:u w:val="none"/>
              </w:rPr>
              <w:t xml:space="preserve">      S—涂装面积（m</w:t>
            </w:r>
            <w:r>
              <w:rPr>
                <w:rFonts w:hint="default" w:ascii="Times New Roman" w:hAnsi="Times New Roman" w:eastAsia="宋体" w:cs="Times New Roman"/>
                <w:i w:val="0"/>
                <w:iCs w:val="0"/>
                <w:color w:val="auto"/>
                <w:sz w:val="24"/>
                <w:szCs w:val="24"/>
                <w:highlight w:val="none"/>
                <w:u w:val="none"/>
                <w:vertAlign w:val="superscript"/>
              </w:rPr>
              <w:t>2</w:t>
            </w:r>
            <w:r>
              <w:rPr>
                <w:rFonts w:hint="default" w:ascii="Times New Roman" w:hAnsi="Times New Roman" w:eastAsia="宋体" w:cs="Times New Roman"/>
                <w:i w:val="0"/>
                <w:iCs w:val="0"/>
                <w:color w:val="auto"/>
                <w:sz w:val="24"/>
                <w:szCs w:val="24"/>
                <w:highlight w:val="none"/>
                <w:u w:val="none"/>
                <w:vertAlign w:val="baseline"/>
                <w:lang w:val="en-US" w:eastAsia="zh-CN"/>
              </w:rPr>
              <w:t>/年</w:t>
            </w:r>
            <w:r>
              <w:rPr>
                <w:rFonts w:hint="default" w:ascii="Times New Roman" w:hAnsi="Times New Roman" w:eastAsia="宋体" w:cs="Times New Roman"/>
                <w:i w:val="0"/>
                <w:iCs w:val="0"/>
                <w:color w:val="auto"/>
                <w:sz w:val="24"/>
                <w:szCs w:val="24"/>
                <w:highlight w:val="none"/>
                <w:u w:val="none"/>
              </w:rPr>
              <w:t>）；</w:t>
            </w:r>
          </w:p>
          <w:p w14:paraId="65EAF785">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auto"/>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sz w:val="24"/>
                <w:szCs w:val="24"/>
                <w:highlight w:val="none"/>
                <w:u w:val="none"/>
              </w:rPr>
              <w:t xml:space="preserve">      NV—</w:t>
            </w:r>
            <w:r>
              <w:rPr>
                <w:rFonts w:hint="eastAsia" w:cs="Times New Roman"/>
                <w:i w:val="0"/>
                <w:iCs w:val="0"/>
                <w:color w:val="auto"/>
                <w:sz w:val="24"/>
                <w:szCs w:val="24"/>
                <w:highlight w:val="none"/>
                <w:u w:val="none"/>
                <w:lang w:eastAsia="zh-CN"/>
              </w:rPr>
              <w:t>涂料</w:t>
            </w:r>
            <w:r>
              <w:rPr>
                <w:rFonts w:hint="default" w:ascii="Times New Roman" w:hAnsi="Times New Roman" w:eastAsia="宋体" w:cs="Times New Roman"/>
                <w:bCs/>
                <w:i w:val="0"/>
                <w:iCs w:val="0"/>
                <w:color w:val="auto"/>
                <w:kern w:val="0"/>
                <w:sz w:val="24"/>
                <w:szCs w:val="24"/>
                <w:highlight w:val="none"/>
                <w:u w:val="none"/>
              </w:rPr>
              <w:t>中（已配好）的固体份（%）</w:t>
            </w:r>
            <w:r>
              <w:rPr>
                <w:rFonts w:hint="default" w:ascii="Times New Roman" w:hAnsi="Times New Roman" w:eastAsia="宋体" w:cs="Times New Roman"/>
                <w:i w:val="0"/>
                <w:iCs w:val="0"/>
                <w:color w:val="auto"/>
                <w:sz w:val="24"/>
                <w:szCs w:val="24"/>
                <w:highlight w:val="none"/>
                <w:u w:val="none"/>
              </w:rPr>
              <w:t>；</w:t>
            </w:r>
          </w:p>
          <w:p w14:paraId="687AC845">
            <w:pPr>
              <w:pStyle w:val="37"/>
              <w:keepNext w:val="0"/>
              <w:keepLines w:val="0"/>
              <w:pageBreakBefore w:val="0"/>
              <w:widowControl/>
              <w:kinsoku/>
              <w:wordWrap/>
              <w:overflowPunct/>
              <w:topLinePunct w:val="0"/>
              <w:autoSpaceDE/>
              <w:autoSpaceDN/>
              <w:bidi w:val="0"/>
              <w:adjustRightInd/>
              <w:snapToGrid/>
              <w:spacing w:after="0" w:line="500" w:lineRule="exact"/>
              <w:ind w:left="0" w:leftChars="0" w:firstLine="720" w:firstLineChars="300"/>
              <w:jc w:val="both"/>
              <w:textAlignment w:val="auto"/>
              <w:rPr>
                <w:rFonts w:hint="default" w:ascii="Times New Roman" w:hAnsi="Times New Roman" w:eastAsia="宋体" w:cs="Times New Roman"/>
                <w:i w:val="0"/>
                <w:iCs w:val="0"/>
                <w:color w:val="auto"/>
                <w:sz w:val="24"/>
                <w:szCs w:val="24"/>
                <w:highlight w:val="none"/>
                <w:u w:val="none"/>
                <w:lang w:val="en-US"/>
              </w:rPr>
            </w:pPr>
            <w:r>
              <w:rPr>
                <w:rFonts w:hint="default" w:ascii="Times New Roman" w:hAnsi="Times New Roman" w:eastAsia="宋体" w:cs="Times New Roman"/>
                <w:i w:val="0"/>
                <w:iCs w:val="0"/>
                <w:color w:val="auto"/>
                <w:sz w:val="24"/>
                <w:szCs w:val="24"/>
                <w:highlight w:val="none"/>
                <w:u w:val="none"/>
                <w:lang w:val="en-US"/>
              </w:rPr>
              <w:t>ε—上漆率（%）</w:t>
            </w:r>
            <w:r>
              <w:rPr>
                <w:rFonts w:hint="default" w:ascii="Times New Roman" w:hAnsi="Times New Roman" w:eastAsia="宋体" w:cs="Times New Roman"/>
                <w:i w:val="0"/>
                <w:iCs w:val="0"/>
                <w:color w:val="auto"/>
                <w:sz w:val="24"/>
                <w:szCs w:val="24"/>
                <w:highlight w:val="none"/>
                <w:u w:val="none"/>
                <w:lang w:val="en-US" w:eastAsia="zh-CN"/>
              </w:rPr>
              <w:t>，</w:t>
            </w:r>
            <w:r>
              <w:rPr>
                <w:rFonts w:hint="eastAsia" w:ascii="Times New Roman" w:hAnsi="Times New Roman" w:eastAsia="宋体" w:cs="Times New Roman"/>
                <w:i w:val="0"/>
                <w:iCs w:val="0"/>
                <w:color w:val="auto"/>
                <w:sz w:val="24"/>
                <w:szCs w:val="24"/>
                <w:highlight w:val="none"/>
                <w:u w:val="none"/>
                <w:lang w:eastAsia="zh-CN"/>
              </w:rPr>
              <w:t>参照《污染源源强核算技术指南 汽车制造》</w:t>
            </w:r>
            <w:r>
              <w:rPr>
                <w:rFonts w:hint="eastAsia" w:cs="Times New Roman"/>
                <w:i w:val="0"/>
                <w:iCs w:val="0"/>
                <w:color w:val="auto"/>
                <w:sz w:val="24"/>
                <w:szCs w:val="24"/>
                <w:highlight w:val="none"/>
                <w:u w:val="none"/>
                <w:lang w:eastAsia="zh-CN"/>
              </w:rPr>
              <w:t>（HJ 1097-2020）</w:t>
            </w:r>
            <w:r>
              <w:rPr>
                <w:rFonts w:hint="eastAsia" w:cs="Times New Roman"/>
                <w:i w:val="0"/>
                <w:iCs w:val="0"/>
                <w:color w:val="auto"/>
                <w:sz w:val="24"/>
                <w:szCs w:val="24"/>
                <w:highlight w:val="none"/>
                <w:u w:val="none"/>
                <w:lang w:val="en-US" w:eastAsia="zh-CN"/>
              </w:rPr>
              <w:t>附录E</w:t>
            </w:r>
            <w:r>
              <w:rPr>
                <w:rFonts w:hint="eastAsia" w:ascii="Times New Roman" w:hAnsi="Times New Roman" w:eastAsia="宋体" w:cs="Times New Roman"/>
                <w:i w:val="0"/>
                <w:iCs w:val="0"/>
                <w:color w:val="auto"/>
                <w:sz w:val="24"/>
                <w:szCs w:val="24"/>
                <w:highlight w:val="none"/>
                <w:u w:val="none"/>
                <w:lang w:eastAsia="zh-CN"/>
              </w:rPr>
              <w:t>，项目</w:t>
            </w:r>
            <w:r>
              <w:rPr>
                <w:rFonts w:hint="eastAsia" w:cs="Times New Roman"/>
                <w:i w:val="0"/>
                <w:iCs w:val="0"/>
                <w:color w:val="auto"/>
                <w:sz w:val="24"/>
                <w:szCs w:val="24"/>
                <w:highlight w:val="none"/>
                <w:u w:val="none"/>
                <w:lang w:val="en-US" w:eastAsia="zh-CN"/>
              </w:rPr>
              <w:t>零部件</w:t>
            </w:r>
            <w:r>
              <w:rPr>
                <w:rFonts w:hint="eastAsia" w:ascii="Times New Roman" w:hAnsi="Times New Roman" w:eastAsia="宋体" w:cs="Times New Roman"/>
                <w:i w:val="0"/>
                <w:iCs w:val="0"/>
                <w:color w:val="auto"/>
                <w:sz w:val="24"/>
                <w:szCs w:val="24"/>
                <w:highlight w:val="none"/>
                <w:u w:val="none"/>
                <w:lang w:eastAsia="zh-CN"/>
              </w:rPr>
              <w:t>喷粉采取静电喷涂，</w:t>
            </w:r>
            <w:r>
              <w:rPr>
                <w:rFonts w:hint="eastAsia" w:cs="Times New Roman"/>
                <w:i w:val="0"/>
                <w:iCs w:val="0"/>
                <w:color w:val="auto"/>
                <w:sz w:val="24"/>
                <w:szCs w:val="24"/>
                <w:highlight w:val="none"/>
                <w:u w:val="none"/>
                <w:lang w:val="en-US" w:eastAsia="zh-CN"/>
              </w:rPr>
              <w:t>涂料附着率为65%</w:t>
            </w:r>
            <w:r>
              <w:rPr>
                <w:rFonts w:hint="eastAsia" w:ascii="Times New Roman" w:hAnsi="Times New Roman" w:eastAsia="宋体" w:cs="Times New Roman"/>
                <w:i w:val="0"/>
                <w:iCs w:val="0"/>
                <w:color w:val="auto"/>
                <w:sz w:val="24"/>
                <w:szCs w:val="24"/>
                <w:highlight w:val="none"/>
                <w:u w:val="none"/>
                <w:lang w:eastAsia="zh-CN"/>
              </w:rPr>
              <w:t>，由于喷粉</w:t>
            </w:r>
            <w:r>
              <w:rPr>
                <w:rFonts w:hint="eastAsia" w:cs="Times New Roman"/>
                <w:i w:val="0"/>
                <w:iCs w:val="0"/>
                <w:color w:val="auto"/>
                <w:sz w:val="24"/>
                <w:szCs w:val="24"/>
                <w:highlight w:val="none"/>
                <w:u w:val="none"/>
                <w:lang w:val="en-US" w:eastAsia="zh-CN"/>
              </w:rPr>
              <w:t>房</w:t>
            </w:r>
            <w:r>
              <w:rPr>
                <w:rFonts w:hint="eastAsia" w:ascii="Times New Roman" w:hAnsi="Times New Roman" w:eastAsia="宋体" w:cs="Times New Roman"/>
                <w:i w:val="0"/>
                <w:iCs w:val="0"/>
                <w:color w:val="auto"/>
                <w:sz w:val="24"/>
                <w:szCs w:val="24"/>
                <w:highlight w:val="none"/>
                <w:u w:val="none"/>
                <w:lang w:eastAsia="zh-CN"/>
              </w:rPr>
              <w:t>带有粉末涂料回收系统处理</w:t>
            </w:r>
            <w:r>
              <w:rPr>
                <w:rFonts w:hint="eastAsia" w:cs="Times New Roman"/>
                <w:i w:val="0"/>
                <w:iCs w:val="0"/>
                <w:color w:val="auto"/>
                <w:sz w:val="24"/>
                <w:szCs w:val="24"/>
                <w:highlight w:val="none"/>
                <w:u w:val="none"/>
                <w:lang w:eastAsia="zh-CN"/>
              </w:rPr>
              <w:t>，</w:t>
            </w:r>
            <w:r>
              <w:rPr>
                <w:rFonts w:hint="eastAsia" w:cs="Times New Roman"/>
                <w:i w:val="0"/>
                <w:iCs w:val="0"/>
                <w:color w:val="auto"/>
                <w:sz w:val="24"/>
                <w:szCs w:val="24"/>
                <w:highlight w:val="none"/>
                <w:u w:val="none"/>
                <w:lang w:val="en-US" w:eastAsia="zh-CN"/>
              </w:rPr>
              <w:t>粉料</w:t>
            </w:r>
            <w:r>
              <w:rPr>
                <w:rFonts w:hint="eastAsia" w:ascii="Times New Roman" w:hAnsi="Times New Roman" w:eastAsia="宋体" w:cs="Times New Roman"/>
                <w:i w:val="0"/>
                <w:iCs w:val="0"/>
                <w:color w:val="auto"/>
                <w:sz w:val="24"/>
                <w:szCs w:val="24"/>
                <w:highlight w:val="none"/>
                <w:u w:val="none"/>
                <w:lang w:eastAsia="zh-CN"/>
              </w:rPr>
              <w:t>回收利用，</w:t>
            </w:r>
            <w:r>
              <w:rPr>
                <w:rFonts w:hint="eastAsia" w:cs="Times New Roman"/>
                <w:i w:val="0"/>
                <w:iCs w:val="0"/>
                <w:color w:val="auto"/>
                <w:sz w:val="24"/>
                <w:szCs w:val="24"/>
                <w:highlight w:val="none"/>
                <w:u w:val="none"/>
                <w:lang w:val="en-US" w:eastAsia="zh-CN"/>
              </w:rPr>
              <w:t>集尘</w:t>
            </w:r>
            <w:r>
              <w:rPr>
                <w:rFonts w:hint="eastAsia" w:ascii="Times New Roman" w:hAnsi="Times New Roman" w:eastAsia="宋体" w:cs="Times New Roman"/>
                <w:i w:val="0"/>
                <w:iCs w:val="0"/>
                <w:color w:val="auto"/>
                <w:sz w:val="24"/>
                <w:szCs w:val="24"/>
                <w:highlight w:val="none"/>
                <w:u w:val="none"/>
                <w:lang w:eastAsia="zh-CN"/>
              </w:rPr>
              <w:t>效率为</w:t>
            </w:r>
            <w:r>
              <w:rPr>
                <w:rFonts w:hint="eastAsia" w:cs="Times New Roman"/>
                <w:i w:val="0"/>
                <w:iCs w:val="0"/>
                <w:color w:val="auto"/>
                <w:sz w:val="24"/>
                <w:szCs w:val="24"/>
                <w:highlight w:val="none"/>
                <w:u w:val="none"/>
                <w:lang w:val="en-US" w:eastAsia="zh-CN"/>
              </w:rPr>
              <w:t>65</w:t>
            </w:r>
            <w:r>
              <w:rPr>
                <w:rFonts w:hint="eastAsia" w:ascii="Times New Roman" w:hAnsi="Times New Roman" w:eastAsia="宋体" w:cs="Times New Roman"/>
                <w:i w:val="0"/>
                <w:iCs w:val="0"/>
                <w:color w:val="auto"/>
                <w:sz w:val="24"/>
                <w:szCs w:val="24"/>
                <w:highlight w:val="none"/>
                <w:u w:val="none"/>
                <w:lang w:eastAsia="zh-CN"/>
              </w:rPr>
              <w:t>%，回收</w:t>
            </w:r>
            <w:r>
              <w:rPr>
                <w:rFonts w:hint="eastAsia" w:ascii="Times New Roman" w:hAnsi="Times New Roman" w:cs="Times New Roman"/>
                <w:i w:val="0"/>
                <w:iCs w:val="0"/>
                <w:color w:val="auto"/>
                <w:sz w:val="24"/>
                <w:szCs w:val="24"/>
                <w:highlight w:val="none"/>
                <w:u w:val="none"/>
                <w:lang w:val="en-US" w:eastAsia="zh-CN"/>
              </w:rPr>
              <w:t>可利用</w:t>
            </w:r>
            <w:r>
              <w:rPr>
                <w:rFonts w:hint="eastAsia" w:ascii="Times New Roman" w:hAnsi="Times New Roman" w:eastAsia="宋体" w:cs="Times New Roman"/>
                <w:i w:val="0"/>
                <w:iCs w:val="0"/>
                <w:color w:val="auto"/>
                <w:sz w:val="24"/>
                <w:szCs w:val="24"/>
                <w:highlight w:val="none"/>
                <w:u w:val="none"/>
                <w:lang w:eastAsia="zh-CN"/>
              </w:rPr>
              <w:t>率为95%</w:t>
            </w:r>
            <w:r>
              <w:rPr>
                <w:rFonts w:hint="eastAsia" w:cs="Times New Roman"/>
                <w:i w:val="0"/>
                <w:iCs w:val="0"/>
                <w:color w:val="auto"/>
                <w:sz w:val="24"/>
                <w:szCs w:val="24"/>
                <w:highlight w:val="none"/>
                <w:u w:val="none"/>
                <w:lang w:eastAsia="zh-CN"/>
              </w:rPr>
              <w:t>，</w:t>
            </w:r>
            <w:r>
              <w:rPr>
                <w:rFonts w:hint="eastAsia" w:cs="Times New Roman"/>
                <w:i w:val="0"/>
                <w:iCs w:val="0"/>
                <w:color w:val="auto"/>
                <w:sz w:val="24"/>
                <w:szCs w:val="24"/>
                <w:highlight w:val="none"/>
                <w:u w:val="none"/>
                <w:lang w:val="en-US" w:eastAsia="zh-CN"/>
              </w:rPr>
              <w:t>粉料回收系统收集效率99%</w:t>
            </w:r>
            <w:r>
              <w:rPr>
                <w:rFonts w:hint="eastAsia" w:ascii="Times New Roman" w:hAnsi="Times New Roman" w:eastAsia="宋体" w:cs="Times New Roman"/>
                <w:i w:val="0"/>
                <w:iCs w:val="0"/>
                <w:color w:val="auto"/>
                <w:sz w:val="24"/>
                <w:szCs w:val="24"/>
                <w:highlight w:val="none"/>
                <w:u w:val="none"/>
                <w:lang w:eastAsia="zh-CN"/>
              </w:rPr>
              <w:t>，可计算得利用率</w:t>
            </w:r>
            <w:r>
              <w:rPr>
                <w:rFonts w:hint="eastAsia"/>
                <w:b w:val="0"/>
                <w:bCs w:val="0"/>
                <w:color w:val="auto"/>
                <w:sz w:val="24"/>
                <w:szCs w:val="24"/>
                <w:u w:val="none" w:color="auto"/>
                <w:lang w:val="en-US" w:eastAsia="zh-CN"/>
              </w:rPr>
              <w:t>=65%+（1-65%）*65%*95%*99%=86.4%</w:t>
            </w:r>
            <w:r>
              <w:rPr>
                <w:rFonts w:hint="eastAsia" w:ascii="Times New Roman" w:hAnsi="Times New Roman" w:cs="Times New Roman"/>
                <w:i w:val="0"/>
                <w:iCs w:val="0"/>
                <w:color w:val="auto"/>
                <w:sz w:val="24"/>
                <w:szCs w:val="24"/>
                <w:highlight w:val="none"/>
                <w:u w:val="none"/>
                <w:lang w:eastAsia="zh-CN"/>
              </w:rPr>
              <w:t>；</w:t>
            </w:r>
            <w:r>
              <w:rPr>
                <w:rFonts w:hint="eastAsia" w:ascii="Times New Roman" w:hAnsi="Times New Roman" w:cs="Times New Roman"/>
                <w:i w:val="0"/>
                <w:iCs w:val="0"/>
                <w:color w:val="auto"/>
                <w:sz w:val="24"/>
                <w:szCs w:val="24"/>
                <w:highlight w:val="none"/>
                <w:u w:val="none"/>
                <w:lang w:val="en-US" w:eastAsia="zh-CN"/>
              </w:rPr>
              <w:t>电泳采用先进工艺，配备完整超滤系统，漆料附着率可达95%~99%，本次附着率取95%</w:t>
            </w:r>
            <w:r>
              <w:rPr>
                <w:rFonts w:hint="default" w:ascii="Times New Roman" w:hAnsi="Times New Roman" w:eastAsia="宋体" w:cs="Times New Roman"/>
                <w:i w:val="0"/>
                <w:iCs w:val="0"/>
                <w:color w:val="auto"/>
                <w:sz w:val="24"/>
                <w:szCs w:val="24"/>
                <w:highlight w:val="none"/>
                <w:u w:val="none"/>
                <w:lang w:val="en-US"/>
              </w:rPr>
              <w:t>。</w:t>
            </w:r>
          </w:p>
          <w:p w14:paraId="2D4614EB">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jc w:val="both"/>
              <w:textAlignment w:val="auto"/>
              <w:rPr>
                <w:rFonts w:hint="default" w:ascii="Times New Roman" w:hAnsi="Times New Roman" w:eastAsia="宋体" w:cs="Times New Roman"/>
                <w:i w:val="0"/>
                <w:iCs w:val="0"/>
                <w:color w:val="auto"/>
                <w:sz w:val="24"/>
                <w:szCs w:val="24"/>
                <w:highlight w:val="none"/>
                <w:u w:val="none"/>
                <w:lang w:eastAsia="zh-CN"/>
              </w:rPr>
            </w:pPr>
            <w:r>
              <w:rPr>
                <w:rFonts w:hint="default" w:ascii="Times New Roman" w:hAnsi="Times New Roman" w:eastAsia="宋体" w:cs="Times New Roman"/>
                <w:i w:val="0"/>
                <w:iCs w:val="0"/>
                <w:color w:val="auto"/>
                <w:sz w:val="24"/>
                <w:szCs w:val="24"/>
                <w:highlight w:val="none"/>
                <w:u w:val="none"/>
                <w:lang w:eastAsia="zh-CN"/>
              </w:rPr>
              <w:t>②参数取值</w:t>
            </w:r>
          </w:p>
          <w:p w14:paraId="6360CB1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cs="Times New Roman"/>
                <w:b/>
                <w:bCs/>
                <w:i w:val="0"/>
                <w:iCs w:val="0"/>
                <w:color w:val="auto"/>
                <w:sz w:val="24"/>
                <w:szCs w:val="24"/>
                <w:highlight w:val="none"/>
                <w:u w:val="none"/>
                <w:lang w:eastAsia="zh-CN"/>
              </w:rPr>
            </w:pPr>
            <w:r>
              <w:rPr>
                <w:rFonts w:hint="eastAsia" w:ascii="Times New Roman" w:hAnsi="Times New Roman" w:cs="Times New Roman"/>
                <w:i w:val="0"/>
                <w:iCs w:val="0"/>
                <w:color w:val="auto"/>
                <w:sz w:val="24"/>
                <w:szCs w:val="24"/>
                <w:highlight w:val="none"/>
                <w:u w:val="none"/>
                <w:lang w:eastAsia="zh-CN"/>
              </w:rPr>
              <w:t>根据建设单位提供资料</w:t>
            </w:r>
            <w:r>
              <w:rPr>
                <w:rFonts w:hint="eastAsia" w:cs="Times New Roman"/>
                <w:i w:val="0"/>
                <w:iCs w:val="0"/>
                <w:color w:val="auto"/>
                <w:sz w:val="24"/>
                <w:szCs w:val="24"/>
                <w:highlight w:val="none"/>
                <w:u w:val="none"/>
                <w:lang w:eastAsia="zh-CN"/>
              </w:rPr>
              <w:t>，项目产品喷涂情况如下</w:t>
            </w:r>
            <w:r>
              <w:rPr>
                <w:rFonts w:hint="eastAsia" w:ascii="Times New Roman" w:hAnsi="Times New Roman" w:cs="Times New Roman"/>
                <w:i w:val="0"/>
                <w:iCs w:val="0"/>
                <w:color w:val="auto"/>
                <w:sz w:val="24"/>
                <w:szCs w:val="24"/>
                <w:highlight w:val="none"/>
                <w:u w:val="none"/>
                <w:lang w:eastAsia="zh-CN"/>
              </w:rPr>
              <w:t>：</w:t>
            </w:r>
          </w:p>
          <w:p w14:paraId="1C987819">
            <w:pPr>
              <w:keepNext w:val="0"/>
              <w:keepLines w:val="0"/>
              <w:pageBreakBefore w:val="0"/>
              <w:widowControl w:val="0"/>
              <w:kinsoku/>
              <w:wordWrap/>
              <w:overflowPunct/>
              <w:topLinePunct w:val="0"/>
              <w:autoSpaceDE/>
              <w:autoSpaceDN/>
              <w:bidi w:val="0"/>
              <w:adjustRightInd/>
              <w:snapToGrid/>
              <w:spacing w:line="500" w:lineRule="exact"/>
              <w:ind w:firstLine="420"/>
              <w:jc w:val="center"/>
              <w:textAlignment w:val="auto"/>
              <w:rPr>
                <w:rFonts w:hint="eastAsia" w:ascii="Times New Roman" w:hAnsi="Times New Roman" w:eastAsia="宋体" w:cs="Times New Roman"/>
                <w:b/>
                <w:bCs/>
                <w:i w:val="0"/>
                <w:iCs w:val="0"/>
                <w:color w:val="auto"/>
                <w:sz w:val="24"/>
                <w:szCs w:val="24"/>
                <w:highlight w:val="none"/>
                <w:u w:val="none"/>
                <w:lang w:eastAsia="zh-CN"/>
              </w:rPr>
            </w:pPr>
          </w:p>
          <w:p w14:paraId="40F13F01">
            <w:pPr>
              <w:keepNext w:val="0"/>
              <w:keepLines w:val="0"/>
              <w:pageBreakBefore w:val="0"/>
              <w:widowControl w:val="0"/>
              <w:kinsoku/>
              <w:wordWrap/>
              <w:overflowPunct/>
              <w:topLinePunct w:val="0"/>
              <w:autoSpaceDE/>
              <w:autoSpaceDN/>
              <w:bidi w:val="0"/>
              <w:adjustRightInd/>
              <w:snapToGrid/>
              <w:spacing w:line="500" w:lineRule="exact"/>
              <w:ind w:firstLine="420"/>
              <w:jc w:val="center"/>
              <w:textAlignment w:val="auto"/>
              <w:rPr>
                <w:rFonts w:hint="eastAsia" w:ascii="Times New Roman" w:hAnsi="Times New Roman" w:eastAsia="宋体" w:cs="Times New Roman"/>
                <w:b/>
                <w:bCs/>
                <w:i w:val="0"/>
                <w:iCs w:val="0"/>
                <w:color w:val="auto"/>
                <w:sz w:val="24"/>
                <w:szCs w:val="24"/>
                <w:highlight w:val="none"/>
                <w:u w:val="none"/>
                <w:lang w:eastAsia="zh-CN"/>
              </w:rPr>
            </w:pPr>
          </w:p>
          <w:p w14:paraId="2B91DC06">
            <w:pPr>
              <w:keepNext w:val="0"/>
              <w:keepLines w:val="0"/>
              <w:pageBreakBefore w:val="0"/>
              <w:widowControl w:val="0"/>
              <w:kinsoku/>
              <w:wordWrap/>
              <w:overflowPunct/>
              <w:topLinePunct w:val="0"/>
              <w:autoSpaceDE/>
              <w:autoSpaceDN/>
              <w:bidi w:val="0"/>
              <w:adjustRightInd/>
              <w:snapToGrid/>
              <w:spacing w:line="500" w:lineRule="exact"/>
              <w:ind w:firstLine="420"/>
              <w:jc w:val="center"/>
              <w:textAlignment w:val="auto"/>
              <w:rPr>
                <w:rFonts w:hint="eastAsia" w:ascii="Times New Roman" w:hAnsi="Times New Roman" w:eastAsia="宋体" w:cs="Times New Roman"/>
                <w:b/>
                <w:bCs/>
                <w:i w:val="0"/>
                <w:iCs w:val="0"/>
                <w:color w:val="auto"/>
                <w:sz w:val="24"/>
                <w:szCs w:val="24"/>
                <w:highlight w:val="none"/>
                <w:u w:val="none"/>
                <w:lang w:eastAsia="zh-CN"/>
              </w:rPr>
            </w:pPr>
          </w:p>
          <w:p w14:paraId="731A69D3">
            <w:pPr>
              <w:keepNext w:val="0"/>
              <w:keepLines w:val="0"/>
              <w:pageBreakBefore w:val="0"/>
              <w:widowControl w:val="0"/>
              <w:kinsoku/>
              <w:wordWrap/>
              <w:overflowPunct/>
              <w:topLinePunct w:val="0"/>
              <w:autoSpaceDE/>
              <w:autoSpaceDN/>
              <w:bidi w:val="0"/>
              <w:adjustRightInd/>
              <w:snapToGrid/>
              <w:spacing w:line="500" w:lineRule="exact"/>
              <w:ind w:firstLine="420"/>
              <w:jc w:val="center"/>
              <w:textAlignment w:val="auto"/>
              <w:rPr>
                <w:rFonts w:hint="eastAsia" w:ascii="Times New Roman" w:hAnsi="Times New Roman" w:eastAsia="宋体" w:cs="Times New Roman"/>
                <w:b/>
                <w:bCs/>
                <w:i w:val="0"/>
                <w:iCs w:val="0"/>
                <w:color w:val="auto"/>
                <w:sz w:val="24"/>
                <w:szCs w:val="24"/>
                <w:highlight w:val="none"/>
                <w:u w:val="none"/>
                <w:lang w:eastAsia="zh-CN"/>
              </w:rPr>
            </w:pPr>
          </w:p>
          <w:p w14:paraId="1006821F">
            <w:pPr>
              <w:keepNext w:val="0"/>
              <w:keepLines w:val="0"/>
              <w:pageBreakBefore w:val="0"/>
              <w:widowControl w:val="0"/>
              <w:kinsoku/>
              <w:wordWrap/>
              <w:overflowPunct/>
              <w:topLinePunct w:val="0"/>
              <w:autoSpaceDE/>
              <w:autoSpaceDN/>
              <w:bidi w:val="0"/>
              <w:adjustRightInd/>
              <w:snapToGrid/>
              <w:spacing w:line="500" w:lineRule="exact"/>
              <w:ind w:firstLine="420"/>
              <w:jc w:val="center"/>
              <w:textAlignment w:val="auto"/>
              <w:rPr>
                <w:rFonts w:hint="eastAsia" w:ascii="Times New Roman" w:hAnsi="Times New Roman" w:eastAsia="宋体" w:cs="Times New Roman"/>
                <w:b/>
                <w:bCs/>
                <w:i w:val="0"/>
                <w:iCs w:val="0"/>
                <w:color w:val="auto"/>
                <w:sz w:val="24"/>
                <w:szCs w:val="24"/>
                <w:highlight w:val="none"/>
                <w:u w:val="none"/>
                <w:lang w:eastAsia="zh-CN"/>
              </w:rPr>
            </w:pPr>
          </w:p>
          <w:p w14:paraId="42832FDC">
            <w:pPr>
              <w:keepNext w:val="0"/>
              <w:keepLines w:val="0"/>
              <w:pageBreakBefore w:val="0"/>
              <w:widowControl w:val="0"/>
              <w:kinsoku/>
              <w:wordWrap/>
              <w:overflowPunct/>
              <w:topLinePunct w:val="0"/>
              <w:autoSpaceDE/>
              <w:autoSpaceDN/>
              <w:bidi w:val="0"/>
              <w:adjustRightInd/>
              <w:snapToGrid/>
              <w:spacing w:line="500" w:lineRule="exact"/>
              <w:ind w:firstLine="420"/>
              <w:jc w:val="center"/>
              <w:textAlignment w:val="auto"/>
              <w:rPr>
                <w:rFonts w:hint="eastAsia" w:ascii="Times New Roman" w:hAnsi="Times New Roman" w:eastAsia="宋体" w:cs="Times New Roman"/>
                <w:b/>
                <w:bCs/>
                <w:i w:val="0"/>
                <w:iCs w:val="0"/>
                <w:color w:val="auto"/>
                <w:sz w:val="24"/>
                <w:szCs w:val="24"/>
                <w:highlight w:val="none"/>
                <w:u w:val="none"/>
                <w:lang w:eastAsia="zh-CN"/>
              </w:rPr>
            </w:pPr>
          </w:p>
          <w:p w14:paraId="5AA05D6E">
            <w:pPr>
              <w:keepNext w:val="0"/>
              <w:keepLines w:val="0"/>
              <w:pageBreakBefore w:val="0"/>
              <w:widowControl w:val="0"/>
              <w:kinsoku/>
              <w:wordWrap/>
              <w:overflowPunct/>
              <w:topLinePunct w:val="0"/>
              <w:autoSpaceDE/>
              <w:autoSpaceDN/>
              <w:bidi w:val="0"/>
              <w:adjustRightInd/>
              <w:snapToGrid/>
              <w:spacing w:line="500" w:lineRule="exact"/>
              <w:ind w:firstLine="420"/>
              <w:jc w:val="center"/>
              <w:textAlignment w:val="auto"/>
              <w:rPr>
                <w:rFonts w:hint="eastAsia" w:ascii="Times New Roman" w:hAnsi="Times New Roman" w:eastAsia="宋体" w:cs="Times New Roman"/>
                <w:b/>
                <w:bCs/>
                <w:i w:val="0"/>
                <w:iCs w:val="0"/>
                <w:color w:val="auto"/>
                <w:sz w:val="24"/>
                <w:szCs w:val="24"/>
                <w:highlight w:val="none"/>
                <w:u w:val="none"/>
                <w:lang w:eastAsia="zh-CN"/>
              </w:rPr>
            </w:pPr>
          </w:p>
          <w:p w14:paraId="7FD021F4">
            <w:pPr>
              <w:keepNext w:val="0"/>
              <w:keepLines w:val="0"/>
              <w:pageBreakBefore w:val="0"/>
              <w:widowControl w:val="0"/>
              <w:kinsoku/>
              <w:wordWrap/>
              <w:overflowPunct/>
              <w:topLinePunct w:val="0"/>
              <w:autoSpaceDE/>
              <w:autoSpaceDN/>
              <w:bidi w:val="0"/>
              <w:adjustRightInd/>
              <w:snapToGrid/>
              <w:spacing w:line="500" w:lineRule="exact"/>
              <w:ind w:firstLine="420"/>
              <w:jc w:val="center"/>
              <w:textAlignment w:val="auto"/>
              <w:rPr>
                <w:rFonts w:hint="eastAsia" w:ascii="Times New Roman" w:hAnsi="Times New Roman" w:eastAsia="宋体" w:cs="Times New Roman"/>
                <w:b/>
                <w:bCs/>
                <w:i w:val="0"/>
                <w:iCs w:val="0"/>
                <w:color w:val="auto"/>
                <w:sz w:val="24"/>
                <w:szCs w:val="24"/>
                <w:highlight w:val="none"/>
                <w:u w:val="none"/>
                <w:lang w:eastAsia="zh-CN"/>
              </w:rPr>
            </w:pPr>
          </w:p>
          <w:p w14:paraId="14EC7F36">
            <w:pPr>
              <w:keepNext w:val="0"/>
              <w:keepLines w:val="0"/>
              <w:pageBreakBefore w:val="0"/>
              <w:widowControl w:val="0"/>
              <w:kinsoku/>
              <w:wordWrap/>
              <w:overflowPunct/>
              <w:topLinePunct w:val="0"/>
              <w:autoSpaceDE/>
              <w:autoSpaceDN/>
              <w:bidi w:val="0"/>
              <w:adjustRightInd/>
              <w:snapToGrid/>
              <w:spacing w:line="500" w:lineRule="exact"/>
              <w:ind w:firstLine="420"/>
              <w:jc w:val="center"/>
              <w:textAlignment w:val="auto"/>
              <w:rPr>
                <w:rFonts w:hint="default" w:ascii="Times New Roman" w:hAnsi="Times New Roman" w:eastAsia="宋体" w:cs="Times New Roman"/>
                <w:b/>
                <w:bCs/>
                <w:i w:val="0"/>
                <w:iCs w:val="0"/>
                <w:color w:val="auto"/>
                <w:sz w:val="24"/>
                <w:szCs w:val="24"/>
                <w:highlight w:val="none"/>
                <w:u w:val="none"/>
                <w:lang w:val="en-US" w:eastAsia="zh-CN"/>
              </w:rPr>
            </w:pPr>
            <w:r>
              <w:rPr>
                <w:rFonts w:hint="eastAsia" w:ascii="Times New Roman" w:hAnsi="Times New Roman" w:eastAsia="宋体" w:cs="Times New Roman"/>
                <w:b/>
                <w:bCs/>
                <w:i w:val="0"/>
                <w:iCs w:val="0"/>
                <w:color w:val="auto"/>
                <w:sz w:val="24"/>
                <w:szCs w:val="24"/>
                <w:highlight w:val="none"/>
                <w:u w:val="none"/>
                <w:lang w:eastAsia="zh-CN"/>
              </w:rPr>
              <w:t>表</w:t>
            </w:r>
            <w:r>
              <w:rPr>
                <w:rFonts w:hint="eastAsia" w:ascii="Times New Roman" w:hAnsi="Times New Roman" w:eastAsia="宋体" w:cs="Times New Roman"/>
                <w:b/>
                <w:bCs/>
                <w:i w:val="0"/>
                <w:iCs w:val="0"/>
                <w:color w:val="auto"/>
                <w:sz w:val="24"/>
                <w:szCs w:val="24"/>
                <w:highlight w:val="none"/>
                <w:u w:val="none"/>
                <w:lang w:val="en-US" w:eastAsia="zh-CN"/>
              </w:rPr>
              <w:t>2</w:t>
            </w:r>
            <w:r>
              <w:rPr>
                <w:rFonts w:hint="eastAsia" w:ascii="Times New Roman" w:hAnsi="Times New Roman" w:cs="Times New Roman"/>
                <w:b/>
                <w:bCs/>
                <w:i w:val="0"/>
                <w:iCs w:val="0"/>
                <w:color w:val="auto"/>
                <w:sz w:val="24"/>
                <w:szCs w:val="24"/>
                <w:highlight w:val="none"/>
                <w:u w:val="none"/>
                <w:lang w:val="en-US" w:eastAsia="zh-CN"/>
              </w:rPr>
              <w:t>-</w:t>
            </w:r>
            <w:r>
              <w:rPr>
                <w:rFonts w:hint="eastAsia" w:cs="Times New Roman"/>
                <w:b/>
                <w:bCs/>
                <w:i w:val="0"/>
                <w:iCs w:val="0"/>
                <w:color w:val="auto"/>
                <w:sz w:val="24"/>
                <w:szCs w:val="24"/>
                <w:highlight w:val="none"/>
                <w:u w:val="none"/>
                <w:lang w:val="en-US" w:eastAsia="zh-CN"/>
              </w:rPr>
              <w:t>8</w:t>
            </w:r>
            <w:r>
              <w:rPr>
                <w:rFonts w:hint="eastAsia" w:ascii="Times New Roman" w:hAnsi="Times New Roman" w:cs="Times New Roman"/>
                <w:b/>
                <w:bCs/>
                <w:i w:val="0"/>
                <w:iCs w:val="0"/>
                <w:color w:val="auto"/>
                <w:sz w:val="24"/>
                <w:szCs w:val="24"/>
                <w:highlight w:val="none"/>
                <w:u w:val="none"/>
                <w:lang w:val="en-US" w:eastAsia="zh-CN"/>
              </w:rPr>
              <w:t xml:space="preserve">    </w:t>
            </w:r>
            <w:r>
              <w:rPr>
                <w:rFonts w:hint="eastAsia" w:ascii="Times New Roman" w:hAnsi="Times New Roman" w:eastAsia="宋体" w:cs="Times New Roman"/>
                <w:b/>
                <w:bCs/>
                <w:i w:val="0"/>
                <w:iCs w:val="0"/>
                <w:color w:val="auto"/>
                <w:sz w:val="24"/>
                <w:szCs w:val="24"/>
                <w:highlight w:val="none"/>
                <w:u w:val="none"/>
                <w:lang w:val="en-US" w:eastAsia="zh-CN"/>
              </w:rPr>
              <w:t>项目产品</w:t>
            </w:r>
            <w:r>
              <w:rPr>
                <w:rFonts w:hint="eastAsia" w:cs="Times New Roman"/>
                <w:b/>
                <w:bCs/>
                <w:i w:val="0"/>
                <w:iCs w:val="0"/>
                <w:color w:val="auto"/>
                <w:sz w:val="24"/>
                <w:szCs w:val="24"/>
                <w:highlight w:val="none"/>
                <w:u w:val="none"/>
                <w:lang w:val="en-US" w:eastAsia="zh-CN"/>
              </w:rPr>
              <w:t>涂料使用</w:t>
            </w:r>
            <w:r>
              <w:rPr>
                <w:rFonts w:hint="eastAsia" w:ascii="Times New Roman" w:hAnsi="Times New Roman" w:eastAsia="宋体" w:cs="Times New Roman"/>
                <w:b/>
                <w:bCs/>
                <w:i w:val="0"/>
                <w:iCs w:val="0"/>
                <w:color w:val="auto"/>
                <w:sz w:val="24"/>
                <w:szCs w:val="24"/>
                <w:highlight w:val="none"/>
                <w:u w:val="none"/>
                <w:lang w:val="en-US" w:eastAsia="zh-CN"/>
              </w:rPr>
              <w:t>情况一览表</w:t>
            </w:r>
          </w:p>
          <w:tbl>
            <w:tblPr>
              <w:tblStyle w:val="39"/>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41"/>
              <w:gridCol w:w="439"/>
              <w:gridCol w:w="695"/>
              <w:gridCol w:w="452"/>
              <w:gridCol w:w="695"/>
              <w:gridCol w:w="695"/>
              <w:gridCol w:w="452"/>
              <w:gridCol w:w="695"/>
              <w:gridCol w:w="695"/>
              <w:gridCol w:w="452"/>
              <w:gridCol w:w="695"/>
              <w:gridCol w:w="695"/>
              <w:gridCol w:w="452"/>
              <w:gridCol w:w="766"/>
            </w:tblGrid>
            <w:tr w14:paraId="2F883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148" w:type="pct"/>
                  <w:vMerge w:val="restart"/>
                  <w:tcBorders>
                    <w:tl2br w:val="nil"/>
                    <w:tr2bl w:val="nil"/>
                  </w:tcBorders>
                  <w:noWrap w:val="0"/>
                  <w:tcMar>
                    <w:top w:w="15" w:type="dxa"/>
                    <w:left w:w="15" w:type="dxa"/>
                    <w:right w:w="15" w:type="dxa"/>
                  </w:tcMar>
                  <w:vAlign w:val="center"/>
                </w:tcPr>
                <w:p w14:paraId="042F2CF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Times New Roman"/>
                      <w:b/>
                      <w:bCs w:val="0"/>
                      <w:i w:val="0"/>
                      <w:iCs w:val="0"/>
                      <w:color w:val="auto"/>
                      <w:sz w:val="21"/>
                      <w:szCs w:val="21"/>
                      <w:highlight w:val="none"/>
                      <w:u w:val="none"/>
                    </w:rPr>
                  </w:pPr>
                  <w:r>
                    <w:rPr>
                      <w:rFonts w:ascii="Times New Roman" w:hAnsi="Times New Roman" w:eastAsia="宋体" w:cs="Times New Roman"/>
                      <w:b/>
                      <w:bCs w:val="0"/>
                      <w:i w:val="0"/>
                      <w:iCs w:val="0"/>
                      <w:color w:val="auto"/>
                      <w:kern w:val="0"/>
                      <w:sz w:val="21"/>
                      <w:szCs w:val="21"/>
                      <w:highlight w:val="none"/>
                      <w:u w:val="none"/>
                      <w:lang w:bidi="ar"/>
                    </w:rPr>
                    <w:t>序号</w:t>
                  </w:r>
                </w:p>
              </w:tc>
              <w:tc>
                <w:tcPr>
                  <w:tcW w:w="311" w:type="pct"/>
                  <w:vMerge w:val="restart"/>
                  <w:tcBorders>
                    <w:tl2br w:val="nil"/>
                    <w:tr2bl w:val="nil"/>
                  </w:tcBorders>
                  <w:noWrap w:val="0"/>
                  <w:tcMar>
                    <w:top w:w="15" w:type="dxa"/>
                    <w:left w:w="15" w:type="dxa"/>
                    <w:right w:w="15" w:type="dxa"/>
                  </w:tcMar>
                  <w:vAlign w:val="center"/>
                </w:tcPr>
                <w:p w14:paraId="091B376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Times New Roman"/>
                      <w:b/>
                      <w:bCs w:val="0"/>
                      <w:i w:val="0"/>
                      <w:iCs w:val="0"/>
                      <w:color w:val="auto"/>
                      <w:sz w:val="21"/>
                      <w:szCs w:val="21"/>
                      <w:highlight w:val="none"/>
                      <w:u w:val="none"/>
                    </w:rPr>
                  </w:pPr>
                  <w:r>
                    <w:rPr>
                      <w:rFonts w:ascii="Times New Roman" w:hAnsi="Times New Roman" w:eastAsia="宋体" w:cs="Times New Roman"/>
                      <w:b/>
                      <w:bCs w:val="0"/>
                      <w:i w:val="0"/>
                      <w:iCs w:val="0"/>
                      <w:color w:val="auto"/>
                      <w:kern w:val="0"/>
                      <w:sz w:val="21"/>
                      <w:szCs w:val="21"/>
                      <w:highlight w:val="none"/>
                      <w:u w:val="none"/>
                      <w:lang w:bidi="ar"/>
                    </w:rPr>
                    <w:t>产品名称</w:t>
                  </w:r>
                </w:p>
              </w:tc>
              <w:tc>
                <w:tcPr>
                  <w:tcW w:w="1134" w:type="pct"/>
                  <w:gridSpan w:val="3"/>
                  <w:tcBorders>
                    <w:tl2br w:val="nil"/>
                    <w:tr2bl w:val="nil"/>
                  </w:tcBorders>
                  <w:noWrap w:val="0"/>
                  <w:tcMar>
                    <w:top w:w="15" w:type="dxa"/>
                    <w:left w:w="15" w:type="dxa"/>
                    <w:right w:w="15" w:type="dxa"/>
                  </w:tcMar>
                  <w:vAlign w:val="center"/>
                </w:tcPr>
                <w:p w14:paraId="3919E87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val="0"/>
                      <w:i w:val="0"/>
                      <w:iCs w:val="0"/>
                      <w:color w:val="auto"/>
                      <w:kern w:val="0"/>
                      <w:sz w:val="21"/>
                      <w:szCs w:val="21"/>
                      <w:highlight w:val="none"/>
                      <w:u w:val="none"/>
                      <w:lang w:val="en-US" w:eastAsia="zh-CN" w:bidi="ar"/>
                    </w:rPr>
                  </w:pPr>
                  <w:r>
                    <w:rPr>
                      <w:rFonts w:hint="eastAsia" w:ascii="Times New Roman" w:hAnsi="Times New Roman" w:cs="Times New Roman"/>
                      <w:b/>
                      <w:bCs w:val="0"/>
                      <w:i w:val="0"/>
                      <w:iCs w:val="0"/>
                      <w:color w:val="auto"/>
                      <w:kern w:val="0"/>
                      <w:sz w:val="21"/>
                      <w:szCs w:val="21"/>
                      <w:highlight w:val="none"/>
                      <w:u w:val="none"/>
                      <w:lang w:val="en-US" w:eastAsia="zh-CN" w:bidi="ar"/>
                    </w:rPr>
                    <w:t>白色粉料</w:t>
                  </w:r>
                </w:p>
              </w:tc>
              <w:tc>
                <w:tcPr>
                  <w:tcW w:w="1134" w:type="pct"/>
                  <w:gridSpan w:val="3"/>
                  <w:tcBorders>
                    <w:tl2br w:val="nil"/>
                    <w:tr2bl w:val="nil"/>
                  </w:tcBorders>
                  <w:noWrap w:val="0"/>
                  <w:tcMar>
                    <w:top w:w="15" w:type="dxa"/>
                    <w:left w:w="15" w:type="dxa"/>
                    <w:right w:w="15" w:type="dxa"/>
                  </w:tcMar>
                  <w:vAlign w:val="center"/>
                </w:tcPr>
                <w:p w14:paraId="3CF1CB7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val="0"/>
                      <w:i w:val="0"/>
                      <w:iCs w:val="0"/>
                      <w:color w:val="auto"/>
                      <w:kern w:val="0"/>
                      <w:sz w:val="21"/>
                      <w:szCs w:val="21"/>
                      <w:highlight w:val="none"/>
                      <w:u w:val="none"/>
                      <w:lang w:eastAsia="zh-CN" w:bidi="ar"/>
                    </w:rPr>
                  </w:pPr>
                  <w:r>
                    <w:rPr>
                      <w:rFonts w:hint="eastAsia" w:ascii="Times New Roman" w:hAnsi="Times New Roman" w:cs="Times New Roman"/>
                      <w:b/>
                      <w:bCs w:val="0"/>
                      <w:i w:val="0"/>
                      <w:iCs w:val="0"/>
                      <w:color w:val="auto"/>
                      <w:kern w:val="0"/>
                      <w:sz w:val="21"/>
                      <w:szCs w:val="21"/>
                      <w:highlight w:val="none"/>
                      <w:u w:val="none"/>
                      <w:lang w:val="en-US" w:eastAsia="zh-CN" w:bidi="ar"/>
                    </w:rPr>
                    <w:t>绿色粉料</w:t>
                  </w:r>
                </w:p>
              </w:tc>
              <w:tc>
                <w:tcPr>
                  <w:tcW w:w="1134" w:type="pct"/>
                  <w:gridSpan w:val="3"/>
                  <w:tcBorders>
                    <w:tl2br w:val="nil"/>
                    <w:tr2bl w:val="nil"/>
                  </w:tcBorders>
                  <w:noWrap w:val="0"/>
                  <w:tcMar>
                    <w:top w:w="15" w:type="dxa"/>
                    <w:left w:w="15" w:type="dxa"/>
                    <w:right w:w="15" w:type="dxa"/>
                  </w:tcMar>
                  <w:vAlign w:val="center"/>
                </w:tcPr>
                <w:p w14:paraId="127AC0D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val="0"/>
                      <w:i w:val="0"/>
                      <w:iCs w:val="0"/>
                      <w:color w:val="auto"/>
                      <w:kern w:val="0"/>
                      <w:sz w:val="21"/>
                      <w:szCs w:val="21"/>
                      <w:highlight w:val="none"/>
                      <w:u w:val="none"/>
                      <w:lang w:eastAsia="zh-CN" w:bidi="ar"/>
                    </w:rPr>
                  </w:pPr>
                  <w:r>
                    <w:rPr>
                      <w:rFonts w:hint="eastAsia" w:ascii="Times New Roman" w:hAnsi="Times New Roman" w:cs="Times New Roman"/>
                      <w:b/>
                      <w:bCs w:val="0"/>
                      <w:i w:val="0"/>
                      <w:iCs w:val="0"/>
                      <w:color w:val="auto"/>
                      <w:kern w:val="0"/>
                      <w:sz w:val="21"/>
                      <w:szCs w:val="21"/>
                      <w:highlight w:val="none"/>
                      <w:u w:val="none"/>
                      <w:lang w:val="en-US" w:eastAsia="zh-CN" w:bidi="ar"/>
                    </w:rPr>
                    <w:t>粉色粉料</w:t>
                  </w:r>
                </w:p>
              </w:tc>
              <w:tc>
                <w:tcPr>
                  <w:tcW w:w="1136" w:type="pct"/>
                  <w:gridSpan w:val="3"/>
                  <w:tcBorders>
                    <w:tl2br w:val="nil"/>
                    <w:tr2bl w:val="nil"/>
                  </w:tcBorders>
                  <w:noWrap w:val="0"/>
                  <w:tcMar>
                    <w:top w:w="15" w:type="dxa"/>
                    <w:left w:w="15" w:type="dxa"/>
                    <w:right w:w="15" w:type="dxa"/>
                  </w:tcMar>
                  <w:vAlign w:val="center"/>
                </w:tcPr>
                <w:p w14:paraId="4904BD3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b/>
                      <w:bCs w:val="0"/>
                      <w:i w:val="0"/>
                      <w:iCs w:val="0"/>
                      <w:color w:val="auto"/>
                      <w:kern w:val="0"/>
                      <w:sz w:val="21"/>
                      <w:szCs w:val="21"/>
                      <w:highlight w:val="none"/>
                      <w:u w:val="none"/>
                      <w:lang w:val="en-US" w:eastAsia="zh-CN" w:bidi="ar"/>
                    </w:rPr>
                  </w:pPr>
                  <w:r>
                    <w:rPr>
                      <w:rFonts w:hint="eastAsia" w:ascii="Times New Roman" w:hAnsi="Times New Roman" w:cs="Times New Roman"/>
                      <w:b/>
                      <w:bCs w:val="0"/>
                      <w:i w:val="0"/>
                      <w:iCs w:val="0"/>
                      <w:color w:val="auto"/>
                      <w:kern w:val="0"/>
                      <w:sz w:val="21"/>
                      <w:szCs w:val="21"/>
                      <w:highlight w:val="none"/>
                      <w:u w:val="none"/>
                      <w:lang w:val="en-US" w:eastAsia="zh-CN" w:bidi="ar"/>
                    </w:rPr>
                    <w:t>电泳</w:t>
                  </w:r>
                  <w:r>
                    <w:rPr>
                      <w:rFonts w:hint="eastAsia" w:cs="Times New Roman"/>
                      <w:b/>
                      <w:bCs w:val="0"/>
                      <w:i w:val="0"/>
                      <w:iCs w:val="0"/>
                      <w:color w:val="auto"/>
                      <w:kern w:val="0"/>
                      <w:sz w:val="21"/>
                      <w:szCs w:val="21"/>
                      <w:highlight w:val="none"/>
                      <w:u w:val="none"/>
                      <w:lang w:val="en-US" w:eastAsia="zh-CN" w:bidi="ar"/>
                    </w:rPr>
                    <w:t>涂料</w:t>
                  </w:r>
                </w:p>
              </w:tc>
            </w:tr>
            <w:tr w14:paraId="5927D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148" w:type="pct"/>
                  <w:vMerge w:val="continue"/>
                  <w:tcBorders>
                    <w:tl2br w:val="nil"/>
                    <w:tr2bl w:val="nil"/>
                  </w:tcBorders>
                  <w:noWrap w:val="0"/>
                  <w:tcMar>
                    <w:top w:w="15" w:type="dxa"/>
                    <w:left w:w="15" w:type="dxa"/>
                    <w:right w:w="15" w:type="dxa"/>
                  </w:tcMar>
                  <w:vAlign w:val="center"/>
                </w:tcPr>
                <w:p w14:paraId="69684EA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b/>
                      <w:bCs w:val="0"/>
                      <w:color w:val="auto"/>
                      <w:sz w:val="21"/>
                      <w:szCs w:val="21"/>
                      <w:highlight w:val="none"/>
                    </w:rPr>
                  </w:pPr>
                </w:p>
              </w:tc>
              <w:tc>
                <w:tcPr>
                  <w:tcW w:w="311" w:type="pct"/>
                  <w:vMerge w:val="continue"/>
                  <w:tcBorders>
                    <w:tl2br w:val="nil"/>
                    <w:tr2bl w:val="nil"/>
                  </w:tcBorders>
                  <w:noWrap w:val="0"/>
                  <w:tcMar>
                    <w:top w:w="15" w:type="dxa"/>
                    <w:left w:w="15" w:type="dxa"/>
                    <w:right w:w="15" w:type="dxa"/>
                  </w:tcMar>
                  <w:vAlign w:val="center"/>
                </w:tcPr>
                <w:p w14:paraId="1D4C810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b/>
                      <w:bCs w:val="0"/>
                      <w:color w:val="auto"/>
                      <w:sz w:val="21"/>
                      <w:szCs w:val="21"/>
                      <w:highlight w:val="none"/>
                    </w:rPr>
                  </w:pPr>
                </w:p>
              </w:tc>
              <w:tc>
                <w:tcPr>
                  <w:tcW w:w="428" w:type="pct"/>
                  <w:tcBorders>
                    <w:tl2br w:val="nil"/>
                    <w:tr2bl w:val="nil"/>
                  </w:tcBorders>
                  <w:noWrap w:val="0"/>
                  <w:tcMar>
                    <w:top w:w="15" w:type="dxa"/>
                    <w:left w:w="15" w:type="dxa"/>
                    <w:right w:w="15" w:type="dxa"/>
                  </w:tcMar>
                  <w:vAlign w:val="center"/>
                </w:tcPr>
                <w:p w14:paraId="2F3F91C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val="0"/>
                      <w:i w:val="0"/>
                      <w:iCs w:val="0"/>
                      <w:color w:val="auto"/>
                      <w:kern w:val="0"/>
                      <w:sz w:val="21"/>
                      <w:szCs w:val="21"/>
                      <w:highlight w:val="none"/>
                      <w:u w:val="none"/>
                      <w:lang w:eastAsia="zh-CN" w:bidi="ar"/>
                    </w:rPr>
                  </w:pPr>
                  <w:r>
                    <w:rPr>
                      <w:rFonts w:hint="eastAsia" w:ascii="Times New Roman" w:hAnsi="Times New Roman" w:eastAsia="宋体" w:cs="Times New Roman"/>
                      <w:b/>
                      <w:bCs w:val="0"/>
                      <w:i w:val="0"/>
                      <w:iCs w:val="0"/>
                      <w:color w:val="auto"/>
                      <w:kern w:val="0"/>
                      <w:sz w:val="21"/>
                      <w:szCs w:val="21"/>
                      <w:highlight w:val="none"/>
                      <w:u w:val="none"/>
                      <w:lang w:eastAsia="zh-CN" w:bidi="ar"/>
                    </w:rPr>
                    <w:t>单个产品</w:t>
                  </w:r>
                  <w:r>
                    <w:rPr>
                      <w:rFonts w:ascii="Times New Roman" w:hAnsi="Times New Roman" w:eastAsia="宋体" w:cs="Times New Roman"/>
                      <w:b/>
                      <w:bCs w:val="0"/>
                      <w:i w:val="0"/>
                      <w:iCs w:val="0"/>
                      <w:color w:val="auto"/>
                      <w:kern w:val="0"/>
                      <w:sz w:val="21"/>
                      <w:szCs w:val="21"/>
                      <w:highlight w:val="none"/>
                      <w:u w:val="none"/>
                      <w:lang w:bidi="ar"/>
                    </w:rPr>
                    <w:t>喷涂面积</w:t>
                  </w:r>
                  <w:r>
                    <w:rPr>
                      <w:rFonts w:hint="eastAsia" w:ascii="Times New Roman" w:hAnsi="Times New Roman" w:eastAsia="宋体" w:cs="Times New Roman"/>
                      <w:b/>
                      <w:bCs w:val="0"/>
                      <w:i w:val="0"/>
                      <w:iCs w:val="0"/>
                      <w:color w:val="auto"/>
                      <w:kern w:val="0"/>
                      <w:sz w:val="21"/>
                      <w:szCs w:val="21"/>
                      <w:highlight w:val="none"/>
                      <w:u w:val="none"/>
                      <w:lang w:eastAsia="zh-CN" w:bidi="ar"/>
                    </w:rPr>
                    <w:t>（</w:t>
                  </w:r>
                  <w:r>
                    <w:rPr>
                      <w:rFonts w:hint="eastAsia" w:ascii="Times New Roman" w:hAnsi="Times New Roman" w:eastAsia="宋体" w:cs="Times New Roman"/>
                      <w:b/>
                      <w:bCs w:val="0"/>
                      <w:i w:val="0"/>
                      <w:iCs w:val="0"/>
                      <w:color w:val="auto"/>
                      <w:kern w:val="0"/>
                      <w:sz w:val="21"/>
                      <w:szCs w:val="21"/>
                      <w:highlight w:val="none"/>
                      <w:u w:val="none"/>
                      <w:lang w:val="en-US" w:eastAsia="zh-CN" w:bidi="ar"/>
                    </w:rPr>
                    <w:t>m</w:t>
                  </w:r>
                  <w:r>
                    <w:rPr>
                      <w:rFonts w:hint="eastAsia" w:ascii="Times New Roman" w:hAnsi="Times New Roman" w:eastAsia="宋体" w:cs="Times New Roman"/>
                      <w:b/>
                      <w:bCs w:val="0"/>
                      <w:i w:val="0"/>
                      <w:iCs w:val="0"/>
                      <w:color w:val="auto"/>
                      <w:kern w:val="0"/>
                      <w:sz w:val="21"/>
                      <w:szCs w:val="21"/>
                      <w:highlight w:val="none"/>
                      <w:u w:val="none"/>
                      <w:vertAlign w:val="superscript"/>
                      <w:lang w:val="en-US" w:eastAsia="zh-CN" w:bidi="ar"/>
                    </w:rPr>
                    <w:t>2</w:t>
                  </w:r>
                  <w:r>
                    <w:rPr>
                      <w:rFonts w:hint="eastAsia" w:ascii="Times New Roman" w:hAnsi="Times New Roman" w:eastAsia="宋体" w:cs="Times New Roman"/>
                      <w:b/>
                      <w:bCs w:val="0"/>
                      <w:i w:val="0"/>
                      <w:iCs w:val="0"/>
                      <w:color w:val="auto"/>
                      <w:kern w:val="0"/>
                      <w:sz w:val="21"/>
                      <w:szCs w:val="21"/>
                      <w:highlight w:val="none"/>
                      <w:u w:val="none"/>
                      <w:lang w:eastAsia="zh-CN" w:bidi="ar"/>
                    </w:rPr>
                    <w:t>）</w:t>
                  </w:r>
                </w:p>
              </w:tc>
              <w:tc>
                <w:tcPr>
                  <w:tcW w:w="278" w:type="pct"/>
                  <w:tcBorders>
                    <w:tl2br w:val="nil"/>
                    <w:tr2bl w:val="nil"/>
                  </w:tcBorders>
                  <w:noWrap w:val="0"/>
                  <w:tcMar>
                    <w:top w:w="15" w:type="dxa"/>
                    <w:left w:w="15" w:type="dxa"/>
                    <w:right w:w="15" w:type="dxa"/>
                  </w:tcMar>
                  <w:vAlign w:val="center"/>
                </w:tcPr>
                <w:p w14:paraId="4858976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val="0"/>
                      <w:i w:val="0"/>
                      <w:iCs w:val="0"/>
                      <w:color w:val="auto"/>
                      <w:kern w:val="0"/>
                      <w:sz w:val="21"/>
                      <w:szCs w:val="21"/>
                      <w:highlight w:val="none"/>
                      <w:u w:val="none"/>
                      <w:lang w:eastAsia="zh-CN" w:bidi="ar"/>
                    </w:rPr>
                  </w:pPr>
                  <w:r>
                    <w:rPr>
                      <w:rFonts w:hint="eastAsia" w:ascii="Times New Roman" w:hAnsi="Times New Roman" w:eastAsia="宋体" w:cs="Times New Roman"/>
                      <w:b/>
                      <w:bCs w:val="0"/>
                      <w:i w:val="0"/>
                      <w:iCs w:val="0"/>
                      <w:color w:val="auto"/>
                      <w:kern w:val="0"/>
                      <w:sz w:val="21"/>
                      <w:szCs w:val="21"/>
                      <w:highlight w:val="none"/>
                      <w:u w:val="none"/>
                      <w:lang w:bidi="ar"/>
                    </w:rPr>
                    <w:t>喷涂工件数量</w:t>
                  </w:r>
                  <w:r>
                    <w:rPr>
                      <w:rFonts w:hint="eastAsia" w:ascii="Times New Roman" w:hAnsi="Times New Roman" w:eastAsia="宋体" w:cs="Times New Roman"/>
                      <w:b/>
                      <w:bCs w:val="0"/>
                      <w:i w:val="0"/>
                      <w:iCs w:val="0"/>
                      <w:color w:val="auto"/>
                      <w:kern w:val="0"/>
                      <w:sz w:val="21"/>
                      <w:szCs w:val="21"/>
                      <w:highlight w:val="none"/>
                      <w:u w:val="none"/>
                      <w:lang w:eastAsia="zh-CN" w:bidi="ar"/>
                    </w:rPr>
                    <w:t>（</w:t>
                  </w:r>
                  <w:r>
                    <w:rPr>
                      <w:rFonts w:hint="eastAsia" w:ascii="Times New Roman" w:hAnsi="Times New Roman" w:cs="Times New Roman"/>
                      <w:b/>
                      <w:bCs w:val="0"/>
                      <w:i w:val="0"/>
                      <w:iCs w:val="0"/>
                      <w:color w:val="auto"/>
                      <w:kern w:val="0"/>
                      <w:sz w:val="21"/>
                      <w:szCs w:val="21"/>
                      <w:highlight w:val="none"/>
                      <w:u w:val="none"/>
                      <w:lang w:val="en-US" w:eastAsia="zh-CN" w:bidi="ar"/>
                    </w:rPr>
                    <w:t>万</w:t>
                  </w:r>
                  <w:r>
                    <w:rPr>
                      <w:rFonts w:hint="eastAsia" w:ascii="Times New Roman" w:hAnsi="Times New Roman" w:eastAsia="宋体" w:cs="Times New Roman"/>
                      <w:b/>
                      <w:bCs w:val="0"/>
                      <w:i w:val="0"/>
                      <w:iCs w:val="0"/>
                      <w:color w:val="auto"/>
                      <w:kern w:val="0"/>
                      <w:sz w:val="21"/>
                      <w:szCs w:val="21"/>
                      <w:highlight w:val="none"/>
                      <w:u w:val="none"/>
                      <w:lang w:eastAsia="zh-CN" w:bidi="ar"/>
                    </w:rPr>
                    <w:t>件）</w:t>
                  </w:r>
                </w:p>
              </w:tc>
              <w:tc>
                <w:tcPr>
                  <w:tcW w:w="428" w:type="pct"/>
                  <w:tcBorders>
                    <w:tl2br w:val="nil"/>
                    <w:tr2bl w:val="nil"/>
                  </w:tcBorders>
                  <w:noWrap w:val="0"/>
                  <w:tcMar>
                    <w:top w:w="15" w:type="dxa"/>
                    <w:left w:w="15" w:type="dxa"/>
                    <w:right w:w="15" w:type="dxa"/>
                  </w:tcMar>
                  <w:vAlign w:val="center"/>
                </w:tcPr>
                <w:p w14:paraId="5E2F692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val="0"/>
                      <w:i w:val="0"/>
                      <w:iCs w:val="0"/>
                      <w:color w:val="auto"/>
                      <w:kern w:val="0"/>
                      <w:sz w:val="21"/>
                      <w:szCs w:val="21"/>
                      <w:highlight w:val="none"/>
                      <w:u w:val="none"/>
                      <w:lang w:eastAsia="zh-CN" w:bidi="ar"/>
                    </w:rPr>
                  </w:pPr>
                  <w:r>
                    <w:rPr>
                      <w:rFonts w:hint="eastAsia" w:ascii="Times New Roman" w:hAnsi="Times New Roman" w:eastAsia="宋体" w:cs="Times New Roman"/>
                      <w:b/>
                      <w:bCs w:val="0"/>
                      <w:i w:val="0"/>
                      <w:iCs w:val="0"/>
                      <w:color w:val="auto"/>
                      <w:kern w:val="0"/>
                      <w:sz w:val="21"/>
                      <w:szCs w:val="21"/>
                      <w:highlight w:val="none"/>
                      <w:u w:val="none"/>
                      <w:lang w:eastAsia="zh-CN" w:bidi="ar"/>
                    </w:rPr>
                    <w:t>总喷涂面积（</w:t>
                  </w:r>
                  <w:r>
                    <w:rPr>
                      <w:rFonts w:hint="eastAsia" w:ascii="Times New Roman" w:hAnsi="Times New Roman" w:eastAsia="宋体" w:cs="Times New Roman"/>
                      <w:b/>
                      <w:bCs w:val="0"/>
                      <w:i w:val="0"/>
                      <w:iCs w:val="0"/>
                      <w:color w:val="auto"/>
                      <w:kern w:val="0"/>
                      <w:sz w:val="21"/>
                      <w:szCs w:val="21"/>
                      <w:highlight w:val="none"/>
                      <w:u w:val="none"/>
                      <w:lang w:val="en-US" w:eastAsia="zh-CN" w:bidi="ar"/>
                    </w:rPr>
                    <w:t>m</w:t>
                  </w:r>
                  <w:r>
                    <w:rPr>
                      <w:rFonts w:hint="eastAsia" w:ascii="Times New Roman" w:hAnsi="Times New Roman" w:eastAsia="宋体" w:cs="Times New Roman"/>
                      <w:b/>
                      <w:bCs w:val="0"/>
                      <w:i w:val="0"/>
                      <w:iCs w:val="0"/>
                      <w:color w:val="auto"/>
                      <w:kern w:val="0"/>
                      <w:sz w:val="21"/>
                      <w:szCs w:val="21"/>
                      <w:highlight w:val="none"/>
                      <w:u w:val="none"/>
                      <w:vertAlign w:val="superscript"/>
                      <w:lang w:val="en-US" w:eastAsia="zh-CN" w:bidi="ar"/>
                    </w:rPr>
                    <w:t>2</w:t>
                  </w:r>
                  <w:r>
                    <w:rPr>
                      <w:rFonts w:hint="eastAsia" w:ascii="Times New Roman" w:hAnsi="Times New Roman" w:eastAsia="宋体" w:cs="Times New Roman"/>
                      <w:b/>
                      <w:bCs w:val="0"/>
                      <w:i w:val="0"/>
                      <w:iCs w:val="0"/>
                      <w:color w:val="auto"/>
                      <w:kern w:val="0"/>
                      <w:sz w:val="21"/>
                      <w:szCs w:val="21"/>
                      <w:highlight w:val="none"/>
                      <w:u w:val="none"/>
                      <w:lang w:eastAsia="zh-CN" w:bidi="ar"/>
                    </w:rPr>
                    <w:t>）</w:t>
                  </w:r>
                </w:p>
              </w:tc>
              <w:tc>
                <w:tcPr>
                  <w:tcW w:w="428" w:type="pct"/>
                  <w:tcBorders>
                    <w:tl2br w:val="nil"/>
                    <w:tr2bl w:val="nil"/>
                  </w:tcBorders>
                  <w:noWrap w:val="0"/>
                  <w:tcMar>
                    <w:top w:w="15" w:type="dxa"/>
                    <w:left w:w="15" w:type="dxa"/>
                    <w:right w:w="15" w:type="dxa"/>
                  </w:tcMar>
                  <w:vAlign w:val="center"/>
                </w:tcPr>
                <w:p w14:paraId="742D1F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val="0"/>
                      <w:i w:val="0"/>
                      <w:iCs w:val="0"/>
                      <w:color w:val="auto"/>
                      <w:kern w:val="0"/>
                      <w:sz w:val="21"/>
                      <w:szCs w:val="21"/>
                      <w:highlight w:val="none"/>
                      <w:u w:val="none"/>
                      <w:lang w:eastAsia="zh-CN" w:bidi="ar"/>
                    </w:rPr>
                  </w:pPr>
                  <w:r>
                    <w:rPr>
                      <w:rFonts w:hint="eastAsia" w:ascii="Times New Roman" w:hAnsi="Times New Roman" w:eastAsia="宋体" w:cs="Times New Roman"/>
                      <w:b/>
                      <w:bCs w:val="0"/>
                      <w:i w:val="0"/>
                      <w:iCs w:val="0"/>
                      <w:color w:val="auto"/>
                      <w:kern w:val="0"/>
                      <w:sz w:val="21"/>
                      <w:szCs w:val="21"/>
                      <w:highlight w:val="none"/>
                      <w:u w:val="none"/>
                      <w:lang w:eastAsia="zh-CN" w:bidi="ar"/>
                    </w:rPr>
                    <w:t>单个产品</w:t>
                  </w:r>
                  <w:r>
                    <w:rPr>
                      <w:rFonts w:ascii="Times New Roman" w:hAnsi="Times New Roman" w:eastAsia="宋体" w:cs="Times New Roman"/>
                      <w:b/>
                      <w:bCs w:val="0"/>
                      <w:i w:val="0"/>
                      <w:iCs w:val="0"/>
                      <w:color w:val="auto"/>
                      <w:kern w:val="0"/>
                      <w:sz w:val="21"/>
                      <w:szCs w:val="21"/>
                      <w:highlight w:val="none"/>
                      <w:u w:val="none"/>
                      <w:lang w:bidi="ar"/>
                    </w:rPr>
                    <w:t>喷涂面积</w:t>
                  </w:r>
                  <w:r>
                    <w:rPr>
                      <w:rFonts w:hint="eastAsia" w:ascii="Times New Roman" w:hAnsi="Times New Roman" w:eastAsia="宋体" w:cs="Times New Roman"/>
                      <w:b/>
                      <w:bCs w:val="0"/>
                      <w:i w:val="0"/>
                      <w:iCs w:val="0"/>
                      <w:color w:val="auto"/>
                      <w:kern w:val="0"/>
                      <w:sz w:val="21"/>
                      <w:szCs w:val="21"/>
                      <w:highlight w:val="none"/>
                      <w:u w:val="none"/>
                      <w:lang w:eastAsia="zh-CN" w:bidi="ar"/>
                    </w:rPr>
                    <w:t>（</w:t>
                  </w:r>
                  <w:r>
                    <w:rPr>
                      <w:rFonts w:hint="eastAsia" w:ascii="Times New Roman" w:hAnsi="Times New Roman" w:eastAsia="宋体" w:cs="Times New Roman"/>
                      <w:b/>
                      <w:bCs w:val="0"/>
                      <w:i w:val="0"/>
                      <w:iCs w:val="0"/>
                      <w:color w:val="auto"/>
                      <w:kern w:val="0"/>
                      <w:sz w:val="21"/>
                      <w:szCs w:val="21"/>
                      <w:highlight w:val="none"/>
                      <w:u w:val="none"/>
                      <w:lang w:val="en-US" w:eastAsia="zh-CN" w:bidi="ar"/>
                    </w:rPr>
                    <w:t>m</w:t>
                  </w:r>
                  <w:r>
                    <w:rPr>
                      <w:rFonts w:hint="eastAsia" w:ascii="Times New Roman" w:hAnsi="Times New Roman" w:eastAsia="宋体" w:cs="Times New Roman"/>
                      <w:b/>
                      <w:bCs w:val="0"/>
                      <w:i w:val="0"/>
                      <w:iCs w:val="0"/>
                      <w:color w:val="auto"/>
                      <w:kern w:val="0"/>
                      <w:sz w:val="21"/>
                      <w:szCs w:val="21"/>
                      <w:highlight w:val="none"/>
                      <w:u w:val="none"/>
                      <w:vertAlign w:val="superscript"/>
                      <w:lang w:val="en-US" w:eastAsia="zh-CN" w:bidi="ar"/>
                    </w:rPr>
                    <w:t>2</w:t>
                  </w:r>
                  <w:r>
                    <w:rPr>
                      <w:rFonts w:hint="eastAsia" w:ascii="Times New Roman" w:hAnsi="Times New Roman" w:eastAsia="宋体" w:cs="Times New Roman"/>
                      <w:b/>
                      <w:bCs w:val="0"/>
                      <w:i w:val="0"/>
                      <w:iCs w:val="0"/>
                      <w:color w:val="auto"/>
                      <w:kern w:val="0"/>
                      <w:sz w:val="21"/>
                      <w:szCs w:val="21"/>
                      <w:highlight w:val="none"/>
                      <w:u w:val="none"/>
                      <w:lang w:eastAsia="zh-CN" w:bidi="ar"/>
                    </w:rPr>
                    <w:t>）</w:t>
                  </w:r>
                </w:p>
              </w:tc>
              <w:tc>
                <w:tcPr>
                  <w:tcW w:w="278" w:type="pct"/>
                  <w:tcBorders>
                    <w:tl2br w:val="nil"/>
                    <w:tr2bl w:val="nil"/>
                  </w:tcBorders>
                  <w:noWrap w:val="0"/>
                  <w:tcMar>
                    <w:top w:w="15" w:type="dxa"/>
                    <w:left w:w="15" w:type="dxa"/>
                    <w:right w:w="15" w:type="dxa"/>
                  </w:tcMar>
                  <w:vAlign w:val="center"/>
                </w:tcPr>
                <w:p w14:paraId="42F7993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val="0"/>
                      <w:i w:val="0"/>
                      <w:iCs w:val="0"/>
                      <w:color w:val="auto"/>
                      <w:kern w:val="0"/>
                      <w:sz w:val="21"/>
                      <w:szCs w:val="21"/>
                      <w:highlight w:val="none"/>
                      <w:u w:val="none"/>
                      <w:lang w:eastAsia="zh-CN" w:bidi="ar"/>
                    </w:rPr>
                  </w:pPr>
                  <w:r>
                    <w:rPr>
                      <w:rFonts w:hint="eastAsia" w:ascii="Times New Roman" w:hAnsi="Times New Roman" w:eastAsia="宋体" w:cs="Times New Roman"/>
                      <w:b/>
                      <w:bCs w:val="0"/>
                      <w:i w:val="0"/>
                      <w:iCs w:val="0"/>
                      <w:color w:val="auto"/>
                      <w:kern w:val="0"/>
                      <w:sz w:val="21"/>
                      <w:szCs w:val="21"/>
                      <w:highlight w:val="none"/>
                      <w:u w:val="none"/>
                      <w:lang w:bidi="ar"/>
                    </w:rPr>
                    <w:t>喷涂工件数量</w:t>
                  </w:r>
                  <w:r>
                    <w:rPr>
                      <w:rFonts w:hint="eastAsia" w:ascii="Times New Roman" w:hAnsi="Times New Roman" w:eastAsia="宋体" w:cs="Times New Roman"/>
                      <w:b/>
                      <w:bCs w:val="0"/>
                      <w:i w:val="0"/>
                      <w:iCs w:val="0"/>
                      <w:color w:val="auto"/>
                      <w:kern w:val="0"/>
                      <w:sz w:val="21"/>
                      <w:szCs w:val="21"/>
                      <w:highlight w:val="none"/>
                      <w:u w:val="none"/>
                      <w:lang w:eastAsia="zh-CN" w:bidi="ar"/>
                    </w:rPr>
                    <w:t>（</w:t>
                  </w:r>
                  <w:r>
                    <w:rPr>
                      <w:rFonts w:hint="eastAsia" w:ascii="Times New Roman" w:hAnsi="Times New Roman" w:cs="Times New Roman"/>
                      <w:b/>
                      <w:bCs w:val="0"/>
                      <w:i w:val="0"/>
                      <w:iCs w:val="0"/>
                      <w:color w:val="auto"/>
                      <w:kern w:val="0"/>
                      <w:sz w:val="21"/>
                      <w:szCs w:val="21"/>
                      <w:highlight w:val="none"/>
                      <w:u w:val="none"/>
                      <w:lang w:val="en-US" w:eastAsia="zh-CN" w:bidi="ar"/>
                    </w:rPr>
                    <w:t>万</w:t>
                  </w:r>
                  <w:r>
                    <w:rPr>
                      <w:rFonts w:hint="eastAsia" w:ascii="Times New Roman" w:hAnsi="Times New Roman" w:eastAsia="宋体" w:cs="Times New Roman"/>
                      <w:b/>
                      <w:bCs w:val="0"/>
                      <w:i w:val="0"/>
                      <w:iCs w:val="0"/>
                      <w:color w:val="auto"/>
                      <w:kern w:val="0"/>
                      <w:sz w:val="21"/>
                      <w:szCs w:val="21"/>
                      <w:highlight w:val="none"/>
                      <w:u w:val="none"/>
                      <w:lang w:eastAsia="zh-CN" w:bidi="ar"/>
                    </w:rPr>
                    <w:t>件）</w:t>
                  </w:r>
                </w:p>
              </w:tc>
              <w:tc>
                <w:tcPr>
                  <w:tcW w:w="428" w:type="pct"/>
                  <w:tcBorders>
                    <w:tl2br w:val="nil"/>
                    <w:tr2bl w:val="nil"/>
                  </w:tcBorders>
                  <w:noWrap w:val="0"/>
                  <w:tcMar>
                    <w:top w:w="15" w:type="dxa"/>
                    <w:left w:w="15" w:type="dxa"/>
                    <w:right w:w="15" w:type="dxa"/>
                  </w:tcMar>
                  <w:vAlign w:val="center"/>
                </w:tcPr>
                <w:p w14:paraId="084ABA2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val="0"/>
                      <w:i w:val="0"/>
                      <w:iCs w:val="0"/>
                      <w:color w:val="auto"/>
                      <w:kern w:val="0"/>
                      <w:sz w:val="21"/>
                      <w:szCs w:val="21"/>
                      <w:highlight w:val="none"/>
                      <w:u w:val="none"/>
                      <w:lang w:eastAsia="zh-CN" w:bidi="ar"/>
                    </w:rPr>
                  </w:pPr>
                  <w:r>
                    <w:rPr>
                      <w:rFonts w:hint="eastAsia" w:ascii="Times New Roman" w:hAnsi="Times New Roman" w:eastAsia="宋体" w:cs="Times New Roman"/>
                      <w:b/>
                      <w:bCs w:val="0"/>
                      <w:i w:val="0"/>
                      <w:iCs w:val="0"/>
                      <w:color w:val="auto"/>
                      <w:kern w:val="0"/>
                      <w:sz w:val="21"/>
                      <w:szCs w:val="21"/>
                      <w:highlight w:val="none"/>
                      <w:u w:val="none"/>
                      <w:lang w:eastAsia="zh-CN" w:bidi="ar"/>
                    </w:rPr>
                    <w:t>总喷涂面积（</w:t>
                  </w:r>
                  <w:r>
                    <w:rPr>
                      <w:rFonts w:hint="eastAsia" w:ascii="Times New Roman" w:hAnsi="Times New Roman" w:eastAsia="宋体" w:cs="Times New Roman"/>
                      <w:b/>
                      <w:bCs w:val="0"/>
                      <w:i w:val="0"/>
                      <w:iCs w:val="0"/>
                      <w:color w:val="auto"/>
                      <w:kern w:val="0"/>
                      <w:sz w:val="21"/>
                      <w:szCs w:val="21"/>
                      <w:highlight w:val="none"/>
                      <w:u w:val="none"/>
                      <w:lang w:val="en-US" w:eastAsia="zh-CN" w:bidi="ar"/>
                    </w:rPr>
                    <w:t>m</w:t>
                  </w:r>
                  <w:r>
                    <w:rPr>
                      <w:rFonts w:hint="eastAsia" w:ascii="Times New Roman" w:hAnsi="Times New Roman" w:eastAsia="宋体" w:cs="Times New Roman"/>
                      <w:b/>
                      <w:bCs w:val="0"/>
                      <w:i w:val="0"/>
                      <w:iCs w:val="0"/>
                      <w:color w:val="auto"/>
                      <w:kern w:val="0"/>
                      <w:sz w:val="21"/>
                      <w:szCs w:val="21"/>
                      <w:highlight w:val="none"/>
                      <w:u w:val="none"/>
                      <w:vertAlign w:val="superscript"/>
                      <w:lang w:val="en-US" w:eastAsia="zh-CN" w:bidi="ar"/>
                    </w:rPr>
                    <w:t>2</w:t>
                  </w:r>
                  <w:r>
                    <w:rPr>
                      <w:rFonts w:hint="eastAsia" w:ascii="Times New Roman" w:hAnsi="Times New Roman" w:eastAsia="宋体" w:cs="Times New Roman"/>
                      <w:b/>
                      <w:bCs w:val="0"/>
                      <w:i w:val="0"/>
                      <w:iCs w:val="0"/>
                      <w:color w:val="auto"/>
                      <w:kern w:val="0"/>
                      <w:sz w:val="21"/>
                      <w:szCs w:val="21"/>
                      <w:highlight w:val="none"/>
                      <w:u w:val="none"/>
                      <w:lang w:eastAsia="zh-CN" w:bidi="ar"/>
                    </w:rPr>
                    <w:t>）</w:t>
                  </w:r>
                </w:p>
              </w:tc>
              <w:tc>
                <w:tcPr>
                  <w:tcW w:w="428" w:type="pct"/>
                  <w:tcBorders>
                    <w:tl2br w:val="nil"/>
                    <w:tr2bl w:val="nil"/>
                  </w:tcBorders>
                  <w:noWrap w:val="0"/>
                  <w:tcMar>
                    <w:top w:w="15" w:type="dxa"/>
                    <w:left w:w="15" w:type="dxa"/>
                    <w:right w:w="15" w:type="dxa"/>
                  </w:tcMar>
                  <w:vAlign w:val="center"/>
                </w:tcPr>
                <w:p w14:paraId="642927C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val="0"/>
                      <w:i w:val="0"/>
                      <w:iCs w:val="0"/>
                      <w:color w:val="auto"/>
                      <w:kern w:val="0"/>
                      <w:sz w:val="21"/>
                      <w:szCs w:val="21"/>
                      <w:highlight w:val="none"/>
                      <w:u w:val="none"/>
                      <w:lang w:eastAsia="zh-CN" w:bidi="ar"/>
                    </w:rPr>
                  </w:pPr>
                  <w:r>
                    <w:rPr>
                      <w:rFonts w:hint="eastAsia" w:ascii="Times New Roman" w:hAnsi="Times New Roman" w:eastAsia="宋体" w:cs="Times New Roman"/>
                      <w:b/>
                      <w:bCs w:val="0"/>
                      <w:i w:val="0"/>
                      <w:iCs w:val="0"/>
                      <w:color w:val="auto"/>
                      <w:kern w:val="0"/>
                      <w:sz w:val="21"/>
                      <w:szCs w:val="21"/>
                      <w:highlight w:val="none"/>
                      <w:u w:val="none"/>
                      <w:lang w:eastAsia="zh-CN" w:bidi="ar"/>
                    </w:rPr>
                    <w:t>单个产品</w:t>
                  </w:r>
                  <w:r>
                    <w:rPr>
                      <w:rFonts w:ascii="Times New Roman" w:hAnsi="Times New Roman" w:eastAsia="宋体" w:cs="Times New Roman"/>
                      <w:b/>
                      <w:bCs w:val="0"/>
                      <w:i w:val="0"/>
                      <w:iCs w:val="0"/>
                      <w:color w:val="auto"/>
                      <w:kern w:val="0"/>
                      <w:sz w:val="21"/>
                      <w:szCs w:val="21"/>
                      <w:highlight w:val="none"/>
                      <w:u w:val="none"/>
                      <w:lang w:bidi="ar"/>
                    </w:rPr>
                    <w:t>喷涂面积</w:t>
                  </w:r>
                  <w:r>
                    <w:rPr>
                      <w:rFonts w:hint="eastAsia" w:ascii="Times New Roman" w:hAnsi="Times New Roman" w:eastAsia="宋体" w:cs="Times New Roman"/>
                      <w:b/>
                      <w:bCs w:val="0"/>
                      <w:i w:val="0"/>
                      <w:iCs w:val="0"/>
                      <w:color w:val="auto"/>
                      <w:kern w:val="0"/>
                      <w:sz w:val="21"/>
                      <w:szCs w:val="21"/>
                      <w:highlight w:val="none"/>
                      <w:u w:val="none"/>
                      <w:lang w:eastAsia="zh-CN" w:bidi="ar"/>
                    </w:rPr>
                    <w:t>（</w:t>
                  </w:r>
                  <w:r>
                    <w:rPr>
                      <w:rFonts w:hint="eastAsia" w:ascii="Times New Roman" w:hAnsi="Times New Roman" w:eastAsia="宋体" w:cs="Times New Roman"/>
                      <w:b/>
                      <w:bCs w:val="0"/>
                      <w:i w:val="0"/>
                      <w:iCs w:val="0"/>
                      <w:color w:val="auto"/>
                      <w:kern w:val="0"/>
                      <w:sz w:val="21"/>
                      <w:szCs w:val="21"/>
                      <w:highlight w:val="none"/>
                      <w:u w:val="none"/>
                      <w:lang w:val="en-US" w:eastAsia="zh-CN" w:bidi="ar"/>
                    </w:rPr>
                    <w:t>m</w:t>
                  </w:r>
                  <w:r>
                    <w:rPr>
                      <w:rFonts w:hint="eastAsia" w:ascii="Times New Roman" w:hAnsi="Times New Roman" w:eastAsia="宋体" w:cs="Times New Roman"/>
                      <w:b/>
                      <w:bCs w:val="0"/>
                      <w:i w:val="0"/>
                      <w:iCs w:val="0"/>
                      <w:color w:val="auto"/>
                      <w:kern w:val="0"/>
                      <w:sz w:val="21"/>
                      <w:szCs w:val="21"/>
                      <w:highlight w:val="none"/>
                      <w:u w:val="none"/>
                      <w:vertAlign w:val="superscript"/>
                      <w:lang w:val="en-US" w:eastAsia="zh-CN" w:bidi="ar"/>
                    </w:rPr>
                    <w:t>2</w:t>
                  </w:r>
                  <w:r>
                    <w:rPr>
                      <w:rFonts w:hint="eastAsia" w:ascii="Times New Roman" w:hAnsi="Times New Roman" w:eastAsia="宋体" w:cs="Times New Roman"/>
                      <w:b/>
                      <w:bCs w:val="0"/>
                      <w:i w:val="0"/>
                      <w:iCs w:val="0"/>
                      <w:color w:val="auto"/>
                      <w:kern w:val="0"/>
                      <w:sz w:val="21"/>
                      <w:szCs w:val="21"/>
                      <w:highlight w:val="none"/>
                      <w:u w:val="none"/>
                      <w:lang w:eastAsia="zh-CN" w:bidi="ar"/>
                    </w:rPr>
                    <w:t>）</w:t>
                  </w:r>
                </w:p>
              </w:tc>
              <w:tc>
                <w:tcPr>
                  <w:tcW w:w="278" w:type="pct"/>
                  <w:tcBorders>
                    <w:tl2br w:val="nil"/>
                    <w:tr2bl w:val="nil"/>
                  </w:tcBorders>
                  <w:noWrap w:val="0"/>
                  <w:tcMar>
                    <w:top w:w="15" w:type="dxa"/>
                    <w:left w:w="15" w:type="dxa"/>
                    <w:right w:w="15" w:type="dxa"/>
                  </w:tcMar>
                  <w:vAlign w:val="center"/>
                </w:tcPr>
                <w:p w14:paraId="7A8D0FB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val="0"/>
                      <w:i w:val="0"/>
                      <w:iCs w:val="0"/>
                      <w:color w:val="auto"/>
                      <w:kern w:val="0"/>
                      <w:sz w:val="21"/>
                      <w:szCs w:val="21"/>
                      <w:highlight w:val="none"/>
                      <w:u w:val="none"/>
                      <w:lang w:eastAsia="zh-CN" w:bidi="ar"/>
                    </w:rPr>
                  </w:pPr>
                  <w:r>
                    <w:rPr>
                      <w:rFonts w:hint="eastAsia" w:ascii="Times New Roman" w:hAnsi="Times New Roman" w:eastAsia="宋体" w:cs="Times New Roman"/>
                      <w:b/>
                      <w:bCs w:val="0"/>
                      <w:i w:val="0"/>
                      <w:iCs w:val="0"/>
                      <w:color w:val="auto"/>
                      <w:kern w:val="0"/>
                      <w:sz w:val="21"/>
                      <w:szCs w:val="21"/>
                      <w:highlight w:val="none"/>
                      <w:u w:val="none"/>
                      <w:lang w:bidi="ar"/>
                    </w:rPr>
                    <w:t>喷涂工件数量</w:t>
                  </w:r>
                  <w:r>
                    <w:rPr>
                      <w:rFonts w:hint="eastAsia" w:ascii="Times New Roman" w:hAnsi="Times New Roman" w:eastAsia="宋体" w:cs="Times New Roman"/>
                      <w:b/>
                      <w:bCs w:val="0"/>
                      <w:i w:val="0"/>
                      <w:iCs w:val="0"/>
                      <w:color w:val="auto"/>
                      <w:kern w:val="0"/>
                      <w:sz w:val="21"/>
                      <w:szCs w:val="21"/>
                      <w:highlight w:val="none"/>
                      <w:u w:val="none"/>
                      <w:lang w:eastAsia="zh-CN" w:bidi="ar"/>
                    </w:rPr>
                    <w:t>（</w:t>
                  </w:r>
                  <w:r>
                    <w:rPr>
                      <w:rFonts w:hint="eastAsia" w:ascii="Times New Roman" w:hAnsi="Times New Roman" w:cs="Times New Roman"/>
                      <w:b/>
                      <w:bCs w:val="0"/>
                      <w:i w:val="0"/>
                      <w:iCs w:val="0"/>
                      <w:color w:val="auto"/>
                      <w:kern w:val="0"/>
                      <w:sz w:val="21"/>
                      <w:szCs w:val="21"/>
                      <w:highlight w:val="none"/>
                      <w:u w:val="none"/>
                      <w:lang w:val="en-US" w:eastAsia="zh-CN" w:bidi="ar"/>
                    </w:rPr>
                    <w:t>万</w:t>
                  </w:r>
                  <w:r>
                    <w:rPr>
                      <w:rFonts w:hint="eastAsia" w:ascii="Times New Roman" w:hAnsi="Times New Roman" w:eastAsia="宋体" w:cs="Times New Roman"/>
                      <w:b/>
                      <w:bCs w:val="0"/>
                      <w:i w:val="0"/>
                      <w:iCs w:val="0"/>
                      <w:color w:val="auto"/>
                      <w:kern w:val="0"/>
                      <w:sz w:val="21"/>
                      <w:szCs w:val="21"/>
                      <w:highlight w:val="none"/>
                      <w:u w:val="none"/>
                      <w:lang w:eastAsia="zh-CN" w:bidi="ar"/>
                    </w:rPr>
                    <w:t>件）</w:t>
                  </w:r>
                </w:p>
              </w:tc>
              <w:tc>
                <w:tcPr>
                  <w:tcW w:w="428" w:type="pct"/>
                  <w:tcBorders>
                    <w:tl2br w:val="nil"/>
                    <w:tr2bl w:val="nil"/>
                  </w:tcBorders>
                  <w:noWrap w:val="0"/>
                  <w:tcMar>
                    <w:top w:w="15" w:type="dxa"/>
                    <w:left w:w="15" w:type="dxa"/>
                    <w:right w:w="15" w:type="dxa"/>
                  </w:tcMar>
                  <w:vAlign w:val="center"/>
                </w:tcPr>
                <w:p w14:paraId="0768DBF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val="0"/>
                      <w:i w:val="0"/>
                      <w:iCs w:val="0"/>
                      <w:color w:val="auto"/>
                      <w:kern w:val="0"/>
                      <w:sz w:val="21"/>
                      <w:szCs w:val="21"/>
                      <w:highlight w:val="none"/>
                      <w:u w:val="none"/>
                      <w:lang w:eastAsia="zh-CN" w:bidi="ar"/>
                    </w:rPr>
                  </w:pPr>
                  <w:r>
                    <w:rPr>
                      <w:rFonts w:hint="eastAsia" w:ascii="Times New Roman" w:hAnsi="Times New Roman" w:eastAsia="宋体" w:cs="Times New Roman"/>
                      <w:b/>
                      <w:bCs w:val="0"/>
                      <w:i w:val="0"/>
                      <w:iCs w:val="0"/>
                      <w:color w:val="auto"/>
                      <w:kern w:val="0"/>
                      <w:sz w:val="21"/>
                      <w:szCs w:val="21"/>
                      <w:highlight w:val="none"/>
                      <w:u w:val="none"/>
                      <w:lang w:eastAsia="zh-CN" w:bidi="ar"/>
                    </w:rPr>
                    <w:t>总喷涂面积（</w:t>
                  </w:r>
                  <w:r>
                    <w:rPr>
                      <w:rFonts w:hint="eastAsia" w:ascii="Times New Roman" w:hAnsi="Times New Roman" w:eastAsia="宋体" w:cs="Times New Roman"/>
                      <w:b/>
                      <w:bCs w:val="0"/>
                      <w:i w:val="0"/>
                      <w:iCs w:val="0"/>
                      <w:color w:val="auto"/>
                      <w:kern w:val="0"/>
                      <w:sz w:val="21"/>
                      <w:szCs w:val="21"/>
                      <w:highlight w:val="none"/>
                      <w:u w:val="none"/>
                      <w:lang w:val="en-US" w:eastAsia="zh-CN" w:bidi="ar"/>
                    </w:rPr>
                    <w:t>m</w:t>
                  </w:r>
                  <w:r>
                    <w:rPr>
                      <w:rFonts w:hint="eastAsia" w:ascii="Times New Roman" w:hAnsi="Times New Roman" w:eastAsia="宋体" w:cs="Times New Roman"/>
                      <w:b/>
                      <w:bCs w:val="0"/>
                      <w:i w:val="0"/>
                      <w:iCs w:val="0"/>
                      <w:color w:val="auto"/>
                      <w:kern w:val="0"/>
                      <w:sz w:val="21"/>
                      <w:szCs w:val="21"/>
                      <w:highlight w:val="none"/>
                      <w:u w:val="none"/>
                      <w:vertAlign w:val="superscript"/>
                      <w:lang w:val="en-US" w:eastAsia="zh-CN" w:bidi="ar"/>
                    </w:rPr>
                    <w:t>2</w:t>
                  </w:r>
                  <w:r>
                    <w:rPr>
                      <w:rFonts w:hint="eastAsia" w:ascii="Times New Roman" w:hAnsi="Times New Roman" w:eastAsia="宋体" w:cs="Times New Roman"/>
                      <w:b/>
                      <w:bCs w:val="0"/>
                      <w:i w:val="0"/>
                      <w:iCs w:val="0"/>
                      <w:color w:val="auto"/>
                      <w:kern w:val="0"/>
                      <w:sz w:val="21"/>
                      <w:szCs w:val="21"/>
                      <w:highlight w:val="none"/>
                      <w:u w:val="none"/>
                      <w:lang w:eastAsia="zh-CN" w:bidi="ar"/>
                    </w:rPr>
                    <w:t>）</w:t>
                  </w:r>
                </w:p>
              </w:tc>
              <w:tc>
                <w:tcPr>
                  <w:tcW w:w="428" w:type="pct"/>
                  <w:tcBorders>
                    <w:tl2br w:val="nil"/>
                    <w:tr2bl w:val="nil"/>
                  </w:tcBorders>
                  <w:shd w:val="clear" w:color="auto" w:fill="auto"/>
                  <w:noWrap w:val="0"/>
                  <w:tcMar>
                    <w:top w:w="15" w:type="dxa"/>
                    <w:left w:w="15" w:type="dxa"/>
                    <w:right w:w="15" w:type="dxa"/>
                  </w:tcMar>
                  <w:vAlign w:val="center"/>
                </w:tcPr>
                <w:p w14:paraId="1D61800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val="0"/>
                      <w:i w:val="0"/>
                      <w:iCs w:val="0"/>
                      <w:color w:val="auto"/>
                      <w:kern w:val="0"/>
                      <w:sz w:val="21"/>
                      <w:szCs w:val="21"/>
                      <w:highlight w:val="none"/>
                      <w:u w:val="none"/>
                      <w:lang w:val="en-US" w:eastAsia="zh-CN" w:bidi="ar"/>
                    </w:rPr>
                  </w:pPr>
                  <w:r>
                    <w:rPr>
                      <w:rFonts w:hint="eastAsia" w:ascii="Times New Roman" w:hAnsi="Times New Roman" w:eastAsia="宋体" w:cs="Times New Roman"/>
                      <w:b/>
                      <w:bCs w:val="0"/>
                      <w:i w:val="0"/>
                      <w:iCs w:val="0"/>
                      <w:color w:val="auto"/>
                      <w:kern w:val="0"/>
                      <w:sz w:val="21"/>
                      <w:szCs w:val="21"/>
                      <w:highlight w:val="none"/>
                      <w:u w:val="none"/>
                      <w:lang w:eastAsia="zh-CN" w:bidi="ar"/>
                    </w:rPr>
                    <w:t>单个产品</w:t>
                  </w:r>
                  <w:r>
                    <w:rPr>
                      <w:rFonts w:ascii="Times New Roman" w:hAnsi="Times New Roman" w:eastAsia="宋体" w:cs="Times New Roman"/>
                      <w:b/>
                      <w:bCs w:val="0"/>
                      <w:i w:val="0"/>
                      <w:iCs w:val="0"/>
                      <w:color w:val="auto"/>
                      <w:kern w:val="0"/>
                      <w:sz w:val="21"/>
                      <w:szCs w:val="21"/>
                      <w:highlight w:val="none"/>
                      <w:u w:val="none"/>
                      <w:lang w:bidi="ar"/>
                    </w:rPr>
                    <w:t>喷涂面积</w:t>
                  </w:r>
                  <w:r>
                    <w:rPr>
                      <w:rFonts w:hint="eastAsia" w:ascii="Times New Roman" w:hAnsi="Times New Roman" w:eastAsia="宋体" w:cs="Times New Roman"/>
                      <w:b/>
                      <w:bCs w:val="0"/>
                      <w:i w:val="0"/>
                      <w:iCs w:val="0"/>
                      <w:color w:val="auto"/>
                      <w:kern w:val="0"/>
                      <w:sz w:val="21"/>
                      <w:szCs w:val="21"/>
                      <w:highlight w:val="none"/>
                      <w:u w:val="none"/>
                      <w:lang w:eastAsia="zh-CN" w:bidi="ar"/>
                    </w:rPr>
                    <w:t>（</w:t>
                  </w:r>
                  <w:r>
                    <w:rPr>
                      <w:rFonts w:hint="eastAsia" w:ascii="Times New Roman" w:hAnsi="Times New Roman" w:eastAsia="宋体" w:cs="Times New Roman"/>
                      <w:b/>
                      <w:bCs w:val="0"/>
                      <w:i w:val="0"/>
                      <w:iCs w:val="0"/>
                      <w:color w:val="auto"/>
                      <w:kern w:val="0"/>
                      <w:sz w:val="21"/>
                      <w:szCs w:val="21"/>
                      <w:highlight w:val="none"/>
                      <w:u w:val="none"/>
                      <w:lang w:val="en-US" w:eastAsia="zh-CN" w:bidi="ar"/>
                    </w:rPr>
                    <w:t>m</w:t>
                  </w:r>
                  <w:r>
                    <w:rPr>
                      <w:rFonts w:hint="eastAsia" w:ascii="Times New Roman" w:hAnsi="Times New Roman" w:eastAsia="宋体" w:cs="Times New Roman"/>
                      <w:b/>
                      <w:bCs w:val="0"/>
                      <w:i w:val="0"/>
                      <w:iCs w:val="0"/>
                      <w:color w:val="auto"/>
                      <w:kern w:val="0"/>
                      <w:sz w:val="21"/>
                      <w:szCs w:val="21"/>
                      <w:highlight w:val="none"/>
                      <w:u w:val="none"/>
                      <w:vertAlign w:val="superscript"/>
                      <w:lang w:val="en-US" w:eastAsia="zh-CN" w:bidi="ar"/>
                    </w:rPr>
                    <w:t>2</w:t>
                  </w:r>
                  <w:r>
                    <w:rPr>
                      <w:rFonts w:hint="eastAsia" w:ascii="Times New Roman" w:hAnsi="Times New Roman" w:eastAsia="宋体" w:cs="Times New Roman"/>
                      <w:b/>
                      <w:bCs w:val="0"/>
                      <w:i w:val="0"/>
                      <w:iCs w:val="0"/>
                      <w:color w:val="auto"/>
                      <w:kern w:val="0"/>
                      <w:sz w:val="21"/>
                      <w:szCs w:val="21"/>
                      <w:highlight w:val="none"/>
                      <w:u w:val="none"/>
                      <w:lang w:eastAsia="zh-CN" w:bidi="ar"/>
                    </w:rPr>
                    <w:t>）</w:t>
                  </w:r>
                </w:p>
              </w:tc>
              <w:tc>
                <w:tcPr>
                  <w:tcW w:w="278" w:type="pct"/>
                  <w:tcBorders>
                    <w:tl2br w:val="nil"/>
                    <w:tr2bl w:val="nil"/>
                  </w:tcBorders>
                  <w:shd w:val="clear" w:color="auto" w:fill="auto"/>
                  <w:noWrap w:val="0"/>
                  <w:tcMar>
                    <w:top w:w="15" w:type="dxa"/>
                    <w:left w:w="15" w:type="dxa"/>
                    <w:right w:w="15" w:type="dxa"/>
                  </w:tcMar>
                  <w:vAlign w:val="center"/>
                </w:tcPr>
                <w:p w14:paraId="1AD44A6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val="0"/>
                      <w:i w:val="0"/>
                      <w:iCs w:val="0"/>
                      <w:color w:val="auto"/>
                      <w:kern w:val="0"/>
                      <w:sz w:val="21"/>
                      <w:szCs w:val="21"/>
                      <w:highlight w:val="none"/>
                      <w:u w:val="none"/>
                      <w:lang w:val="en-US" w:eastAsia="zh-CN" w:bidi="ar"/>
                    </w:rPr>
                  </w:pPr>
                  <w:r>
                    <w:rPr>
                      <w:rFonts w:hint="eastAsia" w:ascii="Times New Roman" w:hAnsi="Times New Roman" w:eastAsia="宋体" w:cs="Times New Roman"/>
                      <w:b/>
                      <w:bCs w:val="0"/>
                      <w:i w:val="0"/>
                      <w:iCs w:val="0"/>
                      <w:color w:val="auto"/>
                      <w:kern w:val="0"/>
                      <w:sz w:val="21"/>
                      <w:szCs w:val="21"/>
                      <w:highlight w:val="none"/>
                      <w:u w:val="none"/>
                      <w:lang w:bidi="ar"/>
                    </w:rPr>
                    <w:t>喷涂工件数量</w:t>
                  </w:r>
                  <w:r>
                    <w:rPr>
                      <w:rFonts w:hint="eastAsia" w:ascii="Times New Roman" w:hAnsi="Times New Roman" w:eastAsia="宋体" w:cs="Times New Roman"/>
                      <w:b/>
                      <w:bCs w:val="0"/>
                      <w:i w:val="0"/>
                      <w:iCs w:val="0"/>
                      <w:color w:val="auto"/>
                      <w:kern w:val="0"/>
                      <w:sz w:val="21"/>
                      <w:szCs w:val="21"/>
                      <w:highlight w:val="none"/>
                      <w:u w:val="none"/>
                      <w:lang w:eastAsia="zh-CN" w:bidi="ar"/>
                    </w:rPr>
                    <w:t>（</w:t>
                  </w:r>
                  <w:r>
                    <w:rPr>
                      <w:rFonts w:hint="eastAsia" w:ascii="Times New Roman" w:hAnsi="Times New Roman" w:cs="Times New Roman"/>
                      <w:b/>
                      <w:bCs w:val="0"/>
                      <w:i w:val="0"/>
                      <w:iCs w:val="0"/>
                      <w:color w:val="auto"/>
                      <w:kern w:val="0"/>
                      <w:sz w:val="21"/>
                      <w:szCs w:val="21"/>
                      <w:highlight w:val="none"/>
                      <w:u w:val="none"/>
                      <w:lang w:val="en-US" w:eastAsia="zh-CN" w:bidi="ar"/>
                    </w:rPr>
                    <w:t>万</w:t>
                  </w:r>
                  <w:r>
                    <w:rPr>
                      <w:rFonts w:hint="eastAsia" w:ascii="Times New Roman" w:hAnsi="Times New Roman" w:eastAsia="宋体" w:cs="Times New Roman"/>
                      <w:b/>
                      <w:bCs w:val="0"/>
                      <w:i w:val="0"/>
                      <w:iCs w:val="0"/>
                      <w:color w:val="auto"/>
                      <w:kern w:val="0"/>
                      <w:sz w:val="21"/>
                      <w:szCs w:val="21"/>
                      <w:highlight w:val="none"/>
                      <w:u w:val="none"/>
                      <w:lang w:eastAsia="zh-CN" w:bidi="ar"/>
                    </w:rPr>
                    <w:t>件）</w:t>
                  </w:r>
                </w:p>
              </w:tc>
              <w:tc>
                <w:tcPr>
                  <w:tcW w:w="429" w:type="pct"/>
                  <w:tcBorders>
                    <w:tl2br w:val="nil"/>
                    <w:tr2bl w:val="nil"/>
                  </w:tcBorders>
                  <w:shd w:val="clear" w:color="auto" w:fill="auto"/>
                  <w:noWrap w:val="0"/>
                  <w:tcMar>
                    <w:top w:w="15" w:type="dxa"/>
                    <w:left w:w="15" w:type="dxa"/>
                    <w:right w:w="15" w:type="dxa"/>
                  </w:tcMar>
                  <w:vAlign w:val="center"/>
                </w:tcPr>
                <w:p w14:paraId="139FFF8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val="0"/>
                      <w:i w:val="0"/>
                      <w:iCs w:val="0"/>
                      <w:color w:val="auto"/>
                      <w:kern w:val="0"/>
                      <w:sz w:val="21"/>
                      <w:szCs w:val="21"/>
                      <w:highlight w:val="none"/>
                      <w:u w:val="none"/>
                      <w:lang w:val="en-US" w:eastAsia="zh-CN" w:bidi="ar"/>
                    </w:rPr>
                  </w:pPr>
                  <w:r>
                    <w:rPr>
                      <w:rFonts w:hint="eastAsia" w:ascii="Times New Roman" w:hAnsi="Times New Roman" w:eastAsia="宋体" w:cs="Times New Roman"/>
                      <w:b/>
                      <w:bCs w:val="0"/>
                      <w:i w:val="0"/>
                      <w:iCs w:val="0"/>
                      <w:color w:val="auto"/>
                      <w:kern w:val="0"/>
                      <w:sz w:val="21"/>
                      <w:szCs w:val="21"/>
                      <w:highlight w:val="none"/>
                      <w:u w:val="none"/>
                      <w:lang w:eastAsia="zh-CN" w:bidi="ar"/>
                    </w:rPr>
                    <w:t>总喷涂面积（</w:t>
                  </w:r>
                  <w:r>
                    <w:rPr>
                      <w:rFonts w:hint="eastAsia" w:ascii="Times New Roman" w:hAnsi="Times New Roman" w:eastAsia="宋体" w:cs="Times New Roman"/>
                      <w:b/>
                      <w:bCs w:val="0"/>
                      <w:i w:val="0"/>
                      <w:iCs w:val="0"/>
                      <w:color w:val="auto"/>
                      <w:kern w:val="0"/>
                      <w:sz w:val="21"/>
                      <w:szCs w:val="21"/>
                      <w:highlight w:val="none"/>
                      <w:u w:val="none"/>
                      <w:lang w:val="en-US" w:eastAsia="zh-CN" w:bidi="ar"/>
                    </w:rPr>
                    <w:t>m</w:t>
                  </w:r>
                  <w:r>
                    <w:rPr>
                      <w:rFonts w:hint="eastAsia" w:ascii="Times New Roman" w:hAnsi="Times New Roman" w:eastAsia="宋体" w:cs="Times New Roman"/>
                      <w:b/>
                      <w:bCs w:val="0"/>
                      <w:i w:val="0"/>
                      <w:iCs w:val="0"/>
                      <w:color w:val="auto"/>
                      <w:kern w:val="0"/>
                      <w:sz w:val="21"/>
                      <w:szCs w:val="21"/>
                      <w:highlight w:val="none"/>
                      <w:u w:val="none"/>
                      <w:vertAlign w:val="superscript"/>
                      <w:lang w:val="en-US" w:eastAsia="zh-CN" w:bidi="ar"/>
                    </w:rPr>
                    <w:t>2</w:t>
                  </w:r>
                  <w:r>
                    <w:rPr>
                      <w:rFonts w:hint="eastAsia" w:ascii="Times New Roman" w:hAnsi="Times New Roman" w:eastAsia="宋体" w:cs="Times New Roman"/>
                      <w:b/>
                      <w:bCs w:val="0"/>
                      <w:i w:val="0"/>
                      <w:iCs w:val="0"/>
                      <w:color w:val="auto"/>
                      <w:kern w:val="0"/>
                      <w:sz w:val="21"/>
                      <w:szCs w:val="21"/>
                      <w:highlight w:val="none"/>
                      <w:u w:val="none"/>
                      <w:lang w:eastAsia="zh-CN" w:bidi="ar"/>
                    </w:rPr>
                    <w:t>）</w:t>
                  </w:r>
                </w:p>
              </w:tc>
            </w:tr>
            <w:tr w14:paraId="15DE7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48" w:type="pct"/>
                  <w:tcBorders>
                    <w:tl2br w:val="nil"/>
                    <w:tr2bl w:val="nil"/>
                  </w:tcBorders>
                  <w:noWrap w:val="0"/>
                  <w:tcMar>
                    <w:top w:w="15" w:type="dxa"/>
                    <w:left w:w="15" w:type="dxa"/>
                    <w:right w:w="15" w:type="dxa"/>
                  </w:tcMar>
                  <w:vAlign w:val="center"/>
                </w:tcPr>
                <w:p w14:paraId="65F487A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Times New Roman"/>
                      <w:b w:val="0"/>
                      <w:bCs/>
                      <w:i w:val="0"/>
                      <w:iCs w:val="0"/>
                      <w:color w:val="auto"/>
                      <w:sz w:val="21"/>
                      <w:szCs w:val="21"/>
                      <w:highlight w:val="none"/>
                      <w:u w:val="none"/>
                    </w:rPr>
                  </w:pPr>
                  <w:r>
                    <w:rPr>
                      <w:rFonts w:ascii="Times New Roman" w:hAnsi="Times New Roman" w:eastAsia="宋体" w:cs="Times New Roman"/>
                      <w:b w:val="0"/>
                      <w:bCs/>
                      <w:i w:val="0"/>
                      <w:iCs w:val="0"/>
                      <w:color w:val="auto"/>
                      <w:kern w:val="0"/>
                      <w:sz w:val="21"/>
                      <w:szCs w:val="21"/>
                      <w:highlight w:val="none"/>
                      <w:u w:val="none"/>
                      <w:lang w:bidi="ar"/>
                    </w:rPr>
                    <w:t>1</w:t>
                  </w:r>
                </w:p>
              </w:tc>
              <w:tc>
                <w:tcPr>
                  <w:tcW w:w="311" w:type="pct"/>
                  <w:tcBorders>
                    <w:tl2br w:val="nil"/>
                    <w:tr2bl w:val="nil"/>
                  </w:tcBorders>
                  <w:shd w:val="clear" w:color="auto" w:fill="auto"/>
                  <w:noWrap w:val="0"/>
                  <w:tcMar>
                    <w:top w:w="15" w:type="dxa"/>
                    <w:left w:w="15" w:type="dxa"/>
                    <w:right w:w="15" w:type="dxa"/>
                  </w:tcMar>
                  <w:vAlign w:val="center"/>
                </w:tcPr>
                <w:p w14:paraId="5FE6D7FC">
                  <w:pPr>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Cs w:val="21"/>
                    </w:rPr>
                    <w:t>车架</w:t>
                  </w:r>
                </w:p>
              </w:tc>
              <w:tc>
                <w:tcPr>
                  <w:tcW w:w="428" w:type="pct"/>
                  <w:tcBorders>
                    <w:tl2br w:val="nil"/>
                    <w:tr2bl w:val="nil"/>
                  </w:tcBorders>
                  <w:shd w:val="clear" w:color="auto" w:fill="auto"/>
                  <w:noWrap w:val="0"/>
                  <w:tcMar>
                    <w:top w:w="15" w:type="dxa"/>
                    <w:left w:w="15" w:type="dxa"/>
                    <w:right w:w="15" w:type="dxa"/>
                  </w:tcMar>
                  <w:vAlign w:val="center"/>
                </w:tcPr>
                <w:p w14:paraId="5AABCF84">
                  <w:pPr>
                    <w:widowControl/>
                    <w:jc w:val="center"/>
                    <w:textAlignment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eastAsia="宋体" w:cs="Times New Roman"/>
                      <w:bCs/>
                      <w:color w:val="auto"/>
                      <w:kern w:val="0"/>
                      <w:szCs w:val="21"/>
                      <w:lang w:val="en-US" w:eastAsia="zh-CN" w:bidi="ar"/>
                    </w:rPr>
                    <w:t>1.56</w:t>
                  </w:r>
                </w:p>
              </w:tc>
              <w:tc>
                <w:tcPr>
                  <w:tcW w:w="278" w:type="pct"/>
                  <w:tcBorders>
                    <w:tl2br w:val="nil"/>
                    <w:tr2bl w:val="nil"/>
                  </w:tcBorders>
                  <w:shd w:val="clear" w:color="auto" w:fill="auto"/>
                  <w:noWrap w:val="0"/>
                  <w:tcMar>
                    <w:top w:w="15" w:type="dxa"/>
                    <w:left w:w="15" w:type="dxa"/>
                    <w:right w:w="15" w:type="dxa"/>
                  </w:tcMar>
                  <w:vAlign w:val="center"/>
                </w:tcPr>
                <w:p w14:paraId="73AB3FEE">
                  <w:pPr>
                    <w:widowControl/>
                    <w:jc w:val="center"/>
                    <w:textAlignment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eastAsia="宋体" w:cs="Times New Roman"/>
                      <w:bCs/>
                      <w:color w:val="auto"/>
                      <w:kern w:val="0"/>
                      <w:szCs w:val="21"/>
                      <w:lang w:val="en-US" w:eastAsia="zh-CN" w:bidi="ar"/>
                    </w:rPr>
                    <w:t>10</w:t>
                  </w:r>
                </w:p>
              </w:tc>
              <w:tc>
                <w:tcPr>
                  <w:tcW w:w="428" w:type="pct"/>
                  <w:tcBorders>
                    <w:tl2br w:val="nil"/>
                    <w:tr2bl w:val="nil"/>
                  </w:tcBorders>
                  <w:noWrap w:val="0"/>
                  <w:tcMar>
                    <w:top w:w="15" w:type="dxa"/>
                    <w:left w:w="15" w:type="dxa"/>
                    <w:right w:w="15" w:type="dxa"/>
                  </w:tcMar>
                  <w:vAlign w:val="center"/>
                </w:tcPr>
                <w:p w14:paraId="1F89C45D">
                  <w:pPr>
                    <w:keepNext w:val="0"/>
                    <w:keepLines w:val="0"/>
                    <w:widowControl/>
                    <w:suppressLineNumbers w:val="0"/>
                    <w:jc w:val="center"/>
                    <w:textAlignment w:val="center"/>
                    <w:rPr>
                      <w:rFonts w:hint="default" w:ascii="Times New Roman" w:hAnsi="Times New Roman" w:eastAsia="宋体" w:cs="Times New Roman"/>
                      <w:b w:val="0"/>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156000</w:t>
                  </w:r>
                </w:p>
              </w:tc>
              <w:tc>
                <w:tcPr>
                  <w:tcW w:w="428" w:type="pct"/>
                  <w:tcBorders>
                    <w:tl2br w:val="nil"/>
                    <w:tr2bl w:val="nil"/>
                  </w:tcBorders>
                  <w:shd w:val="clear" w:color="auto" w:fill="auto"/>
                  <w:noWrap w:val="0"/>
                  <w:tcMar>
                    <w:top w:w="15" w:type="dxa"/>
                    <w:left w:w="15" w:type="dxa"/>
                    <w:right w:w="15" w:type="dxa"/>
                  </w:tcMar>
                  <w:vAlign w:val="center"/>
                </w:tcPr>
                <w:p w14:paraId="7D827EE7">
                  <w:pPr>
                    <w:widowControl/>
                    <w:jc w:val="center"/>
                    <w:textAlignment w:val="center"/>
                    <w:rPr>
                      <w:rFonts w:hint="eastAsia" w:ascii="Times New Roman" w:hAnsi="Times New Roman" w:eastAsia="宋体" w:cs="Times New Roman"/>
                      <w:bCs/>
                      <w:color w:val="auto"/>
                      <w:kern w:val="0"/>
                      <w:sz w:val="21"/>
                      <w:szCs w:val="21"/>
                      <w:lang w:val="en-US" w:eastAsia="zh-CN" w:bidi="ar"/>
                    </w:rPr>
                  </w:pPr>
                  <w:r>
                    <w:rPr>
                      <w:rFonts w:hint="eastAsia" w:ascii="Times New Roman" w:hAnsi="Times New Roman" w:eastAsia="宋体" w:cs="Times New Roman"/>
                      <w:bCs/>
                      <w:color w:val="auto"/>
                      <w:kern w:val="0"/>
                      <w:szCs w:val="21"/>
                      <w:lang w:val="en-US" w:eastAsia="zh-CN" w:bidi="ar"/>
                    </w:rPr>
                    <w:t>1.56</w:t>
                  </w:r>
                </w:p>
              </w:tc>
              <w:tc>
                <w:tcPr>
                  <w:tcW w:w="278" w:type="pct"/>
                  <w:tcBorders>
                    <w:tl2br w:val="nil"/>
                    <w:tr2bl w:val="nil"/>
                  </w:tcBorders>
                  <w:shd w:val="clear" w:color="auto" w:fill="auto"/>
                  <w:noWrap w:val="0"/>
                  <w:tcMar>
                    <w:top w:w="15" w:type="dxa"/>
                    <w:left w:w="15" w:type="dxa"/>
                    <w:right w:w="15" w:type="dxa"/>
                  </w:tcMar>
                  <w:vAlign w:val="center"/>
                </w:tcPr>
                <w:p w14:paraId="303F7392">
                  <w:pPr>
                    <w:widowControl/>
                    <w:jc w:val="center"/>
                    <w:textAlignment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eastAsia="宋体" w:cs="Times New Roman"/>
                      <w:bCs/>
                      <w:color w:val="auto"/>
                      <w:kern w:val="0"/>
                      <w:szCs w:val="21"/>
                      <w:lang w:val="en-US" w:eastAsia="zh-CN" w:bidi="ar"/>
                    </w:rPr>
                    <w:t>5</w:t>
                  </w:r>
                </w:p>
              </w:tc>
              <w:tc>
                <w:tcPr>
                  <w:tcW w:w="428" w:type="pct"/>
                  <w:tcBorders>
                    <w:tl2br w:val="nil"/>
                    <w:tr2bl w:val="nil"/>
                  </w:tcBorders>
                  <w:noWrap w:val="0"/>
                  <w:tcMar>
                    <w:top w:w="15" w:type="dxa"/>
                    <w:left w:w="15" w:type="dxa"/>
                    <w:right w:w="15" w:type="dxa"/>
                  </w:tcMar>
                  <w:vAlign w:val="center"/>
                </w:tcPr>
                <w:p w14:paraId="3572D0A1">
                  <w:pPr>
                    <w:keepNext w:val="0"/>
                    <w:keepLines w:val="0"/>
                    <w:widowControl/>
                    <w:suppressLineNumbers w:val="0"/>
                    <w:jc w:val="center"/>
                    <w:textAlignment w:val="center"/>
                    <w:rPr>
                      <w:rFonts w:hint="default" w:ascii="Times New Roman" w:hAnsi="Times New Roman" w:eastAsia="宋体" w:cs="Times New Roman"/>
                      <w:b w:val="0"/>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78000</w:t>
                  </w:r>
                </w:p>
              </w:tc>
              <w:tc>
                <w:tcPr>
                  <w:tcW w:w="428" w:type="pct"/>
                  <w:tcBorders>
                    <w:tl2br w:val="nil"/>
                    <w:tr2bl w:val="nil"/>
                  </w:tcBorders>
                  <w:shd w:val="clear" w:color="auto" w:fill="auto"/>
                  <w:noWrap w:val="0"/>
                  <w:tcMar>
                    <w:top w:w="15" w:type="dxa"/>
                    <w:left w:w="15" w:type="dxa"/>
                    <w:right w:w="15" w:type="dxa"/>
                  </w:tcMar>
                  <w:vAlign w:val="center"/>
                </w:tcPr>
                <w:p w14:paraId="7E0DC277">
                  <w:pPr>
                    <w:widowControl/>
                    <w:jc w:val="center"/>
                    <w:textAlignment w:val="center"/>
                    <w:rPr>
                      <w:rFonts w:hint="eastAsia" w:ascii="Times New Roman" w:hAnsi="Times New Roman" w:eastAsia="宋体" w:cs="Times New Roman"/>
                      <w:bCs/>
                      <w:color w:val="auto"/>
                      <w:kern w:val="0"/>
                      <w:sz w:val="21"/>
                      <w:szCs w:val="21"/>
                      <w:lang w:val="en-US" w:eastAsia="zh-CN" w:bidi="ar"/>
                    </w:rPr>
                  </w:pPr>
                  <w:r>
                    <w:rPr>
                      <w:rFonts w:hint="eastAsia" w:ascii="Times New Roman" w:hAnsi="Times New Roman" w:eastAsia="宋体" w:cs="Times New Roman"/>
                      <w:bCs/>
                      <w:color w:val="auto"/>
                      <w:kern w:val="0"/>
                      <w:szCs w:val="21"/>
                      <w:lang w:val="en-US" w:eastAsia="zh-CN" w:bidi="ar"/>
                    </w:rPr>
                    <w:t>1.56</w:t>
                  </w:r>
                </w:p>
              </w:tc>
              <w:tc>
                <w:tcPr>
                  <w:tcW w:w="278" w:type="pct"/>
                  <w:tcBorders>
                    <w:tl2br w:val="nil"/>
                    <w:tr2bl w:val="nil"/>
                  </w:tcBorders>
                  <w:shd w:val="clear" w:color="auto" w:fill="auto"/>
                  <w:noWrap w:val="0"/>
                  <w:tcMar>
                    <w:top w:w="15" w:type="dxa"/>
                    <w:left w:w="15" w:type="dxa"/>
                    <w:right w:w="15" w:type="dxa"/>
                  </w:tcMar>
                  <w:vAlign w:val="center"/>
                </w:tcPr>
                <w:p w14:paraId="1B8A86B4">
                  <w:pPr>
                    <w:widowControl/>
                    <w:jc w:val="center"/>
                    <w:textAlignment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eastAsia="宋体" w:cs="Times New Roman"/>
                      <w:bCs/>
                      <w:color w:val="auto"/>
                      <w:kern w:val="0"/>
                      <w:szCs w:val="21"/>
                      <w:lang w:val="en-US" w:eastAsia="zh-CN" w:bidi="ar"/>
                    </w:rPr>
                    <w:t>5</w:t>
                  </w:r>
                </w:p>
              </w:tc>
              <w:tc>
                <w:tcPr>
                  <w:tcW w:w="428" w:type="pct"/>
                  <w:tcBorders>
                    <w:tl2br w:val="nil"/>
                    <w:tr2bl w:val="nil"/>
                  </w:tcBorders>
                  <w:noWrap w:val="0"/>
                  <w:tcMar>
                    <w:top w:w="15" w:type="dxa"/>
                    <w:left w:w="15" w:type="dxa"/>
                    <w:right w:w="15" w:type="dxa"/>
                  </w:tcMar>
                  <w:vAlign w:val="center"/>
                </w:tcPr>
                <w:p w14:paraId="588D5B93">
                  <w:pPr>
                    <w:keepNext w:val="0"/>
                    <w:keepLines w:val="0"/>
                    <w:widowControl/>
                    <w:suppressLineNumbers w:val="0"/>
                    <w:jc w:val="center"/>
                    <w:textAlignment w:val="center"/>
                    <w:rPr>
                      <w:rFonts w:hint="default" w:ascii="Times New Roman" w:hAnsi="Times New Roman" w:eastAsia="宋体" w:cs="Times New Roman"/>
                      <w:b w:val="0"/>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78000</w:t>
                  </w:r>
                </w:p>
              </w:tc>
              <w:tc>
                <w:tcPr>
                  <w:tcW w:w="428" w:type="pct"/>
                  <w:tcBorders>
                    <w:tl2br w:val="nil"/>
                    <w:tr2bl w:val="nil"/>
                  </w:tcBorders>
                  <w:shd w:val="clear" w:color="auto" w:fill="auto"/>
                  <w:noWrap w:val="0"/>
                  <w:tcMar>
                    <w:top w:w="15" w:type="dxa"/>
                    <w:left w:w="15" w:type="dxa"/>
                    <w:right w:w="15" w:type="dxa"/>
                  </w:tcMar>
                  <w:vAlign w:val="center"/>
                </w:tcPr>
                <w:p w14:paraId="033B70E0">
                  <w:pPr>
                    <w:widowControl/>
                    <w:jc w:val="center"/>
                    <w:textAlignment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eastAsia="宋体" w:cs="Times New Roman"/>
                      <w:bCs/>
                      <w:color w:val="auto"/>
                      <w:kern w:val="0"/>
                      <w:szCs w:val="21"/>
                      <w:lang w:val="en-US" w:eastAsia="zh-CN" w:bidi="ar"/>
                    </w:rPr>
                    <w:t>1.56</w:t>
                  </w:r>
                </w:p>
              </w:tc>
              <w:tc>
                <w:tcPr>
                  <w:tcW w:w="278" w:type="pct"/>
                  <w:tcBorders>
                    <w:tl2br w:val="nil"/>
                    <w:tr2bl w:val="nil"/>
                  </w:tcBorders>
                  <w:shd w:val="clear" w:color="auto" w:fill="auto"/>
                  <w:noWrap w:val="0"/>
                  <w:tcMar>
                    <w:top w:w="15" w:type="dxa"/>
                    <w:left w:w="15" w:type="dxa"/>
                    <w:right w:w="15" w:type="dxa"/>
                  </w:tcMar>
                  <w:vAlign w:val="center"/>
                </w:tcPr>
                <w:p w14:paraId="64D66FF9">
                  <w:pPr>
                    <w:widowControl/>
                    <w:jc w:val="center"/>
                    <w:textAlignment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eastAsia="宋体" w:cs="Times New Roman"/>
                      <w:bCs/>
                      <w:color w:val="auto"/>
                      <w:kern w:val="0"/>
                      <w:szCs w:val="21"/>
                      <w:lang w:val="en-US" w:eastAsia="zh-CN" w:bidi="ar"/>
                    </w:rPr>
                    <w:t>50</w:t>
                  </w:r>
                </w:p>
              </w:tc>
              <w:tc>
                <w:tcPr>
                  <w:tcW w:w="429" w:type="pct"/>
                  <w:tcBorders>
                    <w:tl2br w:val="nil"/>
                    <w:tr2bl w:val="nil"/>
                  </w:tcBorders>
                  <w:noWrap w:val="0"/>
                  <w:tcMar>
                    <w:top w:w="15" w:type="dxa"/>
                    <w:left w:w="15" w:type="dxa"/>
                    <w:right w:w="15" w:type="dxa"/>
                  </w:tcMar>
                  <w:vAlign w:val="center"/>
                </w:tcPr>
                <w:p w14:paraId="6333CD75">
                  <w:pPr>
                    <w:widowControl/>
                    <w:jc w:val="center"/>
                    <w:textAlignment w:val="center"/>
                    <w:rPr>
                      <w:rFonts w:hint="default" w:ascii="Times New Roman" w:hAnsi="Times New Roman" w:eastAsia="宋体" w:cs="Times New Roman"/>
                      <w:bCs/>
                      <w:color w:val="auto"/>
                      <w:kern w:val="0"/>
                      <w:szCs w:val="21"/>
                      <w:lang w:val="en-US" w:eastAsia="zh-CN" w:bidi="ar"/>
                    </w:rPr>
                  </w:pPr>
                  <w:r>
                    <w:rPr>
                      <w:rFonts w:hint="eastAsia" w:ascii="Times New Roman" w:hAnsi="Times New Roman" w:eastAsia="宋体" w:cs="Times New Roman"/>
                      <w:bCs/>
                      <w:color w:val="auto"/>
                      <w:kern w:val="0"/>
                      <w:szCs w:val="21"/>
                      <w:lang w:val="en-US" w:eastAsia="zh-CN" w:bidi="ar"/>
                    </w:rPr>
                    <w:t>780000</w:t>
                  </w:r>
                </w:p>
              </w:tc>
            </w:tr>
            <w:tr w14:paraId="20C7E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148" w:type="pct"/>
                  <w:tcBorders>
                    <w:tl2br w:val="nil"/>
                    <w:tr2bl w:val="nil"/>
                  </w:tcBorders>
                  <w:noWrap w:val="0"/>
                  <w:tcMar>
                    <w:top w:w="15" w:type="dxa"/>
                    <w:left w:w="15" w:type="dxa"/>
                    <w:right w:w="15" w:type="dxa"/>
                  </w:tcMar>
                  <w:vAlign w:val="center"/>
                </w:tcPr>
                <w:p w14:paraId="4799909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val="0"/>
                      <w:bCs/>
                      <w:i w:val="0"/>
                      <w:iCs w:val="0"/>
                      <w:color w:val="auto"/>
                      <w:sz w:val="21"/>
                      <w:szCs w:val="21"/>
                      <w:highlight w:val="none"/>
                      <w:u w:val="none"/>
                      <w:lang w:val="en-US" w:eastAsia="zh-CN"/>
                    </w:rPr>
                  </w:pPr>
                  <w:r>
                    <w:rPr>
                      <w:rFonts w:hint="eastAsia" w:ascii="Times New Roman" w:hAnsi="Times New Roman" w:cs="Times New Roman"/>
                      <w:b w:val="0"/>
                      <w:bCs/>
                      <w:i w:val="0"/>
                      <w:iCs w:val="0"/>
                      <w:color w:val="auto"/>
                      <w:sz w:val="21"/>
                      <w:szCs w:val="21"/>
                      <w:highlight w:val="none"/>
                      <w:u w:val="none"/>
                      <w:lang w:val="en-US" w:eastAsia="zh-CN"/>
                    </w:rPr>
                    <w:t>2</w:t>
                  </w:r>
                </w:p>
              </w:tc>
              <w:tc>
                <w:tcPr>
                  <w:tcW w:w="311" w:type="pct"/>
                  <w:tcBorders>
                    <w:tl2br w:val="nil"/>
                    <w:tr2bl w:val="nil"/>
                  </w:tcBorders>
                  <w:shd w:val="clear" w:color="auto" w:fill="auto"/>
                  <w:noWrap w:val="0"/>
                  <w:tcMar>
                    <w:top w:w="15" w:type="dxa"/>
                    <w:left w:w="15" w:type="dxa"/>
                    <w:right w:w="15" w:type="dxa"/>
                  </w:tcMar>
                  <w:vAlign w:val="center"/>
                </w:tcPr>
                <w:p w14:paraId="482C3E08">
                  <w:pPr>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Cs w:val="21"/>
                    </w:rPr>
                    <w:t>后平叉</w:t>
                  </w:r>
                </w:p>
              </w:tc>
              <w:tc>
                <w:tcPr>
                  <w:tcW w:w="428" w:type="pct"/>
                  <w:tcBorders>
                    <w:tl2br w:val="nil"/>
                    <w:tr2bl w:val="nil"/>
                  </w:tcBorders>
                  <w:shd w:val="clear" w:color="auto" w:fill="auto"/>
                  <w:noWrap w:val="0"/>
                  <w:tcMar>
                    <w:top w:w="15" w:type="dxa"/>
                    <w:left w:w="15" w:type="dxa"/>
                    <w:right w:w="15" w:type="dxa"/>
                  </w:tcMar>
                  <w:vAlign w:val="center"/>
                </w:tcPr>
                <w:p w14:paraId="1D697FAA">
                  <w:pPr>
                    <w:widowControl/>
                    <w:jc w:val="center"/>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Cs w:val="21"/>
                      <w:lang w:val="en-US" w:eastAsia="zh-CN"/>
                    </w:rPr>
                    <w:t>0.35</w:t>
                  </w:r>
                </w:p>
              </w:tc>
              <w:tc>
                <w:tcPr>
                  <w:tcW w:w="278" w:type="pct"/>
                  <w:tcBorders>
                    <w:tl2br w:val="nil"/>
                    <w:tr2bl w:val="nil"/>
                  </w:tcBorders>
                  <w:shd w:val="clear" w:color="auto" w:fill="auto"/>
                  <w:noWrap w:val="0"/>
                  <w:tcMar>
                    <w:top w:w="15" w:type="dxa"/>
                    <w:left w:w="15" w:type="dxa"/>
                    <w:right w:w="15" w:type="dxa"/>
                  </w:tcMar>
                  <w:vAlign w:val="center"/>
                </w:tcPr>
                <w:p w14:paraId="101B8FD6">
                  <w:pPr>
                    <w:widowControl/>
                    <w:jc w:val="center"/>
                    <w:textAlignment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eastAsia="宋体" w:cs="Times New Roman"/>
                      <w:bCs/>
                      <w:color w:val="auto"/>
                      <w:kern w:val="0"/>
                      <w:szCs w:val="21"/>
                      <w:lang w:val="en-US" w:eastAsia="zh-CN" w:bidi="ar"/>
                    </w:rPr>
                    <w:t>10</w:t>
                  </w:r>
                </w:p>
              </w:tc>
              <w:tc>
                <w:tcPr>
                  <w:tcW w:w="428" w:type="pct"/>
                  <w:tcBorders>
                    <w:tl2br w:val="nil"/>
                    <w:tr2bl w:val="nil"/>
                  </w:tcBorders>
                  <w:noWrap w:val="0"/>
                  <w:tcMar>
                    <w:top w:w="15" w:type="dxa"/>
                    <w:left w:w="15" w:type="dxa"/>
                    <w:right w:w="15" w:type="dxa"/>
                  </w:tcMar>
                  <w:vAlign w:val="center"/>
                </w:tcPr>
                <w:p w14:paraId="6CC761CE">
                  <w:pPr>
                    <w:keepNext w:val="0"/>
                    <w:keepLines w:val="0"/>
                    <w:widowControl/>
                    <w:suppressLineNumbers w:val="0"/>
                    <w:jc w:val="center"/>
                    <w:textAlignment w:val="center"/>
                    <w:rPr>
                      <w:rFonts w:hint="default" w:ascii="Times New Roman" w:hAnsi="Times New Roman" w:eastAsia="宋体" w:cs="Times New Roman"/>
                      <w:b w:val="0"/>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35000</w:t>
                  </w:r>
                </w:p>
              </w:tc>
              <w:tc>
                <w:tcPr>
                  <w:tcW w:w="428" w:type="pct"/>
                  <w:tcBorders>
                    <w:tl2br w:val="nil"/>
                    <w:tr2bl w:val="nil"/>
                  </w:tcBorders>
                  <w:shd w:val="clear" w:color="auto" w:fill="auto"/>
                  <w:noWrap w:val="0"/>
                  <w:tcMar>
                    <w:top w:w="15" w:type="dxa"/>
                    <w:left w:w="15" w:type="dxa"/>
                    <w:right w:w="15" w:type="dxa"/>
                  </w:tcMar>
                  <w:vAlign w:val="center"/>
                </w:tcPr>
                <w:p w14:paraId="6AD0B5F5">
                  <w:pPr>
                    <w:widowControl/>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Cs w:val="21"/>
                      <w:lang w:val="en-US" w:eastAsia="zh-CN"/>
                    </w:rPr>
                    <w:t>0.35</w:t>
                  </w:r>
                </w:p>
              </w:tc>
              <w:tc>
                <w:tcPr>
                  <w:tcW w:w="278" w:type="pct"/>
                  <w:tcBorders>
                    <w:tl2br w:val="nil"/>
                    <w:tr2bl w:val="nil"/>
                  </w:tcBorders>
                  <w:shd w:val="clear" w:color="auto" w:fill="auto"/>
                  <w:noWrap w:val="0"/>
                  <w:tcMar>
                    <w:top w:w="15" w:type="dxa"/>
                    <w:left w:w="15" w:type="dxa"/>
                    <w:right w:w="15" w:type="dxa"/>
                  </w:tcMar>
                  <w:vAlign w:val="center"/>
                </w:tcPr>
                <w:p w14:paraId="0B515A79">
                  <w:pPr>
                    <w:widowControl/>
                    <w:jc w:val="center"/>
                    <w:textAlignment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eastAsia="宋体" w:cs="Times New Roman"/>
                      <w:bCs/>
                      <w:color w:val="auto"/>
                      <w:kern w:val="0"/>
                      <w:szCs w:val="21"/>
                      <w:lang w:val="en-US" w:eastAsia="zh-CN" w:bidi="ar"/>
                    </w:rPr>
                    <w:t>5</w:t>
                  </w:r>
                </w:p>
              </w:tc>
              <w:tc>
                <w:tcPr>
                  <w:tcW w:w="428" w:type="pct"/>
                  <w:tcBorders>
                    <w:tl2br w:val="nil"/>
                    <w:tr2bl w:val="nil"/>
                  </w:tcBorders>
                  <w:noWrap w:val="0"/>
                  <w:tcMar>
                    <w:top w:w="15" w:type="dxa"/>
                    <w:left w:w="15" w:type="dxa"/>
                    <w:right w:w="15" w:type="dxa"/>
                  </w:tcMar>
                  <w:vAlign w:val="center"/>
                </w:tcPr>
                <w:p w14:paraId="61E79B6E">
                  <w:pPr>
                    <w:keepNext w:val="0"/>
                    <w:keepLines w:val="0"/>
                    <w:widowControl/>
                    <w:suppressLineNumbers w:val="0"/>
                    <w:jc w:val="center"/>
                    <w:textAlignment w:val="center"/>
                    <w:rPr>
                      <w:rFonts w:hint="default" w:ascii="Times New Roman" w:hAnsi="Times New Roman" w:eastAsia="宋体" w:cs="Times New Roman"/>
                      <w:b w:val="0"/>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17500</w:t>
                  </w:r>
                </w:p>
              </w:tc>
              <w:tc>
                <w:tcPr>
                  <w:tcW w:w="428" w:type="pct"/>
                  <w:tcBorders>
                    <w:tl2br w:val="nil"/>
                    <w:tr2bl w:val="nil"/>
                  </w:tcBorders>
                  <w:shd w:val="clear" w:color="auto" w:fill="auto"/>
                  <w:noWrap w:val="0"/>
                  <w:tcMar>
                    <w:top w:w="15" w:type="dxa"/>
                    <w:left w:w="15" w:type="dxa"/>
                    <w:right w:w="15" w:type="dxa"/>
                  </w:tcMar>
                  <w:vAlign w:val="center"/>
                </w:tcPr>
                <w:p w14:paraId="5456C759">
                  <w:pPr>
                    <w:widowControl/>
                    <w:jc w:val="center"/>
                    <w:rPr>
                      <w:rFonts w:hint="eastAsia" w:ascii="Times New Roman" w:hAnsi="Times New Roman" w:eastAsia="宋体" w:cs="Times New Roman"/>
                      <w:bCs/>
                      <w:color w:val="auto"/>
                      <w:kern w:val="0"/>
                      <w:sz w:val="21"/>
                      <w:szCs w:val="21"/>
                      <w:lang w:val="en-US" w:eastAsia="zh-CN" w:bidi="ar"/>
                    </w:rPr>
                  </w:pPr>
                  <w:r>
                    <w:rPr>
                      <w:rFonts w:hint="eastAsia" w:ascii="Times New Roman" w:hAnsi="Times New Roman" w:eastAsia="宋体" w:cs="Times New Roman"/>
                      <w:bCs/>
                      <w:color w:val="auto"/>
                      <w:szCs w:val="21"/>
                      <w:lang w:val="en-US" w:eastAsia="zh-CN"/>
                    </w:rPr>
                    <w:t>0.35</w:t>
                  </w:r>
                </w:p>
              </w:tc>
              <w:tc>
                <w:tcPr>
                  <w:tcW w:w="278" w:type="pct"/>
                  <w:tcBorders>
                    <w:tl2br w:val="nil"/>
                    <w:tr2bl w:val="nil"/>
                  </w:tcBorders>
                  <w:shd w:val="clear" w:color="auto" w:fill="auto"/>
                  <w:noWrap w:val="0"/>
                  <w:tcMar>
                    <w:top w:w="15" w:type="dxa"/>
                    <w:left w:w="15" w:type="dxa"/>
                    <w:right w:w="15" w:type="dxa"/>
                  </w:tcMar>
                  <w:vAlign w:val="center"/>
                </w:tcPr>
                <w:p w14:paraId="15346053">
                  <w:pPr>
                    <w:widowControl/>
                    <w:jc w:val="center"/>
                    <w:textAlignment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eastAsia="宋体" w:cs="Times New Roman"/>
                      <w:bCs/>
                      <w:color w:val="auto"/>
                      <w:kern w:val="0"/>
                      <w:szCs w:val="21"/>
                      <w:lang w:val="en-US" w:eastAsia="zh-CN" w:bidi="ar"/>
                    </w:rPr>
                    <w:t>5</w:t>
                  </w:r>
                </w:p>
              </w:tc>
              <w:tc>
                <w:tcPr>
                  <w:tcW w:w="428" w:type="pct"/>
                  <w:tcBorders>
                    <w:tl2br w:val="nil"/>
                    <w:tr2bl w:val="nil"/>
                  </w:tcBorders>
                  <w:noWrap w:val="0"/>
                  <w:tcMar>
                    <w:top w:w="15" w:type="dxa"/>
                    <w:left w:w="15" w:type="dxa"/>
                    <w:right w:w="15" w:type="dxa"/>
                  </w:tcMar>
                  <w:vAlign w:val="center"/>
                </w:tcPr>
                <w:p w14:paraId="3324E690">
                  <w:pPr>
                    <w:keepNext w:val="0"/>
                    <w:keepLines w:val="0"/>
                    <w:widowControl/>
                    <w:suppressLineNumbers w:val="0"/>
                    <w:jc w:val="center"/>
                    <w:textAlignment w:val="center"/>
                    <w:rPr>
                      <w:rFonts w:hint="default" w:ascii="Times New Roman" w:hAnsi="Times New Roman" w:eastAsia="宋体" w:cs="Times New Roman"/>
                      <w:b w:val="0"/>
                      <w:bCs/>
                      <w:i w:val="0"/>
                      <w:iCs w:val="0"/>
                      <w:color w:val="auto"/>
                      <w:sz w:val="21"/>
                      <w:szCs w:val="21"/>
                      <w:highlight w:val="none"/>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17500</w:t>
                  </w:r>
                </w:p>
              </w:tc>
              <w:tc>
                <w:tcPr>
                  <w:tcW w:w="428" w:type="pct"/>
                  <w:tcBorders>
                    <w:tl2br w:val="nil"/>
                    <w:tr2bl w:val="nil"/>
                  </w:tcBorders>
                  <w:shd w:val="clear" w:color="auto" w:fill="auto"/>
                  <w:noWrap w:val="0"/>
                  <w:tcMar>
                    <w:top w:w="15" w:type="dxa"/>
                    <w:left w:w="15" w:type="dxa"/>
                    <w:right w:w="15" w:type="dxa"/>
                  </w:tcMar>
                  <w:vAlign w:val="center"/>
                </w:tcPr>
                <w:p w14:paraId="38C58B00">
                  <w:pPr>
                    <w:widowControl/>
                    <w:jc w:val="center"/>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Cs w:val="21"/>
                      <w:lang w:val="en-US" w:eastAsia="zh-CN"/>
                    </w:rPr>
                    <w:t>0.35</w:t>
                  </w:r>
                </w:p>
              </w:tc>
              <w:tc>
                <w:tcPr>
                  <w:tcW w:w="278" w:type="pct"/>
                  <w:tcBorders>
                    <w:tl2br w:val="nil"/>
                    <w:tr2bl w:val="nil"/>
                  </w:tcBorders>
                  <w:shd w:val="clear" w:color="auto" w:fill="auto"/>
                  <w:noWrap w:val="0"/>
                  <w:tcMar>
                    <w:top w:w="15" w:type="dxa"/>
                    <w:left w:w="15" w:type="dxa"/>
                    <w:right w:w="15" w:type="dxa"/>
                  </w:tcMar>
                  <w:vAlign w:val="center"/>
                </w:tcPr>
                <w:p w14:paraId="635678C7">
                  <w:pPr>
                    <w:widowControl/>
                    <w:jc w:val="center"/>
                    <w:textAlignment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eastAsia="宋体" w:cs="Times New Roman"/>
                      <w:bCs/>
                      <w:color w:val="auto"/>
                      <w:kern w:val="0"/>
                      <w:szCs w:val="21"/>
                      <w:lang w:val="en-US" w:eastAsia="zh-CN" w:bidi="ar"/>
                    </w:rPr>
                    <w:t>50</w:t>
                  </w:r>
                </w:p>
              </w:tc>
              <w:tc>
                <w:tcPr>
                  <w:tcW w:w="429" w:type="pct"/>
                  <w:tcBorders>
                    <w:tl2br w:val="nil"/>
                    <w:tr2bl w:val="nil"/>
                  </w:tcBorders>
                  <w:noWrap w:val="0"/>
                  <w:tcMar>
                    <w:top w:w="15" w:type="dxa"/>
                    <w:left w:w="15" w:type="dxa"/>
                    <w:right w:w="15" w:type="dxa"/>
                  </w:tcMar>
                  <w:vAlign w:val="center"/>
                </w:tcPr>
                <w:p w14:paraId="3D8C3368">
                  <w:pPr>
                    <w:widowControl/>
                    <w:jc w:val="center"/>
                    <w:textAlignment w:val="center"/>
                    <w:rPr>
                      <w:rFonts w:hint="default" w:ascii="Times New Roman" w:hAnsi="Times New Roman" w:eastAsia="宋体" w:cs="Times New Roman"/>
                      <w:bCs/>
                      <w:color w:val="auto"/>
                      <w:kern w:val="0"/>
                      <w:szCs w:val="21"/>
                      <w:lang w:val="en-US" w:eastAsia="zh-CN" w:bidi="ar"/>
                    </w:rPr>
                  </w:pPr>
                  <w:r>
                    <w:rPr>
                      <w:rFonts w:hint="eastAsia" w:ascii="Times New Roman" w:hAnsi="Times New Roman" w:eastAsia="宋体" w:cs="Times New Roman"/>
                      <w:bCs/>
                      <w:color w:val="auto"/>
                      <w:kern w:val="0"/>
                      <w:szCs w:val="21"/>
                      <w:lang w:val="en-US" w:eastAsia="zh-CN" w:bidi="ar"/>
                    </w:rPr>
                    <w:t>175000</w:t>
                  </w:r>
                </w:p>
              </w:tc>
            </w:tr>
            <w:tr w14:paraId="33C59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48" w:type="pct"/>
                  <w:tcBorders>
                    <w:tl2br w:val="nil"/>
                    <w:tr2bl w:val="nil"/>
                  </w:tcBorders>
                  <w:noWrap w:val="0"/>
                  <w:tcMar>
                    <w:top w:w="15" w:type="dxa"/>
                    <w:left w:w="15" w:type="dxa"/>
                    <w:right w:w="15" w:type="dxa"/>
                  </w:tcMar>
                  <w:vAlign w:val="center"/>
                </w:tcPr>
                <w:p w14:paraId="5D957CB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val="0"/>
                      <w:bCs/>
                      <w:i w:val="0"/>
                      <w:iCs w:val="0"/>
                      <w:color w:val="auto"/>
                      <w:sz w:val="21"/>
                      <w:szCs w:val="21"/>
                      <w:highlight w:val="none"/>
                      <w:u w:val="none"/>
                      <w:lang w:val="en-US" w:eastAsia="zh-CN"/>
                    </w:rPr>
                  </w:pPr>
                  <w:r>
                    <w:rPr>
                      <w:rFonts w:hint="eastAsia" w:ascii="Times New Roman" w:hAnsi="Times New Roman" w:cs="Times New Roman"/>
                      <w:b w:val="0"/>
                      <w:bCs/>
                      <w:i w:val="0"/>
                      <w:iCs w:val="0"/>
                      <w:color w:val="auto"/>
                      <w:sz w:val="21"/>
                      <w:szCs w:val="21"/>
                      <w:highlight w:val="none"/>
                      <w:u w:val="none"/>
                      <w:lang w:val="en-US" w:eastAsia="zh-CN"/>
                    </w:rPr>
                    <w:t>3</w:t>
                  </w:r>
                </w:p>
              </w:tc>
              <w:tc>
                <w:tcPr>
                  <w:tcW w:w="311" w:type="pct"/>
                  <w:tcBorders>
                    <w:tl2br w:val="nil"/>
                    <w:tr2bl w:val="nil"/>
                  </w:tcBorders>
                  <w:shd w:val="clear" w:color="auto" w:fill="auto"/>
                  <w:noWrap w:val="0"/>
                  <w:tcMar>
                    <w:top w:w="15" w:type="dxa"/>
                    <w:left w:w="15" w:type="dxa"/>
                    <w:right w:w="15" w:type="dxa"/>
                  </w:tcMar>
                  <w:vAlign w:val="center"/>
                </w:tcPr>
                <w:p w14:paraId="78AB66A0">
                  <w:pPr>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Cs w:val="21"/>
                    </w:rPr>
                    <w:t>方向把</w:t>
                  </w:r>
                </w:p>
              </w:tc>
              <w:tc>
                <w:tcPr>
                  <w:tcW w:w="428" w:type="pct"/>
                  <w:tcBorders>
                    <w:tl2br w:val="nil"/>
                    <w:tr2bl w:val="nil"/>
                  </w:tcBorders>
                  <w:shd w:val="clear" w:color="auto" w:fill="auto"/>
                  <w:noWrap w:val="0"/>
                  <w:tcMar>
                    <w:top w:w="15" w:type="dxa"/>
                    <w:left w:w="15" w:type="dxa"/>
                    <w:right w:w="15" w:type="dxa"/>
                  </w:tcMar>
                  <w:vAlign w:val="center"/>
                </w:tcPr>
                <w:p w14:paraId="6408CE7D">
                  <w:pPr>
                    <w:widowControl/>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kern w:val="0"/>
                      <w:szCs w:val="21"/>
                      <w:lang w:val="en-US" w:eastAsia="zh-CN" w:bidi="ar"/>
                    </w:rPr>
                    <w:t>0.15</w:t>
                  </w:r>
                </w:p>
              </w:tc>
              <w:tc>
                <w:tcPr>
                  <w:tcW w:w="278" w:type="pct"/>
                  <w:tcBorders>
                    <w:tl2br w:val="nil"/>
                    <w:tr2bl w:val="nil"/>
                  </w:tcBorders>
                  <w:shd w:val="clear" w:color="auto" w:fill="auto"/>
                  <w:noWrap w:val="0"/>
                  <w:tcMar>
                    <w:top w:w="15" w:type="dxa"/>
                    <w:left w:w="15" w:type="dxa"/>
                    <w:right w:w="15" w:type="dxa"/>
                  </w:tcMar>
                  <w:vAlign w:val="center"/>
                </w:tcPr>
                <w:p w14:paraId="72A7F435">
                  <w:pPr>
                    <w:widowControl/>
                    <w:jc w:val="center"/>
                    <w:textAlignment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eastAsia="宋体" w:cs="Times New Roman"/>
                      <w:bCs/>
                      <w:color w:val="auto"/>
                      <w:kern w:val="0"/>
                      <w:szCs w:val="21"/>
                      <w:lang w:val="en-US" w:eastAsia="zh-CN" w:bidi="ar"/>
                    </w:rPr>
                    <w:t>10</w:t>
                  </w:r>
                </w:p>
              </w:tc>
              <w:tc>
                <w:tcPr>
                  <w:tcW w:w="428" w:type="pct"/>
                  <w:tcBorders>
                    <w:tl2br w:val="nil"/>
                    <w:tr2bl w:val="nil"/>
                  </w:tcBorders>
                  <w:noWrap w:val="0"/>
                  <w:tcMar>
                    <w:top w:w="15" w:type="dxa"/>
                    <w:left w:w="15" w:type="dxa"/>
                    <w:right w:w="15" w:type="dxa"/>
                  </w:tcMar>
                  <w:vAlign w:val="center"/>
                </w:tcPr>
                <w:p w14:paraId="70197A7E">
                  <w:pPr>
                    <w:keepNext w:val="0"/>
                    <w:keepLines w:val="0"/>
                    <w:widowControl/>
                    <w:suppressLineNumbers w:val="0"/>
                    <w:jc w:val="center"/>
                    <w:textAlignment w:val="center"/>
                    <w:rPr>
                      <w:rFonts w:hint="default" w:ascii="Times New Roman" w:hAnsi="Times New Roman" w:eastAsia="宋体" w:cs="Times New Roman"/>
                      <w:b w:val="0"/>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15000</w:t>
                  </w:r>
                </w:p>
              </w:tc>
              <w:tc>
                <w:tcPr>
                  <w:tcW w:w="428" w:type="pct"/>
                  <w:tcBorders>
                    <w:tl2br w:val="nil"/>
                    <w:tr2bl w:val="nil"/>
                  </w:tcBorders>
                  <w:shd w:val="clear" w:color="auto" w:fill="auto"/>
                  <w:noWrap w:val="0"/>
                  <w:tcMar>
                    <w:top w:w="15" w:type="dxa"/>
                    <w:left w:w="15" w:type="dxa"/>
                    <w:right w:w="15" w:type="dxa"/>
                  </w:tcMar>
                  <w:vAlign w:val="center"/>
                </w:tcPr>
                <w:p w14:paraId="5AE67AE8">
                  <w:pPr>
                    <w:widowControl/>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kern w:val="0"/>
                      <w:szCs w:val="21"/>
                      <w:lang w:val="en-US" w:eastAsia="zh-CN" w:bidi="ar"/>
                    </w:rPr>
                    <w:t>0.15</w:t>
                  </w:r>
                </w:p>
              </w:tc>
              <w:tc>
                <w:tcPr>
                  <w:tcW w:w="278" w:type="pct"/>
                  <w:tcBorders>
                    <w:tl2br w:val="nil"/>
                    <w:tr2bl w:val="nil"/>
                  </w:tcBorders>
                  <w:shd w:val="clear" w:color="auto" w:fill="auto"/>
                  <w:noWrap w:val="0"/>
                  <w:tcMar>
                    <w:top w:w="15" w:type="dxa"/>
                    <w:left w:w="15" w:type="dxa"/>
                    <w:right w:w="15" w:type="dxa"/>
                  </w:tcMar>
                  <w:vAlign w:val="center"/>
                </w:tcPr>
                <w:p w14:paraId="04391802">
                  <w:pPr>
                    <w:widowControl/>
                    <w:jc w:val="center"/>
                    <w:textAlignment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eastAsia="宋体" w:cs="Times New Roman"/>
                      <w:bCs/>
                      <w:color w:val="auto"/>
                      <w:kern w:val="0"/>
                      <w:szCs w:val="21"/>
                      <w:lang w:val="en-US" w:eastAsia="zh-CN" w:bidi="ar"/>
                    </w:rPr>
                    <w:t>5</w:t>
                  </w:r>
                </w:p>
              </w:tc>
              <w:tc>
                <w:tcPr>
                  <w:tcW w:w="428" w:type="pct"/>
                  <w:tcBorders>
                    <w:tl2br w:val="nil"/>
                    <w:tr2bl w:val="nil"/>
                  </w:tcBorders>
                  <w:noWrap w:val="0"/>
                  <w:tcMar>
                    <w:top w:w="15" w:type="dxa"/>
                    <w:left w:w="15" w:type="dxa"/>
                    <w:right w:w="15" w:type="dxa"/>
                  </w:tcMar>
                  <w:vAlign w:val="center"/>
                </w:tcPr>
                <w:p w14:paraId="28006AAD">
                  <w:pPr>
                    <w:keepNext w:val="0"/>
                    <w:keepLines w:val="0"/>
                    <w:widowControl/>
                    <w:suppressLineNumbers w:val="0"/>
                    <w:jc w:val="center"/>
                    <w:textAlignment w:val="center"/>
                    <w:rPr>
                      <w:rFonts w:hint="default" w:ascii="Times New Roman" w:hAnsi="Times New Roman" w:eastAsia="宋体" w:cs="Times New Roman"/>
                      <w:b w:val="0"/>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7500</w:t>
                  </w:r>
                </w:p>
              </w:tc>
              <w:tc>
                <w:tcPr>
                  <w:tcW w:w="428" w:type="pct"/>
                  <w:tcBorders>
                    <w:tl2br w:val="nil"/>
                    <w:tr2bl w:val="nil"/>
                  </w:tcBorders>
                  <w:shd w:val="clear" w:color="auto" w:fill="auto"/>
                  <w:noWrap w:val="0"/>
                  <w:tcMar>
                    <w:top w:w="15" w:type="dxa"/>
                    <w:left w:w="15" w:type="dxa"/>
                    <w:right w:w="15" w:type="dxa"/>
                  </w:tcMar>
                  <w:vAlign w:val="center"/>
                </w:tcPr>
                <w:p w14:paraId="37744995">
                  <w:pPr>
                    <w:widowControl/>
                    <w:jc w:val="center"/>
                    <w:rPr>
                      <w:rFonts w:hint="eastAsia" w:ascii="Times New Roman" w:hAnsi="Times New Roman" w:eastAsia="宋体" w:cs="Times New Roman"/>
                      <w:bCs/>
                      <w:color w:val="auto"/>
                      <w:kern w:val="0"/>
                      <w:sz w:val="21"/>
                      <w:szCs w:val="21"/>
                      <w:lang w:val="en-US" w:eastAsia="zh-CN" w:bidi="ar"/>
                    </w:rPr>
                  </w:pPr>
                  <w:r>
                    <w:rPr>
                      <w:rFonts w:hint="eastAsia" w:ascii="Times New Roman" w:hAnsi="Times New Roman" w:eastAsia="宋体" w:cs="Times New Roman"/>
                      <w:bCs/>
                      <w:color w:val="auto"/>
                      <w:kern w:val="0"/>
                      <w:szCs w:val="21"/>
                      <w:lang w:val="en-US" w:eastAsia="zh-CN" w:bidi="ar"/>
                    </w:rPr>
                    <w:t>0.15</w:t>
                  </w:r>
                </w:p>
              </w:tc>
              <w:tc>
                <w:tcPr>
                  <w:tcW w:w="278" w:type="pct"/>
                  <w:tcBorders>
                    <w:tl2br w:val="nil"/>
                    <w:tr2bl w:val="nil"/>
                  </w:tcBorders>
                  <w:shd w:val="clear" w:color="auto" w:fill="auto"/>
                  <w:noWrap w:val="0"/>
                  <w:tcMar>
                    <w:top w:w="15" w:type="dxa"/>
                    <w:left w:w="15" w:type="dxa"/>
                    <w:right w:w="15" w:type="dxa"/>
                  </w:tcMar>
                  <w:vAlign w:val="center"/>
                </w:tcPr>
                <w:p w14:paraId="0ECE9245">
                  <w:pPr>
                    <w:widowControl/>
                    <w:jc w:val="center"/>
                    <w:textAlignment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eastAsia="宋体" w:cs="Times New Roman"/>
                      <w:bCs/>
                      <w:color w:val="auto"/>
                      <w:kern w:val="0"/>
                      <w:szCs w:val="21"/>
                      <w:lang w:val="en-US" w:eastAsia="zh-CN" w:bidi="ar"/>
                    </w:rPr>
                    <w:t>5</w:t>
                  </w:r>
                </w:p>
              </w:tc>
              <w:tc>
                <w:tcPr>
                  <w:tcW w:w="428" w:type="pct"/>
                  <w:tcBorders>
                    <w:tl2br w:val="nil"/>
                    <w:tr2bl w:val="nil"/>
                  </w:tcBorders>
                  <w:noWrap w:val="0"/>
                  <w:tcMar>
                    <w:top w:w="15" w:type="dxa"/>
                    <w:left w:w="15" w:type="dxa"/>
                    <w:right w:w="15" w:type="dxa"/>
                  </w:tcMar>
                  <w:vAlign w:val="center"/>
                </w:tcPr>
                <w:p w14:paraId="0554774D">
                  <w:pPr>
                    <w:keepNext w:val="0"/>
                    <w:keepLines w:val="0"/>
                    <w:widowControl/>
                    <w:suppressLineNumbers w:val="0"/>
                    <w:jc w:val="center"/>
                    <w:textAlignment w:val="center"/>
                    <w:rPr>
                      <w:rFonts w:hint="default" w:ascii="Times New Roman" w:hAnsi="Times New Roman" w:eastAsia="宋体" w:cs="Times New Roman"/>
                      <w:b w:val="0"/>
                      <w:bCs/>
                      <w:i w:val="0"/>
                      <w:iCs w:val="0"/>
                      <w:color w:val="auto"/>
                      <w:sz w:val="21"/>
                      <w:szCs w:val="21"/>
                      <w:highlight w:val="none"/>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7500</w:t>
                  </w:r>
                </w:p>
              </w:tc>
              <w:tc>
                <w:tcPr>
                  <w:tcW w:w="428" w:type="pct"/>
                  <w:tcBorders>
                    <w:tl2br w:val="nil"/>
                    <w:tr2bl w:val="nil"/>
                  </w:tcBorders>
                  <w:shd w:val="clear" w:color="auto" w:fill="auto"/>
                  <w:noWrap w:val="0"/>
                  <w:tcMar>
                    <w:top w:w="15" w:type="dxa"/>
                    <w:left w:w="15" w:type="dxa"/>
                    <w:right w:w="15" w:type="dxa"/>
                  </w:tcMar>
                  <w:vAlign w:val="center"/>
                </w:tcPr>
                <w:p w14:paraId="39702622">
                  <w:pPr>
                    <w:widowControl/>
                    <w:jc w:val="center"/>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Cs w:val="21"/>
                      <w:lang w:val="en-US" w:eastAsia="zh-CN"/>
                    </w:rPr>
                    <w:t>0.15</w:t>
                  </w:r>
                </w:p>
              </w:tc>
              <w:tc>
                <w:tcPr>
                  <w:tcW w:w="278" w:type="pct"/>
                  <w:tcBorders>
                    <w:tl2br w:val="nil"/>
                    <w:tr2bl w:val="nil"/>
                  </w:tcBorders>
                  <w:shd w:val="clear" w:color="auto" w:fill="auto"/>
                  <w:noWrap w:val="0"/>
                  <w:tcMar>
                    <w:top w:w="15" w:type="dxa"/>
                    <w:left w:w="15" w:type="dxa"/>
                    <w:right w:w="15" w:type="dxa"/>
                  </w:tcMar>
                  <w:vAlign w:val="center"/>
                </w:tcPr>
                <w:p w14:paraId="406899F7">
                  <w:pPr>
                    <w:widowControl/>
                    <w:jc w:val="center"/>
                    <w:textAlignment w:val="center"/>
                    <w:rPr>
                      <w:rFonts w:hint="default" w:ascii="Times New Roman" w:hAnsi="Times New Roman" w:eastAsia="宋体" w:cs="Times New Roman"/>
                      <w:bCs/>
                      <w:color w:val="auto"/>
                      <w:kern w:val="0"/>
                      <w:sz w:val="21"/>
                      <w:szCs w:val="21"/>
                      <w:lang w:val="en-US" w:eastAsia="zh-CN" w:bidi="ar"/>
                    </w:rPr>
                  </w:pPr>
                  <w:r>
                    <w:rPr>
                      <w:rFonts w:hint="eastAsia" w:ascii="Times New Roman" w:hAnsi="Times New Roman" w:eastAsia="宋体" w:cs="Times New Roman"/>
                      <w:bCs/>
                      <w:color w:val="auto"/>
                      <w:kern w:val="0"/>
                      <w:szCs w:val="21"/>
                      <w:lang w:val="en-US" w:eastAsia="zh-CN" w:bidi="ar"/>
                    </w:rPr>
                    <w:t>50</w:t>
                  </w:r>
                </w:p>
              </w:tc>
              <w:tc>
                <w:tcPr>
                  <w:tcW w:w="429" w:type="pct"/>
                  <w:tcBorders>
                    <w:tl2br w:val="nil"/>
                    <w:tr2bl w:val="nil"/>
                  </w:tcBorders>
                  <w:noWrap w:val="0"/>
                  <w:tcMar>
                    <w:top w:w="15" w:type="dxa"/>
                    <w:left w:w="15" w:type="dxa"/>
                    <w:right w:w="15" w:type="dxa"/>
                  </w:tcMar>
                  <w:vAlign w:val="center"/>
                </w:tcPr>
                <w:p w14:paraId="29E34CCC">
                  <w:pPr>
                    <w:widowControl/>
                    <w:jc w:val="center"/>
                    <w:textAlignment w:val="center"/>
                    <w:rPr>
                      <w:rFonts w:hint="default" w:ascii="Times New Roman" w:hAnsi="Times New Roman" w:eastAsia="宋体" w:cs="Times New Roman"/>
                      <w:bCs/>
                      <w:color w:val="auto"/>
                      <w:kern w:val="0"/>
                      <w:szCs w:val="21"/>
                      <w:lang w:val="en-US" w:eastAsia="zh-CN" w:bidi="ar"/>
                    </w:rPr>
                  </w:pPr>
                  <w:r>
                    <w:rPr>
                      <w:rFonts w:hint="eastAsia" w:ascii="Times New Roman" w:hAnsi="Times New Roman" w:eastAsia="宋体" w:cs="Times New Roman"/>
                      <w:bCs/>
                      <w:color w:val="auto"/>
                      <w:kern w:val="0"/>
                      <w:szCs w:val="21"/>
                      <w:lang w:val="en-US" w:eastAsia="zh-CN" w:bidi="ar"/>
                    </w:rPr>
                    <w:t>75000</w:t>
                  </w:r>
                </w:p>
              </w:tc>
            </w:tr>
            <w:tr w14:paraId="09079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460" w:type="pct"/>
                  <w:gridSpan w:val="2"/>
                  <w:tcBorders>
                    <w:tl2br w:val="nil"/>
                    <w:tr2bl w:val="nil"/>
                  </w:tcBorders>
                  <w:noWrap w:val="0"/>
                  <w:tcMar>
                    <w:top w:w="15" w:type="dxa"/>
                    <w:left w:w="15" w:type="dxa"/>
                    <w:right w:w="15" w:type="dxa"/>
                  </w:tcMar>
                  <w:vAlign w:val="center"/>
                </w:tcPr>
                <w:p w14:paraId="7F32908D">
                  <w:pPr>
                    <w:adjustRightInd w:val="0"/>
                    <w:snapToGrid w:val="0"/>
                    <w:jc w:val="center"/>
                    <w:rPr>
                      <w:rFonts w:hint="eastAsia" w:ascii="宋体" w:hAnsi="宋体" w:eastAsia="宋体" w:cs="宋体"/>
                      <w:b w:val="0"/>
                      <w:bCs/>
                      <w:i w:val="0"/>
                      <w:iCs w:val="0"/>
                      <w:color w:val="auto"/>
                      <w:sz w:val="21"/>
                      <w:szCs w:val="21"/>
                      <w:highlight w:val="none"/>
                      <w:u w:val="none"/>
                      <w:lang w:eastAsia="zh-CN"/>
                    </w:rPr>
                  </w:pPr>
                  <w:r>
                    <w:rPr>
                      <w:rFonts w:hint="eastAsia" w:ascii="宋体" w:hAnsi="宋体" w:eastAsia="宋体" w:cs="宋体"/>
                      <w:b w:val="0"/>
                      <w:bCs/>
                      <w:i w:val="0"/>
                      <w:iCs w:val="0"/>
                      <w:color w:val="auto"/>
                      <w:sz w:val="21"/>
                      <w:szCs w:val="21"/>
                      <w:highlight w:val="none"/>
                      <w:u w:val="none"/>
                      <w:lang w:eastAsia="zh-CN"/>
                    </w:rPr>
                    <w:t>合计</w:t>
                  </w:r>
                </w:p>
              </w:tc>
              <w:tc>
                <w:tcPr>
                  <w:tcW w:w="428" w:type="pct"/>
                  <w:tcBorders>
                    <w:tl2br w:val="nil"/>
                    <w:tr2bl w:val="nil"/>
                  </w:tcBorders>
                  <w:noWrap w:val="0"/>
                  <w:tcMar>
                    <w:top w:w="15" w:type="dxa"/>
                    <w:left w:w="15" w:type="dxa"/>
                    <w:right w:w="15" w:type="dxa"/>
                  </w:tcMar>
                  <w:vAlign w:val="center"/>
                </w:tcPr>
                <w:p w14:paraId="17FCA55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b w:val="0"/>
                      <w:bCs/>
                      <w:i w:val="0"/>
                      <w:iCs w:val="0"/>
                      <w:color w:val="auto"/>
                      <w:sz w:val="21"/>
                      <w:szCs w:val="21"/>
                      <w:highlight w:val="none"/>
                      <w:u w:val="none"/>
                      <w:lang w:val="en-US" w:eastAsia="zh-CN"/>
                    </w:rPr>
                  </w:pPr>
                  <w:r>
                    <w:rPr>
                      <w:rFonts w:hint="eastAsia" w:ascii="Times New Roman" w:hAnsi="Times New Roman" w:cs="Times New Roman"/>
                      <w:b w:val="0"/>
                      <w:bCs/>
                      <w:i w:val="0"/>
                      <w:iCs w:val="0"/>
                      <w:color w:val="auto"/>
                      <w:sz w:val="21"/>
                      <w:szCs w:val="21"/>
                      <w:highlight w:val="none"/>
                      <w:u w:val="none"/>
                      <w:lang w:val="en-US" w:eastAsia="zh-CN"/>
                    </w:rPr>
                    <w:t>/</w:t>
                  </w:r>
                </w:p>
              </w:tc>
              <w:tc>
                <w:tcPr>
                  <w:tcW w:w="278" w:type="pct"/>
                  <w:tcBorders>
                    <w:tl2br w:val="nil"/>
                    <w:tr2bl w:val="nil"/>
                  </w:tcBorders>
                  <w:noWrap w:val="0"/>
                  <w:tcMar>
                    <w:top w:w="15" w:type="dxa"/>
                    <w:left w:w="15" w:type="dxa"/>
                    <w:right w:w="15" w:type="dxa"/>
                  </w:tcMar>
                  <w:vAlign w:val="center"/>
                </w:tcPr>
                <w:p w14:paraId="28FE07C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i w:val="0"/>
                      <w:iCs w:val="0"/>
                      <w:color w:val="auto"/>
                      <w:kern w:val="0"/>
                      <w:sz w:val="21"/>
                      <w:szCs w:val="21"/>
                      <w:highlight w:val="none"/>
                      <w:u w:val="none"/>
                      <w:lang w:val="en-US" w:eastAsia="zh-CN" w:bidi="ar"/>
                    </w:rPr>
                  </w:pPr>
                  <w:r>
                    <w:rPr>
                      <w:rFonts w:hint="eastAsia" w:ascii="Times New Roman" w:hAnsi="Times New Roman" w:eastAsia="宋体" w:cs="Times New Roman"/>
                      <w:b w:val="0"/>
                      <w:bCs/>
                      <w:i w:val="0"/>
                      <w:iCs w:val="0"/>
                      <w:color w:val="auto"/>
                      <w:kern w:val="0"/>
                      <w:sz w:val="21"/>
                      <w:szCs w:val="21"/>
                      <w:highlight w:val="none"/>
                      <w:u w:val="none"/>
                      <w:lang w:val="en-US" w:eastAsia="zh-CN" w:bidi="ar"/>
                    </w:rPr>
                    <w:t>/</w:t>
                  </w:r>
                </w:p>
              </w:tc>
              <w:tc>
                <w:tcPr>
                  <w:tcW w:w="428" w:type="pct"/>
                  <w:tcBorders>
                    <w:tl2br w:val="nil"/>
                    <w:tr2bl w:val="nil"/>
                  </w:tcBorders>
                  <w:noWrap w:val="0"/>
                  <w:tcMar>
                    <w:top w:w="15" w:type="dxa"/>
                    <w:left w:w="15" w:type="dxa"/>
                    <w:right w:w="15" w:type="dxa"/>
                  </w:tcMar>
                  <w:vAlign w:val="center"/>
                </w:tcPr>
                <w:p w14:paraId="2842FA7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i w:val="0"/>
                      <w:iCs w:val="0"/>
                      <w:color w:val="auto"/>
                      <w:kern w:val="0"/>
                      <w:sz w:val="21"/>
                      <w:szCs w:val="21"/>
                      <w:highlight w:val="none"/>
                      <w:u w:val="none"/>
                      <w:lang w:val="en-US" w:eastAsia="zh-CN" w:bidi="ar"/>
                    </w:rPr>
                  </w:pPr>
                  <w:r>
                    <w:rPr>
                      <w:rFonts w:hint="eastAsia" w:ascii="Times New Roman" w:hAnsi="Times New Roman" w:cs="Times New Roman"/>
                      <w:b w:val="0"/>
                      <w:bCs/>
                      <w:i w:val="0"/>
                      <w:iCs w:val="0"/>
                      <w:color w:val="auto"/>
                      <w:kern w:val="0"/>
                      <w:sz w:val="21"/>
                      <w:szCs w:val="21"/>
                      <w:highlight w:val="none"/>
                      <w:u w:val="none"/>
                      <w:lang w:val="en-US" w:eastAsia="zh-CN" w:bidi="ar"/>
                    </w:rPr>
                    <w:t>206000</w:t>
                  </w:r>
                </w:p>
              </w:tc>
              <w:tc>
                <w:tcPr>
                  <w:tcW w:w="428" w:type="pct"/>
                  <w:tcBorders>
                    <w:tl2br w:val="nil"/>
                    <w:tr2bl w:val="nil"/>
                  </w:tcBorders>
                  <w:noWrap w:val="0"/>
                  <w:tcMar>
                    <w:top w:w="15" w:type="dxa"/>
                    <w:left w:w="15" w:type="dxa"/>
                    <w:right w:w="15" w:type="dxa"/>
                  </w:tcMar>
                  <w:vAlign w:val="center"/>
                </w:tcPr>
                <w:p w14:paraId="159AA19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i w:val="0"/>
                      <w:iCs w:val="0"/>
                      <w:color w:val="auto"/>
                      <w:kern w:val="0"/>
                      <w:sz w:val="21"/>
                      <w:szCs w:val="21"/>
                      <w:highlight w:val="none"/>
                      <w:u w:val="none"/>
                      <w:lang w:val="en-US" w:eastAsia="zh-CN" w:bidi="ar"/>
                    </w:rPr>
                  </w:pPr>
                  <w:r>
                    <w:rPr>
                      <w:rFonts w:hint="eastAsia" w:ascii="Times New Roman" w:hAnsi="Times New Roman" w:eastAsia="宋体" w:cs="Times New Roman"/>
                      <w:b w:val="0"/>
                      <w:bCs/>
                      <w:i w:val="0"/>
                      <w:iCs w:val="0"/>
                      <w:color w:val="auto"/>
                      <w:kern w:val="0"/>
                      <w:sz w:val="21"/>
                      <w:szCs w:val="21"/>
                      <w:highlight w:val="none"/>
                      <w:u w:val="none"/>
                      <w:lang w:val="en-US" w:eastAsia="zh-CN" w:bidi="ar"/>
                    </w:rPr>
                    <w:t>/</w:t>
                  </w:r>
                </w:p>
              </w:tc>
              <w:tc>
                <w:tcPr>
                  <w:tcW w:w="278" w:type="pct"/>
                  <w:tcBorders>
                    <w:tl2br w:val="nil"/>
                    <w:tr2bl w:val="nil"/>
                  </w:tcBorders>
                  <w:noWrap w:val="0"/>
                  <w:tcMar>
                    <w:top w:w="15" w:type="dxa"/>
                    <w:left w:w="15" w:type="dxa"/>
                    <w:right w:w="15" w:type="dxa"/>
                  </w:tcMar>
                  <w:vAlign w:val="center"/>
                </w:tcPr>
                <w:p w14:paraId="2C81F54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i w:val="0"/>
                      <w:iCs w:val="0"/>
                      <w:color w:val="auto"/>
                      <w:kern w:val="0"/>
                      <w:sz w:val="21"/>
                      <w:szCs w:val="21"/>
                      <w:highlight w:val="none"/>
                      <w:u w:val="none"/>
                      <w:lang w:val="en-US" w:eastAsia="zh-CN" w:bidi="ar"/>
                    </w:rPr>
                  </w:pPr>
                  <w:r>
                    <w:rPr>
                      <w:rFonts w:hint="eastAsia" w:ascii="Times New Roman" w:hAnsi="Times New Roman" w:eastAsia="宋体" w:cs="Times New Roman"/>
                      <w:b w:val="0"/>
                      <w:bCs/>
                      <w:i w:val="0"/>
                      <w:iCs w:val="0"/>
                      <w:color w:val="auto"/>
                      <w:kern w:val="0"/>
                      <w:sz w:val="21"/>
                      <w:szCs w:val="21"/>
                      <w:highlight w:val="none"/>
                      <w:u w:val="none"/>
                      <w:lang w:val="en-US" w:eastAsia="zh-CN" w:bidi="ar"/>
                    </w:rPr>
                    <w:t>/</w:t>
                  </w:r>
                </w:p>
              </w:tc>
              <w:tc>
                <w:tcPr>
                  <w:tcW w:w="428" w:type="pct"/>
                  <w:tcBorders>
                    <w:tl2br w:val="nil"/>
                    <w:tr2bl w:val="nil"/>
                  </w:tcBorders>
                  <w:noWrap w:val="0"/>
                  <w:tcMar>
                    <w:top w:w="15" w:type="dxa"/>
                    <w:left w:w="15" w:type="dxa"/>
                    <w:right w:w="15" w:type="dxa"/>
                  </w:tcMar>
                  <w:vAlign w:val="center"/>
                </w:tcPr>
                <w:p w14:paraId="78863D0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i w:val="0"/>
                      <w:iCs w:val="0"/>
                      <w:color w:val="auto"/>
                      <w:kern w:val="0"/>
                      <w:sz w:val="21"/>
                      <w:szCs w:val="21"/>
                      <w:highlight w:val="none"/>
                      <w:u w:val="none"/>
                      <w:lang w:val="en-US" w:eastAsia="zh-CN" w:bidi="ar"/>
                    </w:rPr>
                  </w:pPr>
                  <w:r>
                    <w:rPr>
                      <w:rFonts w:hint="eastAsia" w:ascii="Times New Roman" w:hAnsi="Times New Roman" w:cs="Times New Roman"/>
                      <w:b w:val="0"/>
                      <w:bCs/>
                      <w:i w:val="0"/>
                      <w:iCs w:val="0"/>
                      <w:color w:val="auto"/>
                      <w:sz w:val="21"/>
                      <w:szCs w:val="21"/>
                      <w:highlight w:val="none"/>
                      <w:u w:val="none"/>
                      <w:lang w:val="en-US" w:eastAsia="zh-CN"/>
                    </w:rPr>
                    <w:t>103000</w:t>
                  </w:r>
                </w:p>
              </w:tc>
              <w:tc>
                <w:tcPr>
                  <w:tcW w:w="428" w:type="pct"/>
                  <w:tcBorders>
                    <w:tl2br w:val="nil"/>
                    <w:tr2bl w:val="nil"/>
                  </w:tcBorders>
                  <w:noWrap w:val="0"/>
                  <w:tcMar>
                    <w:top w:w="15" w:type="dxa"/>
                    <w:left w:w="15" w:type="dxa"/>
                    <w:right w:w="15" w:type="dxa"/>
                  </w:tcMar>
                  <w:vAlign w:val="center"/>
                </w:tcPr>
                <w:p w14:paraId="058EBA6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i w:val="0"/>
                      <w:iCs w:val="0"/>
                      <w:color w:val="auto"/>
                      <w:kern w:val="0"/>
                      <w:sz w:val="21"/>
                      <w:szCs w:val="21"/>
                      <w:highlight w:val="none"/>
                      <w:u w:val="none"/>
                      <w:lang w:val="en-US" w:eastAsia="zh-CN" w:bidi="ar"/>
                    </w:rPr>
                  </w:pPr>
                  <w:r>
                    <w:rPr>
                      <w:rFonts w:hint="eastAsia" w:ascii="Times New Roman" w:hAnsi="Times New Roman" w:eastAsia="宋体" w:cs="Times New Roman"/>
                      <w:b w:val="0"/>
                      <w:bCs/>
                      <w:i w:val="0"/>
                      <w:iCs w:val="0"/>
                      <w:color w:val="auto"/>
                      <w:kern w:val="0"/>
                      <w:sz w:val="21"/>
                      <w:szCs w:val="21"/>
                      <w:highlight w:val="none"/>
                      <w:u w:val="none"/>
                      <w:lang w:val="en-US" w:eastAsia="zh-CN" w:bidi="ar"/>
                    </w:rPr>
                    <w:t>/</w:t>
                  </w:r>
                </w:p>
              </w:tc>
              <w:tc>
                <w:tcPr>
                  <w:tcW w:w="278" w:type="pct"/>
                  <w:tcBorders>
                    <w:tl2br w:val="nil"/>
                    <w:tr2bl w:val="nil"/>
                  </w:tcBorders>
                  <w:noWrap w:val="0"/>
                  <w:tcMar>
                    <w:top w:w="15" w:type="dxa"/>
                    <w:left w:w="15" w:type="dxa"/>
                    <w:right w:w="15" w:type="dxa"/>
                  </w:tcMar>
                  <w:vAlign w:val="center"/>
                </w:tcPr>
                <w:p w14:paraId="69151B0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i w:val="0"/>
                      <w:iCs w:val="0"/>
                      <w:color w:val="auto"/>
                      <w:kern w:val="0"/>
                      <w:sz w:val="21"/>
                      <w:szCs w:val="21"/>
                      <w:highlight w:val="none"/>
                      <w:u w:val="none"/>
                      <w:lang w:val="en-US" w:eastAsia="zh-CN" w:bidi="ar"/>
                    </w:rPr>
                  </w:pPr>
                  <w:r>
                    <w:rPr>
                      <w:rFonts w:hint="eastAsia" w:ascii="Times New Roman" w:hAnsi="Times New Roman" w:eastAsia="宋体" w:cs="Times New Roman"/>
                      <w:b w:val="0"/>
                      <w:bCs/>
                      <w:i w:val="0"/>
                      <w:iCs w:val="0"/>
                      <w:color w:val="auto"/>
                      <w:kern w:val="0"/>
                      <w:sz w:val="21"/>
                      <w:szCs w:val="21"/>
                      <w:highlight w:val="none"/>
                      <w:u w:val="none"/>
                      <w:lang w:val="en-US" w:eastAsia="zh-CN" w:bidi="ar"/>
                    </w:rPr>
                    <w:t>/</w:t>
                  </w:r>
                </w:p>
              </w:tc>
              <w:tc>
                <w:tcPr>
                  <w:tcW w:w="428" w:type="pct"/>
                  <w:tcBorders>
                    <w:tl2br w:val="nil"/>
                    <w:tr2bl w:val="nil"/>
                  </w:tcBorders>
                  <w:noWrap w:val="0"/>
                  <w:tcMar>
                    <w:top w:w="15" w:type="dxa"/>
                    <w:left w:w="15" w:type="dxa"/>
                    <w:right w:w="15" w:type="dxa"/>
                  </w:tcMar>
                  <w:vAlign w:val="center"/>
                </w:tcPr>
                <w:p w14:paraId="3230D0D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b w:val="0"/>
                      <w:bCs/>
                      <w:i w:val="0"/>
                      <w:iCs w:val="0"/>
                      <w:color w:val="auto"/>
                      <w:sz w:val="21"/>
                      <w:szCs w:val="21"/>
                      <w:highlight w:val="none"/>
                      <w:u w:val="none"/>
                      <w:lang w:val="en-US" w:eastAsia="zh-CN"/>
                    </w:rPr>
                  </w:pPr>
                  <w:r>
                    <w:rPr>
                      <w:rFonts w:hint="eastAsia" w:ascii="Times New Roman" w:hAnsi="Times New Roman" w:cs="Times New Roman"/>
                      <w:b w:val="0"/>
                      <w:bCs/>
                      <w:i w:val="0"/>
                      <w:iCs w:val="0"/>
                      <w:color w:val="auto"/>
                      <w:sz w:val="21"/>
                      <w:szCs w:val="21"/>
                      <w:highlight w:val="none"/>
                      <w:u w:val="none"/>
                      <w:lang w:val="en-US" w:eastAsia="zh-CN"/>
                    </w:rPr>
                    <w:t>103000</w:t>
                  </w:r>
                </w:p>
              </w:tc>
              <w:tc>
                <w:tcPr>
                  <w:tcW w:w="428" w:type="pct"/>
                  <w:tcBorders>
                    <w:tl2br w:val="nil"/>
                    <w:tr2bl w:val="nil"/>
                  </w:tcBorders>
                  <w:shd w:val="clear" w:color="auto" w:fill="auto"/>
                  <w:noWrap w:val="0"/>
                  <w:tcMar>
                    <w:top w:w="15" w:type="dxa"/>
                    <w:left w:w="15" w:type="dxa"/>
                    <w:right w:w="15" w:type="dxa"/>
                  </w:tcMar>
                  <w:vAlign w:val="center"/>
                </w:tcPr>
                <w:p w14:paraId="09A9916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val="0"/>
                      <w:bCs/>
                      <w:i w:val="0"/>
                      <w:iCs w:val="0"/>
                      <w:color w:val="auto"/>
                      <w:kern w:val="0"/>
                      <w:sz w:val="21"/>
                      <w:szCs w:val="21"/>
                      <w:highlight w:val="none"/>
                      <w:u w:val="none"/>
                      <w:lang w:val="en-US" w:eastAsia="zh-CN" w:bidi="ar"/>
                    </w:rPr>
                  </w:pPr>
                  <w:r>
                    <w:rPr>
                      <w:rFonts w:hint="eastAsia" w:ascii="Times New Roman" w:hAnsi="Times New Roman" w:eastAsia="宋体" w:cs="Times New Roman"/>
                      <w:b w:val="0"/>
                      <w:bCs/>
                      <w:i w:val="0"/>
                      <w:iCs w:val="0"/>
                      <w:color w:val="auto"/>
                      <w:kern w:val="0"/>
                      <w:sz w:val="21"/>
                      <w:szCs w:val="21"/>
                      <w:highlight w:val="none"/>
                      <w:u w:val="none"/>
                      <w:lang w:val="en-US" w:eastAsia="zh-CN" w:bidi="ar"/>
                    </w:rPr>
                    <w:t>/</w:t>
                  </w:r>
                </w:p>
              </w:tc>
              <w:tc>
                <w:tcPr>
                  <w:tcW w:w="278" w:type="pct"/>
                  <w:tcBorders>
                    <w:tl2br w:val="nil"/>
                    <w:tr2bl w:val="nil"/>
                  </w:tcBorders>
                  <w:shd w:val="clear" w:color="auto" w:fill="auto"/>
                  <w:noWrap w:val="0"/>
                  <w:tcMar>
                    <w:top w:w="15" w:type="dxa"/>
                    <w:left w:w="15" w:type="dxa"/>
                    <w:right w:w="15" w:type="dxa"/>
                  </w:tcMar>
                  <w:vAlign w:val="center"/>
                </w:tcPr>
                <w:p w14:paraId="10613EE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val="0"/>
                      <w:bCs/>
                      <w:i w:val="0"/>
                      <w:iCs w:val="0"/>
                      <w:color w:val="auto"/>
                      <w:kern w:val="0"/>
                      <w:sz w:val="21"/>
                      <w:szCs w:val="21"/>
                      <w:highlight w:val="none"/>
                      <w:u w:val="none"/>
                      <w:lang w:val="en-US" w:eastAsia="zh-CN" w:bidi="ar"/>
                    </w:rPr>
                  </w:pPr>
                  <w:r>
                    <w:rPr>
                      <w:rFonts w:hint="eastAsia" w:ascii="Times New Roman" w:hAnsi="Times New Roman" w:eastAsia="宋体" w:cs="Times New Roman"/>
                      <w:b w:val="0"/>
                      <w:bCs/>
                      <w:i w:val="0"/>
                      <w:iCs w:val="0"/>
                      <w:color w:val="auto"/>
                      <w:kern w:val="0"/>
                      <w:sz w:val="21"/>
                      <w:szCs w:val="21"/>
                      <w:highlight w:val="none"/>
                      <w:u w:val="none"/>
                      <w:lang w:val="en-US" w:eastAsia="zh-CN" w:bidi="ar"/>
                    </w:rPr>
                    <w:t>/</w:t>
                  </w:r>
                </w:p>
              </w:tc>
              <w:tc>
                <w:tcPr>
                  <w:tcW w:w="429" w:type="pct"/>
                  <w:tcBorders>
                    <w:tl2br w:val="nil"/>
                    <w:tr2bl w:val="nil"/>
                  </w:tcBorders>
                  <w:shd w:val="clear" w:color="auto" w:fill="auto"/>
                  <w:noWrap w:val="0"/>
                  <w:tcMar>
                    <w:top w:w="15" w:type="dxa"/>
                    <w:left w:w="15" w:type="dxa"/>
                    <w:right w:w="15" w:type="dxa"/>
                  </w:tcMar>
                  <w:vAlign w:val="center"/>
                </w:tcPr>
                <w:p w14:paraId="197FB5AD">
                  <w:pPr>
                    <w:widowControl/>
                    <w:jc w:val="center"/>
                    <w:textAlignment w:val="center"/>
                    <w:rPr>
                      <w:rFonts w:hint="eastAsia" w:ascii="Times New Roman" w:hAnsi="Times New Roman" w:eastAsia="宋体" w:cs="Times New Roman"/>
                      <w:bCs/>
                      <w:color w:val="auto"/>
                      <w:kern w:val="0"/>
                      <w:szCs w:val="21"/>
                      <w:lang w:val="en-US" w:eastAsia="zh-CN" w:bidi="ar"/>
                    </w:rPr>
                  </w:pPr>
                  <w:r>
                    <w:rPr>
                      <w:rFonts w:hint="eastAsia" w:ascii="Times New Roman" w:hAnsi="Times New Roman" w:eastAsia="宋体" w:cs="Times New Roman"/>
                      <w:bCs/>
                      <w:color w:val="auto"/>
                      <w:kern w:val="0"/>
                      <w:szCs w:val="21"/>
                      <w:lang w:val="en-US" w:eastAsia="zh-CN" w:bidi="ar"/>
                    </w:rPr>
                    <w:t>1030000</w:t>
                  </w:r>
                </w:p>
              </w:tc>
            </w:tr>
          </w:tbl>
          <w:p w14:paraId="773D73A7">
            <w:pPr>
              <w:keepNext w:val="0"/>
              <w:keepLines w:val="0"/>
              <w:pageBreakBefore w:val="0"/>
              <w:widowControl w:val="0"/>
              <w:kinsoku/>
              <w:wordWrap/>
              <w:overflowPunct/>
              <w:topLinePunct w:val="0"/>
              <w:autoSpaceDE/>
              <w:autoSpaceDN/>
              <w:bidi w:val="0"/>
              <w:adjustRightInd/>
              <w:snapToGrid/>
              <w:spacing w:line="520" w:lineRule="exact"/>
              <w:ind w:firstLine="420"/>
              <w:textAlignment w:val="auto"/>
              <w:rPr>
                <w:rFonts w:hint="eastAsia"/>
                <w:i w:val="0"/>
                <w:iCs w:val="0"/>
                <w:color w:val="auto"/>
                <w:sz w:val="24"/>
                <w:szCs w:val="22"/>
                <w:highlight w:val="none"/>
                <w:u w:val="none"/>
              </w:rPr>
            </w:pPr>
            <w:r>
              <w:rPr>
                <w:rFonts w:hint="eastAsia" w:ascii="Times New Roman" w:hAnsi="Times New Roman" w:eastAsia="宋体" w:cs="Times New Roman"/>
                <w:b w:val="0"/>
                <w:bCs w:val="0"/>
                <w:i w:val="0"/>
                <w:iCs w:val="0"/>
                <w:color w:val="auto"/>
                <w:sz w:val="24"/>
                <w:szCs w:val="24"/>
                <w:highlight w:val="none"/>
                <w:u w:val="none"/>
                <w:lang w:eastAsia="zh-CN"/>
              </w:rPr>
              <w:t>根据建设单位介绍，本项目</w:t>
            </w:r>
            <w:r>
              <w:rPr>
                <w:rFonts w:hint="eastAsia" w:ascii="Times New Roman" w:hAnsi="Times New Roman" w:cs="Times New Roman"/>
                <w:b w:val="0"/>
                <w:bCs w:val="0"/>
                <w:i w:val="0"/>
                <w:iCs w:val="0"/>
                <w:color w:val="auto"/>
                <w:sz w:val="24"/>
                <w:szCs w:val="24"/>
                <w:highlight w:val="none"/>
                <w:u w:val="none"/>
                <w:lang w:val="en-US" w:eastAsia="zh-CN"/>
              </w:rPr>
              <w:t>10万件车架、5万件后平叉、5万件方向把</w:t>
            </w:r>
            <w:r>
              <w:rPr>
                <w:rFonts w:hint="eastAsia" w:ascii="Times New Roman" w:hAnsi="Times New Roman" w:eastAsia="宋体" w:cs="Times New Roman"/>
                <w:b w:val="0"/>
                <w:bCs w:val="0"/>
                <w:i w:val="0"/>
                <w:iCs w:val="0"/>
                <w:color w:val="auto"/>
                <w:sz w:val="24"/>
                <w:szCs w:val="24"/>
                <w:highlight w:val="none"/>
                <w:u w:val="none"/>
                <w:lang w:eastAsia="zh-CN"/>
              </w:rPr>
              <w:t>需要喷涂</w:t>
            </w:r>
            <w:r>
              <w:rPr>
                <w:rFonts w:hint="eastAsia" w:cs="Times New Roman"/>
                <w:b w:val="0"/>
                <w:bCs w:val="0"/>
                <w:i w:val="0"/>
                <w:iCs w:val="0"/>
                <w:color w:val="auto"/>
                <w:sz w:val="24"/>
                <w:szCs w:val="24"/>
                <w:highlight w:val="none"/>
                <w:u w:val="none"/>
                <w:lang w:eastAsia="zh-CN"/>
              </w:rPr>
              <w:t>涂料，</w:t>
            </w:r>
            <w:r>
              <w:rPr>
                <w:rFonts w:hint="eastAsia" w:cs="Times New Roman"/>
                <w:b w:val="0"/>
                <w:bCs w:val="0"/>
                <w:i w:val="0"/>
                <w:iCs w:val="0"/>
                <w:color w:val="auto"/>
                <w:sz w:val="24"/>
                <w:szCs w:val="24"/>
                <w:highlight w:val="none"/>
                <w:u w:val="none"/>
                <w:lang w:val="en-US" w:eastAsia="zh-CN"/>
              </w:rPr>
              <w:t>所有车架、后平叉、方向把都需要电泳处理</w:t>
            </w:r>
            <w:r>
              <w:rPr>
                <w:rFonts w:hint="eastAsia" w:ascii="Times New Roman" w:hAnsi="Times New Roman" w:eastAsia="宋体" w:cs="Times New Roman"/>
                <w:b w:val="0"/>
                <w:bCs w:val="0"/>
                <w:i w:val="0"/>
                <w:iCs w:val="0"/>
                <w:color w:val="auto"/>
                <w:sz w:val="24"/>
                <w:szCs w:val="24"/>
                <w:highlight w:val="none"/>
                <w:u w:val="none"/>
                <w:lang w:eastAsia="zh-CN"/>
              </w:rPr>
              <w:t>，</w:t>
            </w:r>
            <w:r>
              <w:rPr>
                <w:rFonts w:hint="default" w:ascii="Times New Roman" w:hAnsi="Times New Roman" w:cs="Times New Roman"/>
                <w:i w:val="0"/>
                <w:iCs w:val="0"/>
                <w:color w:val="auto"/>
                <w:sz w:val="24"/>
                <w:szCs w:val="24"/>
                <w:highlight w:val="none"/>
                <w:u w:val="none"/>
              </w:rPr>
              <w:t>项目</w:t>
            </w:r>
            <w:r>
              <w:rPr>
                <w:rFonts w:hint="eastAsia" w:ascii="Times New Roman" w:hAnsi="Times New Roman" w:cs="Times New Roman"/>
                <w:i w:val="0"/>
                <w:iCs w:val="0"/>
                <w:color w:val="auto"/>
                <w:sz w:val="24"/>
                <w:szCs w:val="24"/>
                <w:highlight w:val="none"/>
                <w:u w:val="none"/>
                <w:lang w:eastAsia="zh-CN"/>
              </w:rPr>
              <w:t>使用</w:t>
            </w:r>
            <w:r>
              <w:rPr>
                <w:rFonts w:hint="default" w:ascii="Times New Roman" w:hAnsi="Times New Roman" w:cs="Times New Roman"/>
                <w:i w:val="0"/>
                <w:iCs w:val="0"/>
                <w:color w:val="auto"/>
                <w:sz w:val="24"/>
                <w:szCs w:val="24"/>
                <w:highlight w:val="none"/>
                <w:u w:val="none"/>
              </w:rPr>
              <w:t>涂料的参数如下：</w:t>
            </w:r>
          </w:p>
          <w:p w14:paraId="4F735346">
            <w:pPr>
              <w:keepNext w:val="0"/>
              <w:keepLines w:val="0"/>
              <w:pageBreakBefore w:val="0"/>
              <w:widowControl w:val="0"/>
              <w:kinsoku/>
              <w:wordWrap/>
              <w:overflowPunct/>
              <w:topLinePunct w:val="0"/>
              <w:autoSpaceDE/>
              <w:autoSpaceDN/>
              <w:bidi w:val="0"/>
              <w:adjustRightInd/>
              <w:snapToGrid/>
              <w:spacing w:line="500" w:lineRule="exact"/>
              <w:ind w:firstLine="420"/>
              <w:jc w:val="center"/>
              <w:textAlignment w:val="auto"/>
              <w:rPr>
                <w:rFonts w:hint="default" w:ascii="Times New Roman" w:hAnsi="Times New Roman" w:eastAsia="宋体" w:cs="Times New Roman"/>
                <w:b/>
                <w:bCs/>
                <w:i w:val="0"/>
                <w:iCs w:val="0"/>
                <w:color w:val="auto"/>
                <w:sz w:val="24"/>
                <w:szCs w:val="24"/>
                <w:highlight w:val="none"/>
                <w:u w:val="none"/>
                <w:lang w:val="en-US" w:eastAsia="zh-CN"/>
              </w:rPr>
            </w:pPr>
            <w:r>
              <w:rPr>
                <w:rFonts w:hint="default" w:ascii="Times New Roman" w:hAnsi="Times New Roman" w:eastAsia="宋体" w:cs="Times New Roman"/>
                <w:b/>
                <w:bCs/>
                <w:i w:val="0"/>
                <w:iCs w:val="0"/>
                <w:color w:val="auto"/>
                <w:sz w:val="24"/>
                <w:szCs w:val="24"/>
                <w:highlight w:val="none"/>
                <w:u w:val="none"/>
                <w:lang w:val="en-US" w:eastAsia="zh-CN"/>
              </w:rPr>
              <w:t>表2-</w:t>
            </w:r>
            <w:r>
              <w:rPr>
                <w:rFonts w:hint="eastAsia" w:cs="Times New Roman"/>
                <w:b/>
                <w:bCs/>
                <w:i w:val="0"/>
                <w:iCs w:val="0"/>
                <w:color w:val="auto"/>
                <w:sz w:val="24"/>
                <w:szCs w:val="24"/>
                <w:highlight w:val="none"/>
                <w:u w:val="none"/>
                <w:lang w:val="en-US" w:eastAsia="zh-CN"/>
              </w:rPr>
              <w:t>9</w:t>
            </w:r>
            <w:r>
              <w:rPr>
                <w:rFonts w:hint="default" w:ascii="Times New Roman" w:hAnsi="Times New Roman" w:eastAsia="宋体" w:cs="Times New Roman"/>
                <w:b/>
                <w:bCs/>
                <w:i w:val="0"/>
                <w:iCs w:val="0"/>
                <w:color w:val="auto"/>
                <w:sz w:val="24"/>
                <w:szCs w:val="24"/>
                <w:highlight w:val="none"/>
                <w:u w:val="none"/>
                <w:lang w:val="en-US" w:eastAsia="zh-CN"/>
              </w:rPr>
              <w:t xml:space="preserve">  涂料使用参数及涂料用量一览表</w:t>
            </w:r>
          </w:p>
          <w:tbl>
            <w:tblPr>
              <w:tblStyle w:val="3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1138"/>
              <w:gridCol w:w="1070"/>
              <w:gridCol w:w="1190"/>
              <w:gridCol w:w="867"/>
              <w:gridCol w:w="899"/>
              <w:gridCol w:w="922"/>
              <w:gridCol w:w="922"/>
            </w:tblGrid>
            <w:tr w14:paraId="1738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84" w:type="pct"/>
                  <w:tcBorders>
                    <w:tl2br w:val="nil"/>
                    <w:tr2bl w:val="nil"/>
                  </w:tcBorders>
                  <w:noWrap w:val="0"/>
                  <w:vAlign w:val="center"/>
                </w:tcPr>
                <w:p w14:paraId="39E47178">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b/>
                      <w:bCs/>
                      <w:i w:val="0"/>
                      <w:iCs w:val="0"/>
                      <w:color w:val="auto"/>
                      <w:sz w:val="21"/>
                      <w:szCs w:val="21"/>
                      <w:highlight w:val="none"/>
                      <w:u w:val="none"/>
                      <w:lang w:val="en-US" w:eastAsia="zh-CN"/>
                    </w:rPr>
                  </w:pPr>
                  <w:r>
                    <w:rPr>
                      <w:rFonts w:hint="default" w:ascii="Times New Roman" w:hAnsi="Times New Roman" w:eastAsia="宋体" w:cs="Times New Roman"/>
                      <w:b/>
                      <w:bCs/>
                      <w:i w:val="0"/>
                      <w:iCs w:val="0"/>
                      <w:color w:val="auto"/>
                      <w:sz w:val="21"/>
                      <w:szCs w:val="21"/>
                      <w:highlight w:val="none"/>
                      <w:u w:val="none"/>
                      <w:lang w:val="en-US" w:eastAsia="zh-CN"/>
                    </w:rPr>
                    <w:t>类型</w:t>
                  </w:r>
                </w:p>
              </w:tc>
              <w:tc>
                <w:tcPr>
                  <w:tcW w:w="691" w:type="pct"/>
                  <w:tcBorders>
                    <w:tl2br w:val="nil"/>
                    <w:tr2bl w:val="nil"/>
                  </w:tcBorders>
                  <w:noWrap w:val="0"/>
                  <w:vAlign w:val="center"/>
                </w:tcPr>
                <w:p w14:paraId="5938A86F">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b/>
                      <w:bCs/>
                      <w:i w:val="0"/>
                      <w:iCs w:val="0"/>
                      <w:color w:val="auto"/>
                      <w:sz w:val="21"/>
                      <w:szCs w:val="21"/>
                      <w:highlight w:val="none"/>
                      <w:u w:val="none"/>
                      <w:lang w:val="en-US" w:eastAsia="zh-CN"/>
                    </w:rPr>
                  </w:pPr>
                  <w:r>
                    <w:rPr>
                      <w:rFonts w:hint="eastAsia" w:ascii="Times New Roman" w:hAnsi="Times New Roman" w:cs="Times New Roman"/>
                      <w:b/>
                      <w:bCs/>
                      <w:i w:val="0"/>
                      <w:iCs w:val="0"/>
                      <w:color w:val="auto"/>
                      <w:sz w:val="21"/>
                      <w:szCs w:val="21"/>
                      <w:highlight w:val="none"/>
                      <w:u w:val="none"/>
                      <w:lang w:val="en-US" w:eastAsia="zh-CN"/>
                    </w:rPr>
                    <w:t>粉料</w:t>
                  </w:r>
                  <w:r>
                    <w:rPr>
                      <w:rFonts w:hint="default" w:ascii="Times New Roman" w:hAnsi="Times New Roman" w:eastAsia="宋体" w:cs="Times New Roman"/>
                      <w:b/>
                      <w:bCs/>
                      <w:i w:val="0"/>
                      <w:iCs w:val="0"/>
                      <w:color w:val="auto"/>
                      <w:sz w:val="21"/>
                      <w:szCs w:val="21"/>
                      <w:highlight w:val="none"/>
                      <w:u w:val="none"/>
                      <w:lang w:val="en-US" w:eastAsia="zh-CN"/>
                    </w:rPr>
                    <w:t>密度</w:t>
                  </w:r>
                </w:p>
                <w:p w14:paraId="3A36DAC4">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b/>
                      <w:bCs/>
                      <w:i w:val="0"/>
                      <w:iCs w:val="0"/>
                      <w:color w:val="auto"/>
                      <w:sz w:val="21"/>
                      <w:szCs w:val="21"/>
                      <w:highlight w:val="none"/>
                      <w:u w:val="none"/>
                      <w:lang w:val="en-US" w:eastAsia="zh-CN"/>
                    </w:rPr>
                  </w:pPr>
                  <w:r>
                    <w:rPr>
                      <w:rFonts w:hint="default" w:ascii="Times New Roman" w:hAnsi="Times New Roman" w:eastAsia="宋体" w:cs="Times New Roman"/>
                      <w:b/>
                      <w:bCs/>
                      <w:i w:val="0"/>
                      <w:iCs w:val="0"/>
                      <w:color w:val="auto"/>
                      <w:sz w:val="21"/>
                      <w:szCs w:val="21"/>
                      <w:highlight w:val="none"/>
                      <w:u w:val="none"/>
                      <w:lang w:val="en-US" w:eastAsia="zh-CN"/>
                    </w:rPr>
                    <w:t>ρ（g/cm</w:t>
                  </w:r>
                  <w:r>
                    <w:rPr>
                      <w:rFonts w:hint="default" w:ascii="Times New Roman" w:hAnsi="Times New Roman" w:eastAsia="宋体" w:cs="Times New Roman"/>
                      <w:b/>
                      <w:bCs/>
                      <w:i w:val="0"/>
                      <w:iCs w:val="0"/>
                      <w:color w:val="auto"/>
                      <w:sz w:val="21"/>
                      <w:szCs w:val="21"/>
                      <w:highlight w:val="none"/>
                      <w:u w:val="none"/>
                      <w:vertAlign w:val="superscript"/>
                      <w:lang w:val="en-US" w:eastAsia="zh-CN"/>
                    </w:rPr>
                    <w:t>3</w:t>
                  </w:r>
                  <w:r>
                    <w:rPr>
                      <w:rFonts w:hint="default" w:ascii="Times New Roman" w:hAnsi="Times New Roman" w:eastAsia="宋体" w:cs="Times New Roman"/>
                      <w:b/>
                      <w:bCs/>
                      <w:i w:val="0"/>
                      <w:iCs w:val="0"/>
                      <w:color w:val="auto"/>
                      <w:sz w:val="21"/>
                      <w:szCs w:val="21"/>
                      <w:highlight w:val="none"/>
                      <w:u w:val="none"/>
                      <w:lang w:val="en-US" w:eastAsia="zh-CN"/>
                    </w:rPr>
                    <w:t>）</w:t>
                  </w:r>
                </w:p>
              </w:tc>
              <w:tc>
                <w:tcPr>
                  <w:tcW w:w="660" w:type="pct"/>
                  <w:tcBorders>
                    <w:tl2br w:val="nil"/>
                    <w:tr2bl w:val="nil"/>
                  </w:tcBorders>
                  <w:noWrap w:val="0"/>
                  <w:vAlign w:val="center"/>
                </w:tcPr>
                <w:p w14:paraId="5F703C21">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b/>
                      <w:bCs/>
                      <w:i w:val="0"/>
                      <w:iCs w:val="0"/>
                      <w:color w:val="auto"/>
                      <w:sz w:val="21"/>
                      <w:szCs w:val="21"/>
                      <w:highlight w:val="none"/>
                      <w:u w:val="none"/>
                      <w:lang w:val="en-US" w:eastAsia="zh-CN"/>
                    </w:rPr>
                  </w:pPr>
                  <w:r>
                    <w:rPr>
                      <w:rFonts w:hint="default" w:ascii="Times New Roman" w:hAnsi="Times New Roman" w:eastAsia="宋体" w:cs="Times New Roman"/>
                      <w:b/>
                      <w:bCs/>
                      <w:i w:val="0"/>
                      <w:iCs w:val="0"/>
                      <w:color w:val="auto"/>
                      <w:sz w:val="21"/>
                      <w:szCs w:val="21"/>
                      <w:highlight w:val="none"/>
                      <w:u w:val="none"/>
                      <w:lang w:val="en-US" w:eastAsia="zh-CN"/>
                    </w:rPr>
                    <w:t>干膜厚度</w:t>
                  </w:r>
                </w:p>
                <w:p w14:paraId="19F5EFD8">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b/>
                      <w:bCs/>
                      <w:i w:val="0"/>
                      <w:iCs w:val="0"/>
                      <w:color w:val="auto"/>
                      <w:sz w:val="21"/>
                      <w:szCs w:val="21"/>
                      <w:highlight w:val="none"/>
                      <w:u w:val="none"/>
                      <w:lang w:val="en-US" w:eastAsia="zh-CN"/>
                    </w:rPr>
                  </w:pPr>
                  <w:r>
                    <w:rPr>
                      <w:rFonts w:hint="default" w:ascii="Times New Roman" w:hAnsi="Times New Roman" w:eastAsia="宋体" w:cs="Times New Roman"/>
                      <w:b/>
                      <w:bCs/>
                      <w:i w:val="0"/>
                      <w:iCs w:val="0"/>
                      <w:color w:val="auto"/>
                      <w:sz w:val="21"/>
                      <w:szCs w:val="21"/>
                      <w:highlight w:val="none"/>
                      <w:u w:val="none"/>
                      <w:lang w:val="en-US" w:eastAsia="zh-CN"/>
                    </w:rPr>
                    <w:t>δ（μm）</w:t>
                  </w:r>
                </w:p>
              </w:tc>
              <w:tc>
                <w:tcPr>
                  <w:tcW w:w="734" w:type="pct"/>
                  <w:tcBorders>
                    <w:tl2br w:val="nil"/>
                    <w:tr2bl w:val="nil"/>
                  </w:tcBorders>
                  <w:noWrap w:val="0"/>
                  <w:vAlign w:val="center"/>
                </w:tcPr>
                <w:p w14:paraId="62530A5C">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b/>
                      <w:bCs/>
                      <w:i w:val="0"/>
                      <w:iCs w:val="0"/>
                      <w:color w:val="auto"/>
                      <w:sz w:val="21"/>
                      <w:szCs w:val="21"/>
                      <w:highlight w:val="none"/>
                      <w:u w:val="none"/>
                      <w:lang w:val="en-US" w:eastAsia="zh-CN"/>
                    </w:rPr>
                  </w:pPr>
                  <w:r>
                    <w:rPr>
                      <w:rFonts w:hint="default" w:ascii="Times New Roman" w:hAnsi="Times New Roman" w:eastAsia="宋体" w:cs="Times New Roman"/>
                      <w:b/>
                      <w:bCs/>
                      <w:i w:val="0"/>
                      <w:iCs w:val="0"/>
                      <w:color w:val="auto"/>
                      <w:sz w:val="21"/>
                      <w:szCs w:val="21"/>
                      <w:highlight w:val="none"/>
                      <w:u w:val="none"/>
                      <w:lang w:val="en-US" w:eastAsia="zh-CN"/>
                    </w:rPr>
                    <w:t>涂装面积S（m</w:t>
                  </w:r>
                  <w:r>
                    <w:rPr>
                      <w:rFonts w:hint="default" w:ascii="Times New Roman" w:hAnsi="Times New Roman" w:eastAsia="宋体" w:cs="Times New Roman"/>
                      <w:b/>
                      <w:bCs/>
                      <w:i w:val="0"/>
                      <w:iCs w:val="0"/>
                      <w:color w:val="auto"/>
                      <w:sz w:val="21"/>
                      <w:szCs w:val="21"/>
                      <w:highlight w:val="none"/>
                      <w:u w:val="none"/>
                      <w:vertAlign w:val="superscript"/>
                      <w:lang w:val="en-US" w:eastAsia="zh-CN"/>
                    </w:rPr>
                    <w:t>2</w:t>
                  </w:r>
                  <w:r>
                    <w:rPr>
                      <w:rFonts w:hint="default" w:ascii="Times New Roman" w:hAnsi="Times New Roman" w:eastAsia="宋体" w:cs="Times New Roman"/>
                      <w:b/>
                      <w:bCs/>
                      <w:i w:val="0"/>
                      <w:iCs w:val="0"/>
                      <w:color w:val="auto"/>
                      <w:sz w:val="21"/>
                      <w:szCs w:val="21"/>
                      <w:highlight w:val="none"/>
                      <w:u w:val="none"/>
                      <w:lang w:val="en-US" w:eastAsia="zh-CN"/>
                    </w:rPr>
                    <w:t>）</w:t>
                  </w:r>
                </w:p>
              </w:tc>
              <w:tc>
                <w:tcPr>
                  <w:tcW w:w="535" w:type="pct"/>
                  <w:tcBorders>
                    <w:tl2br w:val="nil"/>
                    <w:tr2bl w:val="nil"/>
                  </w:tcBorders>
                  <w:noWrap w:val="0"/>
                  <w:vAlign w:val="center"/>
                </w:tcPr>
                <w:p w14:paraId="03526EDC">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b/>
                      <w:bCs/>
                      <w:i w:val="0"/>
                      <w:iCs w:val="0"/>
                      <w:color w:val="auto"/>
                      <w:sz w:val="21"/>
                      <w:szCs w:val="21"/>
                      <w:highlight w:val="none"/>
                      <w:u w:val="none"/>
                      <w:lang w:val="en-US" w:eastAsia="zh-CN"/>
                    </w:rPr>
                  </w:pPr>
                  <w:r>
                    <w:rPr>
                      <w:rFonts w:hint="default" w:ascii="Times New Roman" w:hAnsi="Times New Roman" w:eastAsia="宋体" w:cs="Times New Roman"/>
                      <w:b/>
                      <w:bCs/>
                      <w:i w:val="0"/>
                      <w:iCs w:val="0"/>
                      <w:color w:val="auto"/>
                      <w:sz w:val="21"/>
                      <w:szCs w:val="21"/>
                      <w:highlight w:val="none"/>
                      <w:u w:val="none"/>
                      <w:lang w:val="en-US" w:eastAsia="zh-CN"/>
                    </w:rPr>
                    <w:t>固体份 NV（%）</w:t>
                  </w:r>
                </w:p>
              </w:tc>
              <w:tc>
                <w:tcPr>
                  <w:tcW w:w="555" w:type="pct"/>
                  <w:tcBorders>
                    <w:tl2br w:val="nil"/>
                    <w:tr2bl w:val="nil"/>
                  </w:tcBorders>
                  <w:noWrap w:val="0"/>
                  <w:vAlign w:val="center"/>
                </w:tcPr>
                <w:p w14:paraId="4D3865E1">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b/>
                      <w:bCs/>
                      <w:i w:val="0"/>
                      <w:iCs w:val="0"/>
                      <w:color w:val="auto"/>
                      <w:sz w:val="21"/>
                      <w:szCs w:val="21"/>
                      <w:highlight w:val="none"/>
                      <w:u w:val="none"/>
                      <w:lang w:val="en-US" w:eastAsia="zh-CN"/>
                    </w:rPr>
                  </w:pPr>
                  <w:r>
                    <w:rPr>
                      <w:rFonts w:hint="default" w:ascii="Times New Roman" w:hAnsi="Times New Roman" w:eastAsia="宋体" w:cs="Times New Roman"/>
                      <w:b/>
                      <w:bCs/>
                      <w:i w:val="0"/>
                      <w:iCs w:val="0"/>
                      <w:color w:val="auto"/>
                      <w:sz w:val="21"/>
                      <w:szCs w:val="21"/>
                      <w:highlight w:val="none"/>
                      <w:u w:val="none"/>
                      <w:lang w:val="en-US" w:eastAsia="zh-CN"/>
                    </w:rPr>
                    <w:t>上漆率</w:t>
                  </w:r>
                  <w:r>
                    <w:rPr>
                      <w:rFonts w:hint="eastAsia" w:ascii="Times New Roman" w:hAnsi="Times New Roman" w:cs="Times New Roman"/>
                      <w:b/>
                      <w:bCs/>
                      <w:i w:val="0"/>
                      <w:iCs w:val="0"/>
                      <w:color w:val="auto"/>
                      <w:sz w:val="21"/>
                      <w:szCs w:val="21"/>
                      <w:highlight w:val="none"/>
                      <w:u w:val="none"/>
                      <w:lang w:val="en-US" w:eastAsia="zh-CN"/>
                    </w:rPr>
                    <w:t>（利用率）</w:t>
                  </w:r>
                  <w:r>
                    <w:rPr>
                      <w:rFonts w:hint="default" w:ascii="Times New Roman" w:hAnsi="Times New Roman" w:eastAsia="宋体" w:cs="Times New Roman"/>
                      <w:b/>
                      <w:bCs/>
                      <w:i w:val="0"/>
                      <w:iCs w:val="0"/>
                      <w:color w:val="auto"/>
                      <w:sz w:val="21"/>
                      <w:szCs w:val="21"/>
                      <w:highlight w:val="none"/>
                      <w:u w:val="none"/>
                      <w:lang w:val="en-US" w:eastAsia="zh-CN"/>
                    </w:rPr>
                    <w:t>ε（%）</w:t>
                  </w:r>
                </w:p>
              </w:tc>
              <w:tc>
                <w:tcPr>
                  <w:tcW w:w="569" w:type="pct"/>
                  <w:tcBorders>
                    <w:tl2br w:val="nil"/>
                    <w:tr2bl w:val="nil"/>
                  </w:tcBorders>
                  <w:noWrap w:val="0"/>
                  <w:vAlign w:val="center"/>
                </w:tcPr>
                <w:p w14:paraId="2E6BDDF4">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b/>
                      <w:bCs/>
                      <w:i w:val="0"/>
                      <w:iCs w:val="0"/>
                      <w:color w:val="auto"/>
                      <w:sz w:val="21"/>
                      <w:szCs w:val="21"/>
                      <w:highlight w:val="none"/>
                      <w:u w:val="none"/>
                      <w:lang w:val="en-US" w:eastAsia="zh-CN"/>
                    </w:rPr>
                  </w:pPr>
                  <w:r>
                    <w:rPr>
                      <w:rFonts w:hint="eastAsia" w:ascii="Times New Roman" w:cs="Times New Roman"/>
                      <w:b/>
                      <w:bCs/>
                      <w:i w:val="0"/>
                      <w:iCs w:val="0"/>
                      <w:color w:val="auto"/>
                      <w:sz w:val="21"/>
                      <w:szCs w:val="21"/>
                      <w:highlight w:val="none"/>
                      <w:u w:val="none"/>
                      <w:lang w:val="en-US" w:eastAsia="zh-CN"/>
                    </w:rPr>
                    <w:t>理论</w:t>
                  </w:r>
                  <w:r>
                    <w:rPr>
                      <w:rFonts w:hint="default" w:ascii="Times New Roman" w:hAnsi="Times New Roman" w:eastAsia="宋体" w:cs="Times New Roman"/>
                      <w:b/>
                      <w:bCs/>
                      <w:i w:val="0"/>
                      <w:iCs w:val="0"/>
                      <w:color w:val="auto"/>
                      <w:sz w:val="21"/>
                      <w:szCs w:val="21"/>
                      <w:highlight w:val="none"/>
                      <w:u w:val="none"/>
                      <w:lang w:val="en-US" w:eastAsia="zh-CN"/>
                    </w:rPr>
                    <w:t>涂料年用量(t/a)</w:t>
                  </w:r>
                </w:p>
              </w:tc>
              <w:tc>
                <w:tcPr>
                  <w:tcW w:w="569" w:type="pct"/>
                  <w:tcBorders>
                    <w:tl2br w:val="nil"/>
                    <w:tr2bl w:val="nil"/>
                  </w:tcBorders>
                  <w:noWrap w:val="0"/>
                  <w:vAlign w:val="center"/>
                </w:tcPr>
                <w:p w14:paraId="21DD0608">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b/>
                      <w:bCs/>
                      <w:i w:val="0"/>
                      <w:iCs w:val="0"/>
                      <w:color w:val="auto"/>
                      <w:sz w:val="21"/>
                      <w:szCs w:val="21"/>
                      <w:highlight w:val="none"/>
                      <w:u w:val="none"/>
                      <w:lang w:val="en-US" w:eastAsia="zh-CN"/>
                    </w:rPr>
                  </w:pPr>
                  <w:r>
                    <w:rPr>
                      <w:rFonts w:hint="eastAsia" w:ascii="Times New Roman" w:cs="Times New Roman"/>
                      <w:b/>
                      <w:bCs/>
                      <w:i w:val="0"/>
                      <w:iCs w:val="0"/>
                      <w:color w:val="auto"/>
                      <w:sz w:val="21"/>
                      <w:szCs w:val="21"/>
                      <w:highlight w:val="none"/>
                      <w:u w:val="none"/>
                      <w:lang w:val="en-US" w:eastAsia="zh-CN"/>
                    </w:rPr>
                    <w:t>实际年用量（t/a）</w:t>
                  </w:r>
                </w:p>
              </w:tc>
            </w:tr>
            <w:tr w14:paraId="681D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pct"/>
                  <w:tcBorders>
                    <w:tl2br w:val="nil"/>
                    <w:tr2bl w:val="nil"/>
                  </w:tcBorders>
                  <w:noWrap w:val="0"/>
                  <w:vAlign w:val="center"/>
                </w:tcPr>
                <w:p w14:paraId="385F0EC6">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ascii="Times New Roman" w:hAnsi="Times New Roman" w:cs="Times New Roman"/>
                      <w:i w:val="0"/>
                      <w:iCs w:val="0"/>
                      <w:color w:val="auto"/>
                      <w:sz w:val="21"/>
                      <w:szCs w:val="21"/>
                      <w:highlight w:val="none"/>
                      <w:u w:val="none"/>
                      <w:lang w:val="en-US" w:eastAsia="zh-CN"/>
                    </w:rPr>
                    <w:t>白色粉料</w:t>
                  </w:r>
                </w:p>
              </w:tc>
              <w:tc>
                <w:tcPr>
                  <w:tcW w:w="691" w:type="pct"/>
                  <w:tcBorders>
                    <w:tl2br w:val="nil"/>
                    <w:tr2bl w:val="nil"/>
                  </w:tcBorders>
                  <w:shd w:val="clear" w:color="auto" w:fill="auto"/>
                  <w:noWrap w:val="0"/>
                  <w:vAlign w:val="center"/>
                </w:tcPr>
                <w:p w14:paraId="1D5ACBA7">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i w:val="0"/>
                      <w:iCs w:val="0"/>
                      <w:color w:val="auto"/>
                      <w:sz w:val="21"/>
                      <w:szCs w:val="21"/>
                      <w:highlight w:val="none"/>
                      <w:u w:val="none"/>
                      <w:lang w:val="en-US" w:eastAsia="zh-CN"/>
                    </w:rPr>
                    <w:t>1.45</w:t>
                  </w:r>
                </w:p>
              </w:tc>
              <w:tc>
                <w:tcPr>
                  <w:tcW w:w="660" w:type="pct"/>
                  <w:tcBorders>
                    <w:tl2br w:val="nil"/>
                    <w:tr2bl w:val="nil"/>
                  </w:tcBorders>
                  <w:noWrap w:val="0"/>
                  <w:vAlign w:val="center"/>
                </w:tcPr>
                <w:p w14:paraId="1FD539AC">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jc w:val="center"/>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ascii="Times New Roman" w:cs="Times New Roman"/>
                      <w:i w:val="0"/>
                      <w:iCs w:val="0"/>
                      <w:color w:val="auto"/>
                      <w:sz w:val="21"/>
                      <w:szCs w:val="21"/>
                      <w:highlight w:val="none"/>
                      <w:u w:val="none"/>
                      <w:lang w:val="en-US" w:eastAsia="zh-CN"/>
                    </w:rPr>
                    <w:t>60</w:t>
                  </w:r>
                </w:p>
              </w:tc>
              <w:tc>
                <w:tcPr>
                  <w:tcW w:w="734" w:type="pct"/>
                  <w:tcBorders>
                    <w:tl2br w:val="nil"/>
                    <w:tr2bl w:val="nil"/>
                  </w:tcBorders>
                  <w:noWrap w:val="0"/>
                  <w:vAlign w:val="center"/>
                </w:tcPr>
                <w:p w14:paraId="7037E140">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ascii="Times New Roman" w:hAnsi="Times New Roman" w:cs="Times New Roman"/>
                      <w:b w:val="0"/>
                      <w:bCs/>
                      <w:i w:val="0"/>
                      <w:iCs w:val="0"/>
                      <w:color w:val="auto"/>
                      <w:kern w:val="0"/>
                      <w:sz w:val="21"/>
                      <w:szCs w:val="21"/>
                      <w:highlight w:val="none"/>
                      <w:u w:val="none"/>
                      <w:lang w:val="en-US" w:eastAsia="zh-CN" w:bidi="ar"/>
                    </w:rPr>
                    <w:t>206000</w:t>
                  </w:r>
                </w:p>
              </w:tc>
              <w:tc>
                <w:tcPr>
                  <w:tcW w:w="535" w:type="pct"/>
                  <w:tcBorders>
                    <w:tl2br w:val="nil"/>
                    <w:tr2bl w:val="nil"/>
                  </w:tcBorders>
                  <w:noWrap w:val="0"/>
                  <w:vAlign w:val="center"/>
                </w:tcPr>
                <w:p w14:paraId="5938F337">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ascii="Times New Roman" w:cs="Times New Roman"/>
                      <w:i w:val="0"/>
                      <w:iCs w:val="0"/>
                      <w:color w:val="auto"/>
                      <w:sz w:val="21"/>
                      <w:szCs w:val="21"/>
                      <w:highlight w:val="none"/>
                      <w:u w:val="none"/>
                      <w:lang w:val="en-US" w:eastAsia="zh-CN"/>
                    </w:rPr>
                    <w:t>100</w:t>
                  </w:r>
                </w:p>
              </w:tc>
              <w:tc>
                <w:tcPr>
                  <w:tcW w:w="555" w:type="pct"/>
                  <w:tcBorders>
                    <w:tl2br w:val="nil"/>
                    <w:tr2bl w:val="nil"/>
                  </w:tcBorders>
                  <w:noWrap w:val="0"/>
                  <w:vAlign w:val="center"/>
                </w:tcPr>
                <w:p w14:paraId="0EC7D66B">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ascii="Times New Roman" w:hAnsi="Times New Roman" w:cs="Times New Roman"/>
                      <w:i w:val="0"/>
                      <w:iCs w:val="0"/>
                      <w:color w:val="auto"/>
                      <w:sz w:val="21"/>
                      <w:szCs w:val="21"/>
                      <w:highlight w:val="none"/>
                      <w:u w:val="none"/>
                      <w:lang w:val="en-US" w:eastAsia="zh-CN"/>
                    </w:rPr>
                    <w:t>65</w:t>
                  </w:r>
                </w:p>
              </w:tc>
              <w:tc>
                <w:tcPr>
                  <w:tcW w:w="569" w:type="pct"/>
                  <w:tcBorders>
                    <w:tl2br w:val="nil"/>
                    <w:tr2bl w:val="nil"/>
                  </w:tcBorders>
                  <w:noWrap w:val="0"/>
                  <w:vAlign w:val="center"/>
                </w:tcPr>
                <w:p w14:paraId="5028EA9F">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ascii="Times New Roman" w:cs="Times New Roman"/>
                      <w:i w:val="0"/>
                      <w:iCs w:val="0"/>
                      <w:color w:val="auto"/>
                      <w:sz w:val="21"/>
                      <w:szCs w:val="21"/>
                      <w:highlight w:val="none"/>
                      <w:u w:val="none"/>
                      <w:lang w:val="en-US" w:eastAsia="zh-CN"/>
                    </w:rPr>
                    <w:t>27.57</w:t>
                  </w:r>
                </w:p>
              </w:tc>
              <w:tc>
                <w:tcPr>
                  <w:tcW w:w="569" w:type="pct"/>
                  <w:tcBorders>
                    <w:tl2br w:val="nil"/>
                    <w:tr2bl w:val="nil"/>
                  </w:tcBorders>
                  <w:noWrap w:val="0"/>
                  <w:vAlign w:val="center"/>
                </w:tcPr>
                <w:p w14:paraId="12E9FBDF">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cs="Times New Roman"/>
                      <w:i w:val="0"/>
                      <w:iCs w:val="0"/>
                      <w:color w:val="auto"/>
                      <w:sz w:val="21"/>
                      <w:szCs w:val="21"/>
                      <w:highlight w:val="none"/>
                      <w:u w:val="none"/>
                      <w:lang w:val="en-US" w:eastAsia="zh-CN"/>
                    </w:rPr>
                  </w:pPr>
                  <w:r>
                    <w:rPr>
                      <w:rFonts w:hint="eastAsia" w:ascii="Times New Roman" w:cs="Times New Roman"/>
                      <w:i w:val="0"/>
                      <w:iCs w:val="0"/>
                      <w:color w:val="auto"/>
                      <w:sz w:val="21"/>
                      <w:szCs w:val="21"/>
                      <w:highlight w:val="none"/>
                      <w:u w:val="none"/>
                      <w:lang w:val="en-US" w:eastAsia="zh-CN"/>
                    </w:rPr>
                    <w:t>28</w:t>
                  </w:r>
                </w:p>
              </w:tc>
            </w:tr>
            <w:tr w14:paraId="6D8E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84" w:type="pct"/>
                  <w:tcBorders>
                    <w:tl2br w:val="nil"/>
                    <w:tr2bl w:val="nil"/>
                  </w:tcBorders>
                  <w:noWrap w:val="0"/>
                  <w:vAlign w:val="center"/>
                </w:tcPr>
                <w:p w14:paraId="7BD4C50D">
                  <w:pPr>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jc w:val="center"/>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ascii="Times New Roman" w:hAnsi="Times New Roman" w:cs="Times New Roman"/>
                      <w:i w:val="0"/>
                      <w:iCs w:val="0"/>
                      <w:color w:val="auto"/>
                      <w:sz w:val="21"/>
                      <w:szCs w:val="21"/>
                      <w:highlight w:val="none"/>
                      <w:u w:val="none"/>
                      <w:lang w:val="en-US" w:eastAsia="zh-CN"/>
                    </w:rPr>
                    <w:t>绿色粉料</w:t>
                  </w:r>
                </w:p>
              </w:tc>
              <w:tc>
                <w:tcPr>
                  <w:tcW w:w="691" w:type="pct"/>
                  <w:tcBorders>
                    <w:tl2br w:val="nil"/>
                    <w:tr2bl w:val="nil"/>
                  </w:tcBorders>
                  <w:shd w:val="clear" w:color="auto" w:fill="auto"/>
                  <w:noWrap w:val="0"/>
                  <w:vAlign w:val="center"/>
                </w:tcPr>
                <w:p w14:paraId="2FBD0D9D">
                  <w:pPr>
                    <w:keepNext w:val="0"/>
                    <w:keepLines w:val="0"/>
                    <w:pageBreakBefore w:val="0"/>
                    <w:widowControl/>
                    <w:kinsoku/>
                    <w:wordWrap/>
                    <w:overflowPunct/>
                    <w:topLinePunct w:val="0"/>
                    <w:autoSpaceDE/>
                    <w:autoSpaceDN/>
                    <w:bidi w:val="0"/>
                    <w:adjustRightInd/>
                    <w:snapToGrid/>
                    <w:spacing w:beforeLines="0" w:afterLines="0"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i w:val="0"/>
                      <w:iCs w:val="0"/>
                      <w:color w:val="auto"/>
                      <w:sz w:val="21"/>
                      <w:szCs w:val="21"/>
                      <w:highlight w:val="none"/>
                      <w:u w:val="none"/>
                      <w:lang w:val="en-US" w:eastAsia="zh-CN"/>
                    </w:rPr>
                    <w:t>1.45</w:t>
                  </w:r>
                </w:p>
              </w:tc>
              <w:tc>
                <w:tcPr>
                  <w:tcW w:w="660" w:type="pct"/>
                  <w:tcBorders>
                    <w:tl2br w:val="nil"/>
                    <w:tr2bl w:val="nil"/>
                  </w:tcBorders>
                  <w:noWrap w:val="0"/>
                  <w:vAlign w:val="center"/>
                </w:tcPr>
                <w:p w14:paraId="664A4438">
                  <w:pPr>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jc w:val="center"/>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ascii="Times New Roman" w:cs="Times New Roman"/>
                      <w:i w:val="0"/>
                      <w:iCs w:val="0"/>
                      <w:color w:val="auto"/>
                      <w:sz w:val="21"/>
                      <w:szCs w:val="21"/>
                      <w:highlight w:val="none"/>
                      <w:u w:val="none"/>
                      <w:lang w:val="en-US" w:eastAsia="zh-CN"/>
                    </w:rPr>
                    <w:t>60</w:t>
                  </w:r>
                </w:p>
              </w:tc>
              <w:tc>
                <w:tcPr>
                  <w:tcW w:w="734" w:type="pct"/>
                  <w:tcBorders>
                    <w:tl2br w:val="nil"/>
                    <w:tr2bl w:val="nil"/>
                  </w:tcBorders>
                  <w:noWrap w:val="0"/>
                  <w:vAlign w:val="center"/>
                </w:tcPr>
                <w:p w14:paraId="27BB99D8">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ascii="Times New Roman" w:hAnsi="Times New Roman" w:cs="Times New Roman"/>
                      <w:b w:val="0"/>
                      <w:bCs/>
                      <w:i w:val="0"/>
                      <w:iCs w:val="0"/>
                      <w:color w:val="auto"/>
                      <w:sz w:val="21"/>
                      <w:szCs w:val="21"/>
                      <w:highlight w:val="none"/>
                      <w:u w:val="none"/>
                      <w:lang w:val="en-US" w:eastAsia="zh-CN"/>
                    </w:rPr>
                    <w:t>103000</w:t>
                  </w:r>
                </w:p>
              </w:tc>
              <w:tc>
                <w:tcPr>
                  <w:tcW w:w="535" w:type="pct"/>
                  <w:tcBorders>
                    <w:tl2br w:val="nil"/>
                    <w:tr2bl w:val="nil"/>
                  </w:tcBorders>
                  <w:noWrap w:val="0"/>
                  <w:vAlign w:val="center"/>
                </w:tcPr>
                <w:p w14:paraId="110AD8A5">
                  <w:pPr>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jc w:val="center"/>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ascii="Times New Roman" w:cs="Times New Roman"/>
                      <w:i w:val="0"/>
                      <w:iCs w:val="0"/>
                      <w:color w:val="auto"/>
                      <w:sz w:val="21"/>
                      <w:szCs w:val="21"/>
                      <w:highlight w:val="none"/>
                      <w:u w:val="none"/>
                      <w:lang w:val="en-US" w:eastAsia="zh-CN"/>
                    </w:rPr>
                    <w:t>100</w:t>
                  </w:r>
                </w:p>
              </w:tc>
              <w:tc>
                <w:tcPr>
                  <w:tcW w:w="555" w:type="pct"/>
                  <w:tcBorders>
                    <w:tl2br w:val="nil"/>
                    <w:tr2bl w:val="nil"/>
                  </w:tcBorders>
                  <w:noWrap w:val="0"/>
                  <w:vAlign w:val="center"/>
                </w:tcPr>
                <w:p w14:paraId="40C3A150">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ascii="Times New Roman" w:hAnsi="Times New Roman" w:cs="Times New Roman"/>
                      <w:i w:val="0"/>
                      <w:iCs w:val="0"/>
                      <w:color w:val="auto"/>
                      <w:sz w:val="21"/>
                      <w:szCs w:val="21"/>
                      <w:highlight w:val="none"/>
                      <w:u w:val="none"/>
                      <w:lang w:val="en-US" w:eastAsia="zh-CN"/>
                    </w:rPr>
                    <w:t>65</w:t>
                  </w:r>
                </w:p>
              </w:tc>
              <w:tc>
                <w:tcPr>
                  <w:tcW w:w="569" w:type="pct"/>
                  <w:tcBorders>
                    <w:tl2br w:val="nil"/>
                    <w:tr2bl w:val="nil"/>
                  </w:tcBorders>
                  <w:noWrap w:val="0"/>
                  <w:vAlign w:val="center"/>
                </w:tcPr>
                <w:p w14:paraId="7C69B8B6">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ascii="Times New Roman" w:cs="Times New Roman"/>
                      <w:i w:val="0"/>
                      <w:iCs w:val="0"/>
                      <w:color w:val="auto"/>
                      <w:sz w:val="21"/>
                      <w:szCs w:val="21"/>
                      <w:highlight w:val="none"/>
                      <w:u w:val="none"/>
                      <w:lang w:val="en-US" w:eastAsia="zh-CN"/>
                    </w:rPr>
                    <w:t>13.79</w:t>
                  </w:r>
                </w:p>
              </w:tc>
              <w:tc>
                <w:tcPr>
                  <w:tcW w:w="569" w:type="pct"/>
                  <w:tcBorders>
                    <w:tl2br w:val="nil"/>
                    <w:tr2bl w:val="nil"/>
                  </w:tcBorders>
                  <w:noWrap w:val="0"/>
                  <w:vAlign w:val="center"/>
                </w:tcPr>
                <w:p w14:paraId="2B0846E8">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cs="Times New Roman"/>
                      <w:i w:val="0"/>
                      <w:iCs w:val="0"/>
                      <w:color w:val="auto"/>
                      <w:sz w:val="21"/>
                      <w:szCs w:val="21"/>
                      <w:highlight w:val="none"/>
                      <w:u w:val="none"/>
                      <w:lang w:val="en-US" w:eastAsia="zh-CN"/>
                    </w:rPr>
                  </w:pPr>
                  <w:r>
                    <w:rPr>
                      <w:rFonts w:hint="eastAsia" w:ascii="Times New Roman" w:cs="Times New Roman"/>
                      <w:i w:val="0"/>
                      <w:iCs w:val="0"/>
                      <w:color w:val="auto"/>
                      <w:sz w:val="21"/>
                      <w:szCs w:val="21"/>
                      <w:highlight w:val="none"/>
                      <w:u w:val="none"/>
                      <w:lang w:val="en-US" w:eastAsia="zh-CN"/>
                    </w:rPr>
                    <w:t>14</w:t>
                  </w:r>
                </w:p>
              </w:tc>
            </w:tr>
            <w:tr w14:paraId="02B7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84" w:type="pct"/>
                  <w:tcBorders>
                    <w:tl2br w:val="nil"/>
                    <w:tr2bl w:val="nil"/>
                  </w:tcBorders>
                  <w:noWrap w:val="0"/>
                  <w:vAlign w:val="center"/>
                </w:tcPr>
                <w:p w14:paraId="455674F0">
                  <w:pPr>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jc w:val="center"/>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ascii="Times New Roman" w:hAnsi="Times New Roman" w:cs="Times New Roman"/>
                      <w:i w:val="0"/>
                      <w:iCs w:val="0"/>
                      <w:color w:val="auto"/>
                      <w:sz w:val="21"/>
                      <w:szCs w:val="21"/>
                      <w:highlight w:val="none"/>
                      <w:u w:val="none"/>
                      <w:lang w:val="en-US" w:eastAsia="zh-CN"/>
                    </w:rPr>
                    <w:t>粉色粉料</w:t>
                  </w:r>
                </w:p>
              </w:tc>
              <w:tc>
                <w:tcPr>
                  <w:tcW w:w="691" w:type="pct"/>
                  <w:tcBorders>
                    <w:tl2br w:val="nil"/>
                    <w:tr2bl w:val="nil"/>
                  </w:tcBorders>
                  <w:shd w:val="clear" w:color="auto" w:fill="auto"/>
                  <w:noWrap w:val="0"/>
                  <w:vAlign w:val="center"/>
                </w:tcPr>
                <w:p w14:paraId="6A975D56">
                  <w:pPr>
                    <w:keepNext w:val="0"/>
                    <w:keepLines w:val="0"/>
                    <w:pageBreakBefore w:val="0"/>
                    <w:widowControl/>
                    <w:kinsoku/>
                    <w:wordWrap/>
                    <w:overflowPunct/>
                    <w:topLinePunct w:val="0"/>
                    <w:autoSpaceDE/>
                    <w:autoSpaceDN/>
                    <w:bidi w:val="0"/>
                    <w:adjustRightInd/>
                    <w:snapToGrid/>
                    <w:spacing w:beforeLines="0" w:afterLines="0"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i w:val="0"/>
                      <w:iCs w:val="0"/>
                      <w:color w:val="auto"/>
                      <w:sz w:val="21"/>
                      <w:szCs w:val="21"/>
                      <w:highlight w:val="none"/>
                      <w:u w:val="none"/>
                      <w:lang w:val="en-US" w:eastAsia="zh-CN"/>
                    </w:rPr>
                    <w:t>1.45</w:t>
                  </w:r>
                </w:p>
              </w:tc>
              <w:tc>
                <w:tcPr>
                  <w:tcW w:w="660" w:type="pct"/>
                  <w:tcBorders>
                    <w:tl2br w:val="nil"/>
                    <w:tr2bl w:val="nil"/>
                  </w:tcBorders>
                  <w:noWrap w:val="0"/>
                  <w:vAlign w:val="center"/>
                </w:tcPr>
                <w:p w14:paraId="1538FFFC">
                  <w:pPr>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jc w:val="center"/>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ascii="Times New Roman" w:cs="Times New Roman"/>
                      <w:i w:val="0"/>
                      <w:iCs w:val="0"/>
                      <w:color w:val="auto"/>
                      <w:sz w:val="21"/>
                      <w:szCs w:val="21"/>
                      <w:highlight w:val="none"/>
                      <w:u w:val="none"/>
                      <w:lang w:val="en-US" w:eastAsia="zh-CN"/>
                    </w:rPr>
                    <w:t>60</w:t>
                  </w:r>
                </w:p>
              </w:tc>
              <w:tc>
                <w:tcPr>
                  <w:tcW w:w="734" w:type="pct"/>
                  <w:tcBorders>
                    <w:tl2br w:val="nil"/>
                    <w:tr2bl w:val="nil"/>
                  </w:tcBorders>
                  <w:noWrap w:val="0"/>
                  <w:vAlign w:val="center"/>
                </w:tcPr>
                <w:p w14:paraId="02B29118">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ascii="Times New Roman" w:hAnsi="Times New Roman" w:cs="Times New Roman"/>
                      <w:b w:val="0"/>
                      <w:bCs/>
                      <w:i w:val="0"/>
                      <w:iCs w:val="0"/>
                      <w:color w:val="auto"/>
                      <w:sz w:val="21"/>
                      <w:szCs w:val="21"/>
                      <w:highlight w:val="none"/>
                      <w:u w:val="none"/>
                      <w:lang w:val="en-US" w:eastAsia="zh-CN"/>
                    </w:rPr>
                    <w:t>103000</w:t>
                  </w:r>
                </w:p>
              </w:tc>
              <w:tc>
                <w:tcPr>
                  <w:tcW w:w="535" w:type="pct"/>
                  <w:tcBorders>
                    <w:tl2br w:val="nil"/>
                    <w:tr2bl w:val="nil"/>
                  </w:tcBorders>
                  <w:noWrap w:val="0"/>
                  <w:vAlign w:val="center"/>
                </w:tcPr>
                <w:p w14:paraId="0F543E54">
                  <w:pPr>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jc w:val="center"/>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ascii="Times New Roman" w:cs="Times New Roman"/>
                      <w:i w:val="0"/>
                      <w:iCs w:val="0"/>
                      <w:color w:val="auto"/>
                      <w:sz w:val="21"/>
                      <w:szCs w:val="21"/>
                      <w:highlight w:val="none"/>
                      <w:u w:val="none"/>
                      <w:lang w:val="en-US" w:eastAsia="zh-CN"/>
                    </w:rPr>
                    <w:t>100</w:t>
                  </w:r>
                </w:p>
              </w:tc>
              <w:tc>
                <w:tcPr>
                  <w:tcW w:w="555" w:type="pct"/>
                  <w:tcBorders>
                    <w:tl2br w:val="nil"/>
                    <w:tr2bl w:val="nil"/>
                  </w:tcBorders>
                  <w:noWrap w:val="0"/>
                  <w:vAlign w:val="center"/>
                </w:tcPr>
                <w:p w14:paraId="61B2EA3C">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ascii="Times New Roman" w:hAnsi="Times New Roman" w:cs="Times New Roman"/>
                      <w:i w:val="0"/>
                      <w:iCs w:val="0"/>
                      <w:color w:val="auto"/>
                      <w:sz w:val="21"/>
                      <w:szCs w:val="21"/>
                      <w:highlight w:val="none"/>
                      <w:u w:val="none"/>
                      <w:lang w:val="en-US" w:eastAsia="zh-CN"/>
                    </w:rPr>
                    <w:t>65</w:t>
                  </w:r>
                </w:p>
              </w:tc>
              <w:tc>
                <w:tcPr>
                  <w:tcW w:w="569" w:type="pct"/>
                  <w:tcBorders>
                    <w:tl2br w:val="nil"/>
                    <w:tr2bl w:val="nil"/>
                  </w:tcBorders>
                  <w:noWrap w:val="0"/>
                  <w:vAlign w:val="center"/>
                </w:tcPr>
                <w:p w14:paraId="4CBD2241">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ascii="Times New Roman" w:cs="Times New Roman"/>
                      <w:i w:val="0"/>
                      <w:iCs w:val="0"/>
                      <w:color w:val="auto"/>
                      <w:sz w:val="21"/>
                      <w:szCs w:val="21"/>
                      <w:highlight w:val="none"/>
                      <w:u w:val="none"/>
                      <w:lang w:val="en-US" w:eastAsia="zh-CN"/>
                    </w:rPr>
                    <w:t>13.79</w:t>
                  </w:r>
                </w:p>
              </w:tc>
              <w:tc>
                <w:tcPr>
                  <w:tcW w:w="569" w:type="pct"/>
                  <w:tcBorders>
                    <w:tl2br w:val="nil"/>
                    <w:tr2bl w:val="nil"/>
                  </w:tcBorders>
                  <w:noWrap w:val="0"/>
                  <w:vAlign w:val="center"/>
                </w:tcPr>
                <w:p w14:paraId="2D7162DD">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cs="Times New Roman"/>
                      <w:i w:val="0"/>
                      <w:iCs w:val="0"/>
                      <w:color w:val="auto"/>
                      <w:sz w:val="21"/>
                      <w:szCs w:val="21"/>
                      <w:highlight w:val="none"/>
                      <w:u w:val="none"/>
                      <w:lang w:val="en-US" w:eastAsia="zh-CN"/>
                    </w:rPr>
                  </w:pPr>
                  <w:r>
                    <w:rPr>
                      <w:rFonts w:hint="eastAsia" w:ascii="Times New Roman" w:cs="Times New Roman"/>
                      <w:i w:val="0"/>
                      <w:iCs w:val="0"/>
                      <w:color w:val="auto"/>
                      <w:sz w:val="21"/>
                      <w:szCs w:val="21"/>
                      <w:highlight w:val="none"/>
                      <w:u w:val="none"/>
                      <w:lang w:val="en-US" w:eastAsia="zh-CN"/>
                    </w:rPr>
                    <w:t>14</w:t>
                  </w:r>
                </w:p>
              </w:tc>
            </w:tr>
            <w:tr w14:paraId="53A9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84" w:type="pct"/>
                  <w:tcBorders>
                    <w:tl2br w:val="nil"/>
                    <w:tr2bl w:val="nil"/>
                  </w:tcBorders>
                  <w:noWrap w:val="0"/>
                  <w:vAlign w:val="center"/>
                </w:tcPr>
                <w:p w14:paraId="4B1D42AE">
                  <w:pPr>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jc w:val="center"/>
                    <w:textAlignment w:val="auto"/>
                    <w:rPr>
                      <w:rFonts w:hint="default" w:ascii="Times New Roman" w:hAnsi="Times New Roman" w:cs="Times New Roman"/>
                      <w:i w:val="0"/>
                      <w:iCs w:val="0"/>
                      <w:color w:val="auto"/>
                      <w:sz w:val="21"/>
                      <w:szCs w:val="21"/>
                      <w:highlight w:val="none"/>
                      <w:u w:val="none"/>
                      <w:lang w:val="en-US" w:eastAsia="zh-CN"/>
                    </w:rPr>
                  </w:pPr>
                  <w:r>
                    <w:rPr>
                      <w:rFonts w:hint="eastAsia" w:ascii="Times New Roman" w:hAnsi="Times New Roman" w:cs="Times New Roman"/>
                      <w:i w:val="0"/>
                      <w:iCs w:val="0"/>
                      <w:color w:val="auto"/>
                      <w:sz w:val="21"/>
                      <w:szCs w:val="21"/>
                      <w:highlight w:val="none"/>
                      <w:u w:val="none"/>
                      <w:lang w:val="en-US" w:eastAsia="zh-CN"/>
                    </w:rPr>
                    <w:t>电泳</w:t>
                  </w:r>
                  <w:r>
                    <w:rPr>
                      <w:rFonts w:hint="eastAsia" w:cs="Times New Roman"/>
                      <w:i w:val="0"/>
                      <w:iCs w:val="0"/>
                      <w:color w:val="auto"/>
                      <w:sz w:val="21"/>
                      <w:szCs w:val="21"/>
                      <w:highlight w:val="none"/>
                      <w:u w:val="none"/>
                      <w:lang w:val="en-US" w:eastAsia="zh-CN"/>
                    </w:rPr>
                    <w:t>涂料</w:t>
                  </w:r>
                </w:p>
              </w:tc>
              <w:tc>
                <w:tcPr>
                  <w:tcW w:w="691" w:type="pct"/>
                  <w:tcBorders>
                    <w:tl2br w:val="nil"/>
                    <w:tr2bl w:val="nil"/>
                  </w:tcBorders>
                  <w:shd w:val="clear" w:color="auto" w:fill="auto"/>
                  <w:noWrap w:val="0"/>
                  <w:vAlign w:val="center"/>
                </w:tcPr>
                <w:p w14:paraId="58EB293F">
                  <w:pPr>
                    <w:keepNext w:val="0"/>
                    <w:keepLines w:val="0"/>
                    <w:pageBreakBefore w:val="0"/>
                    <w:widowControl/>
                    <w:kinsoku/>
                    <w:wordWrap/>
                    <w:overflowPunct/>
                    <w:topLinePunct w:val="0"/>
                    <w:autoSpaceDE/>
                    <w:autoSpaceDN/>
                    <w:bidi w:val="0"/>
                    <w:adjustRightInd/>
                    <w:snapToGrid/>
                    <w:spacing w:beforeLines="0" w:afterLines="0" w:line="240" w:lineRule="auto"/>
                    <w:ind w:left="0" w:leftChars="0" w:firstLine="0" w:firstLineChars="0"/>
                    <w:jc w:val="center"/>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1.15</w:t>
                  </w:r>
                </w:p>
              </w:tc>
              <w:tc>
                <w:tcPr>
                  <w:tcW w:w="660" w:type="pct"/>
                  <w:tcBorders>
                    <w:tl2br w:val="nil"/>
                    <w:tr2bl w:val="nil"/>
                  </w:tcBorders>
                  <w:noWrap w:val="0"/>
                  <w:vAlign w:val="center"/>
                </w:tcPr>
                <w:p w14:paraId="6B8F0844">
                  <w:pPr>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jc w:val="center"/>
                    <w:textAlignment w:val="auto"/>
                    <w:rPr>
                      <w:rFonts w:hint="default" w:ascii="Times New Roman"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15</w:t>
                  </w:r>
                </w:p>
              </w:tc>
              <w:tc>
                <w:tcPr>
                  <w:tcW w:w="734" w:type="pct"/>
                  <w:tcBorders>
                    <w:tl2br w:val="nil"/>
                    <w:tr2bl w:val="nil"/>
                  </w:tcBorders>
                  <w:shd w:val="clear" w:color="auto" w:fill="auto"/>
                  <w:noWrap w:val="0"/>
                  <w:vAlign w:val="center"/>
                </w:tcPr>
                <w:p w14:paraId="4F723264">
                  <w:pPr>
                    <w:widowControl/>
                    <w:jc w:val="center"/>
                    <w:textAlignment w:val="center"/>
                    <w:rPr>
                      <w:rFonts w:hint="eastAsia" w:ascii="Times New Roman" w:hAnsi="Times New Roman" w:eastAsia="宋体" w:cs="Times New Roman"/>
                      <w:bCs/>
                      <w:color w:val="auto"/>
                      <w:kern w:val="0"/>
                      <w:sz w:val="21"/>
                      <w:szCs w:val="21"/>
                      <w:lang w:val="en-US" w:eastAsia="zh-CN" w:bidi="ar"/>
                    </w:rPr>
                  </w:pPr>
                  <w:r>
                    <w:rPr>
                      <w:rFonts w:hint="eastAsia" w:ascii="Times New Roman" w:hAnsi="Times New Roman" w:eastAsia="宋体" w:cs="Times New Roman"/>
                      <w:bCs/>
                      <w:color w:val="auto"/>
                      <w:kern w:val="0"/>
                      <w:szCs w:val="21"/>
                      <w:lang w:val="en-US" w:eastAsia="zh-CN" w:bidi="ar"/>
                    </w:rPr>
                    <w:t>1030000</w:t>
                  </w:r>
                </w:p>
              </w:tc>
              <w:tc>
                <w:tcPr>
                  <w:tcW w:w="535" w:type="pct"/>
                  <w:tcBorders>
                    <w:tl2br w:val="nil"/>
                    <w:tr2bl w:val="nil"/>
                  </w:tcBorders>
                  <w:noWrap w:val="0"/>
                  <w:vAlign w:val="center"/>
                </w:tcPr>
                <w:p w14:paraId="15303029">
                  <w:pPr>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jc w:val="center"/>
                    <w:textAlignment w:val="auto"/>
                    <w:rPr>
                      <w:rFonts w:hint="default" w:ascii="Times New Roman"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36.4</w:t>
                  </w:r>
                </w:p>
              </w:tc>
              <w:tc>
                <w:tcPr>
                  <w:tcW w:w="555" w:type="pct"/>
                  <w:tcBorders>
                    <w:tl2br w:val="nil"/>
                    <w:tr2bl w:val="nil"/>
                  </w:tcBorders>
                  <w:noWrap w:val="0"/>
                  <w:vAlign w:val="center"/>
                </w:tcPr>
                <w:p w14:paraId="34E7AE96">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cs="Times New Roman"/>
                      <w:i w:val="0"/>
                      <w:iCs w:val="0"/>
                      <w:color w:val="auto"/>
                      <w:sz w:val="21"/>
                      <w:szCs w:val="21"/>
                      <w:highlight w:val="none"/>
                      <w:u w:val="none"/>
                      <w:lang w:val="en-US" w:eastAsia="zh-CN"/>
                    </w:rPr>
                  </w:pPr>
                  <w:r>
                    <w:rPr>
                      <w:rFonts w:hint="eastAsia" w:ascii="Times New Roman" w:cs="Times New Roman"/>
                      <w:i w:val="0"/>
                      <w:iCs w:val="0"/>
                      <w:color w:val="auto"/>
                      <w:sz w:val="21"/>
                      <w:szCs w:val="21"/>
                      <w:highlight w:val="none"/>
                      <w:u w:val="none"/>
                      <w:lang w:val="en-US" w:eastAsia="zh-CN"/>
                    </w:rPr>
                    <w:t>95</w:t>
                  </w:r>
                </w:p>
              </w:tc>
              <w:tc>
                <w:tcPr>
                  <w:tcW w:w="569" w:type="pct"/>
                  <w:tcBorders>
                    <w:tl2br w:val="nil"/>
                    <w:tr2bl w:val="nil"/>
                  </w:tcBorders>
                  <w:noWrap w:val="0"/>
                  <w:vAlign w:val="center"/>
                </w:tcPr>
                <w:p w14:paraId="30A05A5D">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cs="Times New Roman"/>
                      <w:i w:val="0"/>
                      <w:iCs w:val="0"/>
                      <w:color w:val="auto"/>
                      <w:sz w:val="21"/>
                      <w:szCs w:val="21"/>
                      <w:highlight w:val="none"/>
                      <w:u w:val="none"/>
                      <w:lang w:val="en-US" w:eastAsia="zh-CN"/>
                    </w:rPr>
                  </w:pPr>
                  <w:r>
                    <w:rPr>
                      <w:rFonts w:hint="eastAsia" w:ascii="Times New Roman" w:cs="Times New Roman"/>
                      <w:i w:val="0"/>
                      <w:iCs w:val="0"/>
                      <w:color w:val="auto"/>
                      <w:sz w:val="21"/>
                      <w:szCs w:val="21"/>
                      <w:highlight w:val="none"/>
                      <w:u w:val="none"/>
                      <w:lang w:val="en-US" w:eastAsia="zh-CN"/>
                    </w:rPr>
                    <w:t>51.38</w:t>
                  </w:r>
                </w:p>
              </w:tc>
              <w:tc>
                <w:tcPr>
                  <w:tcW w:w="569" w:type="pct"/>
                  <w:tcBorders>
                    <w:tl2br w:val="nil"/>
                    <w:tr2bl w:val="nil"/>
                  </w:tcBorders>
                  <w:noWrap w:val="0"/>
                  <w:vAlign w:val="center"/>
                </w:tcPr>
                <w:p w14:paraId="43371383">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cs="Times New Roman"/>
                      <w:i w:val="0"/>
                      <w:iCs w:val="0"/>
                      <w:color w:val="auto"/>
                      <w:sz w:val="21"/>
                      <w:szCs w:val="21"/>
                      <w:highlight w:val="none"/>
                      <w:u w:val="none"/>
                      <w:lang w:val="en-US" w:eastAsia="zh-CN"/>
                    </w:rPr>
                  </w:pPr>
                  <w:r>
                    <w:rPr>
                      <w:rFonts w:hint="eastAsia" w:ascii="Times New Roman" w:cs="Times New Roman"/>
                      <w:i w:val="0"/>
                      <w:iCs w:val="0"/>
                      <w:color w:val="auto"/>
                      <w:sz w:val="21"/>
                      <w:szCs w:val="21"/>
                      <w:highlight w:val="none"/>
                      <w:u w:val="none"/>
                      <w:lang w:val="en-US" w:eastAsia="zh-CN"/>
                    </w:rPr>
                    <w:t>52</w:t>
                  </w:r>
                </w:p>
              </w:tc>
            </w:tr>
            <w:tr w14:paraId="282E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84" w:type="pct"/>
                  <w:tcBorders>
                    <w:tl2br w:val="nil"/>
                    <w:tr2bl w:val="nil"/>
                  </w:tcBorders>
                  <w:noWrap w:val="0"/>
                  <w:vAlign w:val="center"/>
                </w:tcPr>
                <w:p w14:paraId="07AD897A">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合计</w:t>
                  </w:r>
                </w:p>
              </w:tc>
              <w:tc>
                <w:tcPr>
                  <w:tcW w:w="691" w:type="pct"/>
                  <w:tcBorders>
                    <w:tl2br w:val="nil"/>
                    <w:tr2bl w:val="nil"/>
                  </w:tcBorders>
                  <w:noWrap w:val="0"/>
                  <w:vAlign w:val="center"/>
                </w:tcPr>
                <w:p w14:paraId="6B4357D7">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w:t>
                  </w:r>
                </w:p>
              </w:tc>
              <w:tc>
                <w:tcPr>
                  <w:tcW w:w="660" w:type="pct"/>
                  <w:tcBorders>
                    <w:tl2br w:val="nil"/>
                    <w:tr2bl w:val="nil"/>
                  </w:tcBorders>
                  <w:noWrap w:val="0"/>
                  <w:vAlign w:val="center"/>
                </w:tcPr>
                <w:p w14:paraId="23FC395C">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w:t>
                  </w:r>
                </w:p>
              </w:tc>
              <w:tc>
                <w:tcPr>
                  <w:tcW w:w="734" w:type="pct"/>
                  <w:tcBorders>
                    <w:tl2br w:val="nil"/>
                    <w:tr2bl w:val="nil"/>
                  </w:tcBorders>
                  <w:noWrap w:val="0"/>
                  <w:vAlign w:val="center"/>
                </w:tcPr>
                <w:p w14:paraId="2211AA89">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w:t>
                  </w:r>
                </w:p>
              </w:tc>
              <w:tc>
                <w:tcPr>
                  <w:tcW w:w="535" w:type="pct"/>
                  <w:tcBorders>
                    <w:tl2br w:val="nil"/>
                    <w:tr2bl w:val="nil"/>
                  </w:tcBorders>
                  <w:noWrap w:val="0"/>
                  <w:vAlign w:val="center"/>
                </w:tcPr>
                <w:p w14:paraId="705D72B6">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w:t>
                  </w:r>
                </w:p>
              </w:tc>
              <w:tc>
                <w:tcPr>
                  <w:tcW w:w="555" w:type="pct"/>
                  <w:tcBorders>
                    <w:tl2br w:val="nil"/>
                    <w:tr2bl w:val="nil"/>
                  </w:tcBorders>
                  <w:noWrap w:val="0"/>
                  <w:vAlign w:val="center"/>
                </w:tcPr>
                <w:p w14:paraId="62630710">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w:t>
                  </w:r>
                </w:p>
              </w:tc>
              <w:tc>
                <w:tcPr>
                  <w:tcW w:w="569" w:type="pct"/>
                  <w:tcBorders>
                    <w:tl2br w:val="nil"/>
                    <w:tr2bl w:val="nil"/>
                  </w:tcBorders>
                  <w:noWrap w:val="0"/>
                  <w:vAlign w:val="center"/>
                </w:tcPr>
                <w:p w14:paraId="71D2A7D2">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hAnsi="Times New Roman" w:eastAsia="宋体" w:cs="Times New Roman"/>
                      <w:i w:val="0"/>
                      <w:iCs w:val="0"/>
                      <w:color w:val="auto"/>
                      <w:sz w:val="21"/>
                      <w:szCs w:val="21"/>
                      <w:highlight w:val="none"/>
                      <w:u w:val="none"/>
                      <w:lang w:val="en-US" w:eastAsia="zh-CN"/>
                    </w:rPr>
                  </w:pPr>
                  <w:r>
                    <w:rPr>
                      <w:rFonts w:hint="eastAsia" w:ascii="Times New Roman" w:cs="Times New Roman"/>
                      <w:i w:val="0"/>
                      <w:iCs w:val="0"/>
                      <w:color w:val="auto"/>
                      <w:sz w:val="21"/>
                      <w:szCs w:val="21"/>
                      <w:highlight w:val="none"/>
                      <w:u w:val="none"/>
                      <w:lang w:val="en-US" w:eastAsia="zh-CN"/>
                    </w:rPr>
                    <w:t>106.53</w:t>
                  </w:r>
                </w:p>
              </w:tc>
              <w:tc>
                <w:tcPr>
                  <w:tcW w:w="569" w:type="pct"/>
                  <w:tcBorders>
                    <w:tl2br w:val="nil"/>
                    <w:tr2bl w:val="nil"/>
                  </w:tcBorders>
                  <w:noWrap w:val="0"/>
                  <w:vAlign w:val="center"/>
                </w:tcPr>
                <w:p w14:paraId="360B2FE6">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firstLine="0" w:firstLineChars="0"/>
                    <w:textAlignment w:val="auto"/>
                    <w:rPr>
                      <w:rFonts w:hint="default" w:ascii="Times New Roman" w:cs="Times New Roman"/>
                      <w:i w:val="0"/>
                      <w:iCs w:val="0"/>
                      <w:color w:val="auto"/>
                      <w:sz w:val="21"/>
                      <w:szCs w:val="21"/>
                      <w:highlight w:val="none"/>
                      <w:u w:val="none"/>
                      <w:lang w:val="en-US" w:eastAsia="zh-CN"/>
                    </w:rPr>
                  </w:pPr>
                  <w:r>
                    <w:rPr>
                      <w:rFonts w:hint="eastAsia" w:ascii="Times New Roman" w:cs="Times New Roman"/>
                      <w:i w:val="0"/>
                      <w:iCs w:val="0"/>
                      <w:color w:val="auto"/>
                      <w:sz w:val="21"/>
                      <w:szCs w:val="21"/>
                      <w:highlight w:val="none"/>
                      <w:u w:val="none"/>
                      <w:lang w:val="en-US" w:eastAsia="zh-CN"/>
                    </w:rPr>
                    <w:t>108</w:t>
                  </w:r>
                </w:p>
              </w:tc>
            </w:tr>
          </w:tbl>
          <w:p w14:paraId="439FCA94">
            <w:pPr>
              <w:keepNext w:val="0"/>
              <w:keepLines w:val="0"/>
              <w:pageBreakBefore w:val="0"/>
              <w:widowControl w:val="0"/>
              <w:tabs>
                <w:tab w:val="left" w:pos="624"/>
              </w:tabs>
              <w:kinsoku/>
              <w:wordWrap/>
              <w:overflowPunct/>
              <w:topLinePunct w:val="0"/>
              <w:autoSpaceDE/>
              <w:autoSpaceDN/>
              <w:bidi w:val="0"/>
              <w:adjustRightInd/>
              <w:snapToGrid/>
              <w:spacing w:line="500" w:lineRule="exact"/>
              <w:ind w:firstLine="480" w:firstLineChars="200"/>
              <w:textAlignment w:val="auto"/>
              <w:rPr>
                <w:color w:val="auto"/>
                <w:sz w:val="24"/>
                <w:szCs w:val="24"/>
                <w:highlight w:val="none"/>
              </w:rPr>
            </w:pPr>
            <w:r>
              <w:rPr>
                <w:rFonts w:hint="eastAsia" w:cs="Times New Roman"/>
                <w:b w:val="0"/>
                <w:bCs w:val="0"/>
                <w:i w:val="0"/>
                <w:iCs w:val="0"/>
                <w:color w:val="auto"/>
                <w:sz w:val="24"/>
                <w:szCs w:val="24"/>
                <w:highlight w:val="none"/>
                <w:u w:val="none"/>
                <w:lang w:val="en-US" w:eastAsia="zh-CN"/>
              </w:rPr>
              <w:t>经过计算，本项目涂料总用量约为106.53t/a，</w:t>
            </w:r>
            <w:r>
              <w:rPr>
                <w:rFonts w:hint="default" w:ascii="Times New Roman" w:hAnsi="Times New Roman" w:eastAsia="宋体" w:cs="Times New Roman"/>
                <w:color w:val="auto"/>
                <w:sz w:val="24"/>
                <w:szCs w:val="24"/>
                <w:highlight w:val="none"/>
                <w:lang w:val="en-US" w:eastAsia="zh-CN"/>
              </w:rPr>
              <w:t>与建设</w:t>
            </w:r>
            <w:r>
              <w:rPr>
                <w:rFonts w:hint="eastAsia"/>
                <w:color w:val="auto"/>
                <w:sz w:val="24"/>
                <w:szCs w:val="24"/>
                <w:highlight w:val="none"/>
                <w:lang w:val="en-US" w:eastAsia="zh-CN"/>
              </w:rPr>
              <w:t>单位提供的用分量相差不大。</w:t>
            </w:r>
          </w:p>
          <w:p w14:paraId="2A97CAF7">
            <w:pPr>
              <w:keepNext w:val="0"/>
              <w:keepLines w:val="0"/>
              <w:pageBreakBefore w:val="0"/>
              <w:widowControl w:val="0"/>
              <w:tabs>
                <w:tab w:val="left" w:pos="5420"/>
              </w:tabs>
              <w:kinsoku/>
              <w:wordWrap/>
              <w:overflowPunct/>
              <w:topLinePunct w:val="0"/>
              <w:autoSpaceDE/>
              <w:autoSpaceDN/>
              <w:bidi w:val="0"/>
              <w:adjustRightInd w:val="0"/>
              <w:snapToGrid w:val="0"/>
              <w:spacing w:line="500" w:lineRule="exact"/>
              <w:ind w:right="0" w:firstLine="480" w:firstLineChars="200"/>
              <w:textAlignment w:val="auto"/>
              <w:rPr>
                <w:rFonts w:hint="eastAsia" w:cs="宋体"/>
                <w:b/>
                <w:bCs/>
                <w:color w:val="auto"/>
                <w:sz w:val="24"/>
                <w:szCs w:val="24"/>
                <w:lang w:eastAsia="zh-CN"/>
              </w:rPr>
            </w:pPr>
            <w:r>
              <w:rPr>
                <w:rFonts w:hint="default" w:ascii="Times New Roman" w:hAnsi="Times New Roman" w:eastAsia="宋体" w:cs="Times New Roman"/>
                <w:color w:val="auto"/>
                <w:sz w:val="24"/>
                <w:szCs w:val="24"/>
                <w:highlight w:val="none"/>
                <w:lang w:eastAsia="zh-CN"/>
              </w:rPr>
              <w:t>③</w:t>
            </w:r>
            <w:r>
              <w:rPr>
                <w:rFonts w:hint="default" w:ascii="Times New Roman" w:hAnsi="Times New Roman" w:eastAsia="宋体" w:cs="Times New Roman"/>
                <w:color w:val="auto"/>
                <w:sz w:val="24"/>
                <w:szCs w:val="24"/>
                <w:highlight w:val="none"/>
              </w:rPr>
              <w:t>涂料物料平衡</w:t>
            </w:r>
          </w:p>
          <w:p w14:paraId="087DEAD9">
            <w:pPr>
              <w:keepNext w:val="0"/>
              <w:keepLines w:val="0"/>
              <w:pageBreakBefore w:val="0"/>
              <w:widowControl w:val="0"/>
              <w:tabs>
                <w:tab w:val="left" w:pos="5420"/>
              </w:tabs>
              <w:kinsoku/>
              <w:wordWrap/>
              <w:overflowPunct/>
              <w:topLinePunct w:val="0"/>
              <w:autoSpaceDE/>
              <w:autoSpaceDN/>
              <w:bidi w:val="0"/>
              <w:adjustRightInd w:val="0"/>
              <w:snapToGrid w:val="0"/>
              <w:spacing w:line="500" w:lineRule="exact"/>
              <w:ind w:right="0" w:firstLine="480" w:firstLineChars="200"/>
              <w:textAlignment w:val="auto"/>
              <w:rPr>
                <w:rFonts w:hint="default" w:cs="宋体"/>
                <w:b/>
                <w:bCs/>
                <w:color w:val="auto"/>
                <w:sz w:val="24"/>
                <w:szCs w:val="24"/>
                <w:lang w:val="en-US" w:eastAsia="zh-CN"/>
              </w:rPr>
            </w:pPr>
            <w:r>
              <w:rPr>
                <w:rFonts w:hint="eastAsia" w:cs="宋体"/>
                <w:b w:val="0"/>
                <w:bCs w:val="0"/>
                <w:color w:val="auto"/>
                <w:sz w:val="24"/>
                <w:szCs w:val="24"/>
                <w:lang w:val="en-US" w:eastAsia="zh-CN"/>
              </w:rPr>
              <w:t>A、喷粉涂料平衡</w:t>
            </w:r>
          </w:p>
          <w:p w14:paraId="1CD80885">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500" w:lineRule="exact"/>
              <w:ind w:firstLine="480" w:firstLineChars="200"/>
              <w:textAlignment w:val="auto"/>
              <w:rPr>
                <w:rFonts w:hint="default" w:cs="Times New Roman"/>
                <w:color w:val="auto"/>
                <w:sz w:val="24"/>
                <w:szCs w:val="24"/>
                <w:highlight w:val="none"/>
                <w:u w:val="none"/>
                <w:lang w:val="en-US" w:eastAsia="zh-CN"/>
              </w:rPr>
            </w:pPr>
            <w:r>
              <w:rPr>
                <w:rFonts w:hint="eastAsia" w:cs="Times New Roman"/>
                <w:color w:val="auto"/>
                <w:sz w:val="24"/>
                <w:szCs w:val="24"/>
                <w:highlight w:val="none"/>
                <w:u w:val="none"/>
                <w:lang w:val="en-US" w:eastAsia="zh-CN"/>
              </w:rPr>
              <w:t>喷粉工艺设置在半密闭的喷粉房内进行，设置负压集气装置仅留进出口，</w:t>
            </w:r>
            <w:r>
              <w:rPr>
                <w:rFonts w:hint="eastAsia" w:cs="Times New Roman"/>
                <w:b w:val="0"/>
                <w:bCs w:val="0"/>
                <w:color w:val="auto"/>
                <w:kern w:val="2"/>
                <w:sz w:val="24"/>
                <w:szCs w:val="24"/>
                <w:highlight w:val="none"/>
                <w:lang w:val="en-US" w:eastAsia="zh-CN" w:bidi="ar"/>
              </w:rPr>
              <w:t>参考《广东省工业源挥发性有机物减排量核算方法（试行）》半密闭型集气设备敞开面控制风速不小于0.3m/s集气效率为65%，项目</w:t>
            </w:r>
            <w:r>
              <w:rPr>
                <w:rFonts w:hint="eastAsia"/>
                <w:b w:val="0"/>
                <w:bCs w:val="0"/>
                <w:color w:val="auto"/>
                <w:sz w:val="24"/>
                <w:szCs w:val="24"/>
                <w:u w:val="none" w:color="auto"/>
                <w:lang w:val="en-US" w:eastAsia="zh-CN"/>
              </w:rPr>
              <w:t>设置密封负压的喷粉房，风速控制不小于0.3</w:t>
            </w:r>
            <w:r>
              <w:rPr>
                <w:rFonts w:hint="eastAsia" w:cs="Times New Roman"/>
                <w:b w:val="0"/>
                <w:bCs w:val="0"/>
                <w:color w:val="auto"/>
                <w:kern w:val="2"/>
                <w:sz w:val="24"/>
                <w:szCs w:val="24"/>
                <w:highlight w:val="none"/>
                <w:lang w:val="en-US" w:eastAsia="zh-CN" w:bidi="ar"/>
              </w:rPr>
              <w:t>m/s</w:t>
            </w:r>
            <w:r>
              <w:rPr>
                <w:rFonts w:hint="eastAsia"/>
                <w:b w:val="0"/>
                <w:bCs w:val="0"/>
                <w:color w:val="auto"/>
                <w:sz w:val="24"/>
                <w:szCs w:val="24"/>
                <w:u w:val="none" w:color="auto"/>
                <w:lang w:val="en-US" w:eastAsia="zh-CN"/>
              </w:rPr>
              <w:t>，出入口配置风帘，</w:t>
            </w:r>
            <w:r>
              <w:rPr>
                <w:rFonts w:hint="eastAsia" w:cs="Times New Roman"/>
                <w:b w:val="0"/>
                <w:bCs w:val="0"/>
                <w:color w:val="auto"/>
                <w:kern w:val="2"/>
                <w:sz w:val="24"/>
                <w:szCs w:val="24"/>
                <w:highlight w:val="none"/>
                <w:lang w:val="en-US" w:eastAsia="zh-CN" w:bidi="ar"/>
              </w:rPr>
              <w:t>工作原理类似半密闭罩，因此喷粉工序废气收集效率取值为65%</w:t>
            </w:r>
            <w:r>
              <w:rPr>
                <w:rFonts w:hint="eastAsia" w:cs="Times New Roman"/>
                <w:color w:val="auto"/>
                <w:sz w:val="24"/>
                <w:szCs w:val="24"/>
                <w:highlight w:val="none"/>
                <w:u w:val="none"/>
                <w:lang w:val="en-US" w:eastAsia="zh-CN"/>
              </w:rPr>
              <w:t>。</w:t>
            </w:r>
          </w:p>
          <w:p w14:paraId="12095B00">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default" w:ascii="Times New Roman" w:hAnsi="Times New Roman" w:eastAsia="宋体" w:cs="Times New Roman"/>
                <w:color w:val="auto"/>
                <w:sz w:val="24"/>
                <w:szCs w:val="24"/>
                <w:highlight w:val="none"/>
                <w:lang w:val="en-US"/>
              </w:rPr>
            </w:pPr>
            <w:r>
              <w:rPr>
                <w:rFonts w:hint="eastAsia" w:ascii="Times New Roman" w:hAnsi="Times New Roman" w:eastAsia="宋体" w:cs="Times New Roman"/>
                <w:i w:val="0"/>
                <w:iCs w:val="0"/>
                <w:color w:val="auto"/>
                <w:sz w:val="24"/>
                <w:szCs w:val="24"/>
                <w:highlight w:val="none"/>
                <w:u w:val="none"/>
                <w:lang w:eastAsia="zh-CN"/>
              </w:rPr>
              <w:t>参照《污染源源强核算技术指南 汽车制造》</w:t>
            </w:r>
            <w:r>
              <w:rPr>
                <w:rFonts w:hint="eastAsia" w:cs="Times New Roman"/>
                <w:i w:val="0"/>
                <w:iCs w:val="0"/>
                <w:color w:val="auto"/>
                <w:sz w:val="24"/>
                <w:szCs w:val="24"/>
                <w:highlight w:val="none"/>
                <w:u w:val="none"/>
                <w:lang w:eastAsia="zh-CN"/>
              </w:rPr>
              <w:t>（HJ 1097-2020）</w:t>
            </w:r>
            <w:r>
              <w:rPr>
                <w:rFonts w:hint="eastAsia" w:cs="Times New Roman"/>
                <w:i w:val="0"/>
                <w:iCs w:val="0"/>
                <w:color w:val="auto"/>
                <w:sz w:val="24"/>
                <w:szCs w:val="24"/>
                <w:highlight w:val="none"/>
                <w:u w:val="none"/>
                <w:lang w:val="en-US" w:eastAsia="zh-CN"/>
              </w:rPr>
              <w:t>附录E</w:t>
            </w:r>
            <w:r>
              <w:rPr>
                <w:rFonts w:hint="eastAsia" w:ascii="Times New Roman" w:hAnsi="Times New Roman" w:eastAsia="宋体" w:cs="Times New Roman"/>
                <w:i w:val="0"/>
                <w:iCs w:val="0"/>
                <w:color w:val="auto"/>
                <w:sz w:val="24"/>
                <w:szCs w:val="24"/>
                <w:highlight w:val="none"/>
                <w:u w:val="none"/>
                <w:lang w:eastAsia="zh-CN"/>
              </w:rPr>
              <w:t>，项目</w:t>
            </w:r>
            <w:r>
              <w:rPr>
                <w:rFonts w:hint="eastAsia" w:cs="Times New Roman"/>
                <w:i w:val="0"/>
                <w:iCs w:val="0"/>
                <w:color w:val="auto"/>
                <w:sz w:val="24"/>
                <w:szCs w:val="24"/>
                <w:highlight w:val="none"/>
                <w:u w:val="none"/>
                <w:lang w:val="en-US" w:eastAsia="zh-CN"/>
              </w:rPr>
              <w:t>零部件</w:t>
            </w:r>
            <w:r>
              <w:rPr>
                <w:rFonts w:hint="eastAsia" w:ascii="Times New Roman" w:hAnsi="Times New Roman" w:eastAsia="宋体" w:cs="Times New Roman"/>
                <w:i w:val="0"/>
                <w:iCs w:val="0"/>
                <w:color w:val="auto"/>
                <w:sz w:val="24"/>
                <w:szCs w:val="24"/>
                <w:highlight w:val="none"/>
                <w:u w:val="none"/>
                <w:lang w:eastAsia="zh-CN"/>
              </w:rPr>
              <w:t>喷粉采取静电</w:t>
            </w:r>
            <w:r>
              <w:rPr>
                <w:rFonts w:hint="eastAsia" w:cs="Times New Roman"/>
                <w:i w:val="0"/>
                <w:iCs w:val="0"/>
                <w:color w:val="auto"/>
                <w:sz w:val="24"/>
                <w:szCs w:val="24"/>
                <w:highlight w:val="none"/>
                <w:u w:val="none"/>
                <w:lang w:eastAsia="zh-CN"/>
              </w:rPr>
              <w:t>喷粉</w:t>
            </w:r>
            <w:r>
              <w:rPr>
                <w:rFonts w:hint="eastAsia" w:ascii="Times New Roman" w:hAnsi="Times New Roman" w:eastAsia="宋体" w:cs="Times New Roman"/>
                <w:i w:val="0"/>
                <w:iCs w:val="0"/>
                <w:color w:val="auto"/>
                <w:sz w:val="24"/>
                <w:szCs w:val="24"/>
                <w:highlight w:val="none"/>
                <w:u w:val="none"/>
                <w:lang w:eastAsia="zh-CN"/>
              </w:rPr>
              <w:t>，</w:t>
            </w:r>
            <w:r>
              <w:rPr>
                <w:rFonts w:hint="eastAsia" w:cs="Times New Roman"/>
                <w:i w:val="0"/>
                <w:iCs w:val="0"/>
                <w:color w:val="auto"/>
                <w:sz w:val="24"/>
                <w:szCs w:val="24"/>
                <w:highlight w:val="none"/>
                <w:u w:val="none"/>
                <w:lang w:val="en-US" w:eastAsia="zh-CN"/>
              </w:rPr>
              <w:t>涂料附着率为65%</w:t>
            </w:r>
            <w:r>
              <w:rPr>
                <w:rFonts w:hint="eastAsia" w:ascii="Times New Roman" w:hAnsi="Times New Roman" w:eastAsia="宋体" w:cs="Times New Roman"/>
                <w:i w:val="0"/>
                <w:iCs w:val="0"/>
                <w:color w:val="auto"/>
                <w:sz w:val="24"/>
                <w:szCs w:val="24"/>
                <w:highlight w:val="none"/>
                <w:u w:val="none"/>
                <w:lang w:eastAsia="zh-CN"/>
              </w:rPr>
              <w:t>，由于喷粉</w:t>
            </w:r>
            <w:r>
              <w:rPr>
                <w:rFonts w:hint="eastAsia" w:cs="Times New Roman"/>
                <w:i w:val="0"/>
                <w:iCs w:val="0"/>
                <w:color w:val="auto"/>
                <w:sz w:val="24"/>
                <w:szCs w:val="24"/>
                <w:highlight w:val="none"/>
                <w:u w:val="none"/>
                <w:lang w:val="en-US" w:eastAsia="zh-CN"/>
              </w:rPr>
              <w:t>房</w:t>
            </w:r>
            <w:r>
              <w:rPr>
                <w:rFonts w:hint="eastAsia" w:ascii="Times New Roman" w:hAnsi="Times New Roman" w:eastAsia="宋体" w:cs="Times New Roman"/>
                <w:i w:val="0"/>
                <w:iCs w:val="0"/>
                <w:color w:val="auto"/>
                <w:sz w:val="24"/>
                <w:szCs w:val="24"/>
                <w:highlight w:val="none"/>
                <w:u w:val="none"/>
                <w:lang w:eastAsia="zh-CN"/>
              </w:rPr>
              <w:t>带有粉末涂料回收系统处理</w:t>
            </w:r>
            <w:r>
              <w:rPr>
                <w:rFonts w:hint="eastAsia" w:cs="Times New Roman"/>
                <w:i w:val="0"/>
                <w:iCs w:val="0"/>
                <w:color w:val="auto"/>
                <w:sz w:val="24"/>
                <w:szCs w:val="24"/>
                <w:highlight w:val="none"/>
                <w:u w:val="none"/>
                <w:lang w:eastAsia="zh-CN"/>
              </w:rPr>
              <w:t>，</w:t>
            </w:r>
            <w:r>
              <w:rPr>
                <w:rFonts w:hint="eastAsia" w:cs="Times New Roman"/>
                <w:i w:val="0"/>
                <w:iCs w:val="0"/>
                <w:color w:val="auto"/>
                <w:sz w:val="24"/>
                <w:szCs w:val="24"/>
                <w:highlight w:val="none"/>
                <w:u w:val="none"/>
                <w:lang w:val="en-US" w:eastAsia="zh-CN"/>
              </w:rPr>
              <w:t>粉料</w:t>
            </w:r>
            <w:r>
              <w:rPr>
                <w:rFonts w:hint="eastAsia" w:ascii="Times New Roman" w:hAnsi="Times New Roman" w:eastAsia="宋体" w:cs="Times New Roman"/>
                <w:i w:val="0"/>
                <w:iCs w:val="0"/>
                <w:color w:val="auto"/>
                <w:sz w:val="24"/>
                <w:szCs w:val="24"/>
                <w:highlight w:val="none"/>
                <w:u w:val="none"/>
                <w:lang w:eastAsia="zh-CN"/>
              </w:rPr>
              <w:t>回收利用，</w:t>
            </w:r>
            <w:r>
              <w:rPr>
                <w:rFonts w:hint="eastAsia" w:cs="Times New Roman"/>
                <w:i w:val="0"/>
                <w:iCs w:val="0"/>
                <w:color w:val="auto"/>
                <w:sz w:val="24"/>
                <w:szCs w:val="24"/>
                <w:highlight w:val="none"/>
                <w:u w:val="none"/>
                <w:lang w:val="en-US" w:eastAsia="zh-CN"/>
              </w:rPr>
              <w:t>集尘</w:t>
            </w:r>
            <w:r>
              <w:rPr>
                <w:rFonts w:hint="eastAsia" w:ascii="Times New Roman" w:hAnsi="Times New Roman" w:eastAsia="宋体" w:cs="Times New Roman"/>
                <w:i w:val="0"/>
                <w:iCs w:val="0"/>
                <w:color w:val="auto"/>
                <w:sz w:val="24"/>
                <w:szCs w:val="24"/>
                <w:highlight w:val="none"/>
                <w:u w:val="none"/>
                <w:lang w:eastAsia="zh-CN"/>
              </w:rPr>
              <w:t>效率为</w:t>
            </w:r>
            <w:r>
              <w:rPr>
                <w:rFonts w:hint="eastAsia" w:cs="Times New Roman"/>
                <w:i w:val="0"/>
                <w:iCs w:val="0"/>
                <w:color w:val="auto"/>
                <w:sz w:val="24"/>
                <w:szCs w:val="24"/>
                <w:highlight w:val="none"/>
                <w:u w:val="none"/>
                <w:lang w:val="en-US" w:eastAsia="zh-CN"/>
              </w:rPr>
              <w:t>65</w:t>
            </w:r>
            <w:r>
              <w:rPr>
                <w:rFonts w:hint="eastAsia" w:ascii="Times New Roman" w:hAnsi="Times New Roman" w:eastAsia="宋体" w:cs="Times New Roman"/>
                <w:i w:val="0"/>
                <w:iCs w:val="0"/>
                <w:color w:val="auto"/>
                <w:sz w:val="24"/>
                <w:szCs w:val="24"/>
                <w:highlight w:val="none"/>
                <w:u w:val="none"/>
                <w:lang w:eastAsia="zh-CN"/>
              </w:rPr>
              <w:t>%，回收</w:t>
            </w:r>
            <w:r>
              <w:rPr>
                <w:rFonts w:hint="eastAsia" w:ascii="Times New Roman" w:hAnsi="Times New Roman" w:cs="Times New Roman"/>
                <w:i w:val="0"/>
                <w:iCs w:val="0"/>
                <w:color w:val="auto"/>
                <w:sz w:val="24"/>
                <w:szCs w:val="24"/>
                <w:highlight w:val="none"/>
                <w:u w:val="none"/>
                <w:lang w:val="en-US" w:eastAsia="zh-CN"/>
              </w:rPr>
              <w:t>可利用</w:t>
            </w:r>
            <w:r>
              <w:rPr>
                <w:rFonts w:hint="eastAsia" w:ascii="Times New Roman" w:hAnsi="Times New Roman" w:eastAsia="宋体" w:cs="Times New Roman"/>
                <w:i w:val="0"/>
                <w:iCs w:val="0"/>
                <w:color w:val="auto"/>
                <w:sz w:val="24"/>
                <w:szCs w:val="24"/>
                <w:highlight w:val="none"/>
                <w:u w:val="none"/>
                <w:lang w:eastAsia="zh-CN"/>
              </w:rPr>
              <w:t>率为95%</w:t>
            </w:r>
            <w:r>
              <w:rPr>
                <w:rFonts w:hint="eastAsia" w:cs="Times New Roman"/>
                <w:i w:val="0"/>
                <w:iCs w:val="0"/>
                <w:color w:val="auto"/>
                <w:sz w:val="24"/>
                <w:szCs w:val="24"/>
                <w:highlight w:val="none"/>
                <w:u w:val="none"/>
                <w:lang w:eastAsia="zh-CN"/>
              </w:rPr>
              <w:t>，</w:t>
            </w:r>
            <w:r>
              <w:rPr>
                <w:rFonts w:hint="eastAsia" w:cs="Times New Roman"/>
                <w:i w:val="0"/>
                <w:iCs w:val="0"/>
                <w:color w:val="auto"/>
                <w:sz w:val="24"/>
                <w:szCs w:val="24"/>
                <w:highlight w:val="none"/>
                <w:u w:val="none"/>
                <w:lang w:val="en-US" w:eastAsia="zh-CN"/>
              </w:rPr>
              <w:t>粉料回收系统收集效率99%</w:t>
            </w:r>
            <w:r>
              <w:rPr>
                <w:rFonts w:hint="eastAsia" w:ascii="Times New Roman" w:hAnsi="Times New Roman" w:eastAsia="宋体" w:cs="Times New Roman"/>
                <w:i w:val="0"/>
                <w:iCs w:val="0"/>
                <w:color w:val="auto"/>
                <w:sz w:val="24"/>
                <w:szCs w:val="24"/>
                <w:highlight w:val="none"/>
                <w:u w:val="none"/>
                <w:lang w:eastAsia="zh-CN"/>
              </w:rPr>
              <w:t>，可计算得利用率</w:t>
            </w:r>
            <w:r>
              <w:rPr>
                <w:rFonts w:hint="eastAsia"/>
                <w:b w:val="0"/>
                <w:bCs w:val="0"/>
                <w:color w:val="auto"/>
                <w:sz w:val="24"/>
                <w:szCs w:val="24"/>
                <w:u w:val="none" w:color="auto"/>
                <w:lang w:val="en-US" w:eastAsia="zh-CN"/>
              </w:rPr>
              <w:t>=65%+（1-65%）*65%*95%*99%=86.4%</w:t>
            </w:r>
            <w:r>
              <w:rPr>
                <w:rFonts w:hint="eastAsia" w:cs="Times New Roman"/>
                <w:color w:val="auto"/>
                <w:sz w:val="24"/>
                <w:szCs w:val="24"/>
                <w:highlight w:val="none"/>
                <w:u w:val="none"/>
                <w:lang w:eastAsia="zh-CN"/>
              </w:rPr>
              <w:t>。即本项目粉末实际利用率</w:t>
            </w:r>
            <w:r>
              <w:rPr>
                <w:rFonts w:hint="eastAsia" w:cs="Times New Roman"/>
                <w:color w:val="auto"/>
                <w:sz w:val="24"/>
                <w:szCs w:val="24"/>
                <w:highlight w:val="none"/>
                <w:u w:val="none"/>
                <w:lang w:val="en-US" w:eastAsia="zh-CN"/>
              </w:rPr>
              <w:t>86.4</w:t>
            </w:r>
            <w:r>
              <w:rPr>
                <w:rFonts w:hint="eastAsia" w:cs="Times New Roman"/>
                <w:color w:val="auto"/>
                <w:sz w:val="24"/>
                <w:szCs w:val="24"/>
                <w:highlight w:val="none"/>
                <w:u w:val="none"/>
                <w:lang w:eastAsia="zh-CN"/>
              </w:rPr>
              <w:t>%，其余</w:t>
            </w:r>
            <w:r>
              <w:rPr>
                <w:rFonts w:hint="eastAsia" w:cs="Times New Roman"/>
                <w:color w:val="auto"/>
                <w:sz w:val="24"/>
                <w:szCs w:val="24"/>
                <w:highlight w:val="none"/>
                <w:u w:val="none"/>
                <w:lang w:val="en-US" w:eastAsia="zh-CN"/>
              </w:rPr>
              <w:t>13.6%粉料无法利用（1.12%</w:t>
            </w:r>
            <w:r>
              <w:rPr>
                <w:rFonts w:hint="eastAsia" w:cs="Times New Roman"/>
                <w:color w:val="auto"/>
                <w:sz w:val="24"/>
                <w:szCs w:val="24"/>
                <w:highlight w:val="none"/>
                <w:u w:val="none"/>
                <w:lang w:eastAsia="zh-CN"/>
              </w:rPr>
              <w:t>粉末收集后外售、12.</w:t>
            </w:r>
            <w:r>
              <w:rPr>
                <w:rFonts w:hint="eastAsia" w:cs="Times New Roman"/>
                <w:color w:val="auto"/>
                <w:sz w:val="24"/>
                <w:szCs w:val="24"/>
                <w:highlight w:val="none"/>
                <w:u w:val="none"/>
                <w:lang w:val="en-US" w:eastAsia="zh-CN"/>
              </w:rPr>
              <w:t>25%粉末无组织排放、0.23%粉末通过DA002排气筒排放）。</w:t>
            </w:r>
          </w:p>
          <w:p w14:paraId="62CD3C5A">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根据涂料成分及相关污染物分配比例，涂装工序物料平衡见</w:t>
            </w:r>
            <w:r>
              <w:rPr>
                <w:rFonts w:hint="eastAsia" w:ascii="Times New Roman" w:hAnsi="Times New Roman" w:eastAsia="宋体" w:cs="Times New Roman"/>
                <w:color w:val="auto"/>
                <w:sz w:val="24"/>
                <w:szCs w:val="24"/>
                <w:highlight w:val="none"/>
                <w:lang w:eastAsia="zh-CN"/>
              </w:rPr>
              <w:t>下表</w:t>
            </w:r>
            <w:r>
              <w:rPr>
                <w:rFonts w:hint="default" w:ascii="Times New Roman" w:hAnsi="Times New Roman" w:eastAsia="宋体" w:cs="Times New Roman"/>
                <w:color w:val="auto"/>
                <w:sz w:val="24"/>
                <w:szCs w:val="24"/>
                <w:highlight w:val="none"/>
              </w:rPr>
              <w:t>。</w:t>
            </w:r>
          </w:p>
          <w:p w14:paraId="47BB705D">
            <w:pPr>
              <w:keepNext w:val="0"/>
              <w:keepLines w:val="0"/>
              <w:pageBreakBefore w:val="0"/>
              <w:widowControl w:val="0"/>
              <w:tabs>
                <w:tab w:val="left" w:pos="5420"/>
              </w:tabs>
              <w:kinsoku/>
              <w:wordWrap/>
              <w:overflowPunct/>
              <w:topLinePunct w:val="0"/>
              <w:autoSpaceDE/>
              <w:autoSpaceDN/>
              <w:bidi w:val="0"/>
              <w:adjustRightInd w:val="0"/>
              <w:snapToGrid w:val="0"/>
              <w:spacing w:line="500" w:lineRule="exact"/>
              <w:ind w:right="0"/>
              <w:jc w:val="center"/>
              <w:textAlignment w:val="auto"/>
              <w:rPr>
                <w:rFonts w:hint="default" w:cs="宋体"/>
                <w:b/>
                <w:bCs/>
                <w:color w:val="auto"/>
                <w:sz w:val="24"/>
                <w:szCs w:val="24"/>
                <w:highlight w:val="none"/>
                <w:lang w:val="en-US" w:eastAsia="zh-CN"/>
              </w:rPr>
            </w:pPr>
            <w:r>
              <w:rPr>
                <w:rFonts w:hint="eastAsia" w:cs="宋体"/>
                <w:b/>
                <w:bCs/>
                <w:color w:val="auto"/>
                <w:sz w:val="24"/>
                <w:szCs w:val="24"/>
                <w:highlight w:val="none"/>
                <w:lang w:val="en-US" w:eastAsia="zh-CN"/>
              </w:rPr>
              <w:t>表2-10 项目喷粉涂料平衡表</w:t>
            </w:r>
          </w:p>
          <w:tbl>
            <w:tblPr>
              <w:tblStyle w:val="40"/>
              <w:tblW w:w="81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0"/>
              <w:gridCol w:w="2030"/>
              <w:gridCol w:w="2313"/>
              <w:gridCol w:w="1749"/>
            </w:tblGrid>
            <w:tr w14:paraId="264C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0" w:type="dxa"/>
                  <w:gridSpan w:val="2"/>
                  <w:vAlign w:val="center"/>
                </w:tcPr>
                <w:p w14:paraId="11982E44">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入方</w:t>
                  </w:r>
                </w:p>
              </w:tc>
              <w:tc>
                <w:tcPr>
                  <w:tcW w:w="4062" w:type="dxa"/>
                  <w:gridSpan w:val="2"/>
                  <w:vAlign w:val="center"/>
                </w:tcPr>
                <w:p w14:paraId="1CF146F5">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出方</w:t>
                  </w:r>
                </w:p>
              </w:tc>
            </w:tr>
            <w:tr w14:paraId="651C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vAlign w:val="center"/>
                </w:tcPr>
                <w:p w14:paraId="71EA1DB1">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名称</w:t>
                  </w:r>
                </w:p>
              </w:tc>
              <w:tc>
                <w:tcPr>
                  <w:tcW w:w="2030" w:type="dxa"/>
                  <w:vAlign w:val="center"/>
                </w:tcPr>
                <w:p w14:paraId="3DD09561">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用量（t/a）</w:t>
                  </w:r>
                </w:p>
              </w:tc>
              <w:tc>
                <w:tcPr>
                  <w:tcW w:w="2313" w:type="dxa"/>
                  <w:vAlign w:val="center"/>
                </w:tcPr>
                <w:p w14:paraId="18E91925">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名称</w:t>
                  </w:r>
                </w:p>
              </w:tc>
              <w:tc>
                <w:tcPr>
                  <w:tcW w:w="1749" w:type="dxa"/>
                  <w:vAlign w:val="center"/>
                </w:tcPr>
                <w:p w14:paraId="7CC71E4E">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数量（t/a）</w:t>
                  </w:r>
                </w:p>
              </w:tc>
            </w:tr>
            <w:tr w14:paraId="3EC8D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vAlign w:val="center"/>
                </w:tcPr>
                <w:p w14:paraId="0ABBE376">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白色粉料</w:t>
                  </w:r>
                </w:p>
              </w:tc>
              <w:tc>
                <w:tcPr>
                  <w:tcW w:w="2030" w:type="dxa"/>
                  <w:shd w:val="clear" w:color="auto" w:fill="auto"/>
                  <w:vAlign w:val="center"/>
                </w:tcPr>
                <w:p w14:paraId="2F2CD02C">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leftChars="0" w:right="0" w:rightChars="0" w:firstLine="0" w:firstLineChars="0"/>
                    <w:textAlignment w:val="auto"/>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cs="Times New Roman"/>
                      <w:i w:val="0"/>
                      <w:iCs w:val="0"/>
                      <w:color w:val="auto"/>
                      <w:sz w:val="21"/>
                      <w:szCs w:val="21"/>
                      <w:highlight w:val="none"/>
                      <w:u w:val="none"/>
                      <w:lang w:val="en-US" w:eastAsia="zh-CN"/>
                    </w:rPr>
                    <w:t>28</w:t>
                  </w:r>
                </w:p>
              </w:tc>
              <w:tc>
                <w:tcPr>
                  <w:tcW w:w="2313" w:type="dxa"/>
                  <w:vAlign w:val="center"/>
                </w:tcPr>
                <w:p w14:paraId="0C2F12A3">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宋体" w:cs="Times New Roman"/>
                      <w:color w:val="auto"/>
                      <w:sz w:val="21"/>
                      <w:szCs w:val="21"/>
                      <w:highlight w:val="none"/>
                      <w:u w:val="none"/>
                      <w:lang w:val="en-US" w:eastAsia="zh-CN"/>
                    </w:rPr>
                    <w:t>结构件附着</w:t>
                  </w:r>
                </w:p>
              </w:tc>
              <w:tc>
                <w:tcPr>
                  <w:tcW w:w="1749" w:type="dxa"/>
                  <w:vAlign w:val="center"/>
                </w:tcPr>
                <w:p w14:paraId="1F129A54">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47.9</w:t>
                  </w:r>
                </w:p>
              </w:tc>
            </w:tr>
            <w:tr w14:paraId="0725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vAlign w:val="center"/>
                </w:tcPr>
                <w:p w14:paraId="0BE18FDF">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绿色粉料</w:t>
                  </w:r>
                </w:p>
              </w:tc>
              <w:tc>
                <w:tcPr>
                  <w:tcW w:w="2030" w:type="dxa"/>
                  <w:shd w:val="clear" w:color="auto" w:fill="auto"/>
                  <w:vAlign w:val="center"/>
                </w:tcPr>
                <w:p w14:paraId="59CD98E5">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leftChars="0" w:right="0" w:rightChars="0" w:firstLine="0" w:firstLineChars="0"/>
                    <w:textAlignment w:val="auto"/>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cs="Times New Roman"/>
                      <w:i w:val="0"/>
                      <w:iCs w:val="0"/>
                      <w:color w:val="auto"/>
                      <w:sz w:val="21"/>
                      <w:szCs w:val="21"/>
                      <w:highlight w:val="none"/>
                      <w:u w:val="none"/>
                      <w:lang w:val="en-US" w:eastAsia="zh-CN"/>
                    </w:rPr>
                    <w:t>14</w:t>
                  </w:r>
                </w:p>
              </w:tc>
              <w:tc>
                <w:tcPr>
                  <w:tcW w:w="2313" w:type="dxa"/>
                  <w:vAlign w:val="center"/>
                </w:tcPr>
                <w:p w14:paraId="3CD4C133">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喷粉废料</w:t>
                  </w:r>
                </w:p>
              </w:tc>
              <w:tc>
                <w:tcPr>
                  <w:tcW w:w="1749" w:type="dxa"/>
                  <w:vAlign w:val="center"/>
                </w:tcPr>
                <w:p w14:paraId="48CABCA5">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0.63</w:t>
                  </w:r>
                </w:p>
              </w:tc>
            </w:tr>
            <w:tr w14:paraId="4361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shd w:val="clear" w:color="auto" w:fill="auto"/>
                  <w:vAlign w:val="center"/>
                </w:tcPr>
                <w:p w14:paraId="2BC58215">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right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粉色粉料</w:t>
                  </w:r>
                </w:p>
              </w:tc>
              <w:tc>
                <w:tcPr>
                  <w:tcW w:w="2030" w:type="dxa"/>
                  <w:shd w:val="clear" w:color="auto" w:fill="auto"/>
                  <w:vAlign w:val="center"/>
                </w:tcPr>
                <w:p w14:paraId="6D354450">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leftChars="0" w:right="0" w:rightChars="0" w:firstLine="0" w:firstLineChars="0"/>
                    <w:textAlignment w:val="auto"/>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cs="Times New Roman"/>
                      <w:i w:val="0"/>
                      <w:iCs w:val="0"/>
                      <w:color w:val="auto"/>
                      <w:sz w:val="21"/>
                      <w:szCs w:val="21"/>
                      <w:highlight w:val="none"/>
                      <w:u w:val="none"/>
                      <w:lang w:val="en-US" w:eastAsia="zh-CN"/>
                    </w:rPr>
                    <w:t>14</w:t>
                  </w:r>
                </w:p>
              </w:tc>
              <w:tc>
                <w:tcPr>
                  <w:tcW w:w="2313" w:type="dxa"/>
                  <w:vAlign w:val="center"/>
                </w:tcPr>
                <w:p w14:paraId="57F9F6DE">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喷粉废气</w:t>
                  </w:r>
                </w:p>
              </w:tc>
              <w:tc>
                <w:tcPr>
                  <w:tcW w:w="1749" w:type="dxa"/>
                  <w:vAlign w:val="center"/>
                </w:tcPr>
                <w:p w14:paraId="194A7606">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6.99</w:t>
                  </w:r>
                </w:p>
              </w:tc>
            </w:tr>
            <w:tr w14:paraId="0D2D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2030" w:type="dxa"/>
                  <w:vAlign w:val="center"/>
                </w:tcPr>
                <w:p w14:paraId="47B0F53B">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p>
              </w:tc>
              <w:tc>
                <w:tcPr>
                  <w:tcW w:w="2030" w:type="dxa"/>
                  <w:shd w:val="clear" w:color="auto" w:fill="auto"/>
                  <w:vAlign w:val="center"/>
                </w:tcPr>
                <w:p w14:paraId="3A4CF7F7">
                  <w:pPr>
                    <w:pStyle w:val="57"/>
                    <w:keepNext w:val="0"/>
                    <w:keepLines w:val="0"/>
                    <w:pageBreakBefore w:val="0"/>
                    <w:widowControl/>
                    <w:kinsoku/>
                    <w:wordWrap/>
                    <w:overflowPunct/>
                    <w:topLinePunct w:val="0"/>
                    <w:autoSpaceDE/>
                    <w:autoSpaceDN/>
                    <w:bidi w:val="0"/>
                    <w:adjustRightInd/>
                    <w:snapToGrid/>
                    <w:spacing w:beforeLines="0" w:afterLines="0" w:line="240" w:lineRule="auto"/>
                    <w:ind w:left="0" w:leftChars="0" w:right="0" w:rightChars="0" w:firstLine="0" w:firstLineChars="0"/>
                    <w:textAlignment w:val="auto"/>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2313" w:type="dxa"/>
                  <w:shd w:val="clear" w:color="auto" w:fill="auto"/>
                  <w:vAlign w:val="center"/>
                </w:tcPr>
                <w:p w14:paraId="333AF45B">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right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烘干废气</w:t>
                  </w:r>
                </w:p>
              </w:tc>
              <w:tc>
                <w:tcPr>
                  <w:tcW w:w="1749" w:type="dxa"/>
                  <w:shd w:val="clear" w:color="auto" w:fill="auto"/>
                  <w:vAlign w:val="center"/>
                </w:tcPr>
                <w:p w14:paraId="280E6CE6">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right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0.24</w:t>
                  </w:r>
                </w:p>
              </w:tc>
            </w:tr>
            <w:tr w14:paraId="7AFB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vAlign w:val="center"/>
                </w:tcPr>
                <w:p w14:paraId="16FB417B">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合计</w:t>
                  </w:r>
                </w:p>
              </w:tc>
              <w:tc>
                <w:tcPr>
                  <w:tcW w:w="2030" w:type="dxa"/>
                  <w:vAlign w:val="center"/>
                </w:tcPr>
                <w:p w14:paraId="0B871737">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56</w:t>
                  </w:r>
                </w:p>
              </w:tc>
              <w:tc>
                <w:tcPr>
                  <w:tcW w:w="2313" w:type="dxa"/>
                  <w:vAlign w:val="center"/>
                </w:tcPr>
                <w:p w14:paraId="30CCC7EB">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合计</w:t>
                  </w:r>
                </w:p>
              </w:tc>
              <w:tc>
                <w:tcPr>
                  <w:tcW w:w="1749" w:type="dxa"/>
                  <w:vAlign w:val="center"/>
                </w:tcPr>
                <w:p w14:paraId="7FE7519E">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56</w:t>
                  </w:r>
                </w:p>
              </w:tc>
            </w:tr>
          </w:tbl>
          <w:p w14:paraId="6E702F83">
            <w:pPr>
              <w:keepNext w:val="0"/>
              <w:keepLines w:val="0"/>
              <w:pageBreakBefore w:val="0"/>
              <w:widowControl w:val="0"/>
              <w:tabs>
                <w:tab w:val="left" w:pos="5420"/>
              </w:tabs>
              <w:kinsoku/>
              <w:wordWrap/>
              <w:overflowPunct/>
              <w:topLinePunct w:val="0"/>
              <w:autoSpaceDE/>
              <w:autoSpaceDN/>
              <w:bidi w:val="0"/>
              <w:adjustRightInd w:val="0"/>
              <w:snapToGrid w:val="0"/>
              <w:spacing w:line="500" w:lineRule="exact"/>
              <w:ind w:right="0" w:firstLine="482" w:firstLineChars="200"/>
              <w:textAlignment w:val="auto"/>
              <w:rPr>
                <w:rFonts w:hint="default" w:cs="宋体"/>
                <w:b/>
                <w:bCs/>
                <w:color w:val="auto"/>
                <w:sz w:val="24"/>
                <w:szCs w:val="24"/>
                <w:lang w:val="en-US" w:eastAsia="zh-CN"/>
              </w:rPr>
            </w:pPr>
            <w:r>
              <w:rPr>
                <w:rFonts w:hint="eastAsia" w:cs="宋体"/>
                <w:b/>
                <w:bCs/>
                <w:color w:val="auto"/>
                <w:sz w:val="24"/>
                <w:szCs w:val="24"/>
                <w:lang w:val="en-US" w:eastAsia="zh-CN"/>
              </w:rPr>
              <w:t>B、电泳涂料平衡</w:t>
            </w:r>
          </w:p>
          <w:p w14:paraId="47DFE60F">
            <w:pPr>
              <w:keepNext w:val="0"/>
              <w:keepLines w:val="0"/>
              <w:pageBreakBefore w:val="0"/>
              <w:widowControl w:val="0"/>
              <w:tabs>
                <w:tab w:val="left" w:pos="5420"/>
              </w:tabs>
              <w:kinsoku/>
              <w:wordWrap/>
              <w:overflowPunct/>
              <w:topLinePunct w:val="0"/>
              <w:autoSpaceDE/>
              <w:autoSpaceDN/>
              <w:bidi w:val="0"/>
              <w:adjustRightInd w:val="0"/>
              <w:snapToGrid w:val="0"/>
              <w:spacing w:line="500" w:lineRule="exact"/>
              <w:ind w:right="0" w:firstLine="480" w:firstLineChars="200"/>
              <w:textAlignment w:val="auto"/>
              <w:rPr>
                <w:rFonts w:hint="eastAsia" w:cs="宋体"/>
                <w:b w:val="0"/>
                <w:bCs w:val="0"/>
                <w:color w:val="auto"/>
                <w:sz w:val="24"/>
                <w:szCs w:val="24"/>
                <w:lang w:eastAsia="zh-CN"/>
              </w:rPr>
            </w:pPr>
            <w:r>
              <w:rPr>
                <w:rFonts w:hint="eastAsia" w:cs="宋体"/>
                <w:b w:val="0"/>
                <w:bCs w:val="0"/>
                <w:color w:val="auto"/>
                <w:sz w:val="24"/>
                <w:szCs w:val="24"/>
                <w:lang w:eastAsia="zh-CN"/>
              </w:rPr>
              <w:t>电泳调漆在电泳槽内进行，电泳</w:t>
            </w:r>
            <w:r>
              <w:rPr>
                <w:rFonts w:hint="eastAsia" w:cs="宋体"/>
                <w:b w:val="0"/>
                <w:bCs w:val="0"/>
                <w:color w:val="auto"/>
                <w:sz w:val="24"/>
                <w:szCs w:val="24"/>
                <w:lang w:val="en-US" w:eastAsia="zh-CN"/>
              </w:rPr>
              <w:t>槽设置于半</w:t>
            </w:r>
            <w:r>
              <w:rPr>
                <w:rFonts w:hint="eastAsia" w:cs="宋体"/>
                <w:b w:val="0"/>
                <w:bCs w:val="0"/>
                <w:color w:val="auto"/>
                <w:sz w:val="24"/>
                <w:szCs w:val="24"/>
                <w:lang w:eastAsia="zh-CN"/>
              </w:rPr>
              <w:t>密闭</w:t>
            </w:r>
            <w:r>
              <w:rPr>
                <w:rFonts w:hint="eastAsia" w:cs="宋体"/>
                <w:b w:val="0"/>
                <w:bCs w:val="0"/>
                <w:color w:val="auto"/>
                <w:sz w:val="24"/>
                <w:szCs w:val="24"/>
                <w:lang w:val="en-US" w:eastAsia="zh-CN"/>
              </w:rPr>
              <w:t>设备内</w:t>
            </w:r>
            <w:r>
              <w:rPr>
                <w:rFonts w:hint="eastAsia" w:cs="宋体"/>
                <w:b w:val="0"/>
                <w:bCs w:val="0"/>
                <w:color w:val="auto"/>
                <w:sz w:val="24"/>
                <w:szCs w:val="24"/>
                <w:lang w:eastAsia="zh-CN"/>
              </w:rPr>
              <w:t>，配套设有</w:t>
            </w:r>
            <w:r>
              <w:rPr>
                <w:rFonts w:hint="eastAsia" w:cs="宋体"/>
                <w:b w:val="0"/>
                <w:bCs w:val="0"/>
                <w:color w:val="auto"/>
                <w:sz w:val="24"/>
                <w:szCs w:val="24"/>
                <w:lang w:val="en-US" w:eastAsia="zh-CN"/>
              </w:rPr>
              <w:t>负压</w:t>
            </w:r>
            <w:r>
              <w:rPr>
                <w:rFonts w:hint="eastAsia" w:cs="宋体"/>
                <w:b w:val="0"/>
                <w:bCs w:val="0"/>
                <w:color w:val="auto"/>
                <w:sz w:val="24"/>
                <w:szCs w:val="24"/>
                <w:lang w:eastAsia="zh-CN"/>
              </w:rPr>
              <w:t>抽风系统，</w:t>
            </w:r>
            <w:r>
              <w:rPr>
                <w:rFonts w:hint="eastAsia" w:cs="宋体"/>
                <w:b w:val="0"/>
                <w:bCs w:val="0"/>
                <w:color w:val="auto"/>
                <w:sz w:val="24"/>
                <w:szCs w:val="24"/>
                <w:lang w:val="en-US" w:eastAsia="zh-CN"/>
              </w:rPr>
              <w:t>参考《主要污染物总量减排核算技术指南》（2022年修订）半密闭集气设备</w:t>
            </w:r>
            <w:r>
              <w:rPr>
                <w:rFonts w:hint="eastAsia" w:cs="宋体"/>
                <w:b w:val="0"/>
                <w:bCs w:val="0"/>
                <w:color w:val="auto"/>
                <w:sz w:val="24"/>
                <w:szCs w:val="24"/>
                <w:lang w:eastAsia="zh-CN"/>
              </w:rPr>
              <w:t>收集效率</w:t>
            </w:r>
            <w:r>
              <w:rPr>
                <w:rFonts w:hint="eastAsia" w:cs="宋体"/>
                <w:b w:val="0"/>
                <w:bCs w:val="0"/>
                <w:color w:val="auto"/>
                <w:sz w:val="24"/>
                <w:szCs w:val="24"/>
                <w:lang w:val="en-US" w:eastAsia="zh-CN"/>
              </w:rPr>
              <w:t>为65</w:t>
            </w:r>
            <w:r>
              <w:rPr>
                <w:rFonts w:hint="eastAsia" w:cs="宋体"/>
                <w:b w:val="0"/>
                <w:bCs w:val="0"/>
                <w:color w:val="auto"/>
                <w:sz w:val="24"/>
                <w:szCs w:val="24"/>
                <w:lang w:eastAsia="zh-CN"/>
              </w:rPr>
              <w:t>%，</w:t>
            </w:r>
            <w:r>
              <w:rPr>
                <w:rFonts w:hint="eastAsia" w:cs="宋体"/>
                <w:b w:val="0"/>
                <w:bCs w:val="0"/>
                <w:color w:val="auto"/>
                <w:sz w:val="24"/>
                <w:szCs w:val="24"/>
                <w:lang w:val="en-US" w:eastAsia="zh-CN"/>
              </w:rPr>
              <w:t>本项目电泳负压收集效率取65%</w:t>
            </w:r>
            <w:r>
              <w:rPr>
                <w:rFonts w:hint="eastAsia" w:cs="宋体"/>
                <w:b w:val="0"/>
                <w:bCs w:val="0"/>
                <w:color w:val="auto"/>
                <w:sz w:val="24"/>
                <w:szCs w:val="24"/>
                <w:lang w:eastAsia="zh-CN"/>
              </w:rPr>
              <w:t>。</w:t>
            </w:r>
            <w:r>
              <w:rPr>
                <w:rFonts w:hint="eastAsia" w:cs="宋体"/>
                <w:b w:val="0"/>
                <w:bCs w:val="0"/>
                <w:color w:val="auto"/>
                <w:sz w:val="24"/>
                <w:szCs w:val="24"/>
                <w:lang w:val="en-US" w:eastAsia="zh-CN"/>
              </w:rPr>
              <w:t>废气</w:t>
            </w:r>
            <w:r>
              <w:rPr>
                <w:rFonts w:hint="eastAsia" w:cs="宋体"/>
                <w:b w:val="0"/>
                <w:bCs w:val="0"/>
                <w:color w:val="auto"/>
                <w:sz w:val="24"/>
                <w:szCs w:val="24"/>
                <w:lang w:eastAsia="zh-CN"/>
              </w:rPr>
              <w:t>收集后经</w:t>
            </w:r>
            <w:r>
              <w:rPr>
                <w:rFonts w:hint="eastAsia" w:cs="宋体"/>
                <w:b w:val="0"/>
                <w:bCs w:val="0"/>
                <w:color w:val="auto"/>
                <w:sz w:val="24"/>
                <w:szCs w:val="24"/>
                <w:lang w:val="en-US" w:eastAsia="zh-CN"/>
              </w:rPr>
              <w:t>水喷淋+二级</w:t>
            </w:r>
            <w:r>
              <w:rPr>
                <w:rFonts w:hint="eastAsia" w:cs="宋体"/>
                <w:b w:val="0"/>
                <w:bCs w:val="0"/>
                <w:color w:val="auto"/>
                <w:sz w:val="24"/>
                <w:szCs w:val="24"/>
                <w:lang w:eastAsia="zh-CN"/>
              </w:rPr>
              <w:t>活性炭</w:t>
            </w:r>
            <w:r>
              <w:rPr>
                <w:rFonts w:hint="eastAsia" w:cs="Times New Roman"/>
                <w:color w:val="auto"/>
                <w:sz w:val="24"/>
                <w:szCs w:val="24"/>
                <w:lang w:val="en-US" w:eastAsia="zh-CN"/>
              </w:rPr>
              <w:t>（含干式过滤棉）装</w:t>
            </w:r>
            <w:r>
              <w:rPr>
                <w:rFonts w:hint="eastAsia" w:cs="宋体"/>
                <w:b w:val="0"/>
                <w:bCs w:val="0"/>
                <w:color w:val="auto"/>
                <w:sz w:val="24"/>
                <w:szCs w:val="24"/>
                <w:lang w:eastAsia="zh-CN"/>
              </w:rPr>
              <w:t>置处理后通过1根</w:t>
            </w:r>
            <w:r>
              <w:rPr>
                <w:rFonts w:hint="eastAsia" w:cs="宋体"/>
                <w:b w:val="0"/>
                <w:bCs w:val="0"/>
                <w:color w:val="auto"/>
                <w:sz w:val="24"/>
                <w:szCs w:val="24"/>
                <w:lang w:val="en-US" w:eastAsia="zh-CN"/>
              </w:rPr>
              <w:t>15</w:t>
            </w:r>
            <w:r>
              <w:rPr>
                <w:rFonts w:hint="eastAsia" w:cs="宋体"/>
                <w:b w:val="0"/>
                <w:bCs w:val="0"/>
                <w:color w:val="auto"/>
                <w:sz w:val="24"/>
                <w:szCs w:val="24"/>
                <w:lang w:eastAsia="zh-CN"/>
              </w:rPr>
              <w:t>m高(DA00</w:t>
            </w:r>
            <w:r>
              <w:rPr>
                <w:rFonts w:hint="eastAsia" w:cs="宋体"/>
                <w:b w:val="0"/>
                <w:bCs w:val="0"/>
                <w:color w:val="auto"/>
                <w:sz w:val="24"/>
                <w:szCs w:val="24"/>
                <w:lang w:val="en-US" w:eastAsia="zh-CN"/>
              </w:rPr>
              <w:t>2</w:t>
            </w:r>
            <w:r>
              <w:rPr>
                <w:rFonts w:hint="eastAsia" w:cs="宋体"/>
                <w:b w:val="0"/>
                <w:bCs w:val="0"/>
                <w:color w:val="auto"/>
                <w:sz w:val="24"/>
                <w:szCs w:val="24"/>
                <w:lang w:eastAsia="zh-CN"/>
              </w:rPr>
              <w:t>)的排气筒排放。</w:t>
            </w:r>
            <w:r>
              <w:rPr>
                <w:rFonts w:hint="default" w:ascii="Times New Roman" w:hAnsi="Times New Roman" w:eastAsia="宋体" w:cs="Times New Roman"/>
                <w:b w:val="0"/>
                <w:bCs w:val="0"/>
                <w:color w:val="auto"/>
                <w:kern w:val="2"/>
                <w:sz w:val="24"/>
                <w:szCs w:val="24"/>
                <w:highlight w:val="none"/>
                <w:lang w:val="en-US" w:eastAsia="zh-CN" w:bidi="ar"/>
              </w:rPr>
              <w:t>参照《污染源源强核算技术指南 汽车制造》（HJ1097-2020）附录E，电泳过程电泳涂料挥发性有机物挥发量占比为35%，烘干过程电泳涂料挥发性有机物挥发量占比为65%</w:t>
            </w:r>
            <w:r>
              <w:rPr>
                <w:rFonts w:hint="eastAsia" w:cs="Times New Roman"/>
                <w:b w:val="0"/>
                <w:bCs w:val="0"/>
                <w:color w:val="auto"/>
                <w:kern w:val="2"/>
                <w:sz w:val="24"/>
                <w:szCs w:val="24"/>
                <w:highlight w:val="none"/>
                <w:lang w:val="en-US" w:eastAsia="zh-CN" w:bidi="ar"/>
              </w:rPr>
              <w:t>，按最不利因素考虑，电泳过程涂料中挥发性有机物全部挥发；电泳采用先进工艺，配备完整超滤系统，漆料附着率可达95%~99%，本次附着率取95%，电泳未附着的固体分漆料附着于电泳槽体，后续作为槽渣清理，项目电泳漆平衡详见下表</w:t>
            </w:r>
            <w:r>
              <w:rPr>
                <w:rFonts w:hint="eastAsia" w:cs="宋体"/>
                <w:b w:val="0"/>
                <w:bCs w:val="0"/>
                <w:color w:val="auto"/>
                <w:sz w:val="24"/>
                <w:szCs w:val="24"/>
                <w:lang w:eastAsia="zh-CN"/>
              </w:rPr>
              <w:t>。</w:t>
            </w:r>
          </w:p>
          <w:p w14:paraId="042A226F">
            <w:pPr>
              <w:keepNext w:val="0"/>
              <w:keepLines w:val="0"/>
              <w:pageBreakBefore w:val="0"/>
              <w:widowControl w:val="0"/>
              <w:tabs>
                <w:tab w:val="left" w:pos="5420"/>
              </w:tabs>
              <w:kinsoku/>
              <w:wordWrap/>
              <w:overflowPunct/>
              <w:topLinePunct w:val="0"/>
              <w:autoSpaceDE/>
              <w:autoSpaceDN/>
              <w:bidi w:val="0"/>
              <w:adjustRightInd w:val="0"/>
              <w:snapToGrid w:val="0"/>
              <w:spacing w:line="500" w:lineRule="exact"/>
              <w:ind w:right="0"/>
              <w:jc w:val="center"/>
              <w:textAlignment w:val="auto"/>
              <w:rPr>
                <w:rFonts w:hint="eastAsia" w:cs="宋体"/>
                <w:b/>
                <w:bCs/>
                <w:color w:val="auto"/>
                <w:sz w:val="24"/>
                <w:szCs w:val="24"/>
                <w:lang w:val="en-US" w:eastAsia="zh-CN"/>
              </w:rPr>
            </w:pPr>
          </w:p>
          <w:p w14:paraId="451CE8DB">
            <w:pPr>
              <w:keepNext w:val="0"/>
              <w:keepLines w:val="0"/>
              <w:pageBreakBefore w:val="0"/>
              <w:widowControl w:val="0"/>
              <w:tabs>
                <w:tab w:val="left" w:pos="5420"/>
              </w:tabs>
              <w:kinsoku/>
              <w:wordWrap/>
              <w:overflowPunct/>
              <w:topLinePunct w:val="0"/>
              <w:autoSpaceDE/>
              <w:autoSpaceDN/>
              <w:bidi w:val="0"/>
              <w:adjustRightInd w:val="0"/>
              <w:snapToGrid w:val="0"/>
              <w:spacing w:line="500" w:lineRule="exact"/>
              <w:ind w:right="0"/>
              <w:jc w:val="center"/>
              <w:textAlignment w:val="auto"/>
              <w:rPr>
                <w:rFonts w:hint="default" w:cs="宋体"/>
                <w:b/>
                <w:bCs/>
                <w:color w:val="auto"/>
                <w:sz w:val="24"/>
                <w:szCs w:val="24"/>
                <w:lang w:val="en-US" w:eastAsia="zh-CN"/>
              </w:rPr>
            </w:pPr>
            <w:r>
              <w:rPr>
                <w:rFonts w:hint="eastAsia" w:cs="宋体"/>
                <w:b/>
                <w:bCs/>
                <w:color w:val="auto"/>
                <w:sz w:val="24"/>
                <w:szCs w:val="24"/>
                <w:lang w:val="en-US" w:eastAsia="zh-CN"/>
              </w:rPr>
              <w:t>表2-11 项目电泳涂料平衡表</w:t>
            </w:r>
          </w:p>
          <w:tbl>
            <w:tblPr>
              <w:tblStyle w:val="40"/>
              <w:tblW w:w="81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0"/>
              <w:gridCol w:w="2030"/>
              <w:gridCol w:w="2313"/>
              <w:gridCol w:w="1749"/>
            </w:tblGrid>
            <w:tr w14:paraId="1BF5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0" w:type="dxa"/>
                  <w:gridSpan w:val="2"/>
                  <w:vAlign w:val="center"/>
                </w:tcPr>
                <w:p w14:paraId="2364EAAF">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入方</w:t>
                  </w:r>
                </w:p>
              </w:tc>
              <w:tc>
                <w:tcPr>
                  <w:tcW w:w="4062" w:type="dxa"/>
                  <w:gridSpan w:val="2"/>
                  <w:vAlign w:val="center"/>
                </w:tcPr>
                <w:p w14:paraId="7B2807A5">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出方</w:t>
                  </w:r>
                </w:p>
              </w:tc>
            </w:tr>
            <w:tr w14:paraId="6A952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vAlign w:val="center"/>
                </w:tcPr>
                <w:p w14:paraId="068CF08B">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名称</w:t>
                  </w:r>
                </w:p>
              </w:tc>
              <w:tc>
                <w:tcPr>
                  <w:tcW w:w="2030" w:type="dxa"/>
                  <w:vAlign w:val="center"/>
                </w:tcPr>
                <w:p w14:paraId="66CAAF53">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用量（t/a）</w:t>
                  </w:r>
                </w:p>
              </w:tc>
              <w:tc>
                <w:tcPr>
                  <w:tcW w:w="2313" w:type="dxa"/>
                  <w:vAlign w:val="center"/>
                </w:tcPr>
                <w:p w14:paraId="6346DC8E">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名称</w:t>
                  </w:r>
                </w:p>
              </w:tc>
              <w:tc>
                <w:tcPr>
                  <w:tcW w:w="1749" w:type="dxa"/>
                  <w:vAlign w:val="center"/>
                </w:tcPr>
                <w:p w14:paraId="06A4B210">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数量（t/a）</w:t>
                  </w:r>
                </w:p>
              </w:tc>
            </w:tr>
            <w:tr w14:paraId="0F43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2" w:type="dxa"/>
                  <w:gridSpan w:val="4"/>
                  <w:vAlign w:val="center"/>
                </w:tcPr>
                <w:p w14:paraId="2EC731B7">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bCs/>
                      <w:color w:val="auto"/>
                      <w:sz w:val="21"/>
                      <w:szCs w:val="21"/>
                      <w:vertAlign w:val="baseline"/>
                      <w:lang w:val="en-US" w:eastAsia="zh-CN"/>
                    </w:rPr>
                    <w:t>固体份</w:t>
                  </w:r>
                </w:p>
              </w:tc>
            </w:tr>
            <w:tr w14:paraId="0177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vAlign w:val="center"/>
                </w:tcPr>
                <w:p w14:paraId="7970A003">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电泳涂料</w:t>
                  </w:r>
                </w:p>
              </w:tc>
              <w:tc>
                <w:tcPr>
                  <w:tcW w:w="2030" w:type="dxa"/>
                  <w:vAlign w:val="center"/>
                </w:tcPr>
                <w:p w14:paraId="305B69C1">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18.93</w:t>
                  </w:r>
                </w:p>
              </w:tc>
              <w:tc>
                <w:tcPr>
                  <w:tcW w:w="2313" w:type="dxa"/>
                  <w:vAlign w:val="center"/>
                </w:tcPr>
                <w:p w14:paraId="7A290EF4">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宋体" w:cs="Times New Roman"/>
                      <w:color w:val="auto"/>
                      <w:sz w:val="21"/>
                      <w:szCs w:val="21"/>
                      <w:highlight w:val="none"/>
                      <w:u w:val="none"/>
                      <w:lang w:val="en-US" w:eastAsia="zh-CN"/>
                    </w:rPr>
                    <w:t>结构件附着</w:t>
                  </w:r>
                </w:p>
              </w:tc>
              <w:tc>
                <w:tcPr>
                  <w:tcW w:w="1749" w:type="dxa"/>
                  <w:vAlign w:val="center"/>
                </w:tcPr>
                <w:p w14:paraId="4924EB30">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17.98</w:t>
                  </w:r>
                </w:p>
              </w:tc>
            </w:tr>
            <w:tr w14:paraId="76EA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vAlign w:val="center"/>
                </w:tcPr>
                <w:p w14:paraId="19EE8645">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w:t>
                  </w:r>
                </w:p>
              </w:tc>
              <w:tc>
                <w:tcPr>
                  <w:tcW w:w="2030" w:type="dxa"/>
                  <w:vAlign w:val="center"/>
                </w:tcPr>
                <w:p w14:paraId="4D889180">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w:t>
                  </w:r>
                </w:p>
              </w:tc>
              <w:tc>
                <w:tcPr>
                  <w:tcW w:w="2313" w:type="dxa"/>
                  <w:vAlign w:val="center"/>
                </w:tcPr>
                <w:p w14:paraId="698A3D6D">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槽渣</w:t>
                  </w:r>
                </w:p>
              </w:tc>
              <w:tc>
                <w:tcPr>
                  <w:tcW w:w="1749" w:type="dxa"/>
                  <w:vAlign w:val="center"/>
                </w:tcPr>
                <w:p w14:paraId="4475EBCE">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eastAsia="zh-CN"/>
                    </w:rPr>
                    <w:t>0.9</w:t>
                  </w:r>
                  <w:r>
                    <w:rPr>
                      <w:rFonts w:hint="eastAsia" w:cs="Times New Roman"/>
                      <w:b w:val="0"/>
                      <w:bCs w:val="0"/>
                      <w:color w:val="auto"/>
                      <w:sz w:val="21"/>
                      <w:szCs w:val="21"/>
                      <w:vertAlign w:val="baseline"/>
                      <w:lang w:val="en-US" w:eastAsia="zh-CN"/>
                    </w:rPr>
                    <w:t>5</w:t>
                  </w:r>
                </w:p>
              </w:tc>
            </w:tr>
            <w:tr w14:paraId="03C1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vAlign w:val="center"/>
                </w:tcPr>
                <w:p w14:paraId="5F6674D4">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小计</w:t>
                  </w:r>
                </w:p>
              </w:tc>
              <w:tc>
                <w:tcPr>
                  <w:tcW w:w="2030" w:type="dxa"/>
                  <w:vAlign w:val="center"/>
                </w:tcPr>
                <w:p w14:paraId="09374343">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18.93</w:t>
                  </w:r>
                </w:p>
              </w:tc>
              <w:tc>
                <w:tcPr>
                  <w:tcW w:w="2313" w:type="dxa"/>
                  <w:shd w:val="clear" w:color="auto" w:fill="auto"/>
                  <w:vAlign w:val="center"/>
                </w:tcPr>
                <w:p w14:paraId="5457ECCD">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right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小计</w:t>
                  </w:r>
                </w:p>
              </w:tc>
              <w:tc>
                <w:tcPr>
                  <w:tcW w:w="1749" w:type="dxa"/>
                  <w:shd w:val="clear" w:color="auto" w:fill="auto"/>
                  <w:vAlign w:val="center"/>
                </w:tcPr>
                <w:p w14:paraId="0B337176">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right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18.93</w:t>
                  </w:r>
                </w:p>
              </w:tc>
            </w:tr>
            <w:tr w14:paraId="02D9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2" w:type="dxa"/>
                  <w:gridSpan w:val="4"/>
                  <w:vAlign w:val="center"/>
                </w:tcPr>
                <w:p w14:paraId="0D61070E">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rightChars="0"/>
                    <w:jc w:val="center"/>
                    <w:textAlignment w:val="auto"/>
                    <w:rPr>
                      <w:rFonts w:hint="default" w:cs="Times New Roman"/>
                      <w:b w:val="0"/>
                      <w:bCs w:val="0"/>
                      <w:color w:val="auto"/>
                      <w:sz w:val="21"/>
                      <w:szCs w:val="21"/>
                      <w:vertAlign w:val="baseline"/>
                      <w:lang w:val="en-US" w:eastAsia="zh-CN"/>
                    </w:rPr>
                  </w:pPr>
                  <w:r>
                    <w:rPr>
                      <w:rFonts w:hint="eastAsia" w:cs="Times New Roman"/>
                      <w:b/>
                      <w:bCs/>
                      <w:color w:val="auto"/>
                      <w:sz w:val="21"/>
                      <w:szCs w:val="21"/>
                      <w:vertAlign w:val="baseline"/>
                      <w:lang w:val="en-US" w:eastAsia="zh-CN"/>
                    </w:rPr>
                    <w:t>挥发分</w:t>
                  </w:r>
                </w:p>
              </w:tc>
            </w:tr>
            <w:tr w14:paraId="7AF7F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shd w:val="clear" w:color="auto" w:fill="auto"/>
                  <w:vAlign w:val="center"/>
                </w:tcPr>
                <w:p w14:paraId="5BA2E2D0">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right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cs="Times New Roman"/>
                      <w:b w:val="0"/>
                      <w:bCs w:val="0"/>
                      <w:color w:val="auto"/>
                      <w:sz w:val="21"/>
                      <w:szCs w:val="21"/>
                      <w:vertAlign w:val="baseline"/>
                      <w:lang w:val="en-US" w:eastAsia="zh-CN"/>
                    </w:rPr>
                    <w:t>电泳涂料</w:t>
                  </w:r>
                </w:p>
              </w:tc>
              <w:tc>
                <w:tcPr>
                  <w:tcW w:w="2030" w:type="dxa"/>
                  <w:shd w:val="clear" w:color="auto" w:fill="auto"/>
                  <w:vAlign w:val="center"/>
                </w:tcPr>
                <w:p w14:paraId="45C58EAE">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right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4.94</w:t>
                  </w:r>
                </w:p>
              </w:tc>
              <w:tc>
                <w:tcPr>
                  <w:tcW w:w="2313" w:type="dxa"/>
                  <w:vAlign w:val="center"/>
                </w:tcPr>
                <w:p w14:paraId="45A635B2">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电泳</w:t>
                  </w:r>
                  <w:r>
                    <w:rPr>
                      <w:rFonts w:hint="eastAsia" w:ascii="Times New Roman" w:hAnsi="Times New Roman" w:cs="Times New Roman"/>
                      <w:b w:val="0"/>
                      <w:bCs w:val="0"/>
                      <w:color w:val="auto"/>
                      <w:sz w:val="21"/>
                      <w:szCs w:val="21"/>
                      <w:vertAlign w:val="baseline"/>
                      <w:lang w:val="en-US" w:eastAsia="zh-CN"/>
                    </w:rPr>
                    <w:t>废气</w:t>
                  </w:r>
                </w:p>
              </w:tc>
              <w:tc>
                <w:tcPr>
                  <w:tcW w:w="1749" w:type="dxa"/>
                  <w:vAlign w:val="center"/>
                </w:tcPr>
                <w:p w14:paraId="439F9B1E">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color w:val="auto"/>
                      <w:highlight w:val="none"/>
                    </w:rPr>
                    <w:t>1.37</w:t>
                  </w:r>
                </w:p>
              </w:tc>
            </w:tr>
            <w:tr w14:paraId="0A2E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shd w:val="clear" w:color="auto" w:fill="auto"/>
                  <w:vAlign w:val="center"/>
                </w:tcPr>
                <w:p w14:paraId="75F8A525">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right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w:t>
                  </w:r>
                </w:p>
              </w:tc>
              <w:tc>
                <w:tcPr>
                  <w:tcW w:w="2030" w:type="dxa"/>
                  <w:shd w:val="clear" w:color="auto" w:fill="auto"/>
                  <w:vAlign w:val="center"/>
                </w:tcPr>
                <w:p w14:paraId="727C1C0C">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right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w:t>
                  </w:r>
                </w:p>
              </w:tc>
              <w:tc>
                <w:tcPr>
                  <w:tcW w:w="2313" w:type="dxa"/>
                  <w:vAlign w:val="center"/>
                </w:tcPr>
                <w:p w14:paraId="3174C4E4">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烘干废气</w:t>
                  </w:r>
                </w:p>
              </w:tc>
              <w:tc>
                <w:tcPr>
                  <w:tcW w:w="1749" w:type="dxa"/>
                  <w:vAlign w:val="center"/>
                </w:tcPr>
                <w:p w14:paraId="37BCAC58">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eastAsia"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2.54</w:t>
                  </w:r>
                </w:p>
              </w:tc>
            </w:tr>
            <w:tr w14:paraId="168F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vAlign w:val="center"/>
                </w:tcPr>
                <w:p w14:paraId="4133712E">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w:t>
                  </w:r>
                </w:p>
              </w:tc>
              <w:tc>
                <w:tcPr>
                  <w:tcW w:w="2030" w:type="dxa"/>
                  <w:vAlign w:val="center"/>
                </w:tcPr>
                <w:p w14:paraId="10BA9A38">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w:t>
                  </w:r>
                </w:p>
              </w:tc>
              <w:tc>
                <w:tcPr>
                  <w:tcW w:w="2313" w:type="dxa"/>
                  <w:vAlign w:val="center"/>
                </w:tcPr>
                <w:p w14:paraId="569C24D7">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水喷淋+二级活性炭（含干式过滤棉）装置处理</w:t>
                  </w:r>
                </w:p>
              </w:tc>
              <w:tc>
                <w:tcPr>
                  <w:tcW w:w="1749" w:type="dxa"/>
                  <w:vAlign w:val="center"/>
                </w:tcPr>
                <w:p w14:paraId="3907BC1F">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1.03</w:t>
                  </w:r>
                </w:p>
              </w:tc>
            </w:tr>
            <w:tr w14:paraId="040A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vAlign w:val="center"/>
                </w:tcPr>
                <w:p w14:paraId="7B220E39">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小计</w:t>
                  </w:r>
                </w:p>
              </w:tc>
              <w:tc>
                <w:tcPr>
                  <w:tcW w:w="2030" w:type="dxa"/>
                  <w:vAlign w:val="center"/>
                </w:tcPr>
                <w:p w14:paraId="022A9A52">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4.94</w:t>
                  </w:r>
                </w:p>
              </w:tc>
              <w:tc>
                <w:tcPr>
                  <w:tcW w:w="2313" w:type="dxa"/>
                  <w:vAlign w:val="center"/>
                </w:tcPr>
                <w:p w14:paraId="59C32709">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小计</w:t>
                  </w:r>
                </w:p>
              </w:tc>
              <w:tc>
                <w:tcPr>
                  <w:tcW w:w="1749" w:type="dxa"/>
                  <w:vAlign w:val="center"/>
                </w:tcPr>
                <w:p w14:paraId="5BE0A004">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4.94</w:t>
                  </w:r>
                </w:p>
              </w:tc>
            </w:tr>
            <w:tr w14:paraId="7871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2" w:type="dxa"/>
                  <w:gridSpan w:val="4"/>
                  <w:vAlign w:val="center"/>
                </w:tcPr>
                <w:p w14:paraId="067FFDC1">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bCs/>
                      <w:color w:val="auto"/>
                      <w:sz w:val="21"/>
                      <w:szCs w:val="21"/>
                      <w:vertAlign w:val="baseline"/>
                      <w:lang w:val="en-US" w:eastAsia="zh-CN"/>
                    </w:rPr>
                    <w:t>水</w:t>
                  </w:r>
                </w:p>
              </w:tc>
            </w:tr>
            <w:tr w14:paraId="4106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shd w:val="clear" w:color="auto" w:fill="auto"/>
                  <w:vAlign w:val="center"/>
                </w:tcPr>
                <w:p w14:paraId="353ECD8E">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right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cs="Times New Roman"/>
                      <w:b w:val="0"/>
                      <w:bCs w:val="0"/>
                      <w:color w:val="auto"/>
                      <w:sz w:val="21"/>
                      <w:szCs w:val="21"/>
                      <w:vertAlign w:val="baseline"/>
                      <w:lang w:val="en-US" w:eastAsia="zh-CN"/>
                    </w:rPr>
                    <w:t>电泳涂料</w:t>
                  </w:r>
                </w:p>
              </w:tc>
              <w:tc>
                <w:tcPr>
                  <w:tcW w:w="2030" w:type="dxa"/>
                  <w:shd w:val="clear" w:color="auto" w:fill="auto"/>
                  <w:vAlign w:val="center"/>
                </w:tcPr>
                <w:p w14:paraId="49A26C10">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right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28.13</w:t>
                  </w:r>
                </w:p>
              </w:tc>
              <w:tc>
                <w:tcPr>
                  <w:tcW w:w="2313" w:type="dxa"/>
                  <w:vAlign w:val="center"/>
                </w:tcPr>
                <w:p w14:paraId="7EF0B114">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水</w:t>
                  </w:r>
                  <w:r>
                    <w:rPr>
                      <w:rFonts w:hint="eastAsia" w:cs="Times New Roman"/>
                      <w:b w:val="0"/>
                      <w:bCs w:val="0"/>
                      <w:color w:val="auto"/>
                      <w:sz w:val="21"/>
                      <w:szCs w:val="21"/>
                      <w:vertAlign w:val="baseline"/>
                      <w:lang w:val="en-US" w:eastAsia="zh-CN"/>
                    </w:rPr>
                    <w:t>（烘干全部挥发）</w:t>
                  </w:r>
                </w:p>
              </w:tc>
              <w:tc>
                <w:tcPr>
                  <w:tcW w:w="1749" w:type="dxa"/>
                  <w:vAlign w:val="center"/>
                </w:tcPr>
                <w:p w14:paraId="18E4B36B">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28.13</w:t>
                  </w:r>
                </w:p>
              </w:tc>
            </w:tr>
            <w:tr w14:paraId="2B12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vAlign w:val="center"/>
                </w:tcPr>
                <w:p w14:paraId="170F144A">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合计</w:t>
                  </w:r>
                </w:p>
              </w:tc>
              <w:tc>
                <w:tcPr>
                  <w:tcW w:w="2030" w:type="dxa"/>
                  <w:vAlign w:val="center"/>
                </w:tcPr>
                <w:p w14:paraId="1F77BC0A">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52</w:t>
                  </w:r>
                </w:p>
              </w:tc>
              <w:tc>
                <w:tcPr>
                  <w:tcW w:w="2313" w:type="dxa"/>
                  <w:vAlign w:val="center"/>
                </w:tcPr>
                <w:p w14:paraId="2EE05685">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合计</w:t>
                  </w:r>
                </w:p>
              </w:tc>
              <w:tc>
                <w:tcPr>
                  <w:tcW w:w="1749" w:type="dxa"/>
                  <w:vAlign w:val="center"/>
                </w:tcPr>
                <w:p w14:paraId="09AD7093">
                  <w:pPr>
                    <w:keepNext w:val="0"/>
                    <w:keepLines w:val="0"/>
                    <w:pageBreakBefore w:val="0"/>
                    <w:widowControl w:val="0"/>
                    <w:tabs>
                      <w:tab w:val="left" w:pos="5420"/>
                    </w:tabs>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52</w:t>
                  </w:r>
                </w:p>
              </w:tc>
            </w:tr>
          </w:tbl>
          <w:p w14:paraId="2B4F648F">
            <w:pPr>
              <w:keepNext w:val="0"/>
              <w:keepLines w:val="0"/>
              <w:pageBreakBefore w:val="0"/>
              <w:widowControl w:val="0"/>
              <w:tabs>
                <w:tab w:val="left" w:pos="5420"/>
              </w:tabs>
              <w:kinsoku/>
              <w:wordWrap/>
              <w:overflowPunct/>
              <w:topLinePunct w:val="0"/>
              <w:autoSpaceDE/>
              <w:autoSpaceDN/>
              <w:bidi w:val="0"/>
              <w:adjustRightInd w:val="0"/>
              <w:snapToGrid w:val="0"/>
              <w:spacing w:line="500" w:lineRule="exact"/>
              <w:ind w:right="0"/>
              <w:jc w:val="center"/>
              <w:textAlignment w:val="auto"/>
              <w:rPr>
                <w:rFonts w:hint="eastAsia" w:cs="宋体"/>
                <w:b/>
                <w:bCs/>
                <w:color w:val="auto"/>
                <w:sz w:val="24"/>
                <w:szCs w:val="24"/>
                <w:lang w:val="en-US" w:eastAsia="zh-CN"/>
              </w:rPr>
            </w:pPr>
          </w:p>
          <w:p w14:paraId="1716F329">
            <w:pPr>
              <w:keepNext w:val="0"/>
              <w:keepLines w:val="0"/>
              <w:pageBreakBefore w:val="0"/>
              <w:widowControl w:val="0"/>
              <w:tabs>
                <w:tab w:val="left" w:pos="5420"/>
              </w:tabs>
              <w:kinsoku/>
              <w:wordWrap/>
              <w:overflowPunct/>
              <w:topLinePunct w:val="0"/>
              <w:autoSpaceDE/>
              <w:autoSpaceDN/>
              <w:bidi w:val="0"/>
              <w:adjustRightInd w:val="0"/>
              <w:snapToGrid w:val="0"/>
              <w:spacing w:line="500" w:lineRule="exact"/>
              <w:ind w:right="0"/>
              <w:jc w:val="center"/>
              <w:textAlignment w:val="auto"/>
              <w:rPr>
                <w:rFonts w:hint="eastAsia" w:cs="宋体"/>
                <w:b/>
                <w:bCs/>
                <w:color w:val="auto"/>
                <w:sz w:val="24"/>
                <w:szCs w:val="24"/>
                <w:lang w:val="en-US" w:eastAsia="zh-CN"/>
              </w:rPr>
            </w:pPr>
          </w:p>
          <w:p w14:paraId="551F78BC">
            <w:pPr>
              <w:keepNext w:val="0"/>
              <w:keepLines w:val="0"/>
              <w:pageBreakBefore w:val="0"/>
              <w:widowControl w:val="0"/>
              <w:tabs>
                <w:tab w:val="left" w:pos="5420"/>
              </w:tabs>
              <w:kinsoku/>
              <w:wordWrap/>
              <w:overflowPunct/>
              <w:topLinePunct w:val="0"/>
              <w:autoSpaceDE/>
              <w:autoSpaceDN/>
              <w:bidi w:val="0"/>
              <w:adjustRightInd w:val="0"/>
              <w:snapToGrid w:val="0"/>
              <w:spacing w:line="500" w:lineRule="exact"/>
              <w:ind w:right="0"/>
              <w:jc w:val="center"/>
              <w:textAlignment w:val="auto"/>
              <w:rPr>
                <w:rFonts w:hint="eastAsia" w:cs="宋体"/>
                <w:b/>
                <w:bCs/>
                <w:color w:val="auto"/>
                <w:sz w:val="24"/>
                <w:szCs w:val="24"/>
                <w:lang w:val="en-US" w:eastAsia="zh-CN"/>
              </w:rPr>
            </w:pPr>
          </w:p>
          <w:p w14:paraId="54D07433">
            <w:pPr>
              <w:keepNext w:val="0"/>
              <w:keepLines w:val="0"/>
              <w:pageBreakBefore w:val="0"/>
              <w:widowControl w:val="0"/>
              <w:tabs>
                <w:tab w:val="left" w:pos="5420"/>
              </w:tabs>
              <w:kinsoku/>
              <w:wordWrap/>
              <w:overflowPunct/>
              <w:topLinePunct w:val="0"/>
              <w:autoSpaceDE/>
              <w:autoSpaceDN/>
              <w:bidi w:val="0"/>
              <w:adjustRightInd w:val="0"/>
              <w:snapToGrid w:val="0"/>
              <w:spacing w:line="500" w:lineRule="exact"/>
              <w:ind w:right="0"/>
              <w:jc w:val="center"/>
              <w:textAlignment w:val="auto"/>
              <w:rPr>
                <w:rFonts w:hint="eastAsia" w:cs="宋体"/>
                <w:b/>
                <w:bCs/>
                <w:color w:val="auto"/>
                <w:sz w:val="24"/>
                <w:szCs w:val="24"/>
                <w:lang w:val="en-US" w:eastAsia="zh-CN"/>
              </w:rPr>
            </w:pPr>
          </w:p>
          <w:p w14:paraId="65313A88">
            <w:pPr>
              <w:keepNext w:val="0"/>
              <w:keepLines w:val="0"/>
              <w:pageBreakBefore w:val="0"/>
              <w:widowControl w:val="0"/>
              <w:tabs>
                <w:tab w:val="left" w:pos="5420"/>
              </w:tabs>
              <w:kinsoku/>
              <w:wordWrap/>
              <w:overflowPunct/>
              <w:topLinePunct w:val="0"/>
              <w:autoSpaceDE/>
              <w:autoSpaceDN/>
              <w:bidi w:val="0"/>
              <w:adjustRightInd w:val="0"/>
              <w:snapToGrid w:val="0"/>
              <w:spacing w:line="500" w:lineRule="exact"/>
              <w:ind w:right="0"/>
              <w:jc w:val="center"/>
              <w:textAlignment w:val="auto"/>
              <w:rPr>
                <w:rFonts w:hint="eastAsia" w:cs="宋体"/>
                <w:b/>
                <w:bCs/>
                <w:color w:val="auto"/>
                <w:sz w:val="24"/>
                <w:szCs w:val="24"/>
                <w:lang w:val="en-US" w:eastAsia="zh-CN"/>
              </w:rPr>
            </w:pPr>
          </w:p>
          <w:p w14:paraId="063216CC">
            <w:pPr>
              <w:keepNext w:val="0"/>
              <w:keepLines w:val="0"/>
              <w:pageBreakBefore w:val="0"/>
              <w:widowControl w:val="0"/>
              <w:tabs>
                <w:tab w:val="left" w:pos="5420"/>
              </w:tabs>
              <w:kinsoku/>
              <w:wordWrap/>
              <w:overflowPunct/>
              <w:topLinePunct w:val="0"/>
              <w:autoSpaceDE/>
              <w:autoSpaceDN/>
              <w:bidi w:val="0"/>
              <w:adjustRightInd w:val="0"/>
              <w:snapToGrid w:val="0"/>
              <w:spacing w:line="500" w:lineRule="exact"/>
              <w:ind w:right="0"/>
              <w:jc w:val="center"/>
              <w:textAlignment w:val="auto"/>
              <w:rPr>
                <w:rFonts w:hint="eastAsia" w:cs="宋体"/>
                <w:b/>
                <w:bCs/>
                <w:color w:val="auto"/>
                <w:sz w:val="24"/>
                <w:szCs w:val="24"/>
                <w:lang w:val="en-US" w:eastAsia="zh-CN"/>
              </w:rPr>
            </w:pPr>
          </w:p>
          <w:p w14:paraId="0BB3FAAF">
            <w:pPr>
              <w:keepNext w:val="0"/>
              <w:keepLines w:val="0"/>
              <w:pageBreakBefore w:val="0"/>
              <w:widowControl w:val="0"/>
              <w:tabs>
                <w:tab w:val="left" w:pos="5420"/>
              </w:tabs>
              <w:kinsoku/>
              <w:wordWrap/>
              <w:overflowPunct/>
              <w:topLinePunct w:val="0"/>
              <w:autoSpaceDE/>
              <w:autoSpaceDN/>
              <w:bidi w:val="0"/>
              <w:adjustRightInd w:val="0"/>
              <w:snapToGrid w:val="0"/>
              <w:spacing w:line="500" w:lineRule="exact"/>
              <w:ind w:right="0"/>
              <w:jc w:val="center"/>
              <w:textAlignment w:val="auto"/>
              <w:rPr>
                <w:rFonts w:hint="eastAsia" w:cs="宋体"/>
                <w:b/>
                <w:bCs/>
                <w:color w:val="auto"/>
                <w:sz w:val="24"/>
                <w:szCs w:val="24"/>
                <w:lang w:val="en-US" w:eastAsia="zh-CN"/>
              </w:rPr>
            </w:pPr>
          </w:p>
          <w:p w14:paraId="649188E3">
            <w:pPr>
              <w:keepNext w:val="0"/>
              <w:keepLines w:val="0"/>
              <w:pageBreakBefore w:val="0"/>
              <w:widowControl w:val="0"/>
              <w:tabs>
                <w:tab w:val="left" w:pos="5420"/>
              </w:tabs>
              <w:kinsoku/>
              <w:wordWrap/>
              <w:overflowPunct/>
              <w:topLinePunct w:val="0"/>
              <w:autoSpaceDE/>
              <w:autoSpaceDN/>
              <w:bidi w:val="0"/>
              <w:adjustRightInd w:val="0"/>
              <w:snapToGrid w:val="0"/>
              <w:spacing w:line="500" w:lineRule="exact"/>
              <w:ind w:right="0"/>
              <w:jc w:val="center"/>
              <w:textAlignment w:val="auto"/>
              <w:rPr>
                <w:rFonts w:hint="eastAsia" w:cs="宋体"/>
                <w:b/>
                <w:bCs/>
                <w:color w:val="auto"/>
                <w:sz w:val="24"/>
                <w:szCs w:val="24"/>
                <w:lang w:val="en-US" w:eastAsia="zh-CN"/>
              </w:rPr>
            </w:pPr>
          </w:p>
          <w:p w14:paraId="7A5A836C">
            <w:pPr>
              <w:keepNext w:val="0"/>
              <w:keepLines w:val="0"/>
              <w:pageBreakBefore w:val="0"/>
              <w:widowControl w:val="0"/>
              <w:tabs>
                <w:tab w:val="left" w:pos="5420"/>
              </w:tabs>
              <w:kinsoku/>
              <w:wordWrap/>
              <w:overflowPunct/>
              <w:topLinePunct w:val="0"/>
              <w:autoSpaceDE/>
              <w:autoSpaceDN/>
              <w:bidi w:val="0"/>
              <w:adjustRightInd w:val="0"/>
              <w:snapToGrid w:val="0"/>
              <w:spacing w:line="500" w:lineRule="exact"/>
              <w:ind w:right="0"/>
              <w:jc w:val="center"/>
              <w:textAlignment w:val="auto"/>
              <w:rPr>
                <w:rFonts w:hint="eastAsia" w:cs="宋体"/>
                <w:b/>
                <w:bCs/>
                <w:color w:val="auto"/>
                <w:sz w:val="24"/>
                <w:szCs w:val="24"/>
                <w:lang w:val="en-US" w:eastAsia="zh-CN"/>
              </w:rPr>
            </w:pPr>
          </w:p>
          <w:p w14:paraId="24D434A0">
            <w:pPr>
              <w:keepNext w:val="0"/>
              <w:keepLines w:val="0"/>
              <w:pageBreakBefore w:val="0"/>
              <w:widowControl w:val="0"/>
              <w:tabs>
                <w:tab w:val="left" w:pos="5420"/>
              </w:tabs>
              <w:kinsoku/>
              <w:wordWrap/>
              <w:overflowPunct/>
              <w:topLinePunct w:val="0"/>
              <w:autoSpaceDE/>
              <w:autoSpaceDN/>
              <w:bidi w:val="0"/>
              <w:adjustRightInd w:val="0"/>
              <w:snapToGrid w:val="0"/>
              <w:spacing w:line="500" w:lineRule="exact"/>
              <w:ind w:right="0"/>
              <w:jc w:val="center"/>
              <w:textAlignment w:val="auto"/>
              <w:rPr>
                <w:rFonts w:hint="eastAsia" w:cs="宋体"/>
                <w:b/>
                <w:bCs/>
                <w:color w:val="auto"/>
                <w:sz w:val="24"/>
                <w:szCs w:val="24"/>
                <w:lang w:val="en-US" w:eastAsia="zh-CN"/>
              </w:rPr>
            </w:pPr>
          </w:p>
          <w:p w14:paraId="56569AE7">
            <w:pPr>
              <w:pStyle w:val="34"/>
              <w:widowControl/>
              <w:numPr>
                <w:ilvl w:val="0"/>
                <w:numId w:val="0"/>
              </w:numPr>
              <w:spacing w:before="100" w:beforeAutospacing="1" w:after="100" w:afterAutospacing="1"/>
              <w:jc w:val="both"/>
              <w:outlineLvl w:val="0"/>
              <w:rPr>
                <w:rFonts w:hint="eastAsia" w:ascii="黑体" w:hAnsi="黑体" w:eastAsia="黑体"/>
                <w:snapToGrid w:val="0"/>
                <w:color w:val="auto"/>
                <w:sz w:val="30"/>
                <w:szCs w:val="30"/>
                <w:vertAlign w:val="baseline"/>
              </w:rPr>
            </w:pPr>
          </w:p>
        </w:tc>
      </w:tr>
    </w:tbl>
    <w:p w14:paraId="6CA7FDEB">
      <w:pPr>
        <w:pStyle w:val="34"/>
        <w:widowControl/>
        <w:numPr>
          <w:ilvl w:val="0"/>
          <w:numId w:val="0"/>
        </w:numPr>
        <w:spacing w:before="100" w:beforeAutospacing="1" w:after="100" w:afterAutospacing="1"/>
        <w:jc w:val="center"/>
        <w:outlineLvl w:val="0"/>
        <w:rPr>
          <w:rFonts w:hint="eastAsia" w:ascii="黑体" w:hAnsi="黑体" w:eastAsia="黑体"/>
          <w:snapToGrid w:val="0"/>
          <w:color w:val="auto"/>
          <w:sz w:val="30"/>
          <w:szCs w:val="30"/>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12935"/>
      </w:tblGrid>
      <w:tr w14:paraId="0891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1" w:type="dxa"/>
          </w:tcPr>
          <w:p w14:paraId="36614758">
            <w:pPr>
              <w:pStyle w:val="34"/>
              <w:jc w:val="center"/>
              <w:outlineLvl w:val="0"/>
              <w:rPr>
                <w:rFonts w:hint="eastAsia" w:ascii="黑体" w:hAnsi="黑体" w:eastAsia="黑体"/>
                <w:snapToGrid w:val="0"/>
                <w:color w:val="auto"/>
                <w:sz w:val="30"/>
                <w:szCs w:val="30"/>
                <w:vertAlign w:val="baseline"/>
              </w:rPr>
            </w:pPr>
          </w:p>
        </w:tc>
        <w:tc>
          <w:tcPr>
            <w:tcW w:w="12181" w:type="dxa"/>
          </w:tcPr>
          <w:p w14:paraId="5172108F">
            <w:pPr>
              <w:pStyle w:val="34"/>
              <w:jc w:val="center"/>
              <w:outlineLvl w:val="0"/>
              <w:rPr>
                <w:rFonts w:hint="eastAsia" w:ascii="Times New Roman" w:hAnsi="Times New Roman" w:eastAsia="宋体" w:cs="Times New Roman"/>
                <w:b/>
                <w:bCs/>
                <w:color w:val="auto"/>
                <w:sz w:val="24"/>
                <w:szCs w:val="24"/>
                <w:highlight w:val="none"/>
                <w:lang w:val="en-US" w:eastAsia="zh-CN"/>
              </w:rPr>
            </w:pPr>
            <w:r>
              <w:rPr>
                <w:color w:val="auto"/>
                <w:highlight w:val="none"/>
              </w:rPr>
              <w:object>
                <v:shape id="_x0000_i1026" o:spt="75" type="#_x0000_t75" style="height:218pt;width:539pt;" o:ole="t" filled="f" o:preferrelative="t" stroked="f" coordsize="21600,21600">
                  <v:path/>
                  <v:fill on="f" focussize="0,0"/>
                  <v:stroke on="f"/>
                  <v:imagedata r:id="rId24" o:title=""/>
                  <o:lock v:ext="edit" aspectratio="f"/>
                  <w10:wrap type="none"/>
                  <w10:anchorlock/>
                </v:shape>
                <o:OLEObject Type="Embed" ProgID="Visio.Drawing.11" ShapeID="_x0000_i1026" DrawAspect="Content" ObjectID="_1468075726" r:id="rId23">
                  <o:LockedField>false</o:LockedField>
                </o:OLEObject>
              </w:object>
            </w:r>
            <w:r>
              <w:rPr>
                <w:rFonts w:hint="default" w:ascii="Times New Roman" w:hAnsi="Times New Roman" w:eastAsia="宋体" w:cs="Times New Roman"/>
                <w:b/>
                <w:bCs/>
                <w:color w:val="auto"/>
                <w:sz w:val="24"/>
                <w:szCs w:val="24"/>
                <w:highlight w:val="none"/>
                <w:lang w:eastAsia="zh-CN"/>
              </w:rPr>
              <w:br w:type="textWrapping"/>
            </w:r>
            <w:r>
              <w:rPr>
                <w:rFonts w:hint="default" w:ascii="Times New Roman" w:hAnsi="Times New Roman" w:eastAsia="宋体" w:cs="Times New Roman"/>
                <w:b/>
                <w:bCs/>
                <w:color w:val="auto"/>
                <w:sz w:val="24"/>
                <w:szCs w:val="24"/>
                <w:highlight w:val="none"/>
                <w:lang w:eastAsia="zh-CN"/>
              </w:rPr>
              <w:t>图</w:t>
            </w:r>
            <w:r>
              <w:rPr>
                <w:rFonts w:hint="default" w:ascii="Times New Roman" w:hAnsi="Times New Roman" w:eastAsia="宋体" w:cs="Times New Roman"/>
                <w:b/>
                <w:bCs/>
                <w:color w:val="auto"/>
                <w:sz w:val="24"/>
                <w:szCs w:val="24"/>
                <w:highlight w:val="none"/>
                <w:lang w:val="en-US" w:eastAsia="zh-CN"/>
              </w:rPr>
              <w:t>2-</w:t>
            </w:r>
            <w:r>
              <w:rPr>
                <w:rFonts w:hint="eastAsia" w:ascii="Times New Roman" w:hAnsi="Times New Roman" w:cs="Times New Roman"/>
                <w:b/>
                <w:bCs/>
                <w:color w:val="auto"/>
                <w:sz w:val="24"/>
                <w:szCs w:val="24"/>
                <w:highlight w:val="none"/>
                <w:lang w:val="en-US" w:eastAsia="zh-CN"/>
              </w:rPr>
              <w:t>1</w:t>
            </w:r>
            <w:r>
              <w:rPr>
                <w:rFonts w:hint="default" w:ascii="Times New Roman" w:hAnsi="Times New Roman" w:eastAsia="宋体" w:cs="Times New Roman"/>
                <w:b/>
                <w:bCs/>
                <w:color w:val="auto"/>
                <w:sz w:val="24"/>
                <w:szCs w:val="24"/>
                <w:highlight w:val="none"/>
                <w:lang w:val="en-US" w:eastAsia="zh-CN"/>
              </w:rPr>
              <w:t>项目</w:t>
            </w:r>
            <w:r>
              <w:rPr>
                <w:rFonts w:hint="eastAsia" w:ascii="Times New Roman" w:hAnsi="Times New Roman" w:cs="Times New Roman"/>
                <w:b/>
                <w:bCs/>
                <w:color w:val="auto"/>
                <w:sz w:val="24"/>
                <w:szCs w:val="24"/>
                <w:highlight w:val="none"/>
                <w:lang w:val="en-US" w:eastAsia="zh-CN"/>
              </w:rPr>
              <w:t>喷粉</w:t>
            </w:r>
            <w:r>
              <w:rPr>
                <w:rFonts w:hint="default" w:ascii="Times New Roman" w:hAnsi="Times New Roman" w:eastAsia="宋体" w:cs="Times New Roman"/>
                <w:b/>
                <w:bCs/>
                <w:color w:val="auto"/>
                <w:sz w:val="24"/>
                <w:szCs w:val="24"/>
                <w:highlight w:val="none"/>
                <w:lang w:val="en-US" w:eastAsia="zh-CN"/>
              </w:rPr>
              <w:t>涂料平衡</w:t>
            </w:r>
            <w:r>
              <w:rPr>
                <w:rFonts w:hint="eastAsia" w:ascii="Times New Roman" w:hAnsi="Times New Roman" w:eastAsia="宋体" w:cs="Times New Roman"/>
                <w:b/>
                <w:bCs/>
                <w:color w:val="auto"/>
                <w:sz w:val="24"/>
                <w:szCs w:val="24"/>
                <w:highlight w:val="none"/>
                <w:lang w:val="en-US" w:eastAsia="zh-CN"/>
              </w:rPr>
              <w:t xml:space="preserve"> （单位：t/a）</w:t>
            </w:r>
          </w:p>
          <w:p w14:paraId="431F47E8">
            <w:pPr>
              <w:pStyle w:val="34"/>
              <w:jc w:val="center"/>
              <w:outlineLvl w:val="0"/>
              <w:rPr>
                <w:rFonts w:hint="eastAsia" w:ascii="Times New Roman" w:hAnsi="Times New Roman" w:eastAsia="宋体" w:cs="Times New Roman"/>
                <w:b/>
                <w:bCs/>
                <w:color w:val="auto"/>
                <w:sz w:val="24"/>
                <w:szCs w:val="24"/>
                <w:highlight w:val="none"/>
                <w:lang w:val="en-US" w:eastAsia="zh-CN"/>
              </w:rPr>
            </w:pPr>
            <w:r>
              <w:rPr>
                <w:color w:val="auto"/>
                <w:highlight w:val="none"/>
              </w:rPr>
              <w:object>
                <v:shape id="_x0000_i1027" o:spt="75" type="#_x0000_t75" style="height:151.3pt;width:635.95pt;" o:ole="t" filled="f" o:preferrelative="t" stroked="f" coordsize="21600,21600">
                  <v:path/>
                  <v:fill on="f" focussize="0,0"/>
                  <v:stroke on="f"/>
                  <v:imagedata r:id="rId26" o:title=""/>
                  <o:lock v:ext="edit" aspectratio="f"/>
                  <w10:wrap type="none"/>
                  <w10:anchorlock/>
                </v:shape>
                <o:OLEObject Type="Embed" ProgID="Visio.Drawing.11" ShapeID="_x0000_i1027" DrawAspect="Content" ObjectID="_1468075727" r:id="rId25">
                  <o:LockedField>false</o:LockedField>
                </o:OLEObject>
              </w:object>
            </w:r>
            <w:r>
              <w:rPr>
                <w:rFonts w:hint="default" w:ascii="Times New Roman" w:hAnsi="Times New Roman" w:eastAsia="宋体" w:cs="Times New Roman"/>
                <w:b/>
                <w:bCs/>
                <w:color w:val="auto"/>
                <w:sz w:val="24"/>
                <w:szCs w:val="24"/>
                <w:highlight w:val="none"/>
                <w:lang w:eastAsia="zh-CN"/>
              </w:rPr>
              <w:br w:type="textWrapping"/>
            </w:r>
            <w:r>
              <w:rPr>
                <w:rFonts w:hint="default" w:ascii="Times New Roman" w:hAnsi="Times New Roman" w:eastAsia="宋体" w:cs="Times New Roman"/>
                <w:b/>
                <w:bCs/>
                <w:color w:val="auto"/>
                <w:sz w:val="24"/>
                <w:szCs w:val="24"/>
                <w:highlight w:val="none"/>
                <w:lang w:eastAsia="zh-CN"/>
              </w:rPr>
              <w:t>图</w:t>
            </w:r>
            <w:r>
              <w:rPr>
                <w:rFonts w:hint="default" w:ascii="Times New Roman" w:hAnsi="Times New Roman" w:eastAsia="宋体" w:cs="Times New Roman"/>
                <w:b/>
                <w:bCs/>
                <w:color w:val="auto"/>
                <w:sz w:val="24"/>
                <w:szCs w:val="24"/>
                <w:highlight w:val="none"/>
                <w:lang w:val="en-US" w:eastAsia="zh-CN"/>
              </w:rPr>
              <w:t>2-</w:t>
            </w:r>
            <w:r>
              <w:rPr>
                <w:rFonts w:hint="eastAsia" w:ascii="Times New Roman" w:hAnsi="Times New Roman"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zh-CN"/>
              </w:rPr>
              <w:t>项目</w:t>
            </w:r>
            <w:r>
              <w:rPr>
                <w:rFonts w:hint="eastAsia" w:ascii="Times New Roman" w:hAnsi="Times New Roman" w:cs="Times New Roman"/>
                <w:b/>
                <w:bCs/>
                <w:color w:val="auto"/>
                <w:sz w:val="24"/>
                <w:szCs w:val="24"/>
                <w:highlight w:val="none"/>
                <w:lang w:val="en-US" w:eastAsia="zh-CN"/>
              </w:rPr>
              <w:t>喷粉烘干</w:t>
            </w:r>
            <w:r>
              <w:rPr>
                <w:rFonts w:hint="default" w:ascii="Times New Roman" w:hAnsi="Times New Roman" w:eastAsia="宋体" w:cs="Times New Roman"/>
                <w:b/>
                <w:bCs/>
                <w:color w:val="auto"/>
                <w:sz w:val="24"/>
                <w:szCs w:val="24"/>
                <w:highlight w:val="none"/>
                <w:lang w:val="en-US" w:eastAsia="zh-CN"/>
              </w:rPr>
              <w:t>涂料平衡</w:t>
            </w:r>
            <w:r>
              <w:rPr>
                <w:rFonts w:hint="eastAsia" w:ascii="Times New Roman" w:hAnsi="Times New Roman" w:eastAsia="宋体" w:cs="Times New Roman"/>
                <w:b/>
                <w:bCs/>
                <w:color w:val="auto"/>
                <w:sz w:val="24"/>
                <w:szCs w:val="24"/>
                <w:highlight w:val="none"/>
                <w:lang w:val="en-US" w:eastAsia="zh-CN"/>
              </w:rPr>
              <w:t xml:space="preserve"> （单位：t/a）</w:t>
            </w:r>
          </w:p>
          <w:p w14:paraId="27B091CA">
            <w:pPr>
              <w:pStyle w:val="34"/>
              <w:jc w:val="center"/>
              <w:outlineLvl w:val="0"/>
              <w:rPr>
                <w:rFonts w:hint="eastAsia" w:ascii="黑体" w:hAnsi="黑体" w:eastAsia="黑体"/>
                <w:snapToGrid w:val="0"/>
                <w:color w:val="auto"/>
                <w:sz w:val="30"/>
                <w:szCs w:val="30"/>
                <w:vertAlign w:val="baseline"/>
              </w:rPr>
            </w:pPr>
            <w:r>
              <w:rPr>
                <w:color w:val="auto"/>
                <w:highlight w:val="none"/>
              </w:rPr>
              <w:object>
                <v:shape id="_x0000_i1028" o:spt="75" type="#_x0000_t75" style="height:385.5pt;width:560.2pt;" o:ole="t" filled="f" o:preferrelative="t" stroked="f" coordsize="21600,21600">
                  <v:path/>
                  <v:fill on="f" focussize="0,0"/>
                  <v:stroke on="f"/>
                  <v:imagedata r:id="rId28" o:title=""/>
                  <o:lock v:ext="edit" aspectratio="f"/>
                  <w10:wrap type="none"/>
                  <w10:anchorlock/>
                </v:shape>
                <o:OLEObject Type="Embed" ProgID="Visio.Drawing.11" ShapeID="_x0000_i1028" DrawAspect="Content" ObjectID="_1468075728" r:id="rId27">
                  <o:LockedField>false</o:LockedField>
                </o:OLEObject>
              </w:object>
            </w:r>
            <w:r>
              <w:rPr>
                <w:rFonts w:hint="default" w:ascii="Times New Roman" w:hAnsi="Times New Roman" w:eastAsia="宋体" w:cs="Times New Roman"/>
                <w:b/>
                <w:bCs/>
                <w:color w:val="auto"/>
                <w:sz w:val="24"/>
                <w:szCs w:val="24"/>
                <w:highlight w:val="none"/>
                <w:lang w:eastAsia="zh-CN"/>
              </w:rPr>
              <w:br w:type="textWrapping"/>
            </w:r>
            <w:r>
              <w:rPr>
                <w:rFonts w:hint="default" w:ascii="Times New Roman" w:hAnsi="Times New Roman" w:eastAsia="宋体" w:cs="Times New Roman"/>
                <w:b/>
                <w:bCs/>
                <w:color w:val="auto"/>
                <w:sz w:val="24"/>
                <w:szCs w:val="24"/>
                <w:highlight w:val="none"/>
                <w:lang w:eastAsia="zh-CN"/>
              </w:rPr>
              <w:t>图</w:t>
            </w:r>
            <w:r>
              <w:rPr>
                <w:rFonts w:hint="default" w:ascii="Times New Roman" w:hAnsi="Times New Roman" w:eastAsia="宋体" w:cs="Times New Roman"/>
                <w:b/>
                <w:bCs/>
                <w:color w:val="auto"/>
                <w:sz w:val="24"/>
                <w:szCs w:val="24"/>
                <w:highlight w:val="none"/>
                <w:lang w:val="en-US" w:eastAsia="zh-CN"/>
              </w:rPr>
              <w:t>2-</w:t>
            </w:r>
            <w:r>
              <w:rPr>
                <w:rFonts w:hint="eastAsia" w:ascii="Times New Roman" w:hAnsi="Times New Roman"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lang w:val="en-US" w:eastAsia="zh-CN"/>
              </w:rPr>
              <w:t>项目</w:t>
            </w:r>
            <w:r>
              <w:rPr>
                <w:rFonts w:hint="eastAsia" w:ascii="Times New Roman" w:hAnsi="Times New Roman" w:cs="Times New Roman"/>
                <w:b/>
                <w:bCs/>
                <w:color w:val="auto"/>
                <w:sz w:val="24"/>
                <w:szCs w:val="24"/>
                <w:highlight w:val="none"/>
                <w:lang w:val="en-US" w:eastAsia="zh-CN"/>
              </w:rPr>
              <w:t>电泳</w:t>
            </w:r>
            <w:r>
              <w:rPr>
                <w:rFonts w:hint="default" w:ascii="Times New Roman" w:hAnsi="Times New Roman" w:eastAsia="宋体" w:cs="Times New Roman"/>
                <w:b/>
                <w:bCs/>
                <w:color w:val="auto"/>
                <w:sz w:val="24"/>
                <w:szCs w:val="24"/>
                <w:highlight w:val="none"/>
                <w:lang w:val="en-US" w:eastAsia="zh-CN"/>
              </w:rPr>
              <w:t>涂料平衡</w:t>
            </w:r>
            <w:r>
              <w:rPr>
                <w:rFonts w:hint="eastAsia" w:ascii="Times New Roman" w:hAnsi="Times New Roman" w:eastAsia="宋体" w:cs="Times New Roman"/>
                <w:b/>
                <w:bCs/>
                <w:color w:val="auto"/>
                <w:sz w:val="24"/>
                <w:szCs w:val="24"/>
                <w:highlight w:val="none"/>
                <w:lang w:val="en-US" w:eastAsia="zh-CN"/>
              </w:rPr>
              <w:t xml:space="preserve"> （单位：t/a）</w:t>
            </w:r>
          </w:p>
        </w:tc>
      </w:tr>
    </w:tbl>
    <w:p w14:paraId="194768FA">
      <w:pPr>
        <w:pStyle w:val="34"/>
        <w:jc w:val="center"/>
        <w:outlineLvl w:val="0"/>
        <w:rPr>
          <w:rFonts w:hint="eastAsia" w:ascii="黑体" w:hAnsi="黑体" w:eastAsia="黑体"/>
          <w:snapToGrid w:val="0"/>
          <w:color w:val="auto"/>
          <w:sz w:val="30"/>
          <w:szCs w:val="30"/>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p w14:paraId="208F0C74">
      <w:pPr>
        <w:pStyle w:val="34"/>
        <w:jc w:val="center"/>
        <w:outlineLvl w:val="0"/>
        <w:rPr>
          <w:rFonts w:hint="eastAsia" w:ascii="黑体" w:hAnsi="黑体" w:eastAsia="黑体"/>
          <w:snapToGrid w:val="0"/>
          <w:color w:val="auto"/>
          <w:sz w:val="30"/>
          <w:szCs w:val="30"/>
        </w:rPr>
      </w:pPr>
    </w:p>
    <w:tbl>
      <w:tblPr>
        <w:tblStyle w:val="3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2"/>
        <w:gridCol w:w="8338"/>
      </w:tblGrid>
      <w:tr w14:paraId="06DA21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722" w:type="dxa"/>
            <w:noWrap w:val="0"/>
            <w:vAlign w:val="center"/>
          </w:tcPr>
          <w:p w14:paraId="4DD2641E">
            <w:pPr>
              <w:pStyle w:val="34"/>
              <w:adjustRightInd w:val="0"/>
              <w:snapToGrid w:val="0"/>
              <w:spacing w:before="0" w:beforeAutospacing="0" w:after="0" w:afterAutospacing="0"/>
              <w:jc w:val="center"/>
              <w:rPr>
                <w:rFonts w:cs="宋体"/>
                <w:color w:val="auto"/>
                <w:sz w:val="21"/>
                <w:szCs w:val="21"/>
              </w:rPr>
            </w:pPr>
            <w:r>
              <w:rPr>
                <w:rFonts w:hint="eastAsia" w:cs="宋体"/>
                <w:color w:val="auto"/>
                <w:sz w:val="21"/>
                <w:szCs w:val="21"/>
              </w:rPr>
              <w:t>建设内容</w:t>
            </w:r>
          </w:p>
        </w:tc>
        <w:tc>
          <w:tcPr>
            <w:tcW w:w="8338" w:type="dxa"/>
            <w:noWrap w:val="0"/>
            <w:vAlign w:val="top"/>
          </w:tcPr>
          <w:p w14:paraId="2514907E">
            <w:pPr>
              <w:keepNext w:val="0"/>
              <w:keepLines w:val="0"/>
              <w:pageBreakBefore w:val="0"/>
              <w:widowControl w:val="0"/>
              <w:tabs>
                <w:tab w:val="left" w:pos="5420"/>
              </w:tabs>
              <w:kinsoku/>
              <w:wordWrap/>
              <w:overflowPunct/>
              <w:topLinePunct w:val="0"/>
              <w:autoSpaceDE/>
              <w:autoSpaceDN/>
              <w:bidi w:val="0"/>
              <w:adjustRightInd w:val="0"/>
              <w:snapToGrid w:val="0"/>
              <w:spacing w:line="500" w:lineRule="exact"/>
              <w:ind w:right="0" w:firstLine="482" w:firstLineChars="200"/>
              <w:textAlignment w:val="auto"/>
              <w:rPr>
                <w:color w:val="auto"/>
                <w:sz w:val="24"/>
                <w:szCs w:val="24"/>
                <w:highlight w:val="none"/>
                <w:shd w:val="clear" w:color="auto" w:fill="auto"/>
              </w:rPr>
            </w:pPr>
            <w:r>
              <w:rPr>
                <w:rFonts w:hint="eastAsia"/>
                <w:b/>
                <w:color w:val="auto"/>
                <w:sz w:val="24"/>
                <w:szCs w:val="24"/>
                <w:highlight w:val="none"/>
                <w:shd w:val="clear" w:color="auto" w:fill="auto"/>
                <w:lang w:val="en-US" w:eastAsia="zh-CN"/>
              </w:rPr>
              <w:t>7.</w:t>
            </w:r>
            <w:r>
              <w:rPr>
                <w:b/>
                <w:color w:val="auto"/>
                <w:sz w:val="24"/>
                <w:szCs w:val="24"/>
                <w:highlight w:val="none"/>
                <w:shd w:val="clear" w:color="auto" w:fill="auto"/>
              </w:rPr>
              <w:t>项目公用工程</w:t>
            </w:r>
          </w:p>
          <w:p w14:paraId="7968FE90">
            <w:pPr>
              <w:keepNext w:val="0"/>
              <w:keepLines w:val="0"/>
              <w:pageBreakBefore w:val="0"/>
              <w:widowControl w:val="0"/>
              <w:kinsoku/>
              <w:wordWrap/>
              <w:overflowPunct/>
              <w:topLinePunct w:val="0"/>
              <w:autoSpaceDE/>
              <w:autoSpaceDN/>
              <w:bidi w:val="0"/>
              <w:spacing w:line="500" w:lineRule="exact"/>
              <w:ind w:right="0" w:firstLine="480" w:firstLineChars="200"/>
              <w:textAlignment w:val="auto"/>
              <w:rPr>
                <w:color w:val="auto"/>
                <w:sz w:val="24"/>
                <w:szCs w:val="24"/>
                <w:highlight w:val="none"/>
                <w:shd w:val="clear" w:color="auto" w:fill="auto"/>
              </w:rPr>
            </w:pPr>
            <w:r>
              <w:rPr>
                <w:color w:val="auto"/>
                <w:sz w:val="24"/>
                <w:szCs w:val="24"/>
                <w:highlight w:val="none"/>
                <w:shd w:val="clear" w:color="auto" w:fill="auto"/>
              </w:rPr>
              <w:t>（1）供电系统</w:t>
            </w:r>
          </w:p>
          <w:p w14:paraId="522455E2">
            <w:pPr>
              <w:keepNext w:val="0"/>
              <w:keepLines w:val="0"/>
              <w:pageBreakBefore w:val="0"/>
              <w:widowControl w:val="0"/>
              <w:kinsoku/>
              <w:wordWrap/>
              <w:overflowPunct/>
              <w:topLinePunct w:val="0"/>
              <w:autoSpaceDE/>
              <w:autoSpaceDN/>
              <w:bidi w:val="0"/>
              <w:spacing w:line="500" w:lineRule="exact"/>
              <w:ind w:right="0" w:firstLine="480" w:firstLineChars="200"/>
              <w:textAlignment w:val="auto"/>
              <w:rPr>
                <w:color w:val="auto"/>
                <w:sz w:val="24"/>
                <w:szCs w:val="24"/>
                <w:highlight w:val="none"/>
                <w:shd w:val="clear" w:color="auto" w:fill="auto"/>
              </w:rPr>
            </w:pPr>
            <w:r>
              <w:rPr>
                <w:color w:val="auto"/>
                <w:sz w:val="24"/>
                <w:szCs w:val="24"/>
                <w:highlight w:val="none"/>
                <w:shd w:val="clear" w:color="auto" w:fill="auto"/>
              </w:rPr>
              <w:t>项目用电由市政电网供给。</w:t>
            </w:r>
          </w:p>
          <w:p w14:paraId="2B224E92">
            <w:pPr>
              <w:keepNext w:val="0"/>
              <w:keepLines w:val="0"/>
              <w:pageBreakBefore w:val="0"/>
              <w:widowControl w:val="0"/>
              <w:kinsoku/>
              <w:wordWrap/>
              <w:overflowPunct/>
              <w:topLinePunct w:val="0"/>
              <w:autoSpaceDE/>
              <w:autoSpaceDN/>
              <w:bidi w:val="0"/>
              <w:spacing w:line="500" w:lineRule="exact"/>
              <w:ind w:right="0" w:firstLine="480" w:firstLineChars="200"/>
              <w:textAlignment w:val="auto"/>
              <w:rPr>
                <w:color w:val="auto"/>
                <w:sz w:val="24"/>
                <w:szCs w:val="24"/>
                <w:highlight w:val="none"/>
                <w:shd w:val="clear" w:color="auto" w:fill="auto"/>
              </w:rPr>
            </w:pPr>
            <w:r>
              <w:rPr>
                <w:color w:val="auto"/>
                <w:sz w:val="24"/>
                <w:szCs w:val="24"/>
                <w:highlight w:val="none"/>
                <w:shd w:val="clear" w:color="auto" w:fill="auto"/>
              </w:rPr>
              <w:t>（2）给水</w:t>
            </w:r>
          </w:p>
          <w:p w14:paraId="787B7856">
            <w:pPr>
              <w:keepNext w:val="0"/>
              <w:keepLines w:val="0"/>
              <w:pageBreakBefore w:val="0"/>
              <w:widowControl w:val="0"/>
              <w:kinsoku/>
              <w:wordWrap/>
              <w:overflowPunct/>
              <w:topLinePunct w:val="0"/>
              <w:autoSpaceDE/>
              <w:autoSpaceDN/>
              <w:bidi w:val="0"/>
              <w:spacing w:line="500" w:lineRule="exact"/>
              <w:ind w:right="0" w:firstLine="480" w:firstLineChars="200"/>
              <w:textAlignment w:val="auto"/>
              <w:rPr>
                <w:bCs/>
                <w:color w:val="auto"/>
                <w:sz w:val="24"/>
                <w:szCs w:val="24"/>
                <w:highlight w:val="none"/>
                <w:shd w:val="clear" w:color="auto" w:fill="auto"/>
              </w:rPr>
            </w:pPr>
            <w:r>
              <w:rPr>
                <w:color w:val="auto"/>
                <w:sz w:val="24"/>
                <w:szCs w:val="24"/>
                <w:highlight w:val="none"/>
                <w:shd w:val="clear" w:color="auto" w:fill="auto"/>
              </w:rPr>
              <w:t>本项目用水主要为</w:t>
            </w:r>
            <w:r>
              <w:rPr>
                <w:rFonts w:hint="eastAsia"/>
                <w:color w:val="auto"/>
                <w:sz w:val="24"/>
                <w:szCs w:val="24"/>
                <w:highlight w:val="none"/>
                <w:shd w:val="clear" w:color="auto" w:fill="auto"/>
                <w:lang w:val="en-US" w:eastAsia="zh-CN"/>
              </w:rPr>
              <w:t>生产</w:t>
            </w:r>
            <w:r>
              <w:rPr>
                <w:rFonts w:hint="eastAsia"/>
                <w:color w:val="auto"/>
                <w:sz w:val="24"/>
                <w:szCs w:val="24"/>
                <w:highlight w:val="none"/>
                <w:shd w:val="clear" w:color="auto" w:fill="auto"/>
                <w:lang w:eastAsia="zh-CN"/>
              </w:rPr>
              <w:t>、</w:t>
            </w:r>
            <w:r>
              <w:rPr>
                <w:color w:val="auto"/>
                <w:sz w:val="24"/>
                <w:szCs w:val="24"/>
                <w:highlight w:val="none"/>
                <w:shd w:val="clear" w:color="auto" w:fill="auto"/>
              </w:rPr>
              <w:t>生活用水，由市政供水管网供给。项目周边已有完整的供水系统，自来水可直接接入，项目供水来源有保障，能够满足项目用水</w:t>
            </w:r>
            <w:r>
              <w:rPr>
                <w:bCs/>
                <w:color w:val="auto"/>
                <w:sz w:val="24"/>
                <w:szCs w:val="24"/>
                <w:highlight w:val="none"/>
                <w:shd w:val="clear" w:color="auto" w:fill="auto"/>
              </w:rPr>
              <w:t>。</w:t>
            </w:r>
          </w:p>
          <w:p w14:paraId="1059AFF3">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①脱脂用水</w:t>
            </w:r>
          </w:p>
          <w:p w14:paraId="6AA3AF82">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cs="Times New Roman"/>
                <w:color w:val="auto"/>
                <w:sz w:val="24"/>
                <w:highlight w:val="none"/>
                <w:lang w:eastAsia="zh-CN"/>
              </w:rPr>
              <w:t>根据建设单位提供信息，</w:t>
            </w:r>
            <w:r>
              <w:rPr>
                <w:rFonts w:hint="eastAsia" w:ascii="Times New Roman" w:hAnsi="Times New Roman" w:cs="Times New Roman"/>
                <w:color w:val="auto"/>
                <w:sz w:val="24"/>
                <w:highlight w:val="none"/>
                <w:lang w:val="en-US" w:eastAsia="zh-CN"/>
              </w:rPr>
              <w:t>脱脂工段包含热水洗、预脱脂及脱脂</w:t>
            </w:r>
            <w:r>
              <w:rPr>
                <w:rFonts w:hint="eastAsia" w:cs="Times New Roman"/>
                <w:color w:val="auto"/>
                <w:sz w:val="24"/>
                <w:highlight w:val="none"/>
                <w:lang w:val="en-US" w:eastAsia="zh-CN"/>
              </w:rPr>
              <w:t>，根据前文可知，脱脂工段水槽容积总量为34.78m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，脱脂用水量为</w:t>
            </w:r>
            <w:r>
              <w:rPr>
                <w:rFonts w:hint="eastAsia" w:cs="Times New Roman"/>
                <w:color w:val="auto"/>
                <w:sz w:val="24"/>
                <w:highlight w:val="none"/>
                <w:lang w:val="en-US" w:eastAsia="zh-CN"/>
              </w:rPr>
              <w:t>34.78m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/a，生产过程损耗量大约占用水量的2%，损耗</w:t>
            </w:r>
            <w:r>
              <w:rPr>
                <w:rFonts w:hint="eastAsia" w:cs="Times New Roman"/>
                <w:color w:val="auto"/>
                <w:sz w:val="24"/>
                <w:highlight w:val="none"/>
                <w:lang w:val="en-US" w:eastAsia="zh-CN"/>
              </w:rPr>
              <w:t>补充</w:t>
            </w:r>
            <w:r>
              <w:rPr>
                <w:rFonts w:hint="eastAsia" w:ascii="Times New Roman" w:hAnsi="Times New Roman" w:cs="Times New Roman"/>
                <w:color w:val="auto"/>
                <w:sz w:val="24"/>
                <w:highlight w:val="none"/>
                <w:lang w:val="en-US" w:eastAsia="zh-CN"/>
              </w:rPr>
              <w:t>量约为</w:t>
            </w:r>
            <w:r>
              <w:rPr>
                <w:rFonts w:hint="eastAsia" w:cs="Times New Roman"/>
                <w:color w:val="auto"/>
                <w:sz w:val="24"/>
                <w:highlight w:val="none"/>
                <w:lang w:val="en-US" w:eastAsia="zh-CN"/>
              </w:rPr>
              <w:t>0.7m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脱脂工段</w:t>
            </w:r>
            <w:r>
              <w:rPr>
                <w:rFonts w:hint="eastAsia" w:cs="Times New Roman"/>
                <w:color w:val="auto"/>
                <w:sz w:val="24"/>
                <w:highlight w:val="none"/>
                <w:lang w:val="en-US" w:eastAsia="zh-CN"/>
              </w:rPr>
              <w:t>槽液循环使用，定期补充水量</w:t>
            </w:r>
            <w:r>
              <w:rPr>
                <w:rFonts w:hint="eastAsia" w:ascii="Times New Roman" w:hAnsi="Times New Roman" w:cs="Times New Roman"/>
                <w:color w:val="auto"/>
                <w:sz w:val="24"/>
                <w:highlight w:val="none"/>
                <w:lang w:eastAsia="zh-CN"/>
              </w:rPr>
              <w:t>。</w:t>
            </w:r>
          </w:p>
          <w:p w14:paraId="088ED7AD">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②脱脂清洗用水</w:t>
            </w:r>
          </w:p>
          <w:p w14:paraId="7B202468">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cs="Times New Roman"/>
                <w:color w:val="auto"/>
                <w:sz w:val="24"/>
                <w:highlight w:val="none"/>
                <w:lang w:eastAsia="zh-CN"/>
              </w:rPr>
              <w:t>根据建设单位提供信息，</w:t>
            </w:r>
            <w:r>
              <w:rPr>
                <w:rFonts w:hint="eastAsia" w:ascii="Times New Roman" w:hAnsi="Times New Roman" w:cs="Times New Roman"/>
                <w:color w:val="auto"/>
                <w:sz w:val="24"/>
                <w:highlight w:val="none"/>
                <w:lang w:val="en-US" w:eastAsia="zh-CN"/>
              </w:rPr>
              <w:t>脱脂清洗需要进行3次清洗，</w:t>
            </w:r>
            <w:r>
              <w:rPr>
                <w:rFonts w:hint="eastAsia" w:cs="Times New Roman"/>
                <w:color w:val="auto"/>
                <w:sz w:val="24"/>
                <w:highlight w:val="none"/>
                <w:lang w:val="en-US" w:eastAsia="zh-CN"/>
              </w:rPr>
              <w:t>根据前文可知，脱脂后清洗工段水槽容积总量为4.65m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，脱脂清洗工段废水每</w:t>
            </w:r>
            <w:r>
              <w:rPr>
                <w:rFonts w:hint="eastAsia" w:cs="Times New Roman"/>
                <w:color w:val="auto"/>
                <w:sz w:val="24"/>
                <w:highlight w:val="none"/>
                <w:lang w:val="en-US" w:eastAsia="zh-CN"/>
              </w:rPr>
              <w:t>周</w:t>
            </w:r>
            <w:r>
              <w:rPr>
                <w:rFonts w:hint="eastAsia" w:ascii="Times New Roman" w:hAnsi="Times New Roman" w:cs="Times New Roman"/>
                <w:color w:val="auto"/>
                <w:sz w:val="24"/>
                <w:highlight w:val="none"/>
                <w:lang w:val="en-US" w:eastAsia="zh-CN"/>
              </w:rPr>
              <w:t>排放一次，</w:t>
            </w:r>
            <w:r>
              <w:rPr>
                <w:rFonts w:hint="eastAsia" w:cs="Times New Roman"/>
                <w:color w:val="auto"/>
                <w:sz w:val="24"/>
                <w:highlight w:val="none"/>
                <w:lang w:val="en-US" w:eastAsia="zh-CN"/>
              </w:rPr>
              <w:t>项目年工作300天，则每年排放约43次，</w:t>
            </w:r>
            <w:r>
              <w:rPr>
                <w:rFonts w:hint="eastAsia" w:ascii="Times New Roman" w:hAnsi="Times New Roman" w:cs="Times New Roman"/>
                <w:color w:val="auto"/>
                <w:sz w:val="24"/>
                <w:highlight w:val="none"/>
                <w:lang w:val="en-US" w:eastAsia="zh-CN"/>
              </w:rPr>
              <w:t>脱脂清洗用水量为599.85</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/a，生产过程损耗量大约占用水量的2%，损耗量约为</w:t>
            </w:r>
            <w:r>
              <w:rPr>
                <w:rFonts w:hint="eastAsia" w:cs="Times New Roman"/>
                <w:color w:val="auto"/>
                <w:sz w:val="24"/>
                <w:highlight w:val="none"/>
                <w:lang w:val="en-US" w:eastAsia="zh-CN"/>
              </w:rPr>
              <w:t>12m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/a，脱脂清洗</w:t>
            </w:r>
            <w:r>
              <w:rPr>
                <w:rFonts w:hint="eastAsia" w:cs="Times New Roman"/>
                <w:color w:val="auto"/>
                <w:sz w:val="24"/>
                <w:highlight w:val="none"/>
                <w:lang w:val="en-US" w:eastAsia="zh-CN"/>
              </w:rPr>
              <w:t>总用水</w:t>
            </w:r>
            <w:r>
              <w:rPr>
                <w:rFonts w:hint="eastAsia" w:ascii="Times New Roman" w:hAnsi="Times New Roman" w:cs="Times New Roman"/>
                <w:color w:val="auto"/>
                <w:sz w:val="24"/>
                <w:highlight w:val="none"/>
                <w:lang w:val="en-US" w:eastAsia="zh-CN"/>
              </w:rPr>
              <w:t>量为611.85</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/a，脱脂清洗废水</w:t>
            </w:r>
            <w:r>
              <w:rPr>
                <w:rFonts w:hint="eastAsia" w:ascii="Times New Roman" w:hAnsi="Times New Roman" w:cs="Times New Roman"/>
                <w:color w:val="auto"/>
                <w:sz w:val="24"/>
                <w:highlight w:val="none"/>
                <w:lang w:eastAsia="zh-CN"/>
              </w:rPr>
              <w:t>清排入</w:t>
            </w:r>
            <w:r>
              <w:rPr>
                <w:rFonts w:hint="eastAsia" w:ascii="Times New Roman" w:hAnsi="Times New Roman" w:cs="Times New Roman"/>
                <w:color w:val="auto"/>
                <w:sz w:val="24"/>
                <w:highlight w:val="none"/>
                <w:lang w:val="en-US" w:eastAsia="zh-CN"/>
              </w:rPr>
              <w:t>厂内</w:t>
            </w:r>
            <w:r>
              <w:rPr>
                <w:rFonts w:hint="eastAsia" w:ascii="Times New Roman" w:hAnsi="Times New Roman" w:cs="Times New Roman"/>
                <w:color w:val="auto"/>
                <w:sz w:val="24"/>
                <w:highlight w:val="none"/>
                <w:lang w:eastAsia="zh-CN"/>
              </w:rPr>
              <w:t>污水处理</w:t>
            </w:r>
            <w:r>
              <w:rPr>
                <w:rFonts w:hint="eastAsia" w:ascii="Times New Roman" w:hAnsi="Times New Roman" w:cs="Times New Roman"/>
                <w:color w:val="auto"/>
                <w:sz w:val="24"/>
                <w:highlight w:val="none"/>
                <w:lang w:val="en-US" w:eastAsia="zh-CN"/>
              </w:rPr>
              <w:t>站</w:t>
            </w:r>
            <w:r>
              <w:rPr>
                <w:rFonts w:hint="eastAsia" w:ascii="Times New Roman" w:hAnsi="Times New Roman" w:cs="Times New Roman"/>
                <w:color w:val="auto"/>
                <w:sz w:val="24"/>
                <w:highlight w:val="none"/>
                <w:lang w:eastAsia="zh-CN"/>
              </w:rPr>
              <w:t>处理，通过</w:t>
            </w:r>
            <w:r>
              <w:rPr>
                <w:rFonts w:hint="eastAsia" w:cs="Times New Roman"/>
                <w:color w:val="auto"/>
                <w:sz w:val="24"/>
                <w:highlight w:val="none"/>
                <w:lang w:eastAsia="zh-CN"/>
              </w:rPr>
              <w:t>市政污水管网</w:t>
            </w:r>
            <w:r>
              <w:rPr>
                <w:rFonts w:hint="eastAsia" w:ascii="Times New Roman" w:hAnsi="Times New Roman" w:cs="Times New Roman"/>
                <w:color w:val="auto"/>
                <w:sz w:val="24"/>
                <w:highlight w:val="none"/>
                <w:lang w:eastAsia="zh-CN"/>
              </w:rPr>
              <w:t>排入</w:t>
            </w:r>
            <w:r>
              <w:rPr>
                <w:rFonts w:hint="eastAsia" w:ascii="Times New Roman" w:hAnsi="Times New Roman" w:cs="Times New Roman"/>
                <w:color w:val="auto"/>
                <w:sz w:val="24"/>
                <w:highlight w:val="none"/>
                <w:lang w:val="en-US" w:eastAsia="zh-CN"/>
              </w:rPr>
              <w:t>官塘</w:t>
            </w:r>
            <w:r>
              <w:rPr>
                <w:rFonts w:hint="eastAsia" w:ascii="Times New Roman" w:hAnsi="Times New Roman" w:cs="Times New Roman"/>
                <w:color w:val="auto"/>
                <w:sz w:val="24"/>
                <w:highlight w:val="none"/>
                <w:lang w:eastAsia="zh-CN"/>
              </w:rPr>
              <w:t>污水处理厂处理。</w:t>
            </w:r>
          </w:p>
          <w:p w14:paraId="34E68E17">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③表调用水</w:t>
            </w:r>
          </w:p>
          <w:p w14:paraId="4EC6E55C">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cs="Times New Roman"/>
                <w:color w:val="auto"/>
                <w:sz w:val="24"/>
                <w:highlight w:val="none"/>
                <w:lang w:eastAsia="zh-CN"/>
              </w:rPr>
              <w:t>根据建设单位提供信息，</w:t>
            </w:r>
            <w:r>
              <w:rPr>
                <w:rFonts w:hint="eastAsia" w:ascii="Times New Roman" w:hAnsi="Times New Roman" w:cs="Times New Roman"/>
                <w:color w:val="auto"/>
                <w:sz w:val="24"/>
                <w:highlight w:val="none"/>
                <w:lang w:val="en-US" w:eastAsia="zh-CN"/>
              </w:rPr>
              <w:t>表调工段废水每个月排放一次</w:t>
            </w:r>
            <w:r>
              <w:rPr>
                <w:rFonts w:hint="eastAsia" w:cs="Times New Roman"/>
                <w:color w:val="auto"/>
                <w:sz w:val="24"/>
                <w:highlight w:val="none"/>
                <w:lang w:val="en-US" w:eastAsia="zh-CN"/>
              </w:rPr>
              <w:t>，</w:t>
            </w:r>
            <w:r>
              <w:rPr>
                <w:rFonts w:hint="eastAsia" w:cs="Times New Roman"/>
                <w:color w:val="auto"/>
                <w:sz w:val="24"/>
                <w:highlight w:val="none"/>
                <w:lang w:val="en-US" w:eastAsia="zh-CN"/>
              </w:rPr>
              <w:t>根据前文可知，表调工段水槽容积总量为1.55m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，表调用水量为18.6</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/a，生产过程损耗量大约占用水量的2%，损耗量约为0.37</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/a，表调</w:t>
            </w:r>
            <w:r>
              <w:rPr>
                <w:rFonts w:hint="eastAsia" w:cs="Times New Roman"/>
                <w:color w:val="auto"/>
                <w:sz w:val="24"/>
                <w:highlight w:val="none"/>
                <w:lang w:val="en-US" w:eastAsia="zh-CN"/>
              </w:rPr>
              <w:t>总用水</w:t>
            </w:r>
            <w:r>
              <w:rPr>
                <w:rFonts w:hint="eastAsia" w:ascii="Times New Roman" w:hAnsi="Times New Roman" w:cs="Times New Roman"/>
                <w:color w:val="auto"/>
                <w:sz w:val="24"/>
                <w:highlight w:val="none"/>
                <w:lang w:val="en-US" w:eastAsia="zh-CN"/>
              </w:rPr>
              <w:t>量为18.</w:t>
            </w:r>
            <w:r>
              <w:rPr>
                <w:rFonts w:hint="eastAsia" w:cs="Times New Roman"/>
                <w:color w:val="auto"/>
                <w:sz w:val="24"/>
                <w:highlight w:val="none"/>
                <w:lang w:val="en-US" w:eastAsia="zh-CN"/>
              </w:rPr>
              <w:t>97</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w:t>
            </w:r>
            <w:r>
              <w:rPr>
                <w:rFonts w:hint="eastAsia" w:ascii="Times New Roman" w:hAnsi="Times New Roman" w:cs="Times New Roman"/>
                <w:color w:val="auto"/>
                <w:sz w:val="24"/>
                <w:highlight w:val="none"/>
                <w:lang w:val="en-US" w:eastAsia="zh-CN"/>
              </w:rPr>
              <w:t>表调废水</w:t>
            </w:r>
            <w:r>
              <w:rPr>
                <w:rFonts w:hint="eastAsia" w:ascii="Times New Roman" w:hAnsi="Times New Roman" w:cs="Times New Roman"/>
                <w:color w:val="auto"/>
                <w:sz w:val="24"/>
                <w:highlight w:val="none"/>
                <w:lang w:eastAsia="zh-CN"/>
              </w:rPr>
              <w:t>排入</w:t>
            </w:r>
            <w:r>
              <w:rPr>
                <w:rFonts w:hint="eastAsia" w:ascii="Times New Roman" w:hAnsi="Times New Roman" w:cs="Times New Roman"/>
                <w:color w:val="auto"/>
                <w:sz w:val="24"/>
                <w:highlight w:val="none"/>
                <w:lang w:val="en-US" w:eastAsia="zh-CN"/>
              </w:rPr>
              <w:t>厂内</w:t>
            </w:r>
            <w:r>
              <w:rPr>
                <w:rFonts w:hint="eastAsia" w:ascii="Times New Roman" w:hAnsi="Times New Roman" w:cs="Times New Roman"/>
                <w:color w:val="auto"/>
                <w:sz w:val="24"/>
                <w:highlight w:val="none"/>
                <w:lang w:eastAsia="zh-CN"/>
              </w:rPr>
              <w:t>污水处理</w:t>
            </w:r>
            <w:r>
              <w:rPr>
                <w:rFonts w:hint="eastAsia" w:ascii="Times New Roman" w:hAnsi="Times New Roman" w:cs="Times New Roman"/>
                <w:color w:val="auto"/>
                <w:sz w:val="24"/>
                <w:highlight w:val="none"/>
                <w:lang w:val="en-US" w:eastAsia="zh-CN"/>
              </w:rPr>
              <w:t>站</w:t>
            </w:r>
            <w:r>
              <w:rPr>
                <w:rFonts w:hint="eastAsia" w:ascii="Times New Roman" w:hAnsi="Times New Roman" w:cs="Times New Roman"/>
                <w:color w:val="auto"/>
                <w:sz w:val="24"/>
                <w:highlight w:val="none"/>
                <w:lang w:eastAsia="zh-CN"/>
              </w:rPr>
              <w:t>处理，通过</w:t>
            </w:r>
            <w:r>
              <w:rPr>
                <w:rFonts w:hint="eastAsia" w:cs="Times New Roman"/>
                <w:color w:val="auto"/>
                <w:sz w:val="24"/>
                <w:highlight w:val="none"/>
                <w:lang w:eastAsia="zh-CN"/>
              </w:rPr>
              <w:t>市政污水管网</w:t>
            </w:r>
            <w:r>
              <w:rPr>
                <w:rFonts w:hint="eastAsia" w:ascii="Times New Roman" w:hAnsi="Times New Roman" w:cs="Times New Roman"/>
                <w:color w:val="auto"/>
                <w:sz w:val="24"/>
                <w:highlight w:val="none"/>
                <w:lang w:eastAsia="zh-CN"/>
              </w:rPr>
              <w:t>排入</w:t>
            </w:r>
            <w:r>
              <w:rPr>
                <w:rFonts w:hint="eastAsia" w:ascii="Times New Roman" w:hAnsi="Times New Roman" w:cs="Times New Roman"/>
                <w:color w:val="auto"/>
                <w:sz w:val="24"/>
                <w:highlight w:val="none"/>
                <w:lang w:val="en-US" w:eastAsia="zh-CN"/>
              </w:rPr>
              <w:t>官塘</w:t>
            </w:r>
            <w:r>
              <w:rPr>
                <w:rFonts w:hint="eastAsia" w:ascii="Times New Roman" w:hAnsi="Times New Roman" w:cs="Times New Roman"/>
                <w:color w:val="auto"/>
                <w:sz w:val="24"/>
                <w:highlight w:val="none"/>
                <w:lang w:eastAsia="zh-CN"/>
              </w:rPr>
              <w:t>污水处理厂处理。</w:t>
            </w:r>
          </w:p>
          <w:p w14:paraId="05E9177B">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④磷化用水</w:t>
            </w:r>
          </w:p>
          <w:p w14:paraId="4D6994AB">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cs="Times New Roman"/>
                <w:color w:val="auto"/>
                <w:sz w:val="24"/>
                <w:highlight w:val="none"/>
                <w:lang w:val="en-US" w:eastAsia="zh-CN"/>
              </w:rPr>
              <w:t>根据建设单位提供信息，项目磷化工序需</w:t>
            </w:r>
            <w:r>
              <w:rPr>
                <w:rFonts w:hint="eastAsia" w:cs="Times New Roman"/>
                <w:color w:val="auto"/>
                <w:sz w:val="24"/>
                <w:highlight w:val="none"/>
                <w:lang w:val="en-US" w:eastAsia="zh-CN"/>
              </w:rPr>
              <w:t>磷化液</w:t>
            </w:r>
            <w:r>
              <w:rPr>
                <w:rFonts w:hint="eastAsia" w:ascii="Times New Roman" w:hAnsi="Times New Roman" w:cs="Times New Roman"/>
                <w:color w:val="auto"/>
                <w:sz w:val="24"/>
                <w:highlight w:val="none"/>
                <w:lang w:val="en-US" w:eastAsia="zh-CN"/>
              </w:rPr>
              <w:t>与水以1:20的比例进行配制，则磷化液使用量为12</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/a，磷化工序用水量为240</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w:t>
            </w:r>
            <w:r>
              <w:rPr>
                <w:rFonts w:hint="eastAsia" w:ascii="Times New Roman" w:hAnsi="Times New Roman" w:cs="Times New Roman"/>
                <w:color w:val="auto"/>
                <w:sz w:val="24"/>
                <w:highlight w:val="none"/>
                <w:lang w:val="en-US" w:eastAsia="zh-CN"/>
              </w:rPr>
              <w:t>生产过程损耗量大约占用水量的2%，损耗</w:t>
            </w:r>
            <w:r>
              <w:rPr>
                <w:rFonts w:hint="eastAsia" w:cs="Times New Roman"/>
                <w:color w:val="auto"/>
                <w:sz w:val="24"/>
                <w:highlight w:val="none"/>
                <w:lang w:val="en-US" w:eastAsia="zh-CN"/>
              </w:rPr>
              <w:t>补充</w:t>
            </w:r>
            <w:r>
              <w:rPr>
                <w:rFonts w:hint="eastAsia" w:ascii="Times New Roman" w:hAnsi="Times New Roman" w:cs="Times New Roman"/>
                <w:color w:val="auto"/>
                <w:sz w:val="24"/>
                <w:highlight w:val="none"/>
                <w:lang w:val="en-US" w:eastAsia="zh-CN"/>
              </w:rPr>
              <w:t>量约为</w:t>
            </w:r>
            <w:r>
              <w:rPr>
                <w:rFonts w:hint="eastAsia" w:cs="Times New Roman"/>
                <w:color w:val="auto"/>
                <w:sz w:val="24"/>
                <w:highlight w:val="none"/>
                <w:lang w:val="en-US" w:eastAsia="zh-CN"/>
              </w:rPr>
              <w:t>4.8m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磷化</w:t>
            </w:r>
            <w:r>
              <w:rPr>
                <w:rFonts w:hint="eastAsia" w:cs="Times New Roman"/>
                <w:color w:val="auto"/>
                <w:sz w:val="24"/>
                <w:highlight w:val="none"/>
                <w:lang w:val="en-US" w:eastAsia="zh-CN"/>
              </w:rPr>
              <w:t>槽液</w:t>
            </w:r>
            <w:r>
              <w:rPr>
                <w:rFonts w:hint="eastAsia" w:ascii="Times New Roman" w:hAnsi="Times New Roman" w:cs="Times New Roman"/>
                <w:color w:val="auto"/>
                <w:sz w:val="24"/>
                <w:highlight w:val="none"/>
                <w:lang w:val="en-US" w:eastAsia="zh-CN"/>
              </w:rPr>
              <w:t>循环使用，不外排，定期补充水量。</w:t>
            </w:r>
          </w:p>
          <w:p w14:paraId="5B5D2AD1">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⑤磷化清洗用水</w:t>
            </w:r>
          </w:p>
          <w:p w14:paraId="472CF02F">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cs="Times New Roman"/>
                <w:color w:val="auto"/>
                <w:sz w:val="24"/>
                <w:highlight w:val="none"/>
                <w:lang w:eastAsia="zh-CN"/>
              </w:rPr>
              <w:t>根据建设单位提供信息，</w:t>
            </w:r>
            <w:r>
              <w:rPr>
                <w:rFonts w:hint="eastAsia" w:ascii="Times New Roman" w:hAnsi="Times New Roman" w:cs="Times New Roman"/>
                <w:color w:val="auto"/>
                <w:sz w:val="24"/>
                <w:highlight w:val="none"/>
                <w:lang w:val="en-US" w:eastAsia="zh-CN"/>
              </w:rPr>
              <w:t>磷化清洗需要进行3次</w:t>
            </w:r>
            <w:r>
              <w:rPr>
                <w:rFonts w:hint="eastAsia" w:cs="Times New Roman"/>
                <w:color w:val="auto"/>
                <w:sz w:val="24"/>
                <w:highlight w:val="none"/>
                <w:lang w:val="en-US" w:eastAsia="zh-CN"/>
              </w:rPr>
              <w:t>纯水</w:t>
            </w:r>
            <w:r>
              <w:rPr>
                <w:rFonts w:hint="eastAsia" w:ascii="Times New Roman" w:hAnsi="Times New Roman" w:cs="Times New Roman"/>
                <w:color w:val="auto"/>
                <w:sz w:val="24"/>
                <w:highlight w:val="none"/>
                <w:lang w:val="en-US" w:eastAsia="zh-CN"/>
              </w:rPr>
              <w:t>清洗，</w:t>
            </w:r>
            <w:r>
              <w:rPr>
                <w:rFonts w:hint="eastAsia" w:cs="Times New Roman"/>
                <w:color w:val="auto"/>
                <w:sz w:val="24"/>
                <w:highlight w:val="none"/>
                <w:lang w:val="en-US" w:eastAsia="zh-CN"/>
              </w:rPr>
              <w:t>根据前文可知，磷化后清洗工段水槽容积总量为4.65m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磷化清洗工段废水每</w:t>
            </w:r>
            <w:r>
              <w:rPr>
                <w:rFonts w:hint="eastAsia" w:cs="Times New Roman"/>
                <w:color w:val="auto"/>
                <w:sz w:val="24"/>
                <w:highlight w:val="none"/>
                <w:lang w:val="en-US" w:eastAsia="zh-CN"/>
              </w:rPr>
              <w:t>周</w:t>
            </w:r>
            <w:r>
              <w:rPr>
                <w:rFonts w:hint="eastAsia" w:ascii="Times New Roman" w:hAnsi="Times New Roman" w:cs="Times New Roman"/>
                <w:color w:val="auto"/>
                <w:sz w:val="24"/>
                <w:highlight w:val="none"/>
                <w:lang w:val="en-US" w:eastAsia="zh-CN"/>
              </w:rPr>
              <w:t>排放一次</w:t>
            </w:r>
            <w:r>
              <w:rPr>
                <w:rFonts w:hint="eastAsia" w:cs="Times New Roman"/>
                <w:color w:val="auto"/>
                <w:sz w:val="24"/>
                <w:highlight w:val="none"/>
                <w:lang w:val="en-US" w:eastAsia="zh-CN"/>
              </w:rPr>
              <w:t>，项目年工作300天，则每年排放约43次</w:t>
            </w:r>
            <w:r>
              <w:rPr>
                <w:rFonts w:hint="eastAsia" w:ascii="Times New Roman" w:hAnsi="Times New Roman" w:cs="Times New Roman"/>
                <w:color w:val="auto"/>
                <w:sz w:val="24"/>
                <w:highlight w:val="none"/>
                <w:lang w:val="en-US" w:eastAsia="zh-CN"/>
              </w:rPr>
              <w:t>，磷化清洗用水量为599.85</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/a，生产过程损耗量大约占用水量的2%，损耗量约为</w:t>
            </w:r>
            <w:r>
              <w:rPr>
                <w:rFonts w:hint="eastAsia" w:cs="Times New Roman"/>
                <w:color w:val="auto"/>
                <w:sz w:val="24"/>
                <w:highlight w:val="none"/>
                <w:lang w:val="en-US" w:eastAsia="zh-CN"/>
              </w:rPr>
              <w:t>12m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/a，磷化清洗</w:t>
            </w:r>
            <w:r>
              <w:rPr>
                <w:rFonts w:hint="eastAsia" w:cs="Times New Roman"/>
                <w:color w:val="auto"/>
                <w:sz w:val="24"/>
                <w:highlight w:val="none"/>
                <w:lang w:val="en-US" w:eastAsia="zh-CN"/>
              </w:rPr>
              <w:t>总用水</w:t>
            </w:r>
            <w:r>
              <w:rPr>
                <w:rFonts w:hint="eastAsia" w:ascii="Times New Roman" w:hAnsi="Times New Roman" w:cs="Times New Roman"/>
                <w:color w:val="auto"/>
                <w:sz w:val="24"/>
                <w:highlight w:val="none"/>
                <w:lang w:val="en-US" w:eastAsia="zh-CN"/>
              </w:rPr>
              <w:t>量为611.85</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/a，磷化清洗废水</w:t>
            </w:r>
            <w:r>
              <w:rPr>
                <w:rFonts w:hint="eastAsia" w:ascii="Times New Roman" w:hAnsi="Times New Roman" w:cs="Times New Roman"/>
                <w:color w:val="auto"/>
                <w:sz w:val="24"/>
                <w:highlight w:val="none"/>
                <w:lang w:eastAsia="zh-CN"/>
              </w:rPr>
              <w:t>清排</w:t>
            </w:r>
            <w:r>
              <w:rPr>
                <w:rFonts w:hint="eastAsia"/>
                <w:color w:val="auto"/>
                <w:sz w:val="24"/>
                <w:highlight w:val="none"/>
                <w:lang w:eastAsia="zh-CN"/>
              </w:rPr>
              <w:t>至</w:t>
            </w:r>
            <w:r>
              <w:rPr>
                <w:rFonts w:hint="eastAsia" w:ascii="Times New Roman" w:hAnsi="Times New Roman" w:cs="Times New Roman"/>
                <w:color w:val="auto"/>
                <w:sz w:val="24"/>
                <w:highlight w:val="none"/>
                <w:lang w:val="en-US" w:eastAsia="zh-CN"/>
              </w:rPr>
              <w:t>厂内</w:t>
            </w:r>
            <w:r>
              <w:rPr>
                <w:rFonts w:hint="eastAsia" w:ascii="Times New Roman" w:hAnsi="Times New Roman" w:cs="Times New Roman"/>
                <w:color w:val="auto"/>
                <w:sz w:val="24"/>
                <w:highlight w:val="none"/>
                <w:lang w:eastAsia="zh-CN"/>
              </w:rPr>
              <w:t>污水处理</w:t>
            </w:r>
            <w:r>
              <w:rPr>
                <w:rFonts w:hint="eastAsia" w:ascii="Times New Roman" w:hAnsi="Times New Roman" w:cs="Times New Roman"/>
                <w:color w:val="auto"/>
                <w:sz w:val="24"/>
                <w:highlight w:val="none"/>
                <w:lang w:val="en-US" w:eastAsia="zh-CN"/>
              </w:rPr>
              <w:t>站</w:t>
            </w:r>
            <w:r>
              <w:rPr>
                <w:rFonts w:hint="eastAsia" w:ascii="Times New Roman" w:hAnsi="Times New Roman" w:cs="Times New Roman"/>
                <w:color w:val="auto"/>
                <w:sz w:val="24"/>
                <w:highlight w:val="none"/>
                <w:lang w:eastAsia="zh-CN"/>
              </w:rPr>
              <w:t>处理，通过</w:t>
            </w:r>
            <w:r>
              <w:rPr>
                <w:rFonts w:hint="eastAsia" w:cs="Times New Roman"/>
                <w:color w:val="auto"/>
                <w:sz w:val="24"/>
                <w:highlight w:val="none"/>
                <w:lang w:eastAsia="zh-CN"/>
              </w:rPr>
              <w:t>市政污水管网</w:t>
            </w:r>
            <w:r>
              <w:rPr>
                <w:rFonts w:hint="eastAsia" w:ascii="Times New Roman" w:hAnsi="Times New Roman" w:cs="Times New Roman"/>
                <w:color w:val="auto"/>
                <w:sz w:val="24"/>
                <w:highlight w:val="none"/>
                <w:lang w:eastAsia="zh-CN"/>
              </w:rPr>
              <w:t>排入</w:t>
            </w:r>
            <w:r>
              <w:rPr>
                <w:rFonts w:hint="eastAsia" w:ascii="Times New Roman" w:hAnsi="Times New Roman" w:cs="Times New Roman"/>
                <w:color w:val="auto"/>
                <w:sz w:val="24"/>
                <w:highlight w:val="none"/>
                <w:lang w:val="en-US" w:eastAsia="zh-CN"/>
              </w:rPr>
              <w:t>官塘</w:t>
            </w:r>
            <w:r>
              <w:rPr>
                <w:rFonts w:hint="eastAsia" w:ascii="Times New Roman" w:hAnsi="Times New Roman" w:cs="Times New Roman"/>
                <w:color w:val="auto"/>
                <w:sz w:val="24"/>
                <w:highlight w:val="none"/>
                <w:lang w:eastAsia="zh-CN"/>
              </w:rPr>
              <w:t>污水处理厂处理。</w:t>
            </w:r>
          </w:p>
          <w:p w14:paraId="40427D0D">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⑥电泳用水</w:t>
            </w:r>
          </w:p>
          <w:p w14:paraId="5005827F">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default" w:ascii="Times New Roman" w:hAnsi="Times New Roman" w:eastAsia="宋体" w:cs="Times New Roman"/>
                <w:color w:val="auto"/>
                <w:kern w:val="0"/>
                <w:sz w:val="24"/>
                <w:szCs w:val="24"/>
                <w:highlight w:val="none"/>
                <w:lang w:val="en-US"/>
              </w:rPr>
            </w:pPr>
            <w:r>
              <w:rPr>
                <w:rFonts w:hint="eastAsia" w:ascii="Times New Roman" w:hAnsi="Times New Roman" w:cs="Times New Roman"/>
                <w:color w:val="auto"/>
                <w:sz w:val="24"/>
                <w:highlight w:val="none"/>
                <w:lang w:val="en-US" w:eastAsia="zh-CN"/>
              </w:rPr>
              <w:t>根据建设单位提供信息，项目电泳工序需</w:t>
            </w:r>
            <w:r>
              <w:rPr>
                <w:rFonts w:hint="eastAsia" w:cs="Times New Roman"/>
                <w:color w:val="auto"/>
                <w:sz w:val="24"/>
                <w:highlight w:val="none"/>
                <w:lang w:val="en-US" w:eastAsia="zh-CN"/>
              </w:rPr>
              <w:t>电泳涂料</w:t>
            </w:r>
            <w:r>
              <w:rPr>
                <w:rFonts w:hint="eastAsia" w:ascii="Times New Roman" w:hAnsi="Times New Roman" w:cs="Times New Roman"/>
                <w:color w:val="auto"/>
                <w:sz w:val="24"/>
                <w:highlight w:val="none"/>
                <w:lang w:val="en-US" w:eastAsia="zh-CN"/>
              </w:rPr>
              <w:t>与</w:t>
            </w:r>
            <w:r>
              <w:rPr>
                <w:rFonts w:hint="eastAsia" w:cs="Times New Roman"/>
                <w:color w:val="auto"/>
                <w:sz w:val="24"/>
                <w:highlight w:val="none"/>
                <w:lang w:val="en-US" w:eastAsia="zh-CN"/>
              </w:rPr>
              <w:t>纯</w:t>
            </w:r>
            <w:r>
              <w:rPr>
                <w:rFonts w:hint="eastAsia" w:ascii="Times New Roman" w:hAnsi="Times New Roman" w:cs="Times New Roman"/>
                <w:color w:val="auto"/>
                <w:sz w:val="24"/>
                <w:highlight w:val="none"/>
                <w:lang w:val="en-US" w:eastAsia="zh-CN"/>
              </w:rPr>
              <w:t>水以1:1的比例进行配制，则电泳涂料使用量为12</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/a，电泳工序用水量为12</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/a，生产过程损耗量大约占用水量的2%，损耗</w:t>
            </w:r>
            <w:r>
              <w:rPr>
                <w:rFonts w:hint="eastAsia" w:cs="Times New Roman"/>
                <w:color w:val="auto"/>
                <w:sz w:val="24"/>
                <w:highlight w:val="none"/>
                <w:lang w:val="en-US" w:eastAsia="zh-CN"/>
              </w:rPr>
              <w:t>补充</w:t>
            </w:r>
            <w:r>
              <w:rPr>
                <w:rFonts w:hint="eastAsia" w:ascii="Times New Roman" w:hAnsi="Times New Roman" w:cs="Times New Roman"/>
                <w:color w:val="auto"/>
                <w:sz w:val="24"/>
                <w:highlight w:val="none"/>
                <w:lang w:val="en-US" w:eastAsia="zh-CN"/>
              </w:rPr>
              <w:t>量约为0.24</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w:t>
            </w:r>
            <w:r>
              <w:rPr>
                <w:rFonts w:hint="eastAsia" w:ascii="Times New Roman" w:hAnsi="Times New Roman" w:cs="Times New Roman"/>
                <w:color w:val="auto"/>
                <w:sz w:val="24"/>
                <w:highlight w:val="none"/>
                <w:lang w:val="en-US" w:eastAsia="zh-CN"/>
              </w:rPr>
              <w:t>电泳</w:t>
            </w:r>
            <w:r>
              <w:rPr>
                <w:rFonts w:hint="eastAsia" w:cs="Times New Roman"/>
                <w:color w:val="auto"/>
                <w:sz w:val="24"/>
                <w:highlight w:val="none"/>
                <w:lang w:val="en-US" w:eastAsia="zh-CN"/>
              </w:rPr>
              <w:t>槽液循环使用，不外排，定期补充水量</w:t>
            </w:r>
            <w:r>
              <w:rPr>
                <w:rFonts w:hint="eastAsia" w:ascii="Times New Roman" w:hAnsi="Times New Roman" w:cs="Times New Roman"/>
                <w:color w:val="auto"/>
                <w:sz w:val="24"/>
                <w:highlight w:val="none"/>
                <w:lang w:eastAsia="zh-CN"/>
              </w:rPr>
              <w:t>。</w:t>
            </w:r>
          </w:p>
          <w:p w14:paraId="7C39630E">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⑦电泳超滤清洗用水</w:t>
            </w:r>
          </w:p>
          <w:p w14:paraId="7055EA92">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textAlignment w:val="auto"/>
              <w:rPr>
                <w:rFonts w:hint="default" w:ascii="Times New Roman" w:hAnsi="Times New Roman" w:eastAsia="宋体"/>
                <w:caps w:val="0"/>
                <w:smallCaps w:val="0"/>
                <w:color w:val="auto"/>
                <w:sz w:val="24"/>
                <w:szCs w:val="24"/>
                <w:highlight w:val="none"/>
                <w:u w:val="none" w:color="auto"/>
                <w:shd w:val="clear" w:color="auto" w:fill="auto"/>
                <w:lang w:val="en-US" w:eastAsia="zh-CN"/>
              </w:rPr>
            </w:pPr>
            <w:r>
              <w:rPr>
                <w:rFonts w:hint="eastAsia" w:ascii="Times New Roman" w:hAnsi="Times New Roman" w:cs="Times New Roman"/>
                <w:color w:val="auto"/>
                <w:sz w:val="24"/>
                <w:highlight w:val="none"/>
                <w:lang w:val="en-US" w:eastAsia="zh-CN"/>
              </w:rPr>
              <w:t>根据建设单位提供信息，项目电泳</w:t>
            </w:r>
            <w:r>
              <w:rPr>
                <w:rFonts w:hint="eastAsia" w:cs="Times New Roman"/>
                <w:color w:val="auto"/>
                <w:sz w:val="24"/>
                <w:highlight w:val="none"/>
                <w:lang w:val="en-US" w:eastAsia="zh-CN"/>
              </w:rPr>
              <w:t>超滤</w:t>
            </w:r>
            <w:r>
              <w:rPr>
                <w:rFonts w:hint="eastAsia" w:ascii="Times New Roman" w:hAnsi="Times New Roman" w:cs="Times New Roman"/>
                <w:color w:val="auto"/>
                <w:sz w:val="24"/>
                <w:highlight w:val="none"/>
                <w:lang w:val="en-US" w:eastAsia="zh-CN"/>
              </w:rPr>
              <w:t>清洗需要进行</w:t>
            </w:r>
            <w:r>
              <w:rPr>
                <w:rFonts w:hint="eastAsia" w:cs="Times New Roman"/>
                <w:color w:val="auto"/>
                <w:sz w:val="24"/>
                <w:highlight w:val="none"/>
                <w:lang w:val="en-US" w:eastAsia="zh-CN"/>
              </w:rPr>
              <w:t>2</w:t>
            </w:r>
            <w:r>
              <w:rPr>
                <w:rFonts w:hint="eastAsia" w:ascii="Times New Roman" w:hAnsi="Times New Roman" w:cs="Times New Roman"/>
                <w:color w:val="auto"/>
                <w:sz w:val="24"/>
                <w:highlight w:val="none"/>
                <w:lang w:val="en-US" w:eastAsia="zh-CN"/>
              </w:rPr>
              <w:t>次清洗，</w:t>
            </w:r>
            <w:r>
              <w:rPr>
                <w:rFonts w:hint="eastAsia" w:cs="Times New Roman"/>
                <w:color w:val="auto"/>
                <w:sz w:val="24"/>
                <w:highlight w:val="none"/>
                <w:lang w:val="en-US" w:eastAsia="zh-CN"/>
              </w:rPr>
              <w:t>根据前文可知，超滤水槽容积总量为2.24m</w:t>
            </w:r>
            <w:r>
              <w:rPr>
                <w:rFonts w:hint="eastAsia" w:cs="Times New Roman"/>
                <w:color w:val="auto"/>
                <w:sz w:val="24"/>
                <w:highlight w:val="none"/>
                <w:vertAlign w:val="superscript"/>
                <w:lang w:val="en-US" w:eastAsia="zh-CN"/>
              </w:rPr>
              <w:t>3</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超滤清洗每年排放一次，电泳</w:t>
            </w:r>
            <w:r>
              <w:rPr>
                <w:rFonts w:hint="eastAsia" w:cs="Times New Roman"/>
                <w:color w:val="auto"/>
                <w:sz w:val="24"/>
                <w:highlight w:val="none"/>
                <w:lang w:val="en-US" w:eastAsia="zh-CN"/>
              </w:rPr>
              <w:t>超滤</w:t>
            </w:r>
            <w:r>
              <w:rPr>
                <w:rFonts w:hint="eastAsia" w:ascii="Times New Roman" w:hAnsi="Times New Roman" w:cs="Times New Roman"/>
                <w:color w:val="auto"/>
                <w:sz w:val="24"/>
                <w:highlight w:val="none"/>
                <w:lang w:val="en-US" w:eastAsia="zh-CN"/>
              </w:rPr>
              <w:t>清洗用水量为</w:t>
            </w:r>
            <w:r>
              <w:rPr>
                <w:rFonts w:hint="eastAsia" w:cs="Times New Roman"/>
                <w:color w:val="auto"/>
                <w:sz w:val="24"/>
                <w:highlight w:val="none"/>
                <w:lang w:val="en-US" w:eastAsia="zh-CN"/>
              </w:rPr>
              <w:t>2.24</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/a，生产过程损耗量大约占用水量的2%，损耗量约为</w:t>
            </w:r>
            <w:r>
              <w:rPr>
                <w:rFonts w:hint="eastAsia" w:cs="Times New Roman"/>
                <w:color w:val="auto"/>
                <w:sz w:val="24"/>
                <w:highlight w:val="none"/>
                <w:lang w:val="en-US" w:eastAsia="zh-CN"/>
              </w:rPr>
              <w:t>0.045</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/a，电泳清洗</w:t>
            </w:r>
            <w:r>
              <w:rPr>
                <w:rFonts w:hint="eastAsia" w:cs="Times New Roman"/>
                <w:color w:val="auto"/>
                <w:sz w:val="24"/>
                <w:highlight w:val="none"/>
                <w:lang w:val="en-US" w:eastAsia="zh-CN"/>
              </w:rPr>
              <w:t>总用水</w:t>
            </w:r>
            <w:r>
              <w:rPr>
                <w:rFonts w:hint="eastAsia" w:ascii="Times New Roman" w:hAnsi="Times New Roman" w:cs="Times New Roman"/>
                <w:color w:val="auto"/>
                <w:sz w:val="24"/>
                <w:highlight w:val="none"/>
                <w:lang w:val="en-US" w:eastAsia="zh-CN"/>
              </w:rPr>
              <w:t>量为2.285</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/a，电泳</w:t>
            </w:r>
            <w:r>
              <w:rPr>
                <w:rFonts w:hint="eastAsia" w:cs="Times New Roman"/>
                <w:color w:val="auto"/>
                <w:sz w:val="24"/>
                <w:highlight w:val="none"/>
                <w:lang w:val="en-US" w:eastAsia="zh-CN"/>
              </w:rPr>
              <w:t>超滤</w:t>
            </w:r>
            <w:r>
              <w:rPr>
                <w:rFonts w:hint="eastAsia" w:ascii="Times New Roman" w:hAnsi="Times New Roman" w:cs="Times New Roman"/>
                <w:color w:val="auto"/>
                <w:sz w:val="24"/>
                <w:highlight w:val="none"/>
                <w:lang w:val="en-US" w:eastAsia="zh-CN"/>
              </w:rPr>
              <w:t>清洗废水</w:t>
            </w:r>
            <w:r>
              <w:rPr>
                <w:rFonts w:hint="eastAsia" w:ascii="Times New Roman" w:hAnsi="Times New Roman" w:cs="Times New Roman"/>
                <w:color w:val="auto"/>
                <w:sz w:val="24"/>
                <w:highlight w:val="none"/>
                <w:lang w:eastAsia="zh-CN"/>
              </w:rPr>
              <w:t>清排</w:t>
            </w:r>
            <w:r>
              <w:rPr>
                <w:rFonts w:hint="eastAsia"/>
                <w:color w:val="auto"/>
                <w:sz w:val="24"/>
                <w:highlight w:val="none"/>
                <w:lang w:eastAsia="zh-CN"/>
              </w:rPr>
              <w:t>至</w:t>
            </w:r>
            <w:r>
              <w:rPr>
                <w:rFonts w:hint="eastAsia" w:ascii="Times New Roman" w:hAnsi="Times New Roman" w:cs="Times New Roman"/>
                <w:color w:val="auto"/>
                <w:sz w:val="24"/>
                <w:highlight w:val="none"/>
                <w:lang w:val="en-US" w:eastAsia="zh-CN"/>
              </w:rPr>
              <w:t>厂内</w:t>
            </w:r>
            <w:r>
              <w:rPr>
                <w:rFonts w:hint="eastAsia" w:ascii="Times New Roman" w:hAnsi="Times New Roman" w:cs="Times New Roman"/>
                <w:color w:val="auto"/>
                <w:sz w:val="24"/>
                <w:highlight w:val="none"/>
                <w:lang w:eastAsia="zh-CN"/>
              </w:rPr>
              <w:t>污水处理</w:t>
            </w:r>
            <w:r>
              <w:rPr>
                <w:rFonts w:hint="eastAsia" w:ascii="Times New Roman" w:hAnsi="Times New Roman" w:cs="Times New Roman"/>
                <w:color w:val="auto"/>
                <w:sz w:val="24"/>
                <w:highlight w:val="none"/>
                <w:lang w:val="en-US" w:eastAsia="zh-CN"/>
              </w:rPr>
              <w:t>站</w:t>
            </w:r>
            <w:r>
              <w:rPr>
                <w:rFonts w:hint="eastAsia" w:ascii="Times New Roman" w:hAnsi="Times New Roman" w:cs="Times New Roman"/>
                <w:color w:val="auto"/>
                <w:sz w:val="24"/>
                <w:highlight w:val="none"/>
                <w:lang w:eastAsia="zh-CN"/>
              </w:rPr>
              <w:t>处理，通过</w:t>
            </w:r>
            <w:r>
              <w:rPr>
                <w:rFonts w:hint="eastAsia" w:cs="Times New Roman"/>
                <w:color w:val="auto"/>
                <w:sz w:val="24"/>
                <w:highlight w:val="none"/>
                <w:lang w:eastAsia="zh-CN"/>
              </w:rPr>
              <w:t>市政污水管网</w:t>
            </w:r>
            <w:r>
              <w:rPr>
                <w:rFonts w:hint="eastAsia" w:ascii="Times New Roman" w:hAnsi="Times New Roman" w:cs="Times New Roman"/>
                <w:color w:val="auto"/>
                <w:sz w:val="24"/>
                <w:highlight w:val="none"/>
                <w:lang w:eastAsia="zh-CN"/>
              </w:rPr>
              <w:t>排入</w:t>
            </w:r>
            <w:r>
              <w:rPr>
                <w:rFonts w:hint="eastAsia" w:ascii="Times New Roman" w:hAnsi="Times New Roman" w:cs="Times New Roman"/>
                <w:color w:val="auto"/>
                <w:sz w:val="24"/>
                <w:highlight w:val="none"/>
                <w:lang w:val="en-US" w:eastAsia="zh-CN"/>
              </w:rPr>
              <w:t>官塘</w:t>
            </w:r>
            <w:r>
              <w:rPr>
                <w:rFonts w:hint="eastAsia" w:ascii="Times New Roman" w:hAnsi="Times New Roman" w:cs="Times New Roman"/>
                <w:color w:val="auto"/>
                <w:sz w:val="24"/>
                <w:highlight w:val="none"/>
                <w:lang w:eastAsia="zh-CN"/>
              </w:rPr>
              <w:t>污水处理厂处理</w:t>
            </w:r>
            <w:r>
              <w:rPr>
                <w:rFonts w:hint="eastAsia"/>
                <w:caps w:val="0"/>
                <w:smallCaps w:val="0"/>
                <w:color w:val="auto"/>
                <w:sz w:val="24"/>
                <w:szCs w:val="24"/>
                <w:highlight w:val="none"/>
                <w:u w:val="none" w:color="auto"/>
                <w:shd w:val="clear" w:color="auto" w:fill="auto"/>
                <w:lang w:val="en-US" w:eastAsia="zh-CN"/>
              </w:rPr>
              <w:t>。</w:t>
            </w:r>
          </w:p>
          <w:p w14:paraId="43D1AFC9">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textAlignment w:val="auto"/>
              <w:rPr>
                <w:rFonts w:hint="default" w:cs="宋体"/>
                <w:color w:val="auto"/>
                <w:sz w:val="24"/>
                <w:szCs w:val="24"/>
                <w:lang w:val="en-US" w:eastAsia="zh-CN"/>
              </w:rPr>
            </w:pPr>
            <w:r>
              <w:rPr>
                <w:rFonts w:hint="eastAsia" w:cs="宋体"/>
                <w:color w:val="auto"/>
                <w:sz w:val="24"/>
                <w:szCs w:val="24"/>
                <w:lang w:val="en-US" w:eastAsia="zh-CN"/>
              </w:rPr>
              <w:t>⑧电泳喷淋清洗废水</w:t>
            </w:r>
          </w:p>
          <w:p w14:paraId="60BD4926">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textAlignment w:val="auto"/>
              <w:rPr>
                <w:rFonts w:hint="eastAsia" w:cs="宋体"/>
                <w:color w:val="auto"/>
                <w:sz w:val="24"/>
                <w:szCs w:val="24"/>
                <w:lang w:val="en-US" w:eastAsia="zh-CN"/>
              </w:rPr>
            </w:pPr>
            <w:r>
              <w:rPr>
                <w:rFonts w:hint="eastAsia" w:ascii="Times New Roman" w:hAnsi="Times New Roman" w:cs="Times New Roman"/>
                <w:color w:val="auto"/>
                <w:sz w:val="24"/>
                <w:highlight w:val="none"/>
                <w:lang w:val="en-US" w:eastAsia="zh-CN"/>
              </w:rPr>
              <w:t>根据建设单位提供信息，项目电泳</w:t>
            </w:r>
            <w:r>
              <w:rPr>
                <w:rFonts w:hint="eastAsia" w:cs="Times New Roman"/>
                <w:color w:val="auto"/>
                <w:sz w:val="24"/>
                <w:highlight w:val="none"/>
                <w:lang w:val="en-US" w:eastAsia="zh-CN"/>
              </w:rPr>
              <w:t>喷淋</w:t>
            </w:r>
            <w:r>
              <w:rPr>
                <w:rFonts w:hint="eastAsia" w:ascii="Times New Roman" w:hAnsi="Times New Roman" w:cs="Times New Roman"/>
                <w:color w:val="auto"/>
                <w:sz w:val="24"/>
                <w:highlight w:val="none"/>
                <w:lang w:val="en-US" w:eastAsia="zh-CN"/>
              </w:rPr>
              <w:t>清洗需要进行</w:t>
            </w:r>
            <w:r>
              <w:rPr>
                <w:rFonts w:hint="eastAsia" w:cs="Times New Roman"/>
                <w:color w:val="auto"/>
                <w:sz w:val="24"/>
                <w:highlight w:val="none"/>
                <w:lang w:val="en-US" w:eastAsia="zh-CN"/>
              </w:rPr>
              <w:t>1</w:t>
            </w:r>
            <w:r>
              <w:rPr>
                <w:rFonts w:hint="eastAsia" w:ascii="Times New Roman" w:hAnsi="Times New Roman" w:cs="Times New Roman"/>
                <w:color w:val="auto"/>
                <w:sz w:val="24"/>
                <w:highlight w:val="none"/>
                <w:lang w:val="en-US" w:eastAsia="zh-CN"/>
              </w:rPr>
              <w:t>次清洗，</w:t>
            </w:r>
            <w:r>
              <w:rPr>
                <w:rFonts w:hint="eastAsia" w:cs="Times New Roman"/>
                <w:color w:val="auto"/>
                <w:sz w:val="24"/>
                <w:highlight w:val="none"/>
                <w:lang w:val="en-US" w:eastAsia="zh-CN"/>
              </w:rPr>
              <w:t>根据前文可知，</w:t>
            </w:r>
            <w:r>
              <w:rPr>
                <w:rFonts w:hint="eastAsia" w:cs="宋体"/>
                <w:color w:val="auto"/>
                <w:sz w:val="24"/>
                <w:szCs w:val="24"/>
                <w:lang w:val="en-US" w:eastAsia="zh-CN"/>
              </w:rPr>
              <w:t>电泳</w:t>
            </w:r>
            <w:r>
              <w:rPr>
                <w:rFonts w:hint="eastAsia" w:cs="Times New Roman"/>
                <w:color w:val="auto"/>
                <w:sz w:val="24"/>
                <w:highlight w:val="none"/>
                <w:lang w:val="en-US" w:eastAsia="zh-CN"/>
              </w:rPr>
              <w:t>喷淋水槽容积1.55m</w:t>
            </w:r>
            <w:r>
              <w:rPr>
                <w:rFonts w:hint="eastAsia" w:cs="Times New Roman"/>
                <w:color w:val="auto"/>
                <w:sz w:val="24"/>
                <w:highlight w:val="none"/>
                <w:vertAlign w:val="superscript"/>
                <w:lang w:val="en-US" w:eastAsia="zh-CN"/>
              </w:rPr>
              <w:t>3</w:t>
            </w:r>
            <w:r>
              <w:rPr>
                <w:rFonts w:hint="eastAsia" w:cs="Times New Roman"/>
                <w:color w:val="auto"/>
                <w:sz w:val="24"/>
                <w:highlight w:val="none"/>
                <w:lang w:val="en-US" w:eastAsia="zh-CN"/>
              </w:rPr>
              <w:t>，</w:t>
            </w:r>
            <w:r>
              <w:rPr>
                <w:rFonts w:hint="eastAsia" w:cs="宋体"/>
                <w:color w:val="auto"/>
                <w:sz w:val="24"/>
                <w:szCs w:val="24"/>
                <w:lang w:val="en-US" w:eastAsia="zh-CN"/>
              </w:rPr>
              <w:t>电泳</w:t>
            </w:r>
            <w:r>
              <w:rPr>
                <w:rFonts w:hint="eastAsia" w:cs="Times New Roman"/>
                <w:color w:val="auto"/>
                <w:sz w:val="24"/>
                <w:highlight w:val="none"/>
                <w:lang w:val="en-US" w:eastAsia="zh-CN"/>
              </w:rPr>
              <w:t>喷淋清洗废水</w:t>
            </w:r>
            <w:r>
              <w:rPr>
                <w:rFonts w:hint="eastAsia" w:ascii="Times New Roman" w:hAnsi="Times New Roman" w:cs="Times New Roman"/>
                <w:color w:val="auto"/>
                <w:sz w:val="24"/>
                <w:highlight w:val="none"/>
                <w:lang w:val="en-US" w:eastAsia="zh-CN"/>
              </w:rPr>
              <w:t>每</w:t>
            </w:r>
            <w:r>
              <w:rPr>
                <w:rFonts w:hint="eastAsia" w:cs="Times New Roman"/>
                <w:color w:val="auto"/>
                <w:sz w:val="24"/>
                <w:highlight w:val="none"/>
                <w:lang w:val="en-US" w:eastAsia="zh-CN"/>
              </w:rPr>
              <w:t>周</w:t>
            </w:r>
            <w:r>
              <w:rPr>
                <w:rFonts w:hint="eastAsia" w:ascii="Times New Roman" w:hAnsi="Times New Roman" w:cs="Times New Roman"/>
                <w:color w:val="auto"/>
                <w:sz w:val="24"/>
                <w:highlight w:val="none"/>
                <w:lang w:val="en-US" w:eastAsia="zh-CN"/>
              </w:rPr>
              <w:t>排放一次</w:t>
            </w:r>
            <w:r>
              <w:rPr>
                <w:rFonts w:hint="eastAsia" w:cs="Times New Roman"/>
                <w:color w:val="auto"/>
                <w:sz w:val="24"/>
                <w:highlight w:val="none"/>
                <w:lang w:val="en-US" w:eastAsia="zh-CN"/>
              </w:rPr>
              <w:t>，项</w:t>
            </w:r>
            <w:r>
              <w:rPr>
                <w:rFonts w:hint="eastAsia" w:ascii="Times New Roman" w:hAnsi="Times New Roman" w:cs="Times New Roman"/>
                <w:color w:val="auto"/>
                <w:sz w:val="24"/>
                <w:highlight w:val="none"/>
                <w:lang w:val="en-US" w:eastAsia="zh-CN"/>
              </w:rPr>
              <w:t>目年工作300天，则每年排放约43次，电泳</w:t>
            </w:r>
            <w:r>
              <w:rPr>
                <w:rFonts w:hint="eastAsia" w:cs="Times New Roman"/>
                <w:color w:val="auto"/>
                <w:sz w:val="24"/>
                <w:highlight w:val="none"/>
                <w:lang w:val="en-US" w:eastAsia="zh-CN"/>
              </w:rPr>
              <w:t>喷淋</w:t>
            </w:r>
            <w:r>
              <w:rPr>
                <w:rFonts w:hint="eastAsia" w:ascii="Times New Roman" w:hAnsi="Times New Roman" w:cs="Times New Roman"/>
                <w:color w:val="auto"/>
                <w:sz w:val="24"/>
                <w:highlight w:val="none"/>
                <w:lang w:val="en-US" w:eastAsia="zh-CN"/>
              </w:rPr>
              <w:t>清洗用水量为66.65</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/a，生产过程损耗量大约占用水量的2%，损耗量约为</w:t>
            </w:r>
            <w:r>
              <w:rPr>
                <w:rFonts w:hint="eastAsia" w:cs="Times New Roman"/>
                <w:color w:val="auto"/>
                <w:sz w:val="24"/>
                <w:highlight w:val="none"/>
                <w:lang w:val="en-US" w:eastAsia="zh-CN"/>
              </w:rPr>
              <w:t>1.33</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/a，电泳</w:t>
            </w:r>
            <w:r>
              <w:rPr>
                <w:rFonts w:hint="eastAsia" w:cs="Times New Roman"/>
                <w:color w:val="auto"/>
                <w:sz w:val="24"/>
                <w:highlight w:val="none"/>
                <w:lang w:val="en-US" w:eastAsia="zh-CN"/>
              </w:rPr>
              <w:t>喷淋</w:t>
            </w:r>
            <w:r>
              <w:rPr>
                <w:rFonts w:hint="eastAsia" w:ascii="Times New Roman" w:hAnsi="Times New Roman" w:cs="Times New Roman"/>
                <w:color w:val="auto"/>
                <w:sz w:val="24"/>
                <w:highlight w:val="none"/>
                <w:lang w:val="en-US" w:eastAsia="zh-CN"/>
              </w:rPr>
              <w:t>清洗</w:t>
            </w:r>
            <w:r>
              <w:rPr>
                <w:rFonts w:hint="eastAsia" w:cs="Times New Roman"/>
                <w:color w:val="auto"/>
                <w:sz w:val="24"/>
                <w:highlight w:val="none"/>
                <w:lang w:val="en-US" w:eastAsia="zh-CN"/>
              </w:rPr>
              <w:t>总用水</w:t>
            </w:r>
            <w:r>
              <w:rPr>
                <w:rFonts w:hint="eastAsia" w:ascii="Times New Roman" w:hAnsi="Times New Roman" w:cs="Times New Roman"/>
                <w:color w:val="auto"/>
                <w:sz w:val="24"/>
                <w:highlight w:val="none"/>
                <w:lang w:val="en-US" w:eastAsia="zh-CN"/>
              </w:rPr>
              <w:t>量为67.98</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/a，电泳</w:t>
            </w:r>
            <w:r>
              <w:rPr>
                <w:rFonts w:hint="eastAsia" w:cs="Times New Roman"/>
                <w:color w:val="auto"/>
                <w:sz w:val="24"/>
                <w:highlight w:val="none"/>
                <w:lang w:val="en-US" w:eastAsia="zh-CN"/>
              </w:rPr>
              <w:t>喷淋</w:t>
            </w:r>
            <w:r>
              <w:rPr>
                <w:rFonts w:hint="eastAsia" w:ascii="Times New Roman" w:hAnsi="Times New Roman" w:cs="Times New Roman"/>
                <w:color w:val="auto"/>
                <w:sz w:val="24"/>
                <w:highlight w:val="none"/>
                <w:lang w:val="en-US" w:eastAsia="zh-CN"/>
              </w:rPr>
              <w:t>清洗废水</w:t>
            </w:r>
            <w:r>
              <w:rPr>
                <w:rFonts w:hint="eastAsia" w:ascii="Times New Roman" w:hAnsi="Times New Roman" w:cs="Times New Roman"/>
                <w:color w:val="auto"/>
                <w:sz w:val="24"/>
                <w:highlight w:val="none"/>
                <w:lang w:eastAsia="zh-CN"/>
              </w:rPr>
              <w:t>清排</w:t>
            </w:r>
            <w:r>
              <w:rPr>
                <w:rFonts w:hint="eastAsia"/>
                <w:color w:val="auto"/>
                <w:sz w:val="24"/>
                <w:highlight w:val="none"/>
                <w:lang w:eastAsia="zh-CN"/>
              </w:rPr>
              <w:t>至</w:t>
            </w:r>
            <w:r>
              <w:rPr>
                <w:rFonts w:hint="eastAsia" w:ascii="Times New Roman" w:hAnsi="Times New Roman" w:cs="Times New Roman"/>
                <w:color w:val="auto"/>
                <w:sz w:val="24"/>
                <w:highlight w:val="none"/>
                <w:lang w:val="en-US" w:eastAsia="zh-CN"/>
              </w:rPr>
              <w:t>厂内</w:t>
            </w:r>
            <w:r>
              <w:rPr>
                <w:rFonts w:hint="eastAsia" w:ascii="Times New Roman" w:hAnsi="Times New Roman" w:cs="Times New Roman"/>
                <w:color w:val="auto"/>
                <w:sz w:val="24"/>
                <w:highlight w:val="none"/>
                <w:lang w:eastAsia="zh-CN"/>
              </w:rPr>
              <w:t>污水处理</w:t>
            </w:r>
            <w:r>
              <w:rPr>
                <w:rFonts w:hint="eastAsia" w:ascii="Times New Roman" w:hAnsi="Times New Roman" w:cs="Times New Roman"/>
                <w:color w:val="auto"/>
                <w:sz w:val="24"/>
                <w:highlight w:val="none"/>
                <w:lang w:val="en-US" w:eastAsia="zh-CN"/>
              </w:rPr>
              <w:t>站</w:t>
            </w:r>
            <w:r>
              <w:rPr>
                <w:rFonts w:hint="eastAsia" w:ascii="Times New Roman" w:hAnsi="Times New Roman" w:cs="Times New Roman"/>
                <w:color w:val="auto"/>
                <w:sz w:val="24"/>
                <w:highlight w:val="none"/>
                <w:lang w:eastAsia="zh-CN"/>
              </w:rPr>
              <w:t>处理，通过</w:t>
            </w:r>
            <w:r>
              <w:rPr>
                <w:rFonts w:hint="eastAsia" w:cs="Times New Roman"/>
                <w:color w:val="auto"/>
                <w:sz w:val="24"/>
                <w:highlight w:val="none"/>
                <w:lang w:eastAsia="zh-CN"/>
              </w:rPr>
              <w:t>市政污水管网</w:t>
            </w:r>
            <w:r>
              <w:rPr>
                <w:rFonts w:hint="eastAsia" w:ascii="Times New Roman" w:hAnsi="Times New Roman" w:cs="Times New Roman"/>
                <w:color w:val="auto"/>
                <w:sz w:val="24"/>
                <w:highlight w:val="none"/>
                <w:lang w:eastAsia="zh-CN"/>
              </w:rPr>
              <w:t>排入</w:t>
            </w:r>
            <w:r>
              <w:rPr>
                <w:rFonts w:hint="eastAsia" w:ascii="Times New Roman" w:hAnsi="Times New Roman" w:cs="Times New Roman"/>
                <w:color w:val="auto"/>
                <w:sz w:val="24"/>
                <w:highlight w:val="none"/>
                <w:lang w:val="en-US" w:eastAsia="zh-CN"/>
              </w:rPr>
              <w:t>官塘</w:t>
            </w:r>
            <w:r>
              <w:rPr>
                <w:rFonts w:hint="eastAsia" w:ascii="Times New Roman" w:hAnsi="Times New Roman" w:cs="Times New Roman"/>
                <w:color w:val="auto"/>
                <w:sz w:val="24"/>
                <w:highlight w:val="none"/>
                <w:lang w:eastAsia="zh-CN"/>
              </w:rPr>
              <w:t>污水处理厂处理</w:t>
            </w:r>
            <w:r>
              <w:rPr>
                <w:rFonts w:hint="eastAsia" w:cs="Times New Roman"/>
                <w:color w:val="auto"/>
                <w:sz w:val="24"/>
                <w:highlight w:val="none"/>
                <w:lang w:eastAsia="zh-CN"/>
              </w:rPr>
              <w:t>。</w:t>
            </w:r>
          </w:p>
          <w:p w14:paraId="2A7C547D">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textAlignment w:val="auto"/>
              <w:rPr>
                <w:rFonts w:hint="default" w:cs="宋体"/>
                <w:color w:val="auto"/>
                <w:sz w:val="24"/>
                <w:szCs w:val="24"/>
                <w:lang w:val="en-US" w:eastAsia="zh-CN"/>
              </w:rPr>
            </w:pPr>
            <w:r>
              <w:rPr>
                <w:rFonts w:hint="eastAsia" w:cs="宋体"/>
                <w:color w:val="auto"/>
                <w:sz w:val="24"/>
                <w:szCs w:val="24"/>
                <w:lang w:val="en-US" w:eastAsia="zh-CN"/>
              </w:rPr>
              <w:t>⑨纯水制备用水</w:t>
            </w:r>
          </w:p>
          <w:p w14:paraId="3E6FE8A4">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textAlignment w:val="auto"/>
              <w:rPr>
                <w:rFonts w:hint="default" w:cs="宋体"/>
                <w:color w:val="auto"/>
                <w:sz w:val="24"/>
                <w:szCs w:val="24"/>
                <w:lang w:val="en-US" w:eastAsia="zh-CN"/>
              </w:rPr>
            </w:pPr>
            <w:r>
              <w:rPr>
                <w:rFonts w:hint="eastAsia" w:cs="宋体"/>
                <w:color w:val="auto"/>
                <w:sz w:val="24"/>
                <w:szCs w:val="24"/>
                <w:lang w:val="en-US" w:eastAsia="zh-CN"/>
              </w:rPr>
              <w:t>根据前文分析，项目磷化后清洗、电泳、电泳超滤清洗、电泳喷淋清洗均使用纯水，</w:t>
            </w:r>
            <w:r>
              <w:rPr>
                <w:rFonts w:hint="eastAsia" w:cs="宋体"/>
                <w:color w:val="auto"/>
                <w:sz w:val="24"/>
                <w:szCs w:val="24"/>
                <w:lang w:val="en-US" w:eastAsia="zh-CN"/>
              </w:rPr>
              <w:t>项目纯水需求量为682.355</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cs="宋体"/>
                <w:color w:val="auto"/>
                <w:sz w:val="24"/>
                <w:szCs w:val="24"/>
                <w:lang w:val="en-US" w:eastAsia="zh-CN"/>
              </w:rPr>
              <w:t>/a，自来水制作纯水出水率以75%计，则纯水制备工序用水量约909.81</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cs="宋体"/>
                <w:color w:val="auto"/>
                <w:sz w:val="24"/>
                <w:szCs w:val="24"/>
                <w:lang w:val="en-US" w:eastAsia="zh-CN"/>
              </w:rPr>
              <w:t>/a，纯水制备废水产生量为227.455</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cs="宋体"/>
                <w:color w:val="auto"/>
                <w:sz w:val="24"/>
                <w:szCs w:val="24"/>
                <w:lang w:val="en-US" w:eastAsia="zh-CN"/>
              </w:rPr>
              <w:t>/a，废水直接排入市政污水管网</w:t>
            </w:r>
            <w:r>
              <w:rPr>
                <w:rFonts w:hint="eastAsia" w:cs="宋体"/>
                <w:color w:val="auto"/>
                <w:sz w:val="24"/>
                <w:szCs w:val="24"/>
                <w:lang w:val="en-US" w:eastAsia="zh-CN"/>
              </w:rPr>
              <w:t>。</w:t>
            </w:r>
          </w:p>
          <w:p w14:paraId="69405889">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textAlignment w:val="auto"/>
              <w:rPr>
                <w:rFonts w:hint="default"/>
                <w:color w:val="auto"/>
                <w:sz w:val="24"/>
                <w:szCs w:val="24"/>
                <w:shd w:val="clear" w:color="auto" w:fill="auto"/>
                <w:lang w:val="en-US" w:eastAsia="zh-CN"/>
              </w:rPr>
            </w:pPr>
            <w:r>
              <w:rPr>
                <w:rFonts w:hint="eastAsia"/>
                <w:color w:val="auto"/>
                <w:sz w:val="24"/>
                <w:szCs w:val="24"/>
                <w:shd w:val="clear" w:color="auto" w:fill="auto"/>
                <w:lang w:val="en-US" w:eastAsia="zh-CN"/>
              </w:rPr>
              <w:t>⑩生活用水</w:t>
            </w:r>
          </w:p>
          <w:p w14:paraId="1117FB1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default" w:ascii="Times New Roman" w:hAnsi="Times New Roman" w:eastAsia="宋体" w:cs="宋体"/>
                <w:color w:val="auto"/>
                <w:sz w:val="24"/>
                <w:szCs w:val="24"/>
                <w:lang w:val="en-US" w:eastAsia="zh-CN"/>
              </w:rPr>
            </w:pPr>
            <w:r>
              <w:rPr>
                <w:rFonts w:hint="eastAsia" w:ascii="Times New Roman" w:hAnsi="Times New Roman" w:eastAsia="宋体"/>
                <w:caps w:val="0"/>
                <w:smallCaps w:val="0"/>
                <w:color w:val="auto"/>
                <w:sz w:val="24"/>
                <w:szCs w:val="24"/>
                <w:highlight w:val="none"/>
                <w:u w:val="none" w:color="auto"/>
                <w:shd w:val="clear" w:color="auto" w:fill="auto"/>
              </w:rPr>
              <w:t>项目</w:t>
            </w:r>
            <w:r>
              <w:rPr>
                <w:rFonts w:hint="eastAsia" w:ascii="Times New Roman" w:hAnsi="Times New Roman" w:eastAsia="宋体" w:cs="Times New Roman"/>
                <w:caps w:val="0"/>
                <w:color w:val="auto"/>
                <w:spacing w:val="4"/>
                <w:sz w:val="24"/>
                <w:szCs w:val="24"/>
                <w:u w:val="none" w:color="auto"/>
                <w:shd w:val="clear" w:color="auto" w:fill="auto"/>
                <w:lang w:val="en-US" w:eastAsia="zh-CN"/>
              </w:rPr>
              <w:t>劳动定员</w:t>
            </w:r>
            <w:r>
              <w:rPr>
                <w:rFonts w:hint="eastAsia" w:cs="Times New Roman"/>
                <w:caps w:val="0"/>
                <w:color w:val="auto"/>
                <w:spacing w:val="4"/>
                <w:sz w:val="24"/>
                <w:szCs w:val="24"/>
                <w:u w:val="none" w:color="auto"/>
                <w:shd w:val="clear" w:color="auto" w:fill="auto"/>
                <w:lang w:val="en-US" w:eastAsia="zh-CN"/>
              </w:rPr>
              <w:t>638</w:t>
            </w:r>
            <w:r>
              <w:rPr>
                <w:rFonts w:hint="eastAsia" w:ascii="Times New Roman" w:hAnsi="Times New Roman" w:eastAsia="宋体"/>
                <w:color w:val="auto"/>
                <w:kern w:val="0"/>
                <w:sz w:val="24"/>
                <w:szCs w:val="24"/>
                <w:u w:val="none" w:color="auto"/>
                <w:shd w:val="clear" w:color="auto" w:fill="auto"/>
                <w:lang w:eastAsia="zh-CN"/>
              </w:rPr>
              <w:t>人，</w:t>
            </w:r>
            <w:r>
              <w:rPr>
                <w:rFonts w:hint="eastAsia" w:ascii="Times New Roman" w:hAnsi="Times New Roman" w:eastAsia="宋体"/>
                <w:color w:val="auto"/>
                <w:kern w:val="0"/>
                <w:sz w:val="24"/>
                <w:szCs w:val="24"/>
                <w:u w:val="none" w:color="auto"/>
                <w:shd w:val="clear" w:color="auto" w:fill="auto"/>
                <w:lang w:eastAsia="zh-CN"/>
              </w:rPr>
              <w:t>根据《建筑给水排水设计规范》（GB50015-2019）（修订版），车间工人的生活用水定额按 30~50L/人·班计，本次评价取40L/人·班</w:t>
            </w:r>
            <w:r>
              <w:rPr>
                <w:rFonts w:hint="default" w:ascii="Times New Roman" w:hAnsi="Times New Roman" w:eastAsia="宋体" w:cs="Times New Roman"/>
                <w:color w:val="auto"/>
                <w:sz w:val="24"/>
                <w:szCs w:val="24"/>
                <w:u w:val="none" w:color="auto"/>
              </w:rPr>
              <w:t>，</w:t>
            </w:r>
            <w:r>
              <w:rPr>
                <w:rFonts w:hint="default" w:ascii="Times New Roman" w:hAnsi="Times New Roman" w:eastAsia="宋体" w:cs="Times New Roman"/>
                <w:color w:val="auto"/>
                <w:spacing w:val="4"/>
                <w:kern w:val="0"/>
                <w:sz w:val="24"/>
                <w:szCs w:val="24"/>
                <w:u w:val="none" w:color="auto"/>
                <w:lang w:val="en-US" w:eastAsia="zh-CN"/>
              </w:rPr>
              <w:t>年生产</w:t>
            </w:r>
            <w:r>
              <w:rPr>
                <w:rFonts w:hint="eastAsia" w:cs="Times New Roman"/>
                <w:color w:val="auto"/>
                <w:spacing w:val="4"/>
                <w:kern w:val="0"/>
                <w:sz w:val="24"/>
                <w:szCs w:val="24"/>
                <w:u w:val="none" w:color="auto"/>
                <w:lang w:val="en-US" w:eastAsia="zh-CN"/>
              </w:rPr>
              <w:t>30</w:t>
            </w:r>
            <w:r>
              <w:rPr>
                <w:rFonts w:hint="default" w:ascii="Times New Roman" w:hAnsi="Times New Roman" w:eastAsia="宋体" w:cs="Times New Roman"/>
                <w:color w:val="auto"/>
                <w:spacing w:val="4"/>
                <w:kern w:val="0"/>
                <w:sz w:val="24"/>
                <w:szCs w:val="24"/>
                <w:u w:val="none" w:color="auto"/>
                <w:lang w:val="en-US" w:eastAsia="zh-CN"/>
              </w:rPr>
              <w:t>0天，</w:t>
            </w:r>
            <w:r>
              <w:rPr>
                <w:rFonts w:hint="default" w:ascii="Times New Roman" w:hAnsi="Times New Roman" w:eastAsia="宋体" w:cs="Times New Roman"/>
                <w:color w:val="auto"/>
                <w:sz w:val="24"/>
                <w:szCs w:val="24"/>
                <w:u w:val="none" w:color="auto"/>
              </w:rPr>
              <w:t>则</w:t>
            </w:r>
            <w:r>
              <w:rPr>
                <w:rFonts w:hint="default" w:ascii="Times New Roman" w:hAnsi="Times New Roman" w:eastAsia="宋体" w:cs="Times New Roman"/>
                <w:color w:val="auto"/>
                <w:sz w:val="24"/>
                <w:szCs w:val="24"/>
                <w:u w:val="none" w:color="auto"/>
                <w:lang w:eastAsia="zh-CN"/>
              </w:rPr>
              <w:t>项目</w:t>
            </w:r>
            <w:r>
              <w:rPr>
                <w:rFonts w:hint="default" w:ascii="Times New Roman" w:hAnsi="Times New Roman" w:eastAsia="宋体" w:cs="Times New Roman"/>
                <w:color w:val="auto"/>
                <w:sz w:val="24"/>
                <w:szCs w:val="24"/>
                <w:u w:val="none" w:color="auto"/>
              </w:rPr>
              <w:t>生活用水量为</w:t>
            </w:r>
            <w:r>
              <w:rPr>
                <w:rFonts w:hint="eastAsia" w:cs="Times New Roman"/>
                <w:color w:val="auto"/>
                <w:sz w:val="24"/>
                <w:szCs w:val="24"/>
                <w:u w:val="none" w:color="auto"/>
                <w:lang w:val="en-US" w:eastAsia="zh-CN"/>
              </w:rPr>
              <w:t>25.52</w:t>
            </w:r>
            <w:r>
              <w:rPr>
                <w:rFonts w:hint="default" w:ascii="Times New Roman" w:hAnsi="Times New Roman" w:eastAsia="宋体" w:cs="Times New Roman"/>
                <w:color w:val="auto"/>
                <w:sz w:val="24"/>
                <w:szCs w:val="24"/>
                <w:u w:val="none" w:color="auto"/>
              </w:rPr>
              <w:t>m</w:t>
            </w:r>
            <w:r>
              <w:rPr>
                <w:rFonts w:hint="default" w:ascii="Times New Roman" w:hAnsi="Times New Roman" w:eastAsia="宋体" w:cs="Times New Roman"/>
                <w:color w:val="auto"/>
                <w:sz w:val="24"/>
                <w:szCs w:val="24"/>
                <w:u w:val="none" w:color="auto"/>
                <w:vertAlign w:val="superscript"/>
              </w:rPr>
              <w:t>3</w:t>
            </w:r>
            <w:r>
              <w:rPr>
                <w:rFonts w:hint="default" w:ascii="Times New Roman" w:hAnsi="Times New Roman" w:eastAsia="宋体" w:cs="Times New Roman"/>
                <w:color w:val="auto"/>
                <w:sz w:val="24"/>
                <w:szCs w:val="24"/>
                <w:u w:val="none" w:color="auto"/>
              </w:rPr>
              <w:t>/d（</w:t>
            </w:r>
            <w:r>
              <w:rPr>
                <w:rFonts w:hint="default" w:ascii="Times New Roman" w:hAnsi="Times New Roman" w:eastAsia="宋体" w:cs="Times New Roman"/>
                <w:color w:val="auto"/>
                <w:sz w:val="24"/>
                <w:szCs w:val="24"/>
                <w:u w:val="none" w:color="auto"/>
                <w:lang w:val="en-US" w:eastAsia="zh-CN"/>
              </w:rPr>
              <w:t>7656</w:t>
            </w:r>
            <w:r>
              <w:rPr>
                <w:rFonts w:hint="default" w:ascii="Times New Roman" w:hAnsi="Times New Roman" w:eastAsia="宋体" w:cs="Times New Roman"/>
                <w:color w:val="auto"/>
                <w:sz w:val="24"/>
                <w:szCs w:val="24"/>
                <w:u w:val="none" w:color="auto"/>
              </w:rPr>
              <w:t>m</w:t>
            </w:r>
            <w:r>
              <w:rPr>
                <w:rFonts w:hint="default" w:ascii="Times New Roman" w:hAnsi="Times New Roman" w:eastAsia="宋体" w:cs="Times New Roman"/>
                <w:color w:val="auto"/>
                <w:sz w:val="24"/>
                <w:szCs w:val="24"/>
                <w:u w:val="none" w:color="auto"/>
                <w:vertAlign w:val="superscript"/>
              </w:rPr>
              <w:t>3</w:t>
            </w:r>
            <w:r>
              <w:rPr>
                <w:rFonts w:hint="default" w:ascii="Times New Roman" w:hAnsi="Times New Roman" w:eastAsia="宋体" w:cs="Times New Roman"/>
                <w:color w:val="auto"/>
                <w:sz w:val="24"/>
                <w:szCs w:val="24"/>
                <w:u w:val="none" w:color="auto"/>
              </w:rPr>
              <w:t>/a）</w:t>
            </w:r>
            <w:r>
              <w:rPr>
                <w:rFonts w:hint="default" w:ascii="Times New Roman" w:hAnsi="Times New Roman" w:eastAsia="宋体" w:cs="Times New Roman"/>
                <w:color w:val="auto"/>
                <w:sz w:val="24"/>
                <w:szCs w:val="24"/>
                <w:u w:val="none" w:color="auto"/>
              </w:rPr>
              <w:t>，折污系数</w:t>
            </w:r>
            <w:r>
              <w:rPr>
                <w:rFonts w:hint="default" w:ascii="Times New Roman" w:hAnsi="Times New Roman" w:eastAsia="宋体" w:cs="Times New Roman"/>
                <w:color w:val="auto"/>
                <w:sz w:val="24"/>
                <w:szCs w:val="24"/>
                <w:u w:val="none" w:color="auto"/>
                <w:lang w:eastAsia="zh-CN"/>
              </w:rPr>
              <w:t>对应要求</w:t>
            </w:r>
            <w:r>
              <w:rPr>
                <w:rFonts w:hint="default" w:ascii="Times New Roman" w:hAnsi="Times New Roman" w:eastAsia="宋体" w:cs="Times New Roman"/>
                <w:color w:val="auto"/>
                <w:sz w:val="24"/>
                <w:szCs w:val="24"/>
                <w:u w:val="none" w:color="auto"/>
              </w:rPr>
              <w:t>取</w:t>
            </w:r>
            <w:r>
              <w:rPr>
                <w:rFonts w:hint="default" w:ascii="Times New Roman" w:hAnsi="Times New Roman" w:eastAsia="宋体" w:cs="Times New Roman"/>
                <w:color w:val="auto"/>
                <w:sz w:val="24"/>
                <w:szCs w:val="24"/>
                <w:u w:val="none" w:color="auto"/>
                <w:lang w:eastAsia="zh-CN"/>
              </w:rPr>
              <w:t>值</w:t>
            </w:r>
            <w:r>
              <w:rPr>
                <w:rFonts w:hint="default" w:ascii="Times New Roman" w:hAnsi="Times New Roman" w:eastAsia="宋体" w:cs="Times New Roman"/>
                <w:color w:val="auto"/>
                <w:sz w:val="24"/>
                <w:szCs w:val="24"/>
                <w:u w:val="none" w:color="auto"/>
              </w:rPr>
              <w:t>0.8，生活污水量</w:t>
            </w:r>
            <w:r>
              <w:rPr>
                <w:rFonts w:hint="default" w:ascii="Times New Roman" w:hAnsi="Times New Roman" w:eastAsia="宋体" w:cs="Times New Roman"/>
                <w:color w:val="auto"/>
                <w:sz w:val="24"/>
                <w:szCs w:val="24"/>
                <w:u w:val="none" w:color="auto"/>
              </w:rPr>
              <w:t>为</w:t>
            </w:r>
            <w:r>
              <w:rPr>
                <w:rFonts w:hint="eastAsia" w:ascii="Times New Roman" w:hAnsi="Times New Roman" w:eastAsia="宋体" w:cs="Times New Roman"/>
                <w:color w:val="auto"/>
                <w:sz w:val="24"/>
                <w:szCs w:val="24"/>
                <w:u w:val="none" w:color="auto"/>
                <w:lang w:val="en-US" w:eastAsia="zh-CN"/>
              </w:rPr>
              <w:t>20.4</w:t>
            </w:r>
            <w:r>
              <w:rPr>
                <w:rFonts w:hint="eastAsia" w:cs="Times New Roman"/>
                <w:color w:val="auto"/>
                <w:sz w:val="24"/>
                <w:szCs w:val="24"/>
                <w:u w:val="none" w:color="auto"/>
                <w:lang w:val="en-US" w:eastAsia="zh-CN"/>
              </w:rPr>
              <w:t>2</w:t>
            </w:r>
            <w:r>
              <w:rPr>
                <w:rFonts w:hint="default" w:ascii="Times New Roman" w:hAnsi="Times New Roman" w:eastAsia="宋体" w:cs="Times New Roman"/>
                <w:color w:val="auto"/>
                <w:sz w:val="24"/>
                <w:szCs w:val="24"/>
                <w:u w:val="none" w:color="auto"/>
              </w:rPr>
              <w:t>m</w:t>
            </w:r>
            <w:r>
              <w:rPr>
                <w:rFonts w:hint="default" w:ascii="Times New Roman" w:hAnsi="Times New Roman" w:eastAsia="宋体" w:cs="Times New Roman"/>
                <w:color w:val="auto"/>
                <w:sz w:val="24"/>
                <w:szCs w:val="24"/>
                <w:u w:val="none" w:color="auto"/>
                <w:vertAlign w:val="superscript"/>
              </w:rPr>
              <w:t>3</w:t>
            </w:r>
            <w:r>
              <w:rPr>
                <w:rFonts w:hint="default" w:ascii="Times New Roman" w:hAnsi="Times New Roman" w:eastAsia="宋体" w:cs="Times New Roman"/>
                <w:color w:val="auto"/>
                <w:sz w:val="24"/>
                <w:szCs w:val="24"/>
                <w:u w:val="none" w:color="auto"/>
              </w:rPr>
              <w:t>/d（</w:t>
            </w:r>
            <w:r>
              <w:rPr>
                <w:rFonts w:hint="default" w:ascii="Times New Roman" w:hAnsi="Times New Roman" w:eastAsia="宋体" w:cs="Times New Roman"/>
                <w:color w:val="auto"/>
                <w:sz w:val="24"/>
                <w:szCs w:val="24"/>
                <w:u w:val="none" w:color="auto"/>
                <w:lang w:val="en-US" w:eastAsia="zh-CN"/>
              </w:rPr>
              <w:t>6126</w:t>
            </w:r>
            <w:r>
              <w:rPr>
                <w:rFonts w:hint="default" w:ascii="Times New Roman" w:hAnsi="Times New Roman" w:eastAsia="宋体" w:cs="Times New Roman"/>
                <w:color w:val="auto"/>
                <w:sz w:val="24"/>
                <w:szCs w:val="24"/>
                <w:u w:val="none" w:color="auto"/>
              </w:rPr>
              <w:t>m</w:t>
            </w:r>
            <w:r>
              <w:rPr>
                <w:rFonts w:hint="default" w:ascii="Times New Roman" w:hAnsi="Times New Roman" w:eastAsia="宋体" w:cs="Times New Roman"/>
                <w:color w:val="auto"/>
                <w:sz w:val="24"/>
                <w:szCs w:val="24"/>
                <w:u w:val="none" w:color="auto"/>
                <w:vertAlign w:val="superscript"/>
              </w:rPr>
              <w:t>3</w:t>
            </w:r>
            <w:r>
              <w:rPr>
                <w:rFonts w:hint="default" w:ascii="Times New Roman" w:hAnsi="Times New Roman" w:eastAsia="宋体" w:cs="Times New Roman"/>
                <w:color w:val="auto"/>
                <w:sz w:val="24"/>
                <w:szCs w:val="24"/>
                <w:u w:val="none" w:color="auto"/>
              </w:rPr>
              <w:t>/a）</w:t>
            </w:r>
            <w:r>
              <w:rPr>
                <w:rFonts w:hint="eastAsia" w:ascii="Times New Roman" w:hAnsi="Times New Roman" w:eastAsia="宋体"/>
                <w:caps w:val="0"/>
                <w:smallCaps w:val="0"/>
                <w:color w:val="auto"/>
                <w:sz w:val="24"/>
                <w:szCs w:val="24"/>
                <w:highlight w:val="none"/>
                <w:u w:val="none" w:color="auto"/>
                <w:shd w:val="clear" w:color="auto" w:fill="auto"/>
                <w:lang w:eastAsia="zh-CN"/>
              </w:rPr>
              <w:t>，</w:t>
            </w:r>
            <w:r>
              <w:rPr>
                <w:rFonts w:hint="eastAsia"/>
                <w:caps w:val="0"/>
                <w:smallCaps w:val="0"/>
                <w:color w:val="auto"/>
                <w:sz w:val="24"/>
                <w:szCs w:val="24"/>
                <w:highlight w:val="none"/>
                <w:u w:val="none" w:color="auto"/>
                <w:shd w:val="clear" w:color="auto" w:fill="auto"/>
                <w:lang w:val="en-US" w:eastAsia="zh-CN"/>
              </w:rPr>
              <w:t>经</w:t>
            </w:r>
            <w:r>
              <w:rPr>
                <w:rFonts w:ascii="Times New Roman" w:hAnsi="Times New Roman" w:eastAsia="宋体"/>
                <w:caps w:val="0"/>
                <w:smallCaps w:val="0"/>
                <w:color w:val="auto"/>
                <w:sz w:val="24"/>
                <w:szCs w:val="24"/>
                <w:highlight w:val="none"/>
                <w:u w:val="none" w:color="auto"/>
                <w:shd w:val="clear" w:color="auto" w:fill="auto"/>
              </w:rPr>
              <w:t>三级化粪池</w:t>
            </w:r>
            <w:r>
              <w:rPr>
                <w:rFonts w:hint="eastAsia"/>
                <w:caps w:val="0"/>
                <w:smallCaps w:val="0"/>
                <w:color w:val="auto"/>
                <w:sz w:val="24"/>
                <w:szCs w:val="24"/>
                <w:highlight w:val="none"/>
                <w:u w:val="none" w:color="auto"/>
                <w:shd w:val="clear" w:color="auto" w:fill="auto"/>
                <w:lang w:val="en-US" w:eastAsia="zh-CN"/>
              </w:rPr>
              <w:t>处理后排入市政污水管网。</w:t>
            </w:r>
          </w:p>
          <w:p w14:paraId="4CB4E9F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default" w:ascii="Times New Roman" w:hAnsi="Times New Roman" w:eastAsia="宋体" w:cs="宋体"/>
                <w:color w:val="auto"/>
                <w:sz w:val="24"/>
                <w:szCs w:val="24"/>
                <w:lang w:val="en-US" w:eastAsia="zh-CN"/>
              </w:rPr>
            </w:pPr>
            <w:r>
              <w:rPr>
                <w:rFonts w:hint="eastAsia" w:cs="宋体"/>
                <w:color w:val="auto"/>
                <w:sz w:val="24"/>
                <w:szCs w:val="24"/>
                <w:lang w:val="en-US" w:eastAsia="zh-CN"/>
              </w:rPr>
              <w:t>⑪废气喷淋用水</w:t>
            </w:r>
          </w:p>
          <w:p w14:paraId="4B2A0A11">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eastAsia"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项目废气处理设置水喷淋塔，喷淋塔处理用水为循环用水，参考《三废处理工程技术手册 废气卷》填料塔洗涤除尘器液气比一般取1.3~3L/m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lang w:val="en-US" w:eastAsia="zh-CN"/>
              </w:rPr>
              <w:t>，本项目取值3L/m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vertAlign w:val="baseline"/>
                <w:lang w:val="en-US" w:eastAsia="zh-CN"/>
              </w:rPr>
              <w:t>，根据后文废气源强计算，项目通过喷淋塔的烟尘</w:t>
            </w:r>
            <w:r>
              <w:rPr>
                <w:rFonts w:hint="default" w:ascii="Times New Roman" w:hAnsi="Times New Roman" w:eastAsia="宋体" w:cs="Times New Roman"/>
                <w:color w:val="auto"/>
                <w:kern w:val="0"/>
                <w:sz w:val="24"/>
                <w:szCs w:val="24"/>
                <w:highlight w:val="none"/>
              </w:rPr>
              <w:t>量约为</w:t>
            </w:r>
            <w:r>
              <w:rPr>
                <w:rFonts w:hint="eastAsia" w:cs="Times New Roman"/>
                <w:color w:val="auto"/>
                <w:kern w:val="0"/>
                <w:sz w:val="24"/>
                <w:szCs w:val="24"/>
                <w:highlight w:val="none"/>
                <w:lang w:val="en-US" w:eastAsia="zh-CN"/>
              </w:rPr>
              <w:t>14392</w:t>
            </w:r>
            <w:r>
              <w:rPr>
                <w:rFonts w:hint="default" w:ascii="Times New Roman" w:hAnsi="Times New Roman" w:eastAsia="宋体" w:cs="Times New Roman"/>
                <w:color w:val="auto"/>
                <w:kern w:val="0"/>
                <w:sz w:val="24"/>
                <w:szCs w:val="24"/>
                <w:highlight w:val="none"/>
              </w:rPr>
              <w:t>m</w:t>
            </w:r>
            <w:r>
              <w:rPr>
                <w:rFonts w:hint="default" w:ascii="Times New Roman" w:hAnsi="Times New Roman" w:eastAsia="宋体" w:cs="Times New Roman"/>
                <w:color w:val="auto"/>
                <w:kern w:val="0"/>
                <w:sz w:val="24"/>
                <w:szCs w:val="24"/>
                <w:highlight w:val="none"/>
                <w:vertAlign w:val="superscript"/>
              </w:rPr>
              <w:t>3</w:t>
            </w:r>
            <w:r>
              <w:rPr>
                <w:rFonts w:hint="default" w:ascii="Times New Roman" w:hAnsi="Times New Roman" w:eastAsia="宋体" w:cs="Times New Roman"/>
                <w:color w:val="auto"/>
                <w:kern w:val="0"/>
                <w:sz w:val="24"/>
                <w:szCs w:val="24"/>
                <w:highlight w:val="none"/>
              </w:rPr>
              <w:t>/h，</w:t>
            </w:r>
            <w:r>
              <w:rPr>
                <w:rFonts w:hint="eastAsia" w:ascii="Times New Roman" w:hAnsi="Times New Roman" w:cs="Times New Roman"/>
                <w:color w:val="auto"/>
                <w:kern w:val="0"/>
                <w:sz w:val="24"/>
                <w:szCs w:val="24"/>
                <w:highlight w:val="none"/>
                <w:lang w:val="en-US" w:eastAsia="zh-CN"/>
              </w:rPr>
              <w:t>则循环水量约345.4</w:t>
            </w:r>
            <w:r>
              <w:rPr>
                <w:rFonts w:hint="eastAsia" w:cs="Times New Roman"/>
                <w:color w:val="auto"/>
                <w:kern w:val="0"/>
                <w:sz w:val="24"/>
                <w:szCs w:val="24"/>
                <w:highlight w:val="none"/>
                <w:lang w:val="en-US" w:eastAsia="zh-CN"/>
              </w:rPr>
              <w:t>1m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lang w:val="en-US" w:eastAsia="zh-CN"/>
              </w:rPr>
              <w:t>/d（103623</w:t>
            </w:r>
            <w:r>
              <w:rPr>
                <w:rFonts w:hint="default" w:ascii="Times New Roman" w:hAnsi="Times New Roman" w:eastAsia="宋体" w:cs="Times New Roman"/>
                <w:color w:val="auto"/>
                <w:kern w:val="0"/>
                <w:sz w:val="24"/>
                <w:szCs w:val="24"/>
                <w:highlight w:val="none"/>
              </w:rPr>
              <w:t>m</w:t>
            </w:r>
            <w:r>
              <w:rPr>
                <w:rFonts w:hint="default" w:ascii="Times New Roman" w:hAnsi="Times New Roman" w:eastAsia="宋体" w:cs="Times New Roman"/>
                <w:color w:val="auto"/>
                <w:kern w:val="0"/>
                <w:sz w:val="24"/>
                <w:szCs w:val="24"/>
                <w:highlight w:val="none"/>
                <w:vertAlign w:val="superscript"/>
              </w:rPr>
              <w:t>3</w:t>
            </w:r>
            <w:r>
              <w:rPr>
                <w:rFonts w:hint="default" w:ascii="Times New Roman" w:hAnsi="Times New Roman" w:eastAsia="宋体" w:cs="Times New Roman"/>
                <w:color w:val="auto"/>
                <w:kern w:val="0"/>
                <w:sz w:val="24"/>
                <w:szCs w:val="24"/>
                <w:highlight w:val="none"/>
              </w:rPr>
              <w:t>/a</w:t>
            </w:r>
            <w:r>
              <w:rPr>
                <w:rFonts w:hint="eastAsia" w:cs="Times New Roman"/>
                <w:color w:val="auto"/>
                <w:kern w:val="0"/>
                <w:sz w:val="24"/>
                <w:szCs w:val="24"/>
                <w:highlight w:val="none"/>
                <w:lang w:val="en-US" w:eastAsia="zh-CN"/>
              </w:rPr>
              <w:t>）</w:t>
            </w:r>
            <w:r>
              <w:rPr>
                <w:rFonts w:hint="eastAsia" w:cs="Times New Roman"/>
                <w:color w:val="auto"/>
                <w:kern w:val="0"/>
                <w:sz w:val="24"/>
                <w:szCs w:val="24"/>
                <w:highlight w:val="none"/>
                <w:lang w:val="en-US" w:eastAsia="zh-CN"/>
              </w:rPr>
              <w:t>，</w:t>
            </w:r>
            <w:r>
              <w:rPr>
                <w:rFonts w:hint="eastAsia" w:cs="Times New Roman"/>
                <w:color w:val="auto"/>
                <w:kern w:val="0"/>
                <w:sz w:val="24"/>
                <w:szCs w:val="24"/>
                <w:highlight w:val="none"/>
                <w:lang w:val="en-US" w:eastAsia="zh-CN"/>
              </w:rPr>
              <w:t>循环水以自然蒸发方式损耗，损耗量以循环水量的0.5%计，</w:t>
            </w:r>
            <w:r>
              <w:rPr>
                <w:rFonts w:hint="eastAsia" w:cs="Times New Roman"/>
                <w:color w:val="auto"/>
                <w:kern w:val="0"/>
                <w:sz w:val="24"/>
                <w:szCs w:val="24"/>
                <w:highlight w:val="none"/>
                <w:lang w:val="en-US" w:eastAsia="zh-CN"/>
              </w:rPr>
              <w:t>则喷淋补水量为1.73m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lang w:val="en-US" w:eastAsia="zh-CN"/>
              </w:rPr>
              <w:t>/d</w:t>
            </w:r>
            <w:r>
              <w:rPr>
                <w:rFonts w:hint="default" w:ascii="Times New Roman" w:hAnsi="Times New Roman" w:eastAsia="宋体" w:cs="Times New Roman"/>
                <w:color w:val="auto"/>
                <w:kern w:val="0"/>
                <w:sz w:val="24"/>
                <w:szCs w:val="24"/>
                <w:highlight w:val="none"/>
              </w:rPr>
              <w:t>（</w:t>
            </w:r>
            <w:r>
              <w:rPr>
                <w:rFonts w:hint="eastAsia" w:ascii="Times New Roman" w:hAnsi="Times New Roman" w:eastAsia="宋体" w:cs="Times New Roman"/>
                <w:color w:val="auto"/>
                <w:kern w:val="0"/>
                <w:sz w:val="24"/>
                <w:szCs w:val="24"/>
                <w:highlight w:val="none"/>
                <w:lang w:val="en-US" w:eastAsia="zh-CN"/>
              </w:rPr>
              <w:t>519</w:t>
            </w:r>
            <w:r>
              <w:rPr>
                <w:rFonts w:hint="default" w:ascii="Times New Roman" w:hAnsi="Times New Roman" w:eastAsia="宋体" w:cs="Times New Roman"/>
                <w:color w:val="auto"/>
                <w:kern w:val="0"/>
                <w:sz w:val="24"/>
                <w:szCs w:val="24"/>
                <w:highlight w:val="none"/>
              </w:rPr>
              <w:t>m</w:t>
            </w:r>
            <w:r>
              <w:rPr>
                <w:rFonts w:hint="default" w:ascii="Times New Roman" w:hAnsi="Times New Roman" w:eastAsia="宋体" w:cs="Times New Roman"/>
                <w:color w:val="auto"/>
                <w:kern w:val="0"/>
                <w:sz w:val="24"/>
                <w:szCs w:val="24"/>
                <w:highlight w:val="none"/>
                <w:vertAlign w:val="superscript"/>
              </w:rPr>
              <w:t>3</w:t>
            </w:r>
            <w:r>
              <w:rPr>
                <w:rFonts w:hint="default" w:ascii="Times New Roman" w:hAnsi="Times New Roman" w:eastAsia="宋体" w:cs="Times New Roman"/>
                <w:color w:val="auto"/>
                <w:kern w:val="0"/>
                <w:sz w:val="24"/>
                <w:szCs w:val="24"/>
                <w:highlight w:val="none"/>
              </w:rPr>
              <w:t>/a）</w:t>
            </w:r>
            <w:r>
              <w:rPr>
                <w:rFonts w:hint="default" w:ascii="Times New Roman" w:hAnsi="Times New Roman" w:eastAsia="宋体" w:cs="Times New Roman"/>
                <w:color w:val="auto"/>
                <w:kern w:val="0"/>
                <w:sz w:val="24"/>
                <w:szCs w:val="24"/>
                <w:highlight w:val="none"/>
              </w:rPr>
              <w:t>，喷</w:t>
            </w:r>
            <w:r>
              <w:rPr>
                <w:rFonts w:hint="eastAsia" w:cs="Times New Roman"/>
                <w:color w:val="auto"/>
                <w:kern w:val="0"/>
                <w:sz w:val="24"/>
                <w:szCs w:val="24"/>
                <w:highlight w:val="none"/>
                <w:lang w:val="en-US" w:eastAsia="zh-CN"/>
              </w:rPr>
              <w:t>循环水以自然蒸发方式损耗，损耗量以循环水量的0.5%计，</w:t>
            </w:r>
            <w:r>
              <w:rPr>
                <w:rFonts w:hint="eastAsia" w:cs="Times New Roman"/>
                <w:color w:val="auto"/>
                <w:kern w:val="0"/>
                <w:sz w:val="24"/>
                <w:szCs w:val="24"/>
                <w:highlight w:val="none"/>
                <w:lang w:val="en-US" w:eastAsia="zh-CN"/>
              </w:rPr>
              <w:t>则喷淋补水量为1.73m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lang w:val="en-US" w:eastAsia="zh-CN"/>
              </w:rPr>
              <w:t>/d</w:t>
            </w:r>
            <w:r>
              <w:rPr>
                <w:rFonts w:hint="default" w:ascii="Times New Roman" w:hAnsi="Times New Roman" w:eastAsia="宋体" w:cs="Times New Roman"/>
                <w:color w:val="auto"/>
                <w:kern w:val="0"/>
                <w:sz w:val="24"/>
                <w:szCs w:val="24"/>
                <w:highlight w:val="none"/>
              </w:rPr>
              <w:t>（</w:t>
            </w:r>
            <w:r>
              <w:rPr>
                <w:rFonts w:hint="eastAsia" w:ascii="Times New Roman" w:hAnsi="Times New Roman" w:eastAsia="宋体" w:cs="Times New Roman"/>
                <w:color w:val="auto"/>
                <w:kern w:val="0"/>
                <w:sz w:val="24"/>
                <w:szCs w:val="24"/>
                <w:highlight w:val="none"/>
                <w:lang w:val="en-US" w:eastAsia="zh-CN"/>
              </w:rPr>
              <w:t>519</w:t>
            </w:r>
            <w:r>
              <w:rPr>
                <w:rFonts w:hint="default" w:ascii="Times New Roman" w:hAnsi="Times New Roman" w:eastAsia="宋体" w:cs="Times New Roman"/>
                <w:color w:val="auto"/>
                <w:kern w:val="0"/>
                <w:sz w:val="24"/>
                <w:szCs w:val="24"/>
                <w:highlight w:val="none"/>
              </w:rPr>
              <w:t>m</w:t>
            </w:r>
            <w:r>
              <w:rPr>
                <w:rFonts w:hint="default" w:ascii="Times New Roman" w:hAnsi="Times New Roman" w:eastAsia="宋体" w:cs="Times New Roman"/>
                <w:color w:val="auto"/>
                <w:kern w:val="0"/>
                <w:sz w:val="24"/>
                <w:szCs w:val="24"/>
                <w:highlight w:val="none"/>
                <w:vertAlign w:val="superscript"/>
              </w:rPr>
              <w:t>3</w:t>
            </w:r>
            <w:r>
              <w:rPr>
                <w:rFonts w:hint="default" w:ascii="Times New Roman" w:hAnsi="Times New Roman" w:eastAsia="宋体" w:cs="Times New Roman"/>
                <w:color w:val="auto"/>
                <w:kern w:val="0"/>
                <w:sz w:val="24"/>
                <w:szCs w:val="24"/>
                <w:highlight w:val="none"/>
              </w:rPr>
              <w:t>/a）</w:t>
            </w:r>
            <w:r>
              <w:rPr>
                <w:rFonts w:hint="default" w:ascii="Times New Roman" w:hAnsi="Times New Roman" w:eastAsia="宋体" w:cs="Times New Roman"/>
                <w:color w:val="auto"/>
                <w:kern w:val="0"/>
                <w:sz w:val="24"/>
                <w:szCs w:val="24"/>
                <w:highlight w:val="none"/>
              </w:rPr>
              <w:t>，</w:t>
            </w:r>
            <w:r>
              <w:rPr>
                <w:rFonts w:hint="eastAsia"/>
                <w:color w:val="auto"/>
                <w:sz w:val="24"/>
                <w:szCs w:val="24"/>
                <w:lang w:val="en-US" w:eastAsia="zh-CN"/>
              </w:rPr>
              <w:t>废气</w:t>
            </w:r>
            <w:r>
              <w:rPr>
                <w:rFonts w:hint="default" w:ascii="Times New Roman" w:hAnsi="Times New Roman" w:eastAsia="宋体" w:cs="Times New Roman"/>
                <w:color w:val="auto"/>
                <w:kern w:val="0"/>
                <w:sz w:val="24"/>
                <w:szCs w:val="24"/>
                <w:highlight w:val="none"/>
              </w:rPr>
              <w:t>喷淋废水</w:t>
            </w:r>
            <w:r>
              <w:rPr>
                <w:rFonts w:hint="eastAsia" w:cs="Times New Roman"/>
                <w:color w:val="auto"/>
                <w:kern w:val="0"/>
                <w:sz w:val="24"/>
                <w:szCs w:val="24"/>
                <w:highlight w:val="none"/>
                <w:lang w:val="en-US" w:eastAsia="zh-CN"/>
              </w:rPr>
              <w:t>每个月排放一次，一年排放12次，</w:t>
            </w:r>
            <w:r>
              <w:rPr>
                <w:rFonts w:hint="eastAsia"/>
                <w:color w:val="auto"/>
                <w:sz w:val="24"/>
                <w:szCs w:val="24"/>
                <w:lang w:val="en-US" w:eastAsia="zh-CN"/>
              </w:rPr>
              <w:t>根据建设单位提供信息，项目水喷淋塔水箱容积为1.5</w:t>
            </w:r>
            <w:r>
              <w:rPr>
                <w:rFonts w:hint="default" w:ascii="Times New Roman" w:hAnsi="Times New Roman" w:eastAsia="宋体" w:cs="Times New Roman"/>
                <w:color w:val="auto"/>
                <w:kern w:val="0"/>
                <w:sz w:val="24"/>
                <w:szCs w:val="24"/>
                <w:highlight w:val="none"/>
              </w:rPr>
              <w:t>m</w:t>
            </w:r>
            <w:r>
              <w:rPr>
                <w:rFonts w:hint="default" w:ascii="Times New Roman" w:hAnsi="Times New Roman" w:eastAsia="宋体" w:cs="Times New Roman"/>
                <w:color w:val="auto"/>
                <w:kern w:val="0"/>
                <w:sz w:val="24"/>
                <w:szCs w:val="24"/>
                <w:highlight w:val="none"/>
                <w:vertAlign w:val="superscript"/>
              </w:rPr>
              <w:t>3</w:t>
            </w:r>
            <w:r>
              <w:rPr>
                <w:rFonts w:hint="eastAsia"/>
                <w:color w:val="auto"/>
                <w:sz w:val="24"/>
                <w:szCs w:val="24"/>
                <w:lang w:eastAsia="zh-CN"/>
              </w:rPr>
              <w:t>，</w:t>
            </w:r>
            <w:r>
              <w:rPr>
                <w:rFonts w:hint="eastAsia"/>
                <w:color w:val="auto"/>
                <w:sz w:val="24"/>
                <w:szCs w:val="24"/>
                <w:lang w:val="en-US" w:eastAsia="zh-CN"/>
              </w:rPr>
              <w:t>则喷淋废水总补充量约为</w:t>
            </w:r>
            <w:r>
              <w:rPr>
                <w:rFonts w:hint="eastAsia" w:cs="Times New Roman"/>
                <w:color w:val="auto"/>
                <w:kern w:val="0"/>
                <w:sz w:val="24"/>
                <w:szCs w:val="24"/>
                <w:highlight w:val="none"/>
                <w:lang w:val="en-US" w:eastAsia="zh-CN"/>
              </w:rPr>
              <w:t>1.79m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lang w:val="en-US" w:eastAsia="zh-CN"/>
              </w:rPr>
              <w:t>/d</w:t>
            </w:r>
            <w:r>
              <w:rPr>
                <w:rFonts w:hint="default" w:ascii="Times New Roman" w:hAnsi="Times New Roman" w:eastAsia="宋体" w:cs="Times New Roman"/>
                <w:color w:val="auto"/>
                <w:kern w:val="0"/>
                <w:sz w:val="24"/>
                <w:szCs w:val="24"/>
                <w:highlight w:val="none"/>
              </w:rPr>
              <w:t>（537m</w:t>
            </w:r>
            <w:r>
              <w:rPr>
                <w:rFonts w:hint="default" w:ascii="Times New Roman" w:hAnsi="Times New Roman" w:eastAsia="宋体" w:cs="Times New Roman"/>
                <w:color w:val="auto"/>
                <w:kern w:val="0"/>
                <w:sz w:val="24"/>
                <w:szCs w:val="24"/>
                <w:highlight w:val="none"/>
                <w:vertAlign w:val="superscript"/>
              </w:rPr>
              <w:t>3</w:t>
            </w:r>
            <w:r>
              <w:rPr>
                <w:rFonts w:hint="default" w:ascii="Times New Roman" w:hAnsi="Times New Roman" w:eastAsia="宋体" w:cs="Times New Roman"/>
                <w:color w:val="auto"/>
                <w:kern w:val="0"/>
                <w:sz w:val="24"/>
                <w:szCs w:val="24"/>
                <w:highlight w:val="none"/>
              </w:rPr>
              <w:t>/a）</w:t>
            </w:r>
            <w:r>
              <w:rPr>
                <w:rFonts w:hint="eastAsia"/>
                <w:color w:val="auto"/>
                <w:sz w:val="24"/>
                <w:szCs w:val="24"/>
                <w:lang w:val="en-US" w:eastAsia="zh-CN"/>
              </w:rPr>
              <w:t>，废气</w:t>
            </w:r>
            <w:r>
              <w:rPr>
                <w:rFonts w:hint="default" w:ascii="Times New Roman" w:hAnsi="Times New Roman" w:eastAsia="宋体" w:cs="Times New Roman"/>
                <w:color w:val="auto"/>
                <w:kern w:val="0"/>
                <w:sz w:val="24"/>
                <w:szCs w:val="24"/>
                <w:highlight w:val="none"/>
              </w:rPr>
              <w:t>喷淋废水</w:t>
            </w:r>
            <w:r>
              <w:rPr>
                <w:rFonts w:hint="eastAsia" w:cs="Times New Roman"/>
                <w:color w:val="auto"/>
                <w:kern w:val="0"/>
                <w:sz w:val="24"/>
                <w:szCs w:val="24"/>
                <w:highlight w:val="none"/>
                <w:lang w:val="en-US" w:eastAsia="zh-CN"/>
              </w:rPr>
              <w:t>排入</w:t>
            </w:r>
            <w:r>
              <w:rPr>
                <w:rFonts w:hint="eastAsia" w:ascii="Times New Roman" w:hAnsi="Times New Roman" w:cs="Times New Roman"/>
                <w:color w:val="auto"/>
                <w:sz w:val="24"/>
                <w:szCs w:val="24"/>
                <w:highlight w:val="none"/>
                <w:lang w:val="en-US" w:eastAsia="zh-CN"/>
              </w:rPr>
              <w:t>厂内</w:t>
            </w:r>
            <w:r>
              <w:rPr>
                <w:rFonts w:hint="eastAsia" w:ascii="Times New Roman" w:hAnsi="Times New Roman" w:cs="Times New Roman"/>
                <w:color w:val="auto"/>
                <w:sz w:val="24"/>
                <w:szCs w:val="24"/>
                <w:highlight w:val="none"/>
                <w:lang w:eastAsia="zh-CN"/>
              </w:rPr>
              <w:t>污水处理</w:t>
            </w:r>
            <w:r>
              <w:rPr>
                <w:rFonts w:hint="eastAsia" w:ascii="Times New Roman" w:hAnsi="Times New Roman" w:cs="Times New Roman"/>
                <w:color w:val="auto"/>
                <w:sz w:val="24"/>
                <w:szCs w:val="24"/>
                <w:highlight w:val="none"/>
                <w:lang w:val="en-US" w:eastAsia="zh-CN"/>
              </w:rPr>
              <w:t>站</w:t>
            </w:r>
            <w:r>
              <w:rPr>
                <w:rFonts w:hint="eastAsia" w:ascii="Times New Roman" w:hAnsi="Times New Roman" w:cs="Times New Roman"/>
                <w:color w:val="auto"/>
                <w:sz w:val="24"/>
                <w:szCs w:val="24"/>
                <w:highlight w:val="none"/>
                <w:lang w:eastAsia="zh-CN"/>
              </w:rPr>
              <w:t>处理，通过</w:t>
            </w:r>
            <w:r>
              <w:rPr>
                <w:rFonts w:hint="eastAsia" w:cs="Times New Roman"/>
                <w:color w:val="auto"/>
                <w:sz w:val="24"/>
                <w:szCs w:val="24"/>
                <w:highlight w:val="none"/>
                <w:lang w:eastAsia="zh-CN"/>
              </w:rPr>
              <w:t>市政污水管网</w:t>
            </w:r>
            <w:r>
              <w:rPr>
                <w:rFonts w:hint="eastAsia" w:ascii="Times New Roman" w:hAnsi="Times New Roman" w:cs="Times New Roman"/>
                <w:color w:val="auto"/>
                <w:sz w:val="24"/>
                <w:szCs w:val="24"/>
                <w:highlight w:val="none"/>
                <w:lang w:eastAsia="zh-CN"/>
              </w:rPr>
              <w:t>排入</w:t>
            </w:r>
            <w:r>
              <w:rPr>
                <w:rFonts w:hint="eastAsia" w:ascii="Times New Roman" w:hAnsi="Times New Roman" w:cs="Times New Roman"/>
                <w:color w:val="auto"/>
                <w:sz w:val="24"/>
                <w:szCs w:val="24"/>
                <w:highlight w:val="none"/>
                <w:lang w:val="en-US" w:eastAsia="zh-CN"/>
              </w:rPr>
              <w:t>官塘</w:t>
            </w:r>
            <w:r>
              <w:rPr>
                <w:rFonts w:hint="eastAsia" w:ascii="Times New Roman" w:hAnsi="Times New Roman" w:cs="Times New Roman"/>
                <w:color w:val="auto"/>
                <w:sz w:val="24"/>
                <w:szCs w:val="24"/>
                <w:highlight w:val="none"/>
                <w:lang w:eastAsia="zh-CN"/>
              </w:rPr>
              <w:t>污水处理厂处</w:t>
            </w:r>
            <w:r>
              <w:rPr>
                <w:rFonts w:hint="eastAsia" w:ascii="Times New Roman" w:hAnsi="Times New Roman" w:cs="Times New Roman"/>
                <w:color w:val="auto"/>
                <w:sz w:val="24"/>
                <w:highlight w:val="none"/>
                <w:lang w:eastAsia="zh-CN"/>
              </w:rPr>
              <w:t>理</w:t>
            </w:r>
            <w:r>
              <w:rPr>
                <w:rFonts w:hint="default" w:ascii="Times New Roman" w:hAnsi="Times New Roman" w:eastAsia="宋体" w:cs="Times New Roman"/>
                <w:color w:val="auto"/>
                <w:kern w:val="0"/>
                <w:sz w:val="24"/>
                <w:szCs w:val="24"/>
                <w:highlight w:val="none"/>
              </w:rPr>
              <w:t>。</w:t>
            </w:r>
          </w:p>
          <w:p w14:paraId="660A025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项目水平衡表见</w:t>
            </w:r>
            <w:r>
              <w:rPr>
                <w:rFonts w:hint="default" w:ascii="Times New Roman" w:hAnsi="Times New Roman" w:eastAsia="宋体" w:cs="Times New Roman"/>
                <w:color w:val="auto"/>
                <w:sz w:val="24"/>
                <w:szCs w:val="24"/>
                <w:lang w:eastAsia="zh-CN"/>
              </w:rPr>
              <w:fldChar w:fldCharType="begin"/>
            </w:r>
            <w:r>
              <w:rPr>
                <w:color w:val="auto"/>
              </w:rPr>
              <w:instrText xml:space="preserve"> REF _Ref20438 \h  \* MERGEFORMAT</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color w:val="auto"/>
                <w:sz w:val="24"/>
                <w:szCs w:val="24"/>
                <w:lang w:eastAsia="zh-CN"/>
              </w:rPr>
              <w:t>表2</w:t>
            </w:r>
            <w:r>
              <w:rPr>
                <w:rFonts w:hint="default" w:ascii="Times New Roman" w:hAnsi="Times New Roman" w:eastAsia="宋体" w:cs="Times New Roman"/>
                <w:color w:val="auto"/>
                <w:sz w:val="24"/>
                <w:szCs w:val="24"/>
                <w:lang w:eastAsia="zh-CN"/>
              </w:rPr>
              <w:fldChar w:fldCharType="end"/>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12</w:t>
            </w:r>
            <w:r>
              <w:rPr>
                <w:rFonts w:hint="default" w:ascii="Times New Roman" w:hAnsi="Times New Roman" w:eastAsia="宋体" w:cs="Times New Roman"/>
                <w:color w:val="auto"/>
                <w:sz w:val="24"/>
                <w:szCs w:val="24"/>
                <w:lang w:eastAsia="zh-CN"/>
              </w:rPr>
              <w:t>，水平衡图详见</w:t>
            </w:r>
            <w:r>
              <w:rPr>
                <w:rFonts w:hint="eastAsia" w:cs="Times New Roman"/>
                <w:color w:val="auto"/>
                <w:sz w:val="24"/>
                <w:szCs w:val="24"/>
                <w:lang w:val="en-US" w:eastAsia="zh-CN"/>
              </w:rPr>
              <w:t>图2-3</w:t>
            </w:r>
            <w:r>
              <w:rPr>
                <w:rFonts w:hint="default" w:ascii="Times New Roman" w:hAnsi="Times New Roman" w:eastAsia="宋体" w:cs="Times New Roman"/>
                <w:color w:val="auto"/>
                <w:sz w:val="24"/>
                <w:szCs w:val="24"/>
                <w:lang w:eastAsia="zh-CN"/>
              </w:rPr>
              <w:t>。</w:t>
            </w:r>
          </w:p>
          <w:p w14:paraId="560B448A">
            <w:pPr>
              <w:ind w:firstLine="0" w:firstLineChars="0"/>
              <w:jc w:val="center"/>
              <w:rPr>
                <w:rFonts w:hint="default" w:ascii="Times New Roman" w:hAnsi="Times New Roman" w:eastAsia="宋体" w:cs="宋体"/>
                <w:b/>
                <w:bCs/>
                <w:color w:val="auto"/>
                <w:sz w:val="24"/>
                <w:szCs w:val="24"/>
              </w:rPr>
            </w:pPr>
          </w:p>
          <w:p w14:paraId="51CEA1CE">
            <w:pPr>
              <w:ind w:firstLine="0" w:firstLineChars="0"/>
              <w:jc w:val="center"/>
              <w:rPr>
                <w:rFonts w:hint="eastAsia" w:ascii="Times New Roman" w:hAnsi="Times New Roman" w:eastAsia="宋体" w:cs="宋体"/>
                <w:b/>
                <w:bCs/>
                <w:color w:val="auto"/>
                <w:sz w:val="24"/>
                <w:szCs w:val="24"/>
                <w:lang w:eastAsia="zh-CN"/>
              </w:rPr>
            </w:pPr>
            <w:r>
              <w:rPr>
                <w:rFonts w:hint="default" w:ascii="Times New Roman" w:hAnsi="Times New Roman" w:eastAsia="宋体" w:cs="宋体"/>
                <w:b/>
                <w:bCs/>
                <w:color w:val="auto"/>
                <w:sz w:val="24"/>
                <w:szCs w:val="24"/>
              </w:rPr>
              <w:t>表</w:t>
            </w:r>
            <w:r>
              <w:rPr>
                <w:rFonts w:hint="default" w:ascii="Times New Roman" w:hAnsi="Times New Roman" w:eastAsia="宋体" w:cs="宋体"/>
                <w:b/>
                <w:bCs/>
                <w:color w:val="auto"/>
                <w:sz w:val="24"/>
                <w:szCs w:val="24"/>
              </w:rPr>
              <w:fldChar w:fldCharType="begin"/>
            </w:r>
            <w:r>
              <w:rPr>
                <w:rFonts w:hint="default" w:ascii="Times New Roman" w:hAnsi="Times New Roman" w:eastAsia="宋体" w:cs="宋体"/>
                <w:b/>
                <w:bCs/>
                <w:color w:val="auto"/>
                <w:sz w:val="24"/>
                <w:szCs w:val="24"/>
              </w:rPr>
              <w:instrText xml:space="preserve"> SEQ 表 \* ARABIC </w:instrText>
            </w:r>
            <w:r>
              <w:rPr>
                <w:rFonts w:hint="default" w:ascii="Times New Roman" w:hAnsi="Times New Roman" w:eastAsia="宋体" w:cs="宋体"/>
                <w:b/>
                <w:bCs/>
                <w:color w:val="auto"/>
                <w:sz w:val="24"/>
                <w:szCs w:val="24"/>
              </w:rPr>
              <w:fldChar w:fldCharType="separate"/>
            </w:r>
            <w:r>
              <w:rPr>
                <w:rFonts w:hint="default" w:ascii="Times New Roman" w:hAnsi="Times New Roman" w:eastAsia="宋体" w:cs="宋体"/>
                <w:b/>
                <w:bCs/>
                <w:color w:val="auto"/>
                <w:sz w:val="24"/>
                <w:szCs w:val="24"/>
              </w:rPr>
              <w:fldChar w:fldCharType="end"/>
            </w:r>
            <w:r>
              <w:rPr>
                <w:rFonts w:hint="default" w:ascii="Times New Roman" w:hAnsi="Times New Roman" w:eastAsia="宋体" w:cs="宋体"/>
                <w:b/>
                <w:bCs/>
                <w:color w:val="auto"/>
                <w:sz w:val="24"/>
                <w:szCs w:val="24"/>
              </w:rPr>
              <w:t>2-</w:t>
            </w:r>
            <w:r>
              <w:rPr>
                <w:rFonts w:hint="eastAsia" w:cs="宋体"/>
                <w:b/>
                <w:bCs/>
                <w:color w:val="auto"/>
                <w:sz w:val="24"/>
                <w:szCs w:val="24"/>
                <w:lang w:val="en-US" w:eastAsia="zh-CN"/>
              </w:rPr>
              <w:t>12</w:t>
            </w:r>
            <w:r>
              <w:rPr>
                <w:rFonts w:hint="eastAsia" w:ascii="Times New Roman" w:hAnsi="Times New Roman" w:eastAsia="宋体" w:cs="宋体"/>
                <w:b/>
                <w:bCs/>
                <w:color w:val="auto"/>
                <w:sz w:val="24"/>
                <w:szCs w:val="24"/>
                <w:lang w:val="en-US" w:eastAsia="zh-CN"/>
              </w:rPr>
              <w:t xml:space="preserve"> </w:t>
            </w:r>
            <w:r>
              <w:rPr>
                <w:rFonts w:hint="eastAsia" w:ascii="Times New Roman" w:hAnsi="Times New Roman" w:eastAsia="宋体" w:cs="宋体"/>
                <w:b/>
                <w:bCs/>
                <w:color w:val="auto"/>
                <w:sz w:val="24"/>
                <w:szCs w:val="24"/>
              </w:rPr>
              <w:t>项目水平衡表</w:t>
            </w:r>
            <w:r>
              <w:rPr>
                <w:rFonts w:hint="default" w:ascii="Times New Roman" w:hAnsi="Times New Roman" w:eastAsia="宋体" w:cs="宋体"/>
                <w:b/>
                <w:bCs/>
                <w:color w:val="auto"/>
                <w:sz w:val="24"/>
                <w:szCs w:val="24"/>
              </w:rPr>
              <w:t>（</w:t>
            </w:r>
            <w:r>
              <w:rPr>
                <w:rFonts w:hint="eastAsia" w:ascii="Times New Roman" w:hAnsi="Times New Roman" w:eastAsia="宋体" w:cs="宋体"/>
                <w:b/>
                <w:bCs/>
                <w:color w:val="auto"/>
                <w:sz w:val="24"/>
                <w:szCs w:val="24"/>
              </w:rPr>
              <w:t>m</w:t>
            </w:r>
            <w:r>
              <w:rPr>
                <w:rFonts w:hint="eastAsia" w:ascii="Times New Roman" w:hAnsi="Times New Roman" w:eastAsia="宋体" w:cs="宋体"/>
                <w:b/>
                <w:bCs/>
                <w:color w:val="auto"/>
                <w:sz w:val="24"/>
                <w:szCs w:val="24"/>
                <w:vertAlign w:val="superscript"/>
              </w:rPr>
              <w:t>3</w:t>
            </w:r>
            <w:r>
              <w:rPr>
                <w:rFonts w:hint="eastAsia" w:ascii="Times New Roman" w:hAnsi="Times New Roman" w:eastAsia="宋体" w:cs="宋体"/>
                <w:b/>
                <w:bCs/>
                <w:color w:val="auto"/>
                <w:sz w:val="24"/>
                <w:szCs w:val="24"/>
              </w:rPr>
              <w:t>/a</w:t>
            </w:r>
            <w:r>
              <w:rPr>
                <w:rFonts w:hint="eastAsia" w:ascii="Times New Roman" w:hAnsi="Times New Roman" w:eastAsia="宋体" w:cs="宋体"/>
                <w:b/>
                <w:bCs/>
                <w:color w:val="auto"/>
                <w:sz w:val="24"/>
                <w:szCs w:val="24"/>
                <w:lang w:eastAsia="zh-CN"/>
              </w:rPr>
              <w:t>）</w:t>
            </w:r>
          </w:p>
          <w:tbl>
            <w:tblPr>
              <w:tblStyle w:val="39"/>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0"/>
              <w:gridCol w:w="1069"/>
              <w:gridCol w:w="1179"/>
              <w:gridCol w:w="1012"/>
              <w:gridCol w:w="917"/>
              <w:gridCol w:w="1073"/>
              <w:gridCol w:w="1195"/>
              <w:gridCol w:w="1161"/>
            </w:tblGrid>
            <w:tr w14:paraId="2DD97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8" w:type="pct"/>
                  <w:vMerge w:val="restart"/>
                  <w:tcBorders>
                    <w:tl2br w:val="nil"/>
                    <w:tr2bl w:val="nil"/>
                  </w:tcBorders>
                  <w:vAlign w:val="center"/>
                </w:tcPr>
                <w:p w14:paraId="01687404">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w:t>
                  </w:r>
                </w:p>
              </w:tc>
              <w:tc>
                <w:tcPr>
                  <w:tcW w:w="659" w:type="pct"/>
                  <w:vMerge w:val="restart"/>
                  <w:tcBorders>
                    <w:tl2br w:val="nil"/>
                    <w:tr2bl w:val="nil"/>
                  </w:tcBorders>
                  <w:vAlign w:val="center"/>
                </w:tcPr>
                <w:p w14:paraId="4DB15C83">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用水单元</w:t>
                  </w:r>
                </w:p>
              </w:tc>
              <w:tc>
                <w:tcPr>
                  <w:tcW w:w="1917" w:type="pct"/>
                  <w:gridSpan w:val="3"/>
                  <w:tcBorders>
                    <w:tl2br w:val="nil"/>
                    <w:tr2bl w:val="nil"/>
                  </w:tcBorders>
                  <w:vAlign w:val="center"/>
                </w:tcPr>
                <w:p w14:paraId="58FFF178">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给水</w:t>
                  </w:r>
                </w:p>
              </w:tc>
              <w:tc>
                <w:tcPr>
                  <w:tcW w:w="661" w:type="pct"/>
                  <w:vMerge w:val="restart"/>
                  <w:tcBorders>
                    <w:tl2br w:val="nil"/>
                    <w:tr2bl w:val="nil"/>
                  </w:tcBorders>
                  <w:vAlign w:val="center"/>
                </w:tcPr>
                <w:p w14:paraId="7C54BD88">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循环水量</w:t>
                  </w:r>
                </w:p>
              </w:tc>
              <w:tc>
                <w:tcPr>
                  <w:tcW w:w="737" w:type="pct"/>
                  <w:vMerge w:val="restart"/>
                  <w:tcBorders>
                    <w:tl2br w:val="nil"/>
                    <w:tr2bl w:val="nil"/>
                  </w:tcBorders>
                  <w:vAlign w:val="center"/>
                </w:tcPr>
                <w:p w14:paraId="200C474D">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损耗水量</w:t>
                  </w:r>
                </w:p>
              </w:tc>
              <w:tc>
                <w:tcPr>
                  <w:tcW w:w="716" w:type="pct"/>
                  <w:vMerge w:val="restart"/>
                  <w:tcBorders>
                    <w:tl2br w:val="nil"/>
                    <w:tr2bl w:val="nil"/>
                  </w:tcBorders>
                  <w:vAlign w:val="center"/>
                </w:tcPr>
                <w:p w14:paraId="60603CE9">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排放量</w:t>
                  </w:r>
                </w:p>
              </w:tc>
            </w:tr>
            <w:tr w14:paraId="6934B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8" w:type="pct"/>
                  <w:vMerge w:val="continue"/>
                  <w:tcBorders>
                    <w:tl2br w:val="nil"/>
                    <w:tr2bl w:val="nil"/>
                  </w:tcBorders>
                  <w:vAlign w:val="center"/>
                </w:tcPr>
                <w:p w14:paraId="60ADB8DD">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color w:val="auto"/>
                      <w:sz w:val="21"/>
                      <w:szCs w:val="21"/>
                    </w:rPr>
                  </w:pPr>
                </w:p>
              </w:tc>
              <w:tc>
                <w:tcPr>
                  <w:tcW w:w="659" w:type="pct"/>
                  <w:vMerge w:val="continue"/>
                  <w:tcBorders>
                    <w:tl2br w:val="nil"/>
                    <w:tr2bl w:val="nil"/>
                  </w:tcBorders>
                  <w:vAlign w:val="center"/>
                </w:tcPr>
                <w:p w14:paraId="7F0DCD1B">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color w:val="auto"/>
                      <w:sz w:val="21"/>
                      <w:szCs w:val="21"/>
                    </w:rPr>
                  </w:pPr>
                </w:p>
              </w:tc>
              <w:tc>
                <w:tcPr>
                  <w:tcW w:w="727" w:type="pct"/>
                  <w:tcBorders>
                    <w:tl2br w:val="nil"/>
                    <w:tr2bl w:val="nil"/>
                  </w:tcBorders>
                  <w:vAlign w:val="center"/>
                </w:tcPr>
                <w:p w14:paraId="43AAE031">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合计</w:t>
                  </w:r>
                </w:p>
              </w:tc>
              <w:tc>
                <w:tcPr>
                  <w:tcW w:w="624" w:type="pct"/>
                  <w:tcBorders>
                    <w:tl2br w:val="nil"/>
                    <w:tr2bl w:val="nil"/>
                  </w:tcBorders>
                  <w:vAlign w:val="center"/>
                </w:tcPr>
                <w:p w14:paraId="576E5067">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新鲜水</w:t>
                  </w:r>
                </w:p>
              </w:tc>
              <w:tc>
                <w:tcPr>
                  <w:tcW w:w="565" w:type="pct"/>
                  <w:tcBorders>
                    <w:tl2br w:val="nil"/>
                    <w:tr2bl w:val="nil"/>
                  </w:tcBorders>
                  <w:vAlign w:val="center"/>
                </w:tcPr>
                <w:p w14:paraId="18BD5B53">
                  <w:pPr>
                    <w:pStyle w:val="107"/>
                    <w:keepNext w:val="0"/>
                    <w:keepLines w:val="0"/>
                    <w:pageBreakBefore w:val="0"/>
                    <w:widowControl w:val="0"/>
                    <w:kinsoku/>
                    <w:wordWrap/>
                    <w:overflowPunct/>
                    <w:topLinePunct w:val="0"/>
                    <w:autoSpaceDE/>
                    <w:autoSpaceDN/>
                    <w:bidi w:val="0"/>
                    <w:spacing w:beforeLines="0" w:line="240" w:lineRule="auto"/>
                    <w:textAlignment w:val="auto"/>
                    <w:rPr>
                      <w:rFonts w:hint="eastAsia"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纯水</w:t>
                  </w:r>
                </w:p>
              </w:tc>
              <w:tc>
                <w:tcPr>
                  <w:tcW w:w="661" w:type="pct"/>
                  <w:vMerge w:val="continue"/>
                  <w:tcBorders>
                    <w:tl2br w:val="nil"/>
                    <w:tr2bl w:val="nil"/>
                  </w:tcBorders>
                  <w:vAlign w:val="center"/>
                </w:tcPr>
                <w:p w14:paraId="01D496AB">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color w:val="auto"/>
                      <w:sz w:val="21"/>
                      <w:szCs w:val="21"/>
                    </w:rPr>
                  </w:pPr>
                </w:p>
              </w:tc>
              <w:tc>
                <w:tcPr>
                  <w:tcW w:w="737" w:type="pct"/>
                  <w:vMerge w:val="continue"/>
                  <w:tcBorders>
                    <w:tl2br w:val="nil"/>
                    <w:tr2bl w:val="nil"/>
                  </w:tcBorders>
                  <w:vAlign w:val="center"/>
                </w:tcPr>
                <w:p w14:paraId="257B7900">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color w:val="auto"/>
                      <w:sz w:val="21"/>
                      <w:szCs w:val="21"/>
                    </w:rPr>
                  </w:pPr>
                </w:p>
              </w:tc>
              <w:tc>
                <w:tcPr>
                  <w:tcW w:w="716" w:type="pct"/>
                  <w:vMerge w:val="continue"/>
                  <w:tcBorders>
                    <w:tl2br w:val="nil"/>
                    <w:tr2bl w:val="nil"/>
                  </w:tcBorders>
                  <w:vAlign w:val="center"/>
                </w:tcPr>
                <w:p w14:paraId="33EEF398">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color w:val="auto"/>
                      <w:sz w:val="21"/>
                      <w:szCs w:val="21"/>
                    </w:rPr>
                  </w:pPr>
                </w:p>
              </w:tc>
            </w:tr>
            <w:tr w14:paraId="0549B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8" w:type="pct"/>
                  <w:tcBorders>
                    <w:tl2br w:val="nil"/>
                    <w:tr2bl w:val="nil"/>
                  </w:tcBorders>
                  <w:vAlign w:val="center"/>
                </w:tcPr>
                <w:p w14:paraId="7A356DB8">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c>
                <w:tcPr>
                  <w:tcW w:w="659" w:type="pct"/>
                  <w:tcBorders>
                    <w:tl2br w:val="nil"/>
                    <w:tr2bl w:val="nil"/>
                  </w:tcBorders>
                  <w:vAlign w:val="center"/>
                </w:tcPr>
                <w:p w14:paraId="5ADE8D06">
                  <w:pPr>
                    <w:pStyle w:val="107"/>
                    <w:keepNext w:val="0"/>
                    <w:keepLines w:val="0"/>
                    <w:pageBreakBefore w:val="0"/>
                    <w:widowControl w:val="0"/>
                    <w:kinsoku/>
                    <w:wordWrap/>
                    <w:overflowPunct/>
                    <w:topLinePunct w:val="0"/>
                    <w:autoSpaceDE/>
                    <w:autoSpaceDN/>
                    <w:bidi w:val="0"/>
                    <w:spacing w:beforeLines="0" w:line="240" w:lineRule="auto"/>
                    <w:textAlignment w:val="auto"/>
                    <w:rPr>
                      <w:rFonts w:hint="eastAsia"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生活用水</w:t>
                  </w:r>
                </w:p>
              </w:tc>
              <w:tc>
                <w:tcPr>
                  <w:tcW w:w="727" w:type="pct"/>
                  <w:tcBorders>
                    <w:tl2br w:val="nil"/>
                    <w:tr2bl w:val="nil"/>
                  </w:tcBorders>
                  <w:vAlign w:val="center"/>
                </w:tcPr>
                <w:p w14:paraId="4E39D71D">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7656</w:t>
                  </w:r>
                </w:p>
              </w:tc>
              <w:tc>
                <w:tcPr>
                  <w:tcW w:w="624" w:type="pct"/>
                  <w:tcBorders>
                    <w:tl2br w:val="nil"/>
                    <w:tr2bl w:val="nil"/>
                  </w:tcBorders>
                  <w:vAlign w:val="center"/>
                </w:tcPr>
                <w:p w14:paraId="4424EE56">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7656</w:t>
                  </w:r>
                </w:p>
              </w:tc>
              <w:tc>
                <w:tcPr>
                  <w:tcW w:w="565" w:type="pct"/>
                  <w:tcBorders>
                    <w:tl2br w:val="nil"/>
                    <w:tr2bl w:val="nil"/>
                  </w:tcBorders>
                  <w:vAlign w:val="center"/>
                </w:tcPr>
                <w:p w14:paraId="49F1CDF8">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c>
                <w:tcPr>
                  <w:tcW w:w="661" w:type="pct"/>
                  <w:tcBorders>
                    <w:tl2br w:val="nil"/>
                    <w:tr2bl w:val="nil"/>
                  </w:tcBorders>
                  <w:vAlign w:val="center"/>
                </w:tcPr>
                <w:p w14:paraId="10BD6765">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c>
                <w:tcPr>
                  <w:tcW w:w="737" w:type="pct"/>
                  <w:tcBorders>
                    <w:tl2br w:val="nil"/>
                    <w:tr2bl w:val="nil"/>
                  </w:tcBorders>
                  <w:vAlign w:val="center"/>
                </w:tcPr>
                <w:p w14:paraId="6D9BDFA3">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default" w:ascii="Times New Roman" w:hAnsi="Times New Roman" w:eastAsia="宋体" w:cs="Times New Roman"/>
                      <w:b w:val="0"/>
                      <w:color w:val="auto"/>
                      <w:sz w:val="21"/>
                      <w:szCs w:val="21"/>
                      <w:lang w:val="en-US" w:eastAsia="zh-CN"/>
                    </w:rPr>
                    <w:t>1530</w:t>
                  </w:r>
                </w:p>
              </w:tc>
              <w:tc>
                <w:tcPr>
                  <w:tcW w:w="716" w:type="pct"/>
                  <w:tcBorders>
                    <w:tl2br w:val="nil"/>
                    <w:tr2bl w:val="nil"/>
                  </w:tcBorders>
                  <w:vAlign w:val="center"/>
                </w:tcPr>
                <w:p w14:paraId="6D54D98D">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6126</w:t>
                  </w:r>
                </w:p>
              </w:tc>
            </w:tr>
            <w:tr w14:paraId="5A157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8" w:type="pct"/>
                  <w:tcBorders>
                    <w:tl2br w:val="nil"/>
                    <w:tr2bl w:val="nil"/>
                  </w:tcBorders>
                  <w:vAlign w:val="center"/>
                </w:tcPr>
                <w:p w14:paraId="7B045563">
                  <w:pPr>
                    <w:pStyle w:val="107"/>
                    <w:keepNext w:val="0"/>
                    <w:keepLines w:val="0"/>
                    <w:pageBreakBefore w:val="0"/>
                    <w:widowControl w:val="0"/>
                    <w:kinsoku/>
                    <w:wordWrap/>
                    <w:overflowPunct/>
                    <w:topLinePunct w:val="0"/>
                    <w:autoSpaceDE/>
                    <w:autoSpaceDN/>
                    <w:bidi w:val="0"/>
                    <w:spacing w:beforeLines="0" w:line="240" w:lineRule="auto"/>
                    <w:textAlignment w:val="auto"/>
                    <w:rPr>
                      <w:rFonts w:hint="eastAsia"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2</w:t>
                  </w:r>
                </w:p>
              </w:tc>
              <w:tc>
                <w:tcPr>
                  <w:tcW w:w="659" w:type="pct"/>
                  <w:tcBorders>
                    <w:tl2br w:val="nil"/>
                    <w:tr2bl w:val="nil"/>
                  </w:tcBorders>
                  <w:vAlign w:val="center"/>
                </w:tcPr>
                <w:p w14:paraId="714CCD67">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脱脂用水</w:t>
                  </w:r>
                </w:p>
              </w:tc>
              <w:tc>
                <w:tcPr>
                  <w:tcW w:w="727" w:type="pct"/>
                  <w:tcBorders>
                    <w:tl2br w:val="nil"/>
                    <w:tr2bl w:val="nil"/>
                  </w:tcBorders>
                  <w:vAlign w:val="center"/>
                </w:tcPr>
                <w:p w14:paraId="652881BE">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0.7</w:t>
                  </w:r>
                </w:p>
              </w:tc>
              <w:tc>
                <w:tcPr>
                  <w:tcW w:w="624" w:type="pct"/>
                  <w:tcBorders>
                    <w:tl2br w:val="nil"/>
                    <w:tr2bl w:val="nil"/>
                  </w:tcBorders>
                  <w:vAlign w:val="center"/>
                </w:tcPr>
                <w:p w14:paraId="18E3CF25">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0.7</w:t>
                  </w:r>
                </w:p>
              </w:tc>
              <w:tc>
                <w:tcPr>
                  <w:tcW w:w="565" w:type="pct"/>
                  <w:tcBorders>
                    <w:tl2br w:val="nil"/>
                    <w:tr2bl w:val="nil"/>
                  </w:tcBorders>
                  <w:vAlign w:val="center"/>
                </w:tcPr>
                <w:p w14:paraId="3E77B5DD">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c>
                <w:tcPr>
                  <w:tcW w:w="661" w:type="pct"/>
                  <w:tcBorders>
                    <w:tl2br w:val="nil"/>
                    <w:tr2bl w:val="nil"/>
                  </w:tcBorders>
                  <w:vAlign w:val="center"/>
                </w:tcPr>
                <w:p w14:paraId="23052173">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34.78</w:t>
                  </w:r>
                </w:p>
              </w:tc>
              <w:tc>
                <w:tcPr>
                  <w:tcW w:w="737" w:type="pct"/>
                  <w:tcBorders>
                    <w:tl2br w:val="nil"/>
                    <w:tr2bl w:val="nil"/>
                  </w:tcBorders>
                  <w:vAlign w:val="center"/>
                </w:tcPr>
                <w:p w14:paraId="3E58C6CC">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0.7</w:t>
                  </w:r>
                </w:p>
              </w:tc>
              <w:tc>
                <w:tcPr>
                  <w:tcW w:w="716" w:type="pct"/>
                  <w:tcBorders>
                    <w:tl2br w:val="nil"/>
                    <w:tr2bl w:val="nil"/>
                  </w:tcBorders>
                  <w:vAlign w:val="center"/>
                </w:tcPr>
                <w:p w14:paraId="2A22D158">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r>
            <w:tr w14:paraId="0D97C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8" w:type="pct"/>
                  <w:tcBorders>
                    <w:tl2br w:val="nil"/>
                    <w:tr2bl w:val="nil"/>
                  </w:tcBorders>
                  <w:vAlign w:val="center"/>
                </w:tcPr>
                <w:p w14:paraId="2A863D9E">
                  <w:pPr>
                    <w:pStyle w:val="107"/>
                    <w:keepNext w:val="0"/>
                    <w:keepLines w:val="0"/>
                    <w:pageBreakBefore w:val="0"/>
                    <w:widowControl w:val="0"/>
                    <w:kinsoku/>
                    <w:wordWrap/>
                    <w:overflowPunct/>
                    <w:topLinePunct w:val="0"/>
                    <w:autoSpaceDE/>
                    <w:autoSpaceDN/>
                    <w:bidi w:val="0"/>
                    <w:spacing w:beforeLines="0" w:line="240" w:lineRule="auto"/>
                    <w:textAlignment w:val="auto"/>
                    <w:rPr>
                      <w:rFonts w:hint="eastAsia"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3</w:t>
                  </w:r>
                </w:p>
              </w:tc>
              <w:tc>
                <w:tcPr>
                  <w:tcW w:w="659" w:type="pct"/>
                  <w:tcBorders>
                    <w:tl2br w:val="nil"/>
                    <w:tr2bl w:val="nil"/>
                  </w:tcBorders>
                  <w:vAlign w:val="center"/>
                </w:tcPr>
                <w:p w14:paraId="2DD09039">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脱脂清洗用水</w:t>
                  </w:r>
                </w:p>
              </w:tc>
              <w:tc>
                <w:tcPr>
                  <w:tcW w:w="727" w:type="pct"/>
                  <w:tcBorders>
                    <w:tl2br w:val="nil"/>
                    <w:tr2bl w:val="nil"/>
                  </w:tcBorders>
                  <w:vAlign w:val="center"/>
                </w:tcPr>
                <w:p w14:paraId="39A71100">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611.85</w:t>
                  </w:r>
                </w:p>
              </w:tc>
              <w:tc>
                <w:tcPr>
                  <w:tcW w:w="624" w:type="pct"/>
                  <w:tcBorders>
                    <w:tl2br w:val="nil"/>
                    <w:tr2bl w:val="nil"/>
                  </w:tcBorders>
                  <w:vAlign w:val="center"/>
                </w:tcPr>
                <w:p w14:paraId="1797F7DA">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611.85</w:t>
                  </w:r>
                </w:p>
              </w:tc>
              <w:tc>
                <w:tcPr>
                  <w:tcW w:w="565" w:type="pct"/>
                  <w:tcBorders>
                    <w:tl2br w:val="nil"/>
                    <w:tr2bl w:val="nil"/>
                  </w:tcBorders>
                  <w:vAlign w:val="center"/>
                </w:tcPr>
                <w:p w14:paraId="478D8304">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c>
                <w:tcPr>
                  <w:tcW w:w="661" w:type="pct"/>
                  <w:tcBorders>
                    <w:tl2br w:val="nil"/>
                    <w:tr2bl w:val="nil"/>
                  </w:tcBorders>
                  <w:vAlign w:val="center"/>
                </w:tcPr>
                <w:p w14:paraId="33A8DC55">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c>
                <w:tcPr>
                  <w:tcW w:w="737" w:type="pct"/>
                  <w:tcBorders>
                    <w:tl2br w:val="nil"/>
                    <w:tr2bl w:val="nil"/>
                  </w:tcBorders>
                  <w:vAlign w:val="center"/>
                </w:tcPr>
                <w:p w14:paraId="3FB05967">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12</w:t>
                  </w:r>
                </w:p>
              </w:tc>
              <w:tc>
                <w:tcPr>
                  <w:tcW w:w="716" w:type="pct"/>
                  <w:tcBorders>
                    <w:tl2br w:val="nil"/>
                    <w:tr2bl w:val="nil"/>
                  </w:tcBorders>
                  <w:vAlign w:val="center"/>
                </w:tcPr>
                <w:p w14:paraId="2828A4C3">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599.85</w:t>
                  </w:r>
                </w:p>
              </w:tc>
            </w:tr>
            <w:tr w14:paraId="6ECC1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8" w:type="pct"/>
                  <w:tcBorders>
                    <w:tl2br w:val="nil"/>
                    <w:tr2bl w:val="nil"/>
                  </w:tcBorders>
                  <w:vAlign w:val="center"/>
                </w:tcPr>
                <w:p w14:paraId="700F0E49">
                  <w:pPr>
                    <w:pStyle w:val="107"/>
                    <w:keepNext w:val="0"/>
                    <w:keepLines w:val="0"/>
                    <w:pageBreakBefore w:val="0"/>
                    <w:widowControl w:val="0"/>
                    <w:kinsoku/>
                    <w:wordWrap/>
                    <w:overflowPunct/>
                    <w:topLinePunct w:val="0"/>
                    <w:autoSpaceDE/>
                    <w:autoSpaceDN/>
                    <w:bidi w:val="0"/>
                    <w:spacing w:beforeLines="0" w:line="240" w:lineRule="auto"/>
                    <w:textAlignment w:val="auto"/>
                    <w:rPr>
                      <w:rFonts w:hint="eastAsia"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4</w:t>
                  </w:r>
                </w:p>
              </w:tc>
              <w:tc>
                <w:tcPr>
                  <w:tcW w:w="659" w:type="pct"/>
                  <w:tcBorders>
                    <w:tl2br w:val="nil"/>
                    <w:tr2bl w:val="nil"/>
                  </w:tcBorders>
                  <w:vAlign w:val="center"/>
                </w:tcPr>
                <w:p w14:paraId="5A7A1F8C">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表调用水</w:t>
                  </w:r>
                </w:p>
              </w:tc>
              <w:tc>
                <w:tcPr>
                  <w:tcW w:w="727" w:type="pct"/>
                  <w:tcBorders>
                    <w:tl2br w:val="nil"/>
                    <w:tr2bl w:val="nil"/>
                  </w:tcBorders>
                  <w:vAlign w:val="center"/>
                </w:tcPr>
                <w:p w14:paraId="07D93CEC">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18.97</w:t>
                  </w:r>
                </w:p>
              </w:tc>
              <w:tc>
                <w:tcPr>
                  <w:tcW w:w="624" w:type="pct"/>
                  <w:tcBorders>
                    <w:tl2br w:val="nil"/>
                    <w:tr2bl w:val="nil"/>
                  </w:tcBorders>
                  <w:vAlign w:val="center"/>
                </w:tcPr>
                <w:p w14:paraId="75B70DCF">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18.97</w:t>
                  </w:r>
                </w:p>
              </w:tc>
              <w:tc>
                <w:tcPr>
                  <w:tcW w:w="565" w:type="pct"/>
                  <w:tcBorders>
                    <w:tl2br w:val="nil"/>
                    <w:tr2bl w:val="nil"/>
                  </w:tcBorders>
                  <w:vAlign w:val="center"/>
                </w:tcPr>
                <w:p w14:paraId="59E3F587">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c>
                <w:tcPr>
                  <w:tcW w:w="661" w:type="pct"/>
                  <w:tcBorders>
                    <w:tl2br w:val="nil"/>
                    <w:tr2bl w:val="nil"/>
                  </w:tcBorders>
                  <w:vAlign w:val="center"/>
                </w:tcPr>
                <w:p w14:paraId="134002D2">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c>
                <w:tcPr>
                  <w:tcW w:w="737" w:type="pct"/>
                  <w:tcBorders>
                    <w:tl2br w:val="nil"/>
                    <w:tr2bl w:val="nil"/>
                  </w:tcBorders>
                  <w:vAlign w:val="center"/>
                </w:tcPr>
                <w:p w14:paraId="092B46EB">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0.37</w:t>
                  </w:r>
                </w:p>
              </w:tc>
              <w:tc>
                <w:tcPr>
                  <w:tcW w:w="716" w:type="pct"/>
                  <w:tcBorders>
                    <w:tl2br w:val="nil"/>
                    <w:tr2bl w:val="nil"/>
                  </w:tcBorders>
                  <w:vAlign w:val="center"/>
                </w:tcPr>
                <w:p w14:paraId="564C1E45">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18.6</w:t>
                  </w:r>
                </w:p>
              </w:tc>
            </w:tr>
            <w:tr w14:paraId="47CFD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8" w:type="pct"/>
                  <w:tcBorders>
                    <w:tl2br w:val="nil"/>
                    <w:tr2bl w:val="nil"/>
                  </w:tcBorders>
                  <w:vAlign w:val="center"/>
                </w:tcPr>
                <w:p w14:paraId="0E2930B4">
                  <w:pPr>
                    <w:pStyle w:val="107"/>
                    <w:keepNext w:val="0"/>
                    <w:keepLines w:val="0"/>
                    <w:pageBreakBefore w:val="0"/>
                    <w:widowControl w:val="0"/>
                    <w:kinsoku/>
                    <w:wordWrap/>
                    <w:overflowPunct/>
                    <w:topLinePunct w:val="0"/>
                    <w:autoSpaceDE/>
                    <w:autoSpaceDN/>
                    <w:bidi w:val="0"/>
                    <w:spacing w:beforeLines="0" w:line="240" w:lineRule="auto"/>
                    <w:textAlignment w:val="auto"/>
                    <w:rPr>
                      <w:rFonts w:hint="eastAsia"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5</w:t>
                  </w:r>
                </w:p>
              </w:tc>
              <w:tc>
                <w:tcPr>
                  <w:tcW w:w="659" w:type="pct"/>
                  <w:tcBorders>
                    <w:tl2br w:val="nil"/>
                    <w:tr2bl w:val="nil"/>
                  </w:tcBorders>
                  <w:vAlign w:val="center"/>
                </w:tcPr>
                <w:p w14:paraId="3DA5FE94">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磷化用水</w:t>
                  </w:r>
                </w:p>
              </w:tc>
              <w:tc>
                <w:tcPr>
                  <w:tcW w:w="727" w:type="pct"/>
                  <w:tcBorders>
                    <w:tl2br w:val="nil"/>
                    <w:tr2bl w:val="nil"/>
                  </w:tcBorders>
                  <w:vAlign w:val="center"/>
                </w:tcPr>
                <w:p w14:paraId="43846D4E">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4.8</w:t>
                  </w:r>
                </w:p>
              </w:tc>
              <w:tc>
                <w:tcPr>
                  <w:tcW w:w="624" w:type="pct"/>
                  <w:tcBorders>
                    <w:tl2br w:val="nil"/>
                    <w:tr2bl w:val="nil"/>
                  </w:tcBorders>
                  <w:vAlign w:val="center"/>
                </w:tcPr>
                <w:p w14:paraId="5501904B">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4.8</w:t>
                  </w:r>
                </w:p>
              </w:tc>
              <w:tc>
                <w:tcPr>
                  <w:tcW w:w="565" w:type="pct"/>
                  <w:tcBorders>
                    <w:tl2br w:val="nil"/>
                    <w:tr2bl w:val="nil"/>
                  </w:tcBorders>
                  <w:vAlign w:val="center"/>
                </w:tcPr>
                <w:p w14:paraId="4A75C3CB">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c>
                <w:tcPr>
                  <w:tcW w:w="661" w:type="pct"/>
                  <w:tcBorders>
                    <w:tl2br w:val="nil"/>
                    <w:tr2bl w:val="nil"/>
                  </w:tcBorders>
                  <w:vAlign w:val="center"/>
                </w:tcPr>
                <w:p w14:paraId="46C4276D">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240</w:t>
                  </w:r>
                </w:p>
              </w:tc>
              <w:tc>
                <w:tcPr>
                  <w:tcW w:w="737" w:type="pct"/>
                  <w:tcBorders>
                    <w:tl2br w:val="nil"/>
                    <w:tr2bl w:val="nil"/>
                  </w:tcBorders>
                  <w:vAlign w:val="center"/>
                </w:tcPr>
                <w:p w14:paraId="4A9A34E2">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4.8</w:t>
                  </w:r>
                </w:p>
              </w:tc>
              <w:tc>
                <w:tcPr>
                  <w:tcW w:w="716" w:type="pct"/>
                  <w:tcBorders>
                    <w:tl2br w:val="nil"/>
                    <w:tr2bl w:val="nil"/>
                  </w:tcBorders>
                  <w:vAlign w:val="center"/>
                </w:tcPr>
                <w:p w14:paraId="2340AFB4">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r>
            <w:tr w14:paraId="3E0C3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8" w:type="pct"/>
                  <w:tcBorders>
                    <w:tl2br w:val="nil"/>
                    <w:tr2bl w:val="nil"/>
                  </w:tcBorders>
                  <w:vAlign w:val="center"/>
                </w:tcPr>
                <w:p w14:paraId="02D14D97">
                  <w:pPr>
                    <w:pStyle w:val="107"/>
                    <w:keepNext w:val="0"/>
                    <w:keepLines w:val="0"/>
                    <w:pageBreakBefore w:val="0"/>
                    <w:widowControl w:val="0"/>
                    <w:kinsoku/>
                    <w:wordWrap/>
                    <w:overflowPunct/>
                    <w:topLinePunct w:val="0"/>
                    <w:autoSpaceDE/>
                    <w:autoSpaceDN/>
                    <w:bidi w:val="0"/>
                    <w:spacing w:beforeLines="0" w:line="240" w:lineRule="auto"/>
                    <w:textAlignment w:val="auto"/>
                    <w:rPr>
                      <w:rFonts w:hint="eastAsia"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6</w:t>
                  </w:r>
                </w:p>
              </w:tc>
              <w:tc>
                <w:tcPr>
                  <w:tcW w:w="659" w:type="pct"/>
                  <w:tcBorders>
                    <w:tl2br w:val="nil"/>
                    <w:tr2bl w:val="nil"/>
                  </w:tcBorders>
                  <w:vAlign w:val="center"/>
                </w:tcPr>
                <w:p w14:paraId="0C5850D4">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磷化清洗用水</w:t>
                  </w:r>
                </w:p>
              </w:tc>
              <w:tc>
                <w:tcPr>
                  <w:tcW w:w="727" w:type="pct"/>
                  <w:tcBorders>
                    <w:tl2br w:val="nil"/>
                    <w:tr2bl w:val="nil"/>
                  </w:tcBorders>
                  <w:vAlign w:val="center"/>
                </w:tcPr>
                <w:p w14:paraId="4F95A68B">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611.85</w:t>
                  </w:r>
                </w:p>
              </w:tc>
              <w:tc>
                <w:tcPr>
                  <w:tcW w:w="624" w:type="pct"/>
                  <w:tcBorders>
                    <w:tl2br w:val="nil"/>
                    <w:tr2bl w:val="nil"/>
                  </w:tcBorders>
                  <w:vAlign w:val="center"/>
                </w:tcPr>
                <w:p w14:paraId="3B098488">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c>
                <w:tcPr>
                  <w:tcW w:w="565" w:type="pct"/>
                  <w:tcBorders>
                    <w:tl2br w:val="nil"/>
                    <w:tr2bl w:val="nil"/>
                  </w:tcBorders>
                  <w:vAlign w:val="center"/>
                </w:tcPr>
                <w:p w14:paraId="6010A377">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611.85</w:t>
                  </w:r>
                </w:p>
              </w:tc>
              <w:tc>
                <w:tcPr>
                  <w:tcW w:w="661" w:type="pct"/>
                  <w:tcBorders>
                    <w:tl2br w:val="nil"/>
                    <w:tr2bl w:val="nil"/>
                  </w:tcBorders>
                  <w:vAlign w:val="center"/>
                </w:tcPr>
                <w:p w14:paraId="39E08F6A">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c>
                <w:tcPr>
                  <w:tcW w:w="737" w:type="pct"/>
                  <w:tcBorders>
                    <w:tl2br w:val="nil"/>
                    <w:tr2bl w:val="nil"/>
                  </w:tcBorders>
                  <w:vAlign w:val="center"/>
                </w:tcPr>
                <w:p w14:paraId="2E51C26E">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12</w:t>
                  </w:r>
                </w:p>
              </w:tc>
              <w:tc>
                <w:tcPr>
                  <w:tcW w:w="716" w:type="pct"/>
                  <w:tcBorders>
                    <w:tl2br w:val="nil"/>
                    <w:tr2bl w:val="nil"/>
                  </w:tcBorders>
                  <w:vAlign w:val="center"/>
                </w:tcPr>
                <w:p w14:paraId="0B9E2C1C">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599.85</w:t>
                  </w:r>
                </w:p>
              </w:tc>
            </w:tr>
            <w:tr w14:paraId="499D9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8" w:type="pct"/>
                  <w:tcBorders>
                    <w:tl2br w:val="nil"/>
                    <w:tr2bl w:val="nil"/>
                  </w:tcBorders>
                  <w:vAlign w:val="center"/>
                </w:tcPr>
                <w:p w14:paraId="5712CF6F">
                  <w:pPr>
                    <w:pStyle w:val="107"/>
                    <w:keepNext w:val="0"/>
                    <w:keepLines w:val="0"/>
                    <w:pageBreakBefore w:val="0"/>
                    <w:widowControl w:val="0"/>
                    <w:kinsoku/>
                    <w:wordWrap/>
                    <w:overflowPunct/>
                    <w:topLinePunct w:val="0"/>
                    <w:autoSpaceDE/>
                    <w:autoSpaceDN/>
                    <w:bidi w:val="0"/>
                    <w:spacing w:beforeLines="0" w:line="240" w:lineRule="auto"/>
                    <w:textAlignment w:val="auto"/>
                    <w:rPr>
                      <w:rFonts w:hint="eastAsia"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7</w:t>
                  </w:r>
                </w:p>
              </w:tc>
              <w:tc>
                <w:tcPr>
                  <w:tcW w:w="659" w:type="pct"/>
                  <w:tcBorders>
                    <w:tl2br w:val="nil"/>
                    <w:tr2bl w:val="nil"/>
                  </w:tcBorders>
                  <w:vAlign w:val="center"/>
                </w:tcPr>
                <w:p w14:paraId="7623AAD9">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电泳用水</w:t>
                  </w:r>
                </w:p>
              </w:tc>
              <w:tc>
                <w:tcPr>
                  <w:tcW w:w="727" w:type="pct"/>
                  <w:tcBorders>
                    <w:tl2br w:val="nil"/>
                    <w:tr2bl w:val="nil"/>
                  </w:tcBorders>
                  <w:vAlign w:val="center"/>
                </w:tcPr>
                <w:p w14:paraId="7E4AAD49">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0.24</w:t>
                  </w:r>
                </w:p>
              </w:tc>
              <w:tc>
                <w:tcPr>
                  <w:tcW w:w="624" w:type="pct"/>
                  <w:tcBorders>
                    <w:tl2br w:val="nil"/>
                    <w:tr2bl w:val="nil"/>
                  </w:tcBorders>
                  <w:vAlign w:val="center"/>
                </w:tcPr>
                <w:p w14:paraId="6BA1E4C0">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c>
                <w:tcPr>
                  <w:tcW w:w="565" w:type="pct"/>
                  <w:tcBorders>
                    <w:tl2br w:val="nil"/>
                    <w:tr2bl w:val="nil"/>
                  </w:tcBorders>
                  <w:vAlign w:val="center"/>
                </w:tcPr>
                <w:p w14:paraId="2E1B12C1">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0.24</w:t>
                  </w:r>
                </w:p>
              </w:tc>
              <w:tc>
                <w:tcPr>
                  <w:tcW w:w="661" w:type="pct"/>
                  <w:tcBorders>
                    <w:tl2br w:val="nil"/>
                    <w:tr2bl w:val="nil"/>
                  </w:tcBorders>
                  <w:vAlign w:val="center"/>
                </w:tcPr>
                <w:p w14:paraId="7D6EBAE0">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12</w:t>
                  </w:r>
                </w:p>
              </w:tc>
              <w:tc>
                <w:tcPr>
                  <w:tcW w:w="737" w:type="pct"/>
                  <w:tcBorders>
                    <w:tl2br w:val="nil"/>
                    <w:tr2bl w:val="nil"/>
                  </w:tcBorders>
                  <w:vAlign w:val="center"/>
                </w:tcPr>
                <w:p w14:paraId="201DB409">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0.24</w:t>
                  </w:r>
                </w:p>
              </w:tc>
              <w:tc>
                <w:tcPr>
                  <w:tcW w:w="716" w:type="pct"/>
                  <w:tcBorders>
                    <w:tl2br w:val="nil"/>
                    <w:tr2bl w:val="nil"/>
                  </w:tcBorders>
                  <w:vAlign w:val="center"/>
                </w:tcPr>
                <w:p w14:paraId="6F68EB6E">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r>
            <w:tr w14:paraId="3051B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308" w:type="pct"/>
                  <w:tcBorders>
                    <w:tl2br w:val="nil"/>
                    <w:tr2bl w:val="nil"/>
                  </w:tcBorders>
                  <w:vAlign w:val="center"/>
                </w:tcPr>
                <w:p w14:paraId="6E0CA33C">
                  <w:pPr>
                    <w:pStyle w:val="107"/>
                    <w:keepNext w:val="0"/>
                    <w:keepLines w:val="0"/>
                    <w:pageBreakBefore w:val="0"/>
                    <w:widowControl w:val="0"/>
                    <w:kinsoku/>
                    <w:wordWrap/>
                    <w:overflowPunct/>
                    <w:topLinePunct w:val="0"/>
                    <w:autoSpaceDE/>
                    <w:autoSpaceDN/>
                    <w:bidi w:val="0"/>
                    <w:spacing w:beforeLines="0" w:line="240" w:lineRule="auto"/>
                    <w:textAlignment w:val="auto"/>
                    <w:rPr>
                      <w:rFonts w:hint="eastAsia" w:ascii="Times New Roman" w:hAnsi="Times New Roman" w:eastAsia="宋体" w:cs="Times New Roman"/>
                      <w:b w:val="0"/>
                      <w:bCs/>
                      <w:color w:val="auto"/>
                      <w:sz w:val="21"/>
                      <w:szCs w:val="21"/>
                      <w:lang w:eastAsia="zh-CN"/>
                    </w:rPr>
                  </w:pPr>
                  <w:r>
                    <w:rPr>
                      <w:rFonts w:hint="eastAsia" w:eastAsia="宋体" w:cs="Times New Roman"/>
                      <w:b w:val="0"/>
                      <w:bCs/>
                      <w:color w:val="auto"/>
                      <w:sz w:val="21"/>
                      <w:szCs w:val="21"/>
                      <w:lang w:val="en-US" w:eastAsia="zh-CN"/>
                    </w:rPr>
                    <w:t>8</w:t>
                  </w:r>
                </w:p>
              </w:tc>
              <w:tc>
                <w:tcPr>
                  <w:tcW w:w="659" w:type="pct"/>
                  <w:tcBorders>
                    <w:tl2br w:val="nil"/>
                    <w:tr2bl w:val="nil"/>
                  </w:tcBorders>
                  <w:vAlign w:val="center"/>
                </w:tcPr>
                <w:p w14:paraId="5E8556DE">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电泳超滤清洗用水</w:t>
                  </w:r>
                </w:p>
              </w:tc>
              <w:tc>
                <w:tcPr>
                  <w:tcW w:w="727" w:type="pct"/>
                  <w:tcBorders>
                    <w:tl2br w:val="nil"/>
                    <w:tr2bl w:val="nil"/>
                  </w:tcBorders>
                  <w:vAlign w:val="center"/>
                </w:tcPr>
                <w:p w14:paraId="4D871887">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2.285</w:t>
                  </w:r>
                </w:p>
              </w:tc>
              <w:tc>
                <w:tcPr>
                  <w:tcW w:w="624" w:type="pct"/>
                  <w:tcBorders>
                    <w:tl2br w:val="nil"/>
                    <w:tr2bl w:val="nil"/>
                  </w:tcBorders>
                  <w:vAlign w:val="center"/>
                </w:tcPr>
                <w:p w14:paraId="52B04A45">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c>
                <w:tcPr>
                  <w:tcW w:w="565" w:type="pct"/>
                  <w:tcBorders>
                    <w:tl2br w:val="nil"/>
                    <w:tr2bl w:val="nil"/>
                  </w:tcBorders>
                  <w:vAlign w:val="center"/>
                </w:tcPr>
                <w:p w14:paraId="2F84B2B7">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2.285</w:t>
                  </w:r>
                </w:p>
              </w:tc>
              <w:tc>
                <w:tcPr>
                  <w:tcW w:w="661" w:type="pct"/>
                  <w:tcBorders>
                    <w:tl2br w:val="nil"/>
                    <w:tr2bl w:val="nil"/>
                  </w:tcBorders>
                  <w:vAlign w:val="center"/>
                </w:tcPr>
                <w:p w14:paraId="5BA94E18">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c>
                <w:tcPr>
                  <w:tcW w:w="737" w:type="pct"/>
                  <w:tcBorders>
                    <w:tl2br w:val="nil"/>
                    <w:tr2bl w:val="nil"/>
                  </w:tcBorders>
                  <w:vAlign w:val="center"/>
                </w:tcPr>
                <w:p w14:paraId="16AD118F">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0.045</w:t>
                  </w:r>
                </w:p>
              </w:tc>
              <w:tc>
                <w:tcPr>
                  <w:tcW w:w="716" w:type="pct"/>
                  <w:tcBorders>
                    <w:tl2br w:val="nil"/>
                    <w:tr2bl w:val="nil"/>
                  </w:tcBorders>
                  <w:vAlign w:val="center"/>
                </w:tcPr>
                <w:p w14:paraId="42059A77">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2.24</w:t>
                  </w:r>
                </w:p>
              </w:tc>
            </w:tr>
            <w:tr w14:paraId="13BAA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308" w:type="pct"/>
                  <w:tcBorders>
                    <w:tl2br w:val="nil"/>
                    <w:tr2bl w:val="nil"/>
                  </w:tcBorders>
                  <w:shd w:val="clear" w:color="auto" w:fill="auto"/>
                  <w:vAlign w:val="center"/>
                </w:tcPr>
                <w:p w14:paraId="1646757A">
                  <w:pPr>
                    <w:pStyle w:val="107"/>
                    <w:keepNext w:val="0"/>
                    <w:keepLines w:val="0"/>
                    <w:pageBreakBefore w:val="0"/>
                    <w:widowControl w:val="0"/>
                    <w:kinsoku/>
                    <w:wordWrap/>
                    <w:overflowPunct/>
                    <w:topLinePunct w:val="0"/>
                    <w:autoSpaceDE/>
                    <w:autoSpaceDN/>
                    <w:bidi w:val="0"/>
                    <w:spacing w:beforeLines="0" w:line="240" w:lineRule="auto"/>
                    <w:textAlignment w:val="auto"/>
                    <w:rPr>
                      <w:rFonts w:hint="eastAsia"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9</w:t>
                  </w:r>
                </w:p>
              </w:tc>
              <w:tc>
                <w:tcPr>
                  <w:tcW w:w="659" w:type="pct"/>
                  <w:tcBorders>
                    <w:tl2br w:val="nil"/>
                    <w:tr2bl w:val="nil"/>
                  </w:tcBorders>
                  <w:vAlign w:val="center"/>
                </w:tcPr>
                <w:p w14:paraId="43D4821E">
                  <w:pPr>
                    <w:pStyle w:val="107"/>
                    <w:keepNext w:val="0"/>
                    <w:keepLines w:val="0"/>
                    <w:pageBreakBefore w:val="0"/>
                    <w:widowControl w:val="0"/>
                    <w:kinsoku/>
                    <w:wordWrap/>
                    <w:overflowPunct/>
                    <w:topLinePunct w:val="0"/>
                    <w:autoSpaceDE/>
                    <w:autoSpaceDN/>
                    <w:bidi w:val="0"/>
                    <w:spacing w:beforeLines="0" w:line="240" w:lineRule="auto"/>
                    <w:textAlignment w:val="auto"/>
                    <w:rPr>
                      <w:rFonts w:hint="eastAsia"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电泳喷淋清洗用水</w:t>
                  </w:r>
                </w:p>
              </w:tc>
              <w:tc>
                <w:tcPr>
                  <w:tcW w:w="727" w:type="pct"/>
                  <w:tcBorders>
                    <w:tl2br w:val="nil"/>
                    <w:tr2bl w:val="nil"/>
                  </w:tcBorders>
                  <w:vAlign w:val="center"/>
                </w:tcPr>
                <w:p w14:paraId="23326627">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default" w:eastAsia="宋体" w:cs="Times New Roman"/>
                      <w:b w:val="0"/>
                      <w:color w:val="auto"/>
                      <w:sz w:val="21"/>
                      <w:szCs w:val="21"/>
                      <w:lang w:val="en-US" w:eastAsia="zh-CN"/>
                    </w:rPr>
                    <w:t>67.98</w:t>
                  </w:r>
                </w:p>
              </w:tc>
              <w:tc>
                <w:tcPr>
                  <w:tcW w:w="624" w:type="pct"/>
                  <w:tcBorders>
                    <w:tl2br w:val="nil"/>
                    <w:tr2bl w:val="nil"/>
                  </w:tcBorders>
                  <w:vAlign w:val="center"/>
                </w:tcPr>
                <w:p w14:paraId="19F0CB96">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c>
                <w:tcPr>
                  <w:tcW w:w="565" w:type="pct"/>
                  <w:tcBorders>
                    <w:tl2br w:val="nil"/>
                    <w:tr2bl w:val="nil"/>
                  </w:tcBorders>
                  <w:vAlign w:val="center"/>
                </w:tcPr>
                <w:p w14:paraId="61A8857E">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default" w:eastAsia="宋体" w:cs="Times New Roman"/>
                      <w:b w:val="0"/>
                      <w:color w:val="auto"/>
                      <w:sz w:val="21"/>
                      <w:szCs w:val="21"/>
                      <w:lang w:val="en-US" w:eastAsia="zh-CN"/>
                    </w:rPr>
                    <w:t>67.98</w:t>
                  </w:r>
                </w:p>
              </w:tc>
              <w:tc>
                <w:tcPr>
                  <w:tcW w:w="661" w:type="pct"/>
                  <w:tcBorders>
                    <w:tl2br w:val="nil"/>
                    <w:tr2bl w:val="nil"/>
                  </w:tcBorders>
                  <w:vAlign w:val="center"/>
                </w:tcPr>
                <w:p w14:paraId="3928517B">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c>
                <w:tcPr>
                  <w:tcW w:w="737" w:type="pct"/>
                  <w:tcBorders>
                    <w:tl2br w:val="nil"/>
                    <w:tr2bl w:val="nil"/>
                  </w:tcBorders>
                  <w:vAlign w:val="center"/>
                </w:tcPr>
                <w:p w14:paraId="0BE5A999">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1.33</w:t>
                  </w:r>
                </w:p>
              </w:tc>
              <w:tc>
                <w:tcPr>
                  <w:tcW w:w="716" w:type="pct"/>
                  <w:tcBorders>
                    <w:tl2br w:val="nil"/>
                    <w:tr2bl w:val="nil"/>
                  </w:tcBorders>
                  <w:vAlign w:val="center"/>
                </w:tcPr>
                <w:p w14:paraId="47C4531B">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66.65</w:t>
                  </w:r>
                </w:p>
              </w:tc>
            </w:tr>
            <w:tr w14:paraId="1FEDE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308" w:type="pct"/>
                  <w:tcBorders>
                    <w:tl2br w:val="nil"/>
                    <w:tr2bl w:val="nil"/>
                  </w:tcBorders>
                  <w:shd w:val="clear" w:color="auto" w:fill="auto"/>
                  <w:vAlign w:val="center"/>
                </w:tcPr>
                <w:p w14:paraId="1353FFF0">
                  <w:pPr>
                    <w:pStyle w:val="107"/>
                    <w:keepNext w:val="0"/>
                    <w:keepLines w:val="0"/>
                    <w:pageBreakBefore w:val="0"/>
                    <w:widowControl w:val="0"/>
                    <w:kinsoku/>
                    <w:wordWrap/>
                    <w:overflowPunct/>
                    <w:topLinePunct w:val="0"/>
                    <w:autoSpaceDE/>
                    <w:autoSpaceDN/>
                    <w:bidi w:val="0"/>
                    <w:spacing w:beforeLines="0" w:line="240" w:lineRule="auto"/>
                    <w:textAlignment w:val="auto"/>
                    <w:rPr>
                      <w:rFonts w:hint="eastAsia"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10</w:t>
                  </w:r>
                </w:p>
              </w:tc>
              <w:tc>
                <w:tcPr>
                  <w:tcW w:w="659" w:type="pct"/>
                  <w:tcBorders>
                    <w:tl2br w:val="nil"/>
                    <w:tr2bl w:val="nil"/>
                  </w:tcBorders>
                  <w:vAlign w:val="center"/>
                </w:tcPr>
                <w:p w14:paraId="79EBA781">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废气喷淋用水</w:t>
                  </w:r>
                </w:p>
              </w:tc>
              <w:tc>
                <w:tcPr>
                  <w:tcW w:w="727" w:type="pct"/>
                  <w:tcBorders>
                    <w:tl2br w:val="nil"/>
                    <w:tr2bl w:val="nil"/>
                  </w:tcBorders>
                  <w:vAlign w:val="center"/>
                </w:tcPr>
                <w:p w14:paraId="46C92F0C">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537</w:t>
                  </w:r>
                </w:p>
              </w:tc>
              <w:tc>
                <w:tcPr>
                  <w:tcW w:w="624" w:type="pct"/>
                  <w:tcBorders>
                    <w:tl2br w:val="nil"/>
                    <w:tr2bl w:val="nil"/>
                  </w:tcBorders>
                  <w:vAlign w:val="center"/>
                </w:tcPr>
                <w:p w14:paraId="60627C0A">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537</w:t>
                  </w:r>
                </w:p>
              </w:tc>
              <w:tc>
                <w:tcPr>
                  <w:tcW w:w="565" w:type="pct"/>
                  <w:tcBorders>
                    <w:tl2br w:val="nil"/>
                    <w:tr2bl w:val="nil"/>
                  </w:tcBorders>
                  <w:vAlign w:val="center"/>
                </w:tcPr>
                <w:p w14:paraId="69E23DD2">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c>
                <w:tcPr>
                  <w:tcW w:w="661" w:type="pct"/>
                  <w:tcBorders>
                    <w:tl2br w:val="nil"/>
                    <w:tr2bl w:val="nil"/>
                  </w:tcBorders>
                  <w:vAlign w:val="center"/>
                </w:tcPr>
                <w:p w14:paraId="4F71EADB">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cs="Times New Roman"/>
                      <w:color w:val="auto"/>
                      <w:kern w:val="0"/>
                      <w:sz w:val="21"/>
                      <w:szCs w:val="21"/>
                      <w:highlight w:val="none"/>
                      <w:lang w:val="en-US" w:eastAsia="zh-CN"/>
                    </w:rPr>
                    <w:t>103623</w:t>
                  </w:r>
                </w:p>
              </w:tc>
              <w:tc>
                <w:tcPr>
                  <w:tcW w:w="737" w:type="pct"/>
                  <w:tcBorders>
                    <w:tl2br w:val="nil"/>
                    <w:tr2bl w:val="nil"/>
                  </w:tcBorders>
                  <w:vAlign w:val="center"/>
                </w:tcPr>
                <w:p w14:paraId="6C4D3B78">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519</w:t>
                  </w:r>
                </w:p>
              </w:tc>
              <w:tc>
                <w:tcPr>
                  <w:tcW w:w="716" w:type="pct"/>
                  <w:tcBorders>
                    <w:tl2br w:val="nil"/>
                    <w:tr2bl w:val="nil"/>
                  </w:tcBorders>
                  <w:vAlign w:val="center"/>
                </w:tcPr>
                <w:p w14:paraId="4B8B0B73">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18</w:t>
                  </w:r>
                </w:p>
              </w:tc>
            </w:tr>
            <w:tr w14:paraId="086B0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308" w:type="pct"/>
                  <w:tcBorders>
                    <w:tl2br w:val="nil"/>
                    <w:tr2bl w:val="nil"/>
                  </w:tcBorders>
                  <w:vAlign w:val="center"/>
                </w:tcPr>
                <w:p w14:paraId="18A7D2D7">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11</w:t>
                  </w:r>
                </w:p>
              </w:tc>
              <w:tc>
                <w:tcPr>
                  <w:tcW w:w="659" w:type="pct"/>
                  <w:tcBorders>
                    <w:tl2br w:val="nil"/>
                    <w:tr2bl w:val="nil"/>
                  </w:tcBorders>
                  <w:vAlign w:val="center"/>
                </w:tcPr>
                <w:p w14:paraId="58825BCA">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纯水制备用水</w:t>
                  </w:r>
                </w:p>
              </w:tc>
              <w:tc>
                <w:tcPr>
                  <w:tcW w:w="727" w:type="pct"/>
                  <w:tcBorders>
                    <w:tl2br w:val="nil"/>
                    <w:tr2bl w:val="nil"/>
                  </w:tcBorders>
                  <w:vAlign w:val="center"/>
                </w:tcPr>
                <w:p w14:paraId="61D0D583">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909.81</w:t>
                  </w:r>
                </w:p>
              </w:tc>
              <w:tc>
                <w:tcPr>
                  <w:tcW w:w="624" w:type="pct"/>
                  <w:tcBorders>
                    <w:tl2br w:val="nil"/>
                    <w:tr2bl w:val="nil"/>
                  </w:tcBorders>
                  <w:vAlign w:val="center"/>
                </w:tcPr>
                <w:p w14:paraId="3C95C2D8">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909.81</w:t>
                  </w:r>
                </w:p>
              </w:tc>
              <w:tc>
                <w:tcPr>
                  <w:tcW w:w="565" w:type="pct"/>
                  <w:tcBorders>
                    <w:tl2br w:val="nil"/>
                    <w:tr2bl w:val="nil"/>
                  </w:tcBorders>
                  <w:vAlign w:val="center"/>
                </w:tcPr>
                <w:p w14:paraId="4EDFC121">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c>
                <w:tcPr>
                  <w:tcW w:w="661" w:type="pct"/>
                  <w:tcBorders>
                    <w:tl2br w:val="nil"/>
                    <w:tr2bl w:val="nil"/>
                  </w:tcBorders>
                  <w:vAlign w:val="center"/>
                </w:tcPr>
                <w:p w14:paraId="05E3A8C8">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eastAsia" w:eastAsia="宋体" w:cs="Times New Roman"/>
                      <w:b w:val="0"/>
                      <w:color w:val="auto"/>
                      <w:sz w:val="21"/>
                      <w:szCs w:val="21"/>
                      <w:lang w:val="en-US" w:eastAsia="zh-CN"/>
                    </w:rPr>
                    <w:t>0</w:t>
                  </w:r>
                </w:p>
              </w:tc>
              <w:tc>
                <w:tcPr>
                  <w:tcW w:w="737" w:type="pct"/>
                  <w:tcBorders>
                    <w:tl2br w:val="nil"/>
                    <w:tr2bl w:val="nil"/>
                  </w:tcBorders>
                  <w:vAlign w:val="center"/>
                </w:tcPr>
                <w:p w14:paraId="40F4D829">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cs="宋体"/>
                      <w:color w:val="auto"/>
                      <w:sz w:val="21"/>
                      <w:szCs w:val="21"/>
                      <w:lang w:val="en-US" w:eastAsia="zh-CN"/>
                    </w:rPr>
                    <w:t>682.355</w:t>
                  </w:r>
                  <w:r>
                    <w:rPr>
                      <w:rFonts w:hint="eastAsia" w:eastAsia="宋体" w:cs="Times New Roman"/>
                      <w:b w:val="0"/>
                      <w:color w:val="auto"/>
                      <w:sz w:val="21"/>
                      <w:szCs w:val="21"/>
                      <w:lang w:val="en-US" w:eastAsia="zh-CN"/>
                    </w:rPr>
                    <w:t>（去其他工序）</w:t>
                  </w:r>
                </w:p>
              </w:tc>
              <w:tc>
                <w:tcPr>
                  <w:tcW w:w="716" w:type="pct"/>
                  <w:tcBorders>
                    <w:tl2br w:val="nil"/>
                    <w:tr2bl w:val="nil"/>
                  </w:tcBorders>
                  <w:vAlign w:val="center"/>
                </w:tcPr>
                <w:p w14:paraId="4265D752">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227.455</w:t>
                  </w:r>
                </w:p>
              </w:tc>
            </w:tr>
            <w:tr w14:paraId="08592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67" w:type="pct"/>
                  <w:gridSpan w:val="2"/>
                  <w:tcBorders>
                    <w:tl2br w:val="nil"/>
                    <w:tr2bl w:val="nil"/>
                  </w:tcBorders>
                  <w:vAlign w:val="center"/>
                </w:tcPr>
                <w:p w14:paraId="0C8AA8AE">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ascii="Times New Roman" w:hAnsi="Times New Roman" w:eastAsia="宋体" w:cs="Times New Roman"/>
                      <w:b w:val="0"/>
                      <w:color w:val="auto"/>
                      <w:sz w:val="21"/>
                      <w:szCs w:val="21"/>
                      <w:lang w:val="en-US" w:eastAsia="zh-CN"/>
                    </w:rPr>
                  </w:pPr>
                  <w:r>
                    <w:rPr>
                      <w:rFonts w:hint="default" w:ascii="Times New Roman" w:hAnsi="Times New Roman" w:eastAsia="宋体" w:cs="Times New Roman"/>
                      <w:b w:val="0"/>
                      <w:color w:val="auto"/>
                      <w:sz w:val="21"/>
                      <w:szCs w:val="21"/>
                      <w:lang w:val="en-US" w:eastAsia="zh-CN"/>
                    </w:rPr>
                    <w:t>合计</w:t>
                  </w:r>
                </w:p>
              </w:tc>
              <w:tc>
                <w:tcPr>
                  <w:tcW w:w="727" w:type="pct"/>
                  <w:tcBorders>
                    <w:tl2br w:val="nil"/>
                    <w:tr2bl w:val="nil"/>
                  </w:tcBorders>
                  <w:shd w:val="clear" w:color="auto" w:fill="auto"/>
                  <w:vAlign w:val="center"/>
                </w:tcPr>
                <w:p w14:paraId="34037A07">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10421.485</w:t>
                  </w:r>
                </w:p>
              </w:tc>
              <w:tc>
                <w:tcPr>
                  <w:tcW w:w="624" w:type="pct"/>
                  <w:tcBorders>
                    <w:tl2br w:val="nil"/>
                    <w:tr2bl w:val="nil"/>
                  </w:tcBorders>
                  <w:vAlign w:val="center"/>
                </w:tcPr>
                <w:p w14:paraId="0C8F0716">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9739.13</w:t>
                  </w:r>
                </w:p>
              </w:tc>
              <w:tc>
                <w:tcPr>
                  <w:tcW w:w="565" w:type="pct"/>
                  <w:tcBorders>
                    <w:tl2br w:val="nil"/>
                    <w:tr2bl w:val="nil"/>
                  </w:tcBorders>
                  <w:shd w:val="clear" w:color="auto" w:fill="auto"/>
                  <w:vAlign w:val="center"/>
                </w:tcPr>
                <w:p w14:paraId="7E21C1F1">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682.355</w:t>
                  </w:r>
                </w:p>
              </w:tc>
              <w:tc>
                <w:tcPr>
                  <w:tcW w:w="661" w:type="pct"/>
                  <w:tcBorders>
                    <w:tl2br w:val="nil"/>
                    <w:tr2bl w:val="nil"/>
                  </w:tcBorders>
                  <w:shd w:val="clear" w:color="auto" w:fill="auto"/>
                  <w:vAlign w:val="center"/>
                </w:tcPr>
                <w:p w14:paraId="684B7ED5">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103909.78</w:t>
                  </w:r>
                </w:p>
              </w:tc>
              <w:tc>
                <w:tcPr>
                  <w:tcW w:w="737" w:type="pct"/>
                  <w:tcBorders>
                    <w:tl2br w:val="nil"/>
                    <w:tr2bl w:val="nil"/>
                  </w:tcBorders>
                  <w:shd w:val="clear" w:color="auto" w:fill="auto"/>
                  <w:vAlign w:val="center"/>
                </w:tcPr>
                <w:p w14:paraId="727C1E79">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2762.84</w:t>
                  </w:r>
                </w:p>
              </w:tc>
              <w:tc>
                <w:tcPr>
                  <w:tcW w:w="716" w:type="pct"/>
                  <w:tcBorders>
                    <w:tl2br w:val="nil"/>
                    <w:tr2bl w:val="nil"/>
                  </w:tcBorders>
                  <w:shd w:val="clear" w:color="auto" w:fill="auto"/>
                  <w:vAlign w:val="center"/>
                </w:tcPr>
                <w:p w14:paraId="1CC7001C">
                  <w:pPr>
                    <w:pStyle w:val="107"/>
                    <w:keepNext w:val="0"/>
                    <w:keepLines w:val="0"/>
                    <w:pageBreakBefore w:val="0"/>
                    <w:widowControl w:val="0"/>
                    <w:kinsoku/>
                    <w:wordWrap/>
                    <w:overflowPunct/>
                    <w:topLinePunct w:val="0"/>
                    <w:autoSpaceDE/>
                    <w:autoSpaceDN/>
                    <w:bidi w:val="0"/>
                    <w:spacing w:beforeLines="0" w:line="240" w:lineRule="auto"/>
                    <w:textAlignment w:val="auto"/>
                    <w:rPr>
                      <w:rFonts w:hint="default" w:eastAsia="宋体" w:cs="Times New Roman"/>
                      <w:b w:val="0"/>
                      <w:color w:val="auto"/>
                      <w:sz w:val="21"/>
                      <w:szCs w:val="21"/>
                      <w:lang w:val="en-US" w:eastAsia="zh-CN"/>
                    </w:rPr>
                  </w:pPr>
                  <w:r>
                    <w:rPr>
                      <w:rFonts w:hint="eastAsia" w:eastAsia="宋体" w:cs="Times New Roman"/>
                      <w:b w:val="0"/>
                      <w:color w:val="auto"/>
                      <w:sz w:val="21"/>
                      <w:szCs w:val="21"/>
                      <w:lang w:val="en-US" w:eastAsia="zh-CN"/>
                    </w:rPr>
                    <w:t>7658.645</w:t>
                  </w:r>
                </w:p>
              </w:tc>
            </w:tr>
          </w:tbl>
          <w:p w14:paraId="7BE20BD9">
            <w:pPr>
              <w:ind w:firstLine="0" w:firstLineChars="0"/>
              <w:jc w:val="center"/>
              <w:rPr>
                <w:rFonts w:hint="default" w:ascii="Times New Roman" w:hAnsi="Times New Roman" w:eastAsia="宋体" w:cs="宋体"/>
                <w:b/>
                <w:bCs/>
                <w:color w:val="auto"/>
                <w:sz w:val="24"/>
                <w:szCs w:val="24"/>
              </w:rPr>
            </w:pPr>
          </w:p>
          <w:p w14:paraId="2F196A7F">
            <w:pPr>
              <w:ind w:firstLine="0" w:firstLineChars="0"/>
              <w:jc w:val="center"/>
              <w:rPr>
                <w:rFonts w:hint="eastAsia" w:cs="宋体"/>
                <w:b/>
                <w:bCs/>
                <w:color w:val="auto"/>
                <w:sz w:val="24"/>
                <w:szCs w:val="24"/>
                <w:lang w:eastAsia="zh-CN"/>
              </w:rPr>
            </w:pPr>
          </w:p>
          <w:p w14:paraId="4DB922A3">
            <w:pPr>
              <w:ind w:firstLine="0" w:firstLineChars="0"/>
              <w:jc w:val="center"/>
              <w:rPr>
                <w:rFonts w:hint="eastAsia" w:cs="宋体"/>
                <w:b/>
                <w:bCs/>
                <w:color w:val="auto"/>
                <w:sz w:val="24"/>
                <w:szCs w:val="24"/>
                <w:lang w:eastAsia="zh-CN"/>
              </w:rPr>
            </w:pPr>
          </w:p>
          <w:p w14:paraId="230919B2">
            <w:pPr>
              <w:ind w:firstLine="0" w:firstLineChars="0"/>
              <w:jc w:val="center"/>
              <w:rPr>
                <w:rFonts w:hint="eastAsia" w:cs="宋体"/>
                <w:b/>
                <w:bCs/>
                <w:color w:val="auto"/>
                <w:sz w:val="24"/>
                <w:szCs w:val="24"/>
                <w:lang w:eastAsia="zh-CN"/>
              </w:rPr>
            </w:pPr>
          </w:p>
          <w:p w14:paraId="19CD2C31">
            <w:pPr>
              <w:ind w:firstLine="0" w:firstLineChars="0"/>
              <w:jc w:val="center"/>
              <w:rPr>
                <w:rFonts w:hint="eastAsia" w:cs="宋体"/>
                <w:b/>
                <w:bCs/>
                <w:color w:val="auto"/>
                <w:sz w:val="24"/>
                <w:szCs w:val="24"/>
                <w:lang w:eastAsia="zh-CN"/>
              </w:rPr>
            </w:pPr>
          </w:p>
          <w:p w14:paraId="38C495D7">
            <w:pPr>
              <w:ind w:firstLine="0" w:firstLineChars="0"/>
              <w:jc w:val="center"/>
              <w:rPr>
                <w:rFonts w:hint="eastAsia" w:cs="宋体"/>
                <w:b/>
                <w:bCs/>
                <w:color w:val="auto"/>
                <w:sz w:val="24"/>
                <w:szCs w:val="24"/>
                <w:lang w:eastAsia="zh-CN"/>
              </w:rPr>
            </w:pPr>
          </w:p>
          <w:p w14:paraId="1F1A1695">
            <w:pPr>
              <w:ind w:firstLine="0" w:firstLineChars="0"/>
              <w:jc w:val="center"/>
              <w:rPr>
                <w:rFonts w:hint="eastAsia" w:cs="宋体"/>
                <w:b/>
                <w:bCs/>
                <w:color w:val="auto"/>
                <w:sz w:val="24"/>
                <w:szCs w:val="24"/>
                <w:lang w:eastAsia="zh-CN"/>
              </w:rPr>
            </w:pPr>
          </w:p>
          <w:p w14:paraId="56E39BB9">
            <w:pPr>
              <w:ind w:firstLine="0" w:firstLineChars="0"/>
              <w:jc w:val="center"/>
              <w:rPr>
                <w:rFonts w:hint="eastAsia" w:cs="宋体"/>
                <w:b/>
                <w:bCs/>
                <w:color w:val="auto"/>
                <w:sz w:val="24"/>
                <w:szCs w:val="24"/>
                <w:lang w:eastAsia="zh-CN"/>
              </w:rPr>
            </w:pPr>
          </w:p>
          <w:p w14:paraId="6CD0BF02">
            <w:pPr>
              <w:ind w:firstLine="0" w:firstLineChars="0"/>
              <w:jc w:val="center"/>
              <w:rPr>
                <w:rFonts w:hint="eastAsia" w:cs="宋体"/>
                <w:b/>
                <w:bCs/>
                <w:color w:val="auto"/>
                <w:sz w:val="24"/>
                <w:szCs w:val="24"/>
                <w:lang w:eastAsia="zh-CN"/>
              </w:rPr>
            </w:pPr>
          </w:p>
          <w:p w14:paraId="772183B6">
            <w:pPr>
              <w:ind w:firstLine="0" w:firstLineChars="0"/>
              <w:jc w:val="center"/>
              <w:rPr>
                <w:rFonts w:hint="eastAsia" w:cs="宋体"/>
                <w:b/>
                <w:bCs/>
                <w:color w:val="auto"/>
                <w:sz w:val="24"/>
                <w:szCs w:val="24"/>
                <w:lang w:eastAsia="zh-CN"/>
              </w:rPr>
            </w:pPr>
          </w:p>
          <w:p w14:paraId="4376C600">
            <w:pPr>
              <w:ind w:firstLine="0" w:firstLineChars="0"/>
              <w:jc w:val="center"/>
              <w:rPr>
                <w:rFonts w:hint="eastAsia" w:cs="宋体"/>
                <w:b/>
                <w:bCs/>
                <w:color w:val="auto"/>
                <w:sz w:val="24"/>
                <w:szCs w:val="24"/>
                <w:lang w:eastAsia="zh-CN"/>
              </w:rPr>
            </w:pPr>
          </w:p>
          <w:p w14:paraId="2D8DDBAD">
            <w:pPr>
              <w:ind w:firstLine="0" w:firstLineChars="0"/>
              <w:jc w:val="center"/>
              <w:rPr>
                <w:rFonts w:hint="eastAsia" w:cs="宋体"/>
                <w:b/>
                <w:bCs/>
                <w:color w:val="auto"/>
                <w:sz w:val="24"/>
                <w:szCs w:val="24"/>
                <w:lang w:eastAsia="zh-CN"/>
              </w:rPr>
            </w:pPr>
          </w:p>
          <w:p w14:paraId="169B04C1">
            <w:pPr>
              <w:ind w:firstLine="0" w:firstLineChars="0"/>
              <w:jc w:val="center"/>
              <w:rPr>
                <w:rFonts w:hint="eastAsia" w:cs="宋体"/>
                <w:b/>
                <w:bCs/>
                <w:color w:val="auto"/>
                <w:sz w:val="24"/>
                <w:szCs w:val="24"/>
                <w:lang w:eastAsia="zh-CN"/>
              </w:rPr>
            </w:pPr>
          </w:p>
          <w:p w14:paraId="0A2B0C9F">
            <w:pPr>
              <w:ind w:firstLine="0" w:firstLineChars="0"/>
              <w:jc w:val="center"/>
              <w:rPr>
                <w:rFonts w:hint="eastAsia" w:cs="宋体"/>
                <w:b/>
                <w:bCs/>
                <w:color w:val="auto"/>
                <w:sz w:val="24"/>
                <w:szCs w:val="24"/>
                <w:lang w:eastAsia="zh-CN"/>
              </w:rPr>
            </w:pPr>
          </w:p>
          <w:p w14:paraId="4ED40FA0">
            <w:pPr>
              <w:ind w:firstLine="0" w:firstLineChars="0"/>
              <w:jc w:val="center"/>
              <w:rPr>
                <w:rFonts w:hint="eastAsia" w:cs="宋体"/>
                <w:b/>
                <w:bCs/>
                <w:color w:val="auto"/>
                <w:sz w:val="24"/>
                <w:szCs w:val="24"/>
                <w:lang w:eastAsia="zh-CN"/>
              </w:rPr>
            </w:pPr>
          </w:p>
          <w:p w14:paraId="2A259D30">
            <w:pPr>
              <w:ind w:firstLine="0" w:firstLineChars="0"/>
              <w:jc w:val="center"/>
              <w:rPr>
                <w:rFonts w:hint="eastAsia" w:cs="宋体"/>
                <w:b/>
                <w:bCs/>
                <w:color w:val="auto"/>
                <w:sz w:val="24"/>
                <w:szCs w:val="24"/>
                <w:lang w:eastAsia="zh-CN"/>
              </w:rPr>
            </w:pPr>
          </w:p>
          <w:p w14:paraId="65958C01">
            <w:pPr>
              <w:ind w:firstLine="0" w:firstLineChars="0"/>
              <w:jc w:val="center"/>
              <w:rPr>
                <w:rFonts w:hint="eastAsia" w:cs="宋体"/>
                <w:b/>
                <w:bCs/>
                <w:color w:val="auto"/>
                <w:sz w:val="24"/>
                <w:szCs w:val="24"/>
                <w:lang w:eastAsia="zh-CN"/>
              </w:rPr>
            </w:pPr>
          </w:p>
          <w:p w14:paraId="3EF45B7F">
            <w:pPr>
              <w:ind w:firstLine="0" w:firstLineChars="0"/>
              <w:jc w:val="center"/>
              <w:rPr>
                <w:rFonts w:hint="eastAsia" w:cs="宋体"/>
                <w:b/>
                <w:bCs/>
                <w:color w:val="auto"/>
                <w:sz w:val="24"/>
                <w:szCs w:val="24"/>
                <w:lang w:eastAsia="zh-CN"/>
              </w:rPr>
            </w:pPr>
          </w:p>
          <w:p w14:paraId="1B521D26">
            <w:pPr>
              <w:ind w:firstLine="0" w:firstLineChars="0"/>
              <w:jc w:val="center"/>
              <w:rPr>
                <w:rFonts w:hint="eastAsia" w:cs="宋体"/>
                <w:b/>
                <w:bCs/>
                <w:color w:val="auto"/>
                <w:sz w:val="24"/>
                <w:szCs w:val="24"/>
                <w:lang w:eastAsia="zh-CN"/>
              </w:rPr>
            </w:pPr>
          </w:p>
          <w:p w14:paraId="756207AE">
            <w:pPr>
              <w:ind w:firstLine="0" w:firstLineChars="0"/>
              <w:jc w:val="center"/>
              <w:rPr>
                <w:rFonts w:hint="eastAsia" w:cs="宋体"/>
                <w:b/>
                <w:bCs/>
                <w:color w:val="auto"/>
                <w:sz w:val="24"/>
                <w:szCs w:val="24"/>
                <w:lang w:eastAsia="zh-CN"/>
              </w:rPr>
            </w:pPr>
          </w:p>
          <w:p w14:paraId="781445E1">
            <w:pPr>
              <w:ind w:firstLine="0" w:firstLineChars="0"/>
              <w:jc w:val="center"/>
              <w:rPr>
                <w:rFonts w:hint="eastAsia" w:cs="宋体"/>
                <w:b/>
                <w:bCs/>
                <w:color w:val="auto"/>
                <w:sz w:val="24"/>
                <w:szCs w:val="24"/>
                <w:lang w:eastAsia="zh-CN"/>
              </w:rPr>
            </w:pPr>
          </w:p>
          <w:p w14:paraId="2F938928">
            <w:pPr>
              <w:ind w:firstLine="0" w:firstLineChars="0"/>
              <w:jc w:val="center"/>
              <w:rPr>
                <w:rFonts w:hint="eastAsia" w:cs="宋体"/>
                <w:b/>
                <w:bCs/>
                <w:color w:val="auto"/>
                <w:sz w:val="24"/>
                <w:szCs w:val="24"/>
                <w:lang w:eastAsia="zh-CN"/>
              </w:rPr>
            </w:pPr>
          </w:p>
          <w:p w14:paraId="5C7AE5F4">
            <w:pPr>
              <w:ind w:firstLine="0" w:firstLineChars="0"/>
              <w:jc w:val="center"/>
              <w:rPr>
                <w:rFonts w:hint="eastAsia" w:cs="宋体"/>
                <w:b/>
                <w:bCs/>
                <w:color w:val="auto"/>
                <w:sz w:val="24"/>
                <w:szCs w:val="24"/>
                <w:lang w:eastAsia="zh-CN"/>
              </w:rPr>
            </w:pPr>
          </w:p>
          <w:p w14:paraId="509970F1">
            <w:pPr>
              <w:ind w:firstLine="0" w:firstLineChars="0"/>
              <w:jc w:val="center"/>
              <w:rPr>
                <w:rFonts w:hint="eastAsia" w:ascii="Times New Roman" w:hAnsi="Times New Roman" w:eastAsia="宋体" w:cs="宋体"/>
                <w:b/>
                <w:bCs/>
                <w:color w:val="auto"/>
                <w:sz w:val="24"/>
                <w:szCs w:val="24"/>
                <w:lang w:eastAsia="zh-CN"/>
              </w:rPr>
            </w:pPr>
          </w:p>
          <w:p w14:paraId="26954031">
            <w:pPr>
              <w:ind w:firstLine="0" w:firstLineChars="0"/>
              <w:jc w:val="center"/>
              <w:rPr>
                <w:rFonts w:hint="default" w:ascii="Times New Roman" w:hAnsi="Times New Roman" w:eastAsia="宋体" w:cs="宋体"/>
                <w:b/>
                <w:bCs/>
                <w:color w:val="auto"/>
                <w:sz w:val="24"/>
                <w:szCs w:val="24"/>
              </w:rPr>
            </w:pPr>
          </w:p>
          <w:p w14:paraId="286F5BA0">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rPr>
                <w:rFonts w:hint="eastAsia" w:cs="宋体"/>
                <w:b/>
                <w:bCs/>
                <w:color w:val="auto"/>
                <w:sz w:val="24"/>
                <w:szCs w:val="24"/>
                <w:lang w:val="en-US" w:eastAsia="zh-CN"/>
              </w:rPr>
            </w:pPr>
            <w:r>
              <w:rPr>
                <w:rFonts w:hint="eastAsia"/>
                <w:b/>
                <w:bCs/>
                <w:color w:val="auto"/>
              </w:rPr>
              <w:object>
                <v:shape id="_x0000_i1029" o:spt="75" type="#_x0000_t75" style="height:640.9pt;width:400.85pt;" o:ole="t" filled="f" o:preferrelative="t" stroked="f" coordsize="21600,21600">
                  <v:path/>
                  <v:fill on="f" focussize="0,0"/>
                  <v:stroke on="f"/>
                  <v:imagedata r:id="rId30" o:title=""/>
                  <o:lock v:ext="edit" aspectratio="f"/>
                  <w10:wrap type="none"/>
                  <w10:anchorlock/>
                </v:shape>
                <o:OLEObject Type="Embed" ProgID="Visio.Drawing.11" ShapeID="_x0000_i1029" DrawAspect="Content" ObjectID="_1468075729" r:id="rId29">
                  <o:LockedField>false</o:LockedField>
                </o:OLEObject>
              </w:object>
            </w:r>
            <w:r>
              <w:rPr>
                <w:b/>
                <w:bCs/>
                <w:color w:val="auto"/>
                <w:sz w:val="24"/>
                <w:highlight w:val="none"/>
              </w:rPr>
              <w:t>图2-</w:t>
            </w:r>
            <w:r>
              <w:rPr>
                <w:rFonts w:hint="eastAsia"/>
                <w:b/>
                <w:bCs/>
                <w:color w:val="auto"/>
                <w:sz w:val="24"/>
                <w:highlight w:val="none"/>
                <w:lang w:val="en-US" w:eastAsia="zh-CN"/>
              </w:rPr>
              <w:t>4</w:t>
            </w:r>
            <w:r>
              <w:rPr>
                <w:b/>
                <w:bCs/>
                <w:color w:val="auto"/>
                <w:sz w:val="24"/>
                <w:highlight w:val="none"/>
              </w:rPr>
              <w:t xml:space="preserve"> </w:t>
            </w:r>
            <w:r>
              <w:rPr>
                <w:rFonts w:hint="eastAsia"/>
                <w:b/>
                <w:bCs/>
                <w:color w:val="auto"/>
                <w:sz w:val="24"/>
                <w:highlight w:val="none"/>
                <w:lang w:val="en-US" w:eastAsia="zh-CN"/>
              </w:rPr>
              <w:t>项目水</w:t>
            </w:r>
            <w:r>
              <w:rPr>
                <w:b/>
                <w:bCs/>
                <w:color w:val="auto"/>
                <w:sz w:val="24"/>
                <w:highlight w:val="none"/>
              </w:rPr>
              <w:t>平衡图</w:t>
            </w:r>
            <w:r>
              <w:rPr>
                <w:rFonts w:hint="eastAsia"/>
                <w:color w:val="auto"/>
                <w:highlight w:val="none"/>
              </w:rPr>
              <w:t xml:space="preserve">       </w:t>
            </w:r>
            <w:r>
              <w:rPr>
                <w:rFonts w:hint="eastAsia"/>
                <w:b/>
                <w:bCs/>
                <w:color w:val="auto"/>
                <w:sz w:val="24"/>
                <w:highlight w:val="none"/>
              </w:rPr>
              <w:t>单位：m</w:t>
            </w:r>
            <w:r>
              <w:rPr>
                <w:rFonts w:hint="eastAsia"/>
                <w:b/>
                <w:bCs/>
                <w:color w:val="auto"/>
                <w:sz w:val="24"/>
                <w:highlight w:val="none"/>
                <w:vertAlign w:val="superscript"/>
              </w:rPr>
              <w:t>3</w:t>
            </w:r>
            <w:r>
              <w:rPr>
                <w:rFonts w:hint="eastAsia"/>
                <w:b/>
                <w:bCs/>
                <w:color w:val="auto"/>
                <w:sz w:val="24"/>
                <w:highlight w:val="none"/>
              </w:rPr>
              <w:t>/a</w:t>
            </w:r>
          </w:p>
          <w:p w14:paraId="59B14AA3">
            <w:pPr>
              <w:keepNext w:val="0"/>
              <w:keepLines w:val="0"/>
              <w:pageBreakBefore w:val="0"/>
              <w:widowControl w:val="0"/>
              <w:kinsoku/>
              <w:wordWrap/>
              <w:overflowPunct/>
              <w:topLinePunct w:val="0"/>
              <w:autoSpaceDE/>
              <w:autoSpaceDN/>
              <w:bidi w:val="0"/>
              <w:adjustRightInd w:val="0"/>
              <w:snapToGrid w:val="0"/>
              <w:spacing w:line="500" w:lineRule="exact"/>
              <w:ind w:right="0" w:firstLine="482" w:firstLineChars="200"/>
              <w:textAlignment w:val="auto"/>
              <w:rPr>
                <w:rFonts w:hint="eastAsia" w:ascii="Times New Roman" w:hAnsi="Times New Roman" w:eastAsia="宋体" w:cs="宋体"/>
                <w:b/>
                <w:bCs/>
                <w:color w:val="auto"/>
                <w:sz w:val="24"/>
                <w:szCs w:val="24"/>
              </w:rPr>
            </w:pPr>
            <w:r>
              <w:rPr>
                <w:rFonts w:hint="eastAsia" w:cs="宋体"/>
                <w:b/>
                <w:bCs/>
                <w:color w:val="auto"/>
                <w:sz w:val="24"/>
                <w:szCs w:val="24"/>
                <w:lang w:val="en-US" w:eastAsia="zh-CN"/>
              </w:rPr>
              <w:t>8.</w:t>
            </w:r>
            <w:r>
              <w:rPr>
                <w:rFonts w:hint="eastAsia" w:ascii="Times New Roman" w:hAnsi="Times New Roman" w:eastAsia="宋体" w:cs="宋体"/>
                <w:b/>
                <w:bCs/>
                <w:color w:val="auto"/>
                <w:sz w:val="24"/>
                <w:szCs w:val="24"/>
              </w:rPr>
              <w:t>劳动定员及工作制度</w:t>
            </w:r>
          </w:p>
          <w:p w14:paraId="257767BE">
            <w:pPr>
              <w:keepNext w:val="0"/>
              <w:keepLines w:val="0"/>
              <w:pageBreakBefore w:val="0"/>
              <w:widowControl w:val="0"/>
              <w:suppressLineNumbers w:val="0"/>
              <w:kinsoku/>
              <w:wordWrap/>
              <w:overflowPunct/>
              <w:topLinePunct w:val="0"/>
              <w:autoSpaceDE/>
              <w:autoSpaceDN/>
              <w:bidi w:val="0"/>
              <w:adjustRightInd w:val="0"/>
              <w:spacing w:beforeAutospacing="0" w:afterAutospacing="0" w:line="500" w:lineRule="exact"/>
              <w:ind w:left="0" w:right="0" w:firstLine="480" w:firstLineChars="200"/>
              <w:jc w:val="both"/>
              <w:textAlignment w:val="auto"/>
              <w:rPr>
                <w:rFonts w:hint="eastAsia" w:ascii="Times New Roman" w:hAnsi="Times New Roman" w:eastAsia="宋体" w:cs="宋体"/>
                <w:color w:val="auto"/>
                <w:kern w:val="2"/>
                <w:sz w:val="24"/>
                <w:szCs w:val="24"/>
                <w:lang w:val="en-US" w:eastAsia="zh-CN" w:bidi="ar"/>
              </w:rPr>
            </w:pPr>
            <w:bookmarkStart w:id="4" w:name="_Hlk532717925"/>
            <w:r>
              <w:rPr>
                <w:rFonts w:hint="default" w:ascii="Times New Roman" w:hAnsi="Times New Roman" w:eastAsia="宋体" w:cs="宋体"/>
                <w:color w:val="auto"/>
                <w:kern w:val="2"/>
                <w:sz w:val="24"/>
                <w:szCs w:val="24"/>
                <w:lang w:val="en-US" w:eastAsia="zh-CN" w:bidi="ar"/>
              </w:rPr>
              <w:t>项目劳动定员</w:t>
            </w:r>
            <w:r>
              <w:rPr>
                <w:rFonts w:hint="eastAsia" w:cs="宋体"/>
                <w:color w:val="auto"/>
                <w:kern w:val="2"/>
                <w:sz w:val="24"/>
                <w:szCs w:val="24"/>
                <w:lang w:val="en-US" w:eastAsia="zh-CN" w:bidi="ar"/>
              </w:rPr>
              <w:t>638</w:t>
            </w:r>
            <w:r>
              <w:rPr>
                <w:rFonts w:hint="default" w:ascii="Times New Roman" w:hAnsi="Times New Roman" w:eastAsia="宋体" w:cs="宋体"/>
                <w:color w:val="auto"/>
                <w:kern w:val="2"/>
                <w:sz w:val="24"/>
                <w:szCs w:val="24"/>
                <w:lang w:val="en-US" w:eastAsia="zh-CN" w:bidi="ar"/>
              </w:rPr>
              <w:t>人</w:t>
            </w:r>
            <w:r>
              <w:rPr>
                <w:rFonts w:hint="eastAsia" w:cs="宋体"/>
                <w:color w:val="auto"/>
                <w:kern w:val="2"/>
                <w:sz w:val="24"/>
                <w:szCs w:val="24"/>
                <w:lang w:val="en-US" w:eastAsia="zh-CN" w:bidi="ar"/>
              </w:rPr>
              <w:t>，均不在厂内食宿。</w:t>
            </w:r>
            <w:bookmarkEnd w:id="4"/>
            <w:r>
              <w:rPr>
                <w:rFonts w:hint="eastAsia"/>
                <w:color w:val="auto"/>
                <w:sz w:val="24"/>
                <w:szCs w:val="24"/>
                <w:highlight w:val="none"/>
                <w:shd w:val="clear" w:color="auto" w:fill="auto"/>
                <w:lang w:val="en-US" w:eastAsia="zh-CN"/>
              </w:rPr>
              <w:t>工作制度为</w:t>
            </w:r>
            <w:r>
              <w:rPr>
                <w:rFonts w:hint="eastAsia" w:ascii="Times New Roman" w:hAnsi="Times New Roman" w:eastAsia="宋体" w:cs="宋体"/>
                <w:color w:val="auto"/>
                <w:kern w:val="2"/>
                <w:sz w:val="24"/>
                <w:szCs w:val="24"/>
                <w:lang w:val="en-US" w:eastAsia="zh-CN" w:bidi="ar"/>
              </w:rPr>
              <w:t>年生产</w:t>
            </w:r>
            <w:r>
              <w:rPr>
                <w:rFonts w:hint="eastAsia" w:cs="宋体"/>
                <w:color w:val="auto"/>
                <w:kern w:val="2"/>
                <w:sz w:val="24"/>
                <w:szCs w:val="24"/>
                <w:lang w:val="en-US" w:eastAsia="zh-CN" w:bidi="ar"/>
              </w:rPr>
              <w:t>300天，</w:t>
            </w:r>
            <w:r>
              <w:rPr>
                <w:rFonts w:hint="eastAsia" w:ascii="Times New Roman" w:hAnsi="Times New Roman" w:eastAsia="宋体" w:cs="宋体"/>
                <w:color w:val="auto"/>
                <w:kern w:val="2"/>
                <w:sz w:val="24"/>
                <w:szCs w:val="24"/>
                <w:lang w:val="en-US" w:eastAsia="zh-CN" w:bidi="ar"/>
              </w:rPr>
              <w:t>每天生产</w:t>
            </w:r>
            <w:r>
              <w:rPr>
                <w:rFonts w:hint="eastAsia" w:cs="宋体"/>
                <w:color w:val="auto"/>
                <w:kern w:val="2"/>
                <w:sz w:val="24"/>
                <w:szCs w:val="24"/>
                <w:lang w:val="en-US" w:eastAsia="zh-CN" w:bidi="ar"/>
              </w:rPr>
              <w:t>8</w:t>
            </w:r>
            <w:r>
              <w:rPr>
                <w:rFonts w:hint="eastAsia" w:cs="宋体"/>
                <w:color w:val="auto"/>
                <w:kern w:val="2"/>
                <w:sz w:val="24"/>
                <w:szCs w:val="24"/>
                <w:lang w:val="en-US" w:eastAsia="zh-CN" w:bidi="ar"/>
              </w:rPr>
              <w:t>小时</w:t>
            </w:r>
            <w:r>
              <w:rPr>
                <w:rFonts w:hint="eastAsia" w:cs="宋体"/>
                <w:color w:val="auto"/>
                <w:kern w:val="2"/>
                <w:sz w:val="24"/>
                <w:szCs w:val="24"/>
                <w:lang w:val="en-US" w:eastAsia="zh-CN" w:bidi="ar"/>
              </w:rPr>
              <w:t>，每天1班</w:t>
            </w:r>
            <w:r>
              <w:rPr>
                <w:rFonts w:hint="eastAsia" w:ascii="Times New Roman" w:hAnsi="Times New Roman" w:eastAsia="宋体" w:cs="宋体"/>
                <w:color w:val="auto"/>
                <w:kern w:val="2"/>
                <w:sz w:val="24"/>
                <w:szCs w:val="24"/>
                <w:lang w:val="en-US" w:eastAsia="zh-CN" w:bidi="ar"/>
              </w:rPr>
              <w:t>。</w:t>
            </w:r>
          </w:p>
          <w:p w14:paraId="6D22C80D">
            <w:pPr>
              <w:pStyle w:val="55"/>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ind w:right="0" w:firstLine="482" w:firstLineChars="200"/>
              <w:jc w:val="left"/>
              <w:textAlignment w:val="auto"/>
              <w:rPr>
                <w:rFonts w:ascii="Times New Roman" w:hAnsi="Times New Roman" w:eastAsia="宋体" w:cs="宋体"/>
                <w:b/>
                <w:color w:val="auto"/>
                <w:sz w:val="24"/>
                <w:szCs w:val="24"/>
                <w:shd w:val="clear" w:color="auto" w:fill="FFFFFF"/>
              </w:rPr>
            </w:pPr>
            <w:r>
              <w:rPr>
                <w:rFonts w:hint="eastAsia" w:cs="宋体"/>
                <w:b/>
                <w:color w:val="auto"/>
                <w:sz w:val="24"/>
                <w:szCs w:val="24"/>
                <w:shd w:val="clear" w:color="auto" w:fill="FFFFFF"/>
                <w:lang w:val="en-US" w:eastAsia="zh-CN"/>
              </w:rPr>
              <w:t>9.</w:t>
            </w:r>
            <w:r>
              <w:rPr>
                <w:rFonts w:ascii="Times New Roman" w:hAnsi="Times New Roman" w:eastAsia="宋体" w:cs="宋体"/>
                <w:b/>
                <w:color w:val="auto"/>
                <w:sz w:val="24"/>
                <w:szCs w:val="24"/>
                <w:shd w:val="clear" w:color="auto" w:fill="FFFFFF"/>
              </w:rPr>
              <w:t>平面布置图</w:t>
            </w:r>
          </w:p>
          <w:p w14:paraId="4B9072AC">
            <w:pPr>
              <w:pStyle w:val="79"/>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Chars="0" w:right="0" w:firstLine="480" w:firstLineChars="200"/>
              <w:jc w:val="both"/>
              <w:textAlignment w:val="auto"/>
              <w:outlineLvl w:val="9"/>
              <w:rPr>
                <w:rFonts w:hint="default" w:cs="宋体"/>
                <w:color w:val="auto"/>
                <w:sz w:val="24"/>
                <w:szCs w:val="24"/>
                <w:lang w:val="en-US" w:eastAsia="zh-CN"/>
              </w:rPr>
            </w:pPr>
            <w:r>
              <w:rPr>
                <w:rFonts w:hint="eastAsia" w:cs="宋体"/>
                <w:color w:val="auto"/>
                <w:sz w:val="24"/>
                <w:szCs w:val="24"/>
                <w:lang w:val="en-US" w:eastAsia="zh-CN"/>
              </w:rPr>
              <w:t>项目位于柳州市雒容镇秀水二路一号三号厂房1层及二号厂房1层东3跨部分、东4跨部分的厂房，2号厂房位于3号厂房北面，2号厂房内总平面布置为：生产区位于厂房西部，其中焊接区位于生产区东北部，下料加工区位于生产区西部及中部，表面处理区位于生产区中部，喷砂区位于生产区东南角，喷粉区位于表面处理区南面，烘干区位于喷粉区东面，其他位置均为预留空地。3号厂房内总平面布置为：生产区位于厂房西部，原料区位于生产区北面，成品区位于生产区南面，试验区位于厂房东北角，办公室位于厂房东南角。</w:t>
            </w:r>
          </w:p>
          <w:p w14:paraId="5FDEA22D">
            <w:pPr>
              <w:pStyle w:val="79"/>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Chars="0" w:right="0" w:firstLine="480" w:firstLineChars="200"/>
              <w:jc w:val="both"/>
              <w:textAlignment w:val="auto"/>
              <w:outlineLvl w:val="9"/>
              <w:rPr>
                <w:rFonts w:hint="eastAsia"/>
                <w:color w:val="auto"/>
                <w:lang w:val="en-US" w:eastAsia="zh-CN"/>
              </w:rPr>
            </w:pPr>
            <w:r>
              <w:rPr>
                <w:rFonts w:hint="eastAsia" w:ascii="Times New Roman" w:hAnsi="Times New Roman" w:eastAsia="宋体" w:cs="Times New Roman"/>
                <w:color w:val="auto"/>
                <w:sz w:val="24"/>
                <w:highlight w:val="none"/>
                <w:shd w:val="clear" w:color="auto" w:fill="auto"/>
              </w:rPr>
              <w:t>厂区</w:t>
            </w:r>
            <w:r>
              <w:rPr>
                <w:rFonts w:ascii="Times New Roman" w:hAnsi="Times New Roman" w:eastAsia="宋体" w:cs="Times New Roman"/>
                <w:color w:val="auto"/>
                <w:sz w:val="24"/>
                <w:highlight w:val="none"/>
                <w:shd w:val="clear" w:color="auto" w:fill="auto"/>
              </w:rPr>
              <w:t>布局合理</w:t>
            </w:r>
            <w:r>
              <w:rPr>
                <w:rFonts w:hint="eastAsia" w:ascii="Times New Roman" w:hAnsi="Times New Roman" w:eastAsia="宋体" w:cs="Times New Roman"/>
                <w:color w:val="auto"/>
                <w:sz w:val="24"/>
                <w:highlight w:val="none"/>
                <w:shd w:val="clear" w:color="auto" w:fill="auto"/>
              </w:rPr>
              <w:t>、</w:t>
            </w:r>
            <w:r>
              <w:rPr>
                <w:rFonts w:ascii="Times New Roman" w:hAnsi="Times New Roman" w:eastAsia="宋体" w:cs="Times New Roman"/>
                <w:color w:val="auto"/>
                <w:sz w:val="24"/>
                <w:highlight w:val="none"/>
                <w:shd w:val="clear" w:color="auto" w:fill="auto"/>
              </w:rPr>
              <w:t>交通流畅</w:t>
            </w:r>
            <w:r>
              <w:rPr>
                <w:rFonts w:hint="eastAsia" w:ascii="Times New Roman" w:hAnsi="Times New Roman" w:eastAsia="宋体" w:cs="Times New Roman"/>
                <w:color w:val="auto"/>
                <w:sz w:val="24"/>
                <w:highlight w:val="none"/>
                <w:shd w:val="clear" w:color="auto" w:fill="auto"/>
              </w:rPr>
              <w:t>、</w:t>
            </w:r>
            <w:r>
              <w:rPr>
                <w:rFonts w:ascii="Times New Roman" w:hAnsi="Times New Roman" w:eastAsia="宋体" w:cs="Times New Roman"/>
                <w:color w:val="auto"/>
                <w:sz w:val="24"/>
                <w:highlight w:val="none"/>
                <w:shd w:val="clear" w:color="auto" w:fill="auto"/>
              </w:rPr>
              <w:t>分区明确，</w:t>
            </w:r>
            <w:r>
              <w:rPr>
                <w:rFonts w:hint="eastAsia" w:ascii="Times New Roman" w:hAnsi="Times New Roman" w:eastAsia="宋体" w:cs="Times New Roman"/>
                <w:color w:val="auto"/>
                <w:sz w:val="24"/>
                <w:highlight w:val="none"/>
                <w:shd w:val="clear" w:color="auto" w:fill="auto"/>
              </w:rPr>
              <w:t>厂区平面布置合理</w:t>
            </w:r>
            <w:r>
              <w:rPr>
                <w:rFonts w:ascii="Times New Roman" w:hAnsi="Times New Roman" w:eastAsia="宋体" w:cs="Times New Roman"/>
                <w:color w:val="auto"/>
                <w:sz w:val="24"/>
                <w:highlight w:val="none"/>
                <w:shd w:val="clear" w:color="auto" w:fill="auto"/>
              </w:rPr>
              <w:t>。项目总平面示意图见附图</w:t>
            </w:r>
            <w:r>
              <w:rPr>
                <w:rFonts w:hint="eastAsia" w:ascii="Times New Roman" w:hAnsi="Times New Roman" w:eastAsia="宋体" w:cs="Times New Roman"/>
                <w:color w:val="auto"/>
                <w:sz w:val="24"/>
                <w:highlight w:val="none"/>
                <w:shd w:val="clear" w:color="auto" w:fill="auto"/>
                <w:lang w:val="en-US" w:eastAsia="zh-CN"/>
              </w:rPr>
              <w:t>2</w:t>
            </w:r>
            <w:r>
              <w:rPr>
                <w:rFonts w:hint="default" w:ascii="Times New Roman" w:hAnsi="Times New Roman" w:eastAsia="宋体" w:cs="宋体"/>
                <w:color w:val="auto"/>
                <w:sz w:val="24"/>
                <w:szCs w:val="24"/>
                <w:lang w:eastAsia="zh-CN"/>
              </w:rPr>
              <w:t>。</w:t>
            </w:r>
          </w:p>
        </w:tc>
      </w:tr>
      <w:tr w14:paraId="05C4A7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22" w:type="dxa"/>
            <w:noWrap w:val="0"/>
            <w:vAlign w:val="center"/>
          </w:tcPr>
          <w:p w14:paraId="714049B0">
            <w:pPr>
              <w:pStyle w:val="34"/>
              <w:adjustRightInd w:val="0"/>
              <w:snapToGrid w:val="0"/>
              <w:spacing w:before="0" w:beforeAutospacing="0" w:after="0" w:afterAutospacing="0"/>
              <w:jc w:val="center"/>
              <w:rPr>
                <w:rFonts w:cs="宋体"/>
                <w:color w:val="auto"/>
                <w:sz w:val="21"/>
                <w:szCs w:val="21"/>
              </w:rPr>
            </w:pPr>
            <w:r>
              <w:rPr>
                <w:rFonts w:hint="eastAsia" w:cs="宋体"/>
                <w:color w:val="auto"/>
                <w:sz w:val="21"/>
                <w:szCs w:val="21"/>
              </w:rPr>
              <w:t>工艺流程和产排污环节</w:t>
            </w:r>
          </w:p>
        </w:tc>
        <w:tc>
          <w:tcPr>
            <w:tcW w:w="8338" w:type="dxa"/>
            <w:noWrap w:val="0"/>
            <w:vAlign w:val="top"/>
          </w:tcPr>
          <w:p w14:paraId="5437ABB8">
            <w:pPr>
              <w:adjustRightInd w:val="0"/>
              <w:snapToGrid w:val="0"/>
              <w:spacing w:line="500" w:lineRule="atLeast"/>
              <w:ind w:firstLine="482"/>
              <w:rPr>
                <w:b/>
                <w:bCs/>
                <w:color w:val="auto"/>
                <w:sz w:val="24"/>
                <w:szCs w:val="24"/>
                <w:highlight w:val="none"/>
              </w:rPr>
            </w:pPr>
            <w:r>
              <w:rPr>
                <w:b/>
                <w:bCs/>
                <w:color w:val="auto"/>
                <w:sz w:val="24"/>
                <w:szCs w:val="24"/>
                <w:highlight w:val="none"/>
              </w:rPr>
              <w:t>一、施工期</w:t>
            </w:r>
          </w:p>
          <w:p w14:paraId="036A6F15">
            <w:pPr>
              <w:adjustRightInd w:val="0"/>
              <w:snapToGrid w:val="0"/>
              <w:spacing w:line="500" w:lineRule="atLeast"/>
              <w:ind w:firstLine="420" w:firstLineChars="200"/>
              <w:jc w:val="center"/>
              <w:rPr>
                <w:color w:val="auto"/>
                <w:highlight w:val="none"/>
              </w:rPr>
            </w:pPr>
            <w:r>
              <w:rPr>
                <w:color w:val="auto"/>
                <w:highlight w:val="none"/>
              </w:rPr>
              <w:object>
                <v:shape id="_x0000_i1030" o:spt="75" type="#_x0000_t75" style="height:155.9pt;width:334.2pt;" o:ole="t" filled="f" o:preferrelative="t" stroked="f" coordsize="21600,21600">
                  <v:path/>
                  <v:fill on="f" focussize="0,0"/>
                  <v:stroke on="f"/>
                  <v:imagedata r:id="rId32" o:title=""/>
                  <o:lock v:ext="edit" aspectratio="f"/>
                  <w10:wrap type="none"/>
                  <w10:anchorlock/>
                </v:shape>
                <o:OLEObject Type="Embed" ProgID="Visio.Drawing.11" ShapeID="_x0000_i1030" DrawAspect="Content" ObjectID="_1468075730" r:id="rId31">
                  <o:LockedField>false</o:LockedField>
                </o:OLEObject>
              </w:object>
            </w:r>
          </w:p>
          <w:p w14:paraId="476BFD48">
            <w:pPr>
              <w:adjustRightInd w:val="0"/>
              <w:snapToGrid w:val="0"/>
              <w:spacing w:line="500" w:lineRule="atLeast"/>
              <w:ind w:firstLine="482" w:firstLineChars="200"/>
              <w:jc w:val="center"/>
              <w:rPr>
                <w:rFonts w:eastAsia="宋体"/>
                <w:b/>
                <w:bCs/>
                <w:color w:val="auto"/>
                <w:sz w:val="24"/>
                <w:szCs w:val="24"/>
                <w:highlight w:val="none"/>
              </w:rPr>
            </w:pPr>
            <w:r>
              <w:rPr>
                <w:rFonts w:eastAsia="宋体"/>
                <w:b/>
                <w:bCs/>
                <w:color w:val="auto"/>
                <w:sz w:val="24"/>
                <w:szCs w:val="24"/>
                <w:highlight w:val="none"/>
              </w:rPr>
              <w:t>图2-</w:t>
            </w:r>
            <w:r>
              <w:rPr>
                <w:rFonts w:hint="eastAsia"/>
                <w:b/>
                <w:bCs/>
                <w:color w:val="auto"/>
                <w:sz w:val="24"/>
                <w:szCs w:val="24"/>
                <w:highlight w:val="none"/>
                <w:lang w:val="en-US" w:eastAsia="zh-CN"/>
              </w:rPr>
              <w:t>5</w:t>
            </w:r>
            <w:r>
              <w:rPr>
                <w:rFonts w:eastAsia="宋体"/>
                <w:b/>
                <w:bCs/>
                <w:color w:val="auto"/>
                <w:sz w:val="24"/>
                <w:szCs w:val="24"/>
                <w:highlight w:val="none"/>
              </w:rPr>
              <w:t>施工期工艺流程及产</w:t>
            </w:r>
            <w:r>
              <w:rPr>
                <w:rFonts w:hint="eastAsia"/>
                <w:b/>
                <w:bCs/>
                <w:color w:val="auto"/>
                <w:sz w:val="24"/>
                <w:szCs w:val="24"/>
                <w:highlight w:val="none"/>
                <w:lang w:val="en-US" w:eastAsia="zh-CN"/>
              </w:rPr>
              <w:t>污</w:t>
            </w:r>
            <w:r>
              <w:rPr>
                <w:rFonts w:eastAsia="宋体"/>
                <w:b/>
                <w:bCs/>
                <w:color w:val="auto"/>
                <w:sz w:val="24"/>
                <w:szCs w:val="24"/>
                <w:highlight w:val="none"/>
              </w:rPr>
              <w:t>环节示意图</w:t>
            </w:r>
          </w:p>
          <w:p w14:paraId="2F3E5502">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color w:val="auto"/>
                <w:sz w:val="24"/>
                <w:szCs w:val="24"/>
                <w:lang w:val="en-US" w:eastAsia="zh-CN"/>
              </w:rPr>
            </w:pPr>
            <w:r>
              <w:rPr>
                <w:color w:val="auto"/>
                <w:sz w:val="24"/>
                <w:szCs w:val="24"/>
              </w:rPr>
              <w:t>项目施工期</w:t>
            </w:r>
            <w:r>
              <w:rPr>
                <w:rFonts w:hint="eastAsia"/>
                <w:color w:val="auto"/>
                <w:sz w:val="24"/>
                <w:szCs w:val="24"/>
                <w:lang w:val="en-US" w:eastAsia="zh-CN"/>
              </w:rPr>
              <w:t>分为两个阶段：项目施工期主要分为两个阶段：场地清理、项目工程建设及设备安装。将施工区场地清理平整后，</w:t>
            </w:r>
            <w:r>
              <w:rPr>
                <w:rFonts w:hint="eastAsia" w:ascii="宋体" w:hAnsi="宋体" w:eastAsia="宋体" w:cs="宋体"/>
                <w:color w:val="auto"/>
                <w:sz w:val="24"/>
                <w:szCs w:val="24"/>
                <w:lang w:val="en-US" w:eastAsia="zh-CN"/>
              </w:rPr>
              <w:t>将生产设备按照设计位置进行安装</w:t>
            </w:r>
            <w:r>
              <w:rPr>
                <w:rFonts w:hint="eastAsia" w:ascii="宋体" w:hAnsi="宋体" w:cs="宋体"/>
                <w:color w:val="auto"/>
                <w:sz w:val="24"/>
                <w:szCs w:val="24"/>
                <w:lang w:val="en-US" w:eastAsia="zh-CN"/>
              </w:rPr>
              <w:t>，污水处理站采用地面式一体化设备，无需土建开挖，直接安装即可</w:t>
            </w:r>
            <w:r>
              <w:rPr>
                <w:rFonts w:hint="eastAsia" w:ascii="宋体" w:hAnsi="宋体" w:eastAsia="宋体" w:cs="宋体"/>
                <w:color w:val="auto"/>
                <w:sz w:val="24"/>
                <w:szCs w:val="24"/>
                <w:lang w:val="en-US" w:eastAsia="zh-CN"/>
              </w:rPr>
              <w:t>，</w:t>
            </w:r>
            <w:r>
              <w:rPr>
                <w:rFonts w:hint="eastAsia"/>
                <w:color w:val="auto"/>
                <w:sz w:val="24"/>
                <w:szCs w:val="24"/>
                <w:lang w:val="en-US" w:eastAsia="zh-CN"/>
              </w:rPr>
              <w:t>施工过程中产生的污染主要是少量的废气、废水、噪声、固体废物。</w:t>
            </w:r>
          </w:p>
          <w:p w14:paraId="0B6EB2B1">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82" w:firstLineChars="200"/>
              <w:textAlignment w:val="auto"/>
              <w:rPr>
                <w:rFonts w:hint="eastAsia"/>
                <w:b/>
                <w:bCs/>
                <w:color w:val="auto"/>
                <w:sz w:val="24"/>
                <w:szCs w:val="24"/>
                <w:lang w:val="en-US" w:eastAsia="zh-CN"/>
              </w:rPr>
            </w:pPr>
          </w:p>
          <w:p w14:paraId="569D9771">
            <w:pPr>
              <w:keepNext w:val="0"/>
              <w:keepLines w:val="0"/>
              <w:pageBreakBefore w:val="0"/>
              <w:widowControl w:val="0"/>
              <w:numPr>
                <w:ilvl w:val="0"/>
                <w:numId w:val="7"/>
              </w:numPr>
              <w:kinsoku/>
              <w:wordWrap/>
              <w:overflowPunct/>
              <w:topLinePunct w:val="0"/>
              <w:autoSpaceDE/>
              <w:autoSpaceDN/>
              <w:bidi w:val="0"/>
              <w:adjustRightInd/>
              <w:snapToGrid w:val="0"/>
              <w:spacing w:line="500" w:lineRule="exact"/>
              <w:ind w:firstLine="482" w:firstLineChars="200"/>
              <w:textAlignment w:val="auto"/>
              <w:rPr>
                <w:b/>
                <w:color w:val="auto"/>
                <w:sz w:val="24"/>
                <w:szCs w:val="24"/>
                <w:shd w:val="clear" w:color="auto" w:fill="auto"/>
              </w:rPr>
            </w:pPr>
            <w:r>
              <w:rPr>
                <w:b/>
                <w:color w:val="auto"/>
                <w:sz w:val="24"/>
                <w:szCs w:val="24"/>
                <w:shd w:val="clear" w:color="auto" w:fill="auto"/>
              </w:rPr>
              <w:t>运营期</w:t>
            </w:r>
          </w:p>
          <w:p w14:paraId="73D9F8DB">
            <w:pPr>
              <w:keepNext w:val="0"/>
              <w:keepLines w:val="0"/>
              <w:pageBreakBefore w:val="0"/>
              <w:widowControl w:val="0"/>
              <w:numPr>
                <w:ilvl w:val="0"/>
                <w:numId w:val="0"/>
              </w:numPr>
              <w:kinsoku/>
              <w:wordWrap/>
              <w:overflowPunct/>
              <w:topLinePunct w:val="0"/>
              <w:autoSpaceDE/>
              <w:autoSpaceDN/>
              <w:bidi w:val="0"/>
              <w:adjustRightInd/>
              <w:spacing w:line="500" w:lineRule="exact"/>
              <w:ind w:firstLine="480" w:firstLineChars="200"/>
              <w:textAlignment w:val="auto"/>
              <w:rPr>
                <w:color w:val="auto"/>
                <w:sz w:val="24"/>
                <w:szCs w:val="24"/>
                <w:shd w:val="clear" w:color="auto" w:fill="auto"/>
              </w:rPr>
            </w:pPr>
            <w:r>
              <w:rPr>
                <w:rFonts w:ascii="Times New Roman" w:hAnsi="Times New Roman" w:eastAsia="宋体" w:cs="Times New Roman"/>
                <w:color w:val="auto"/>
                <w:kern w:val="2"/>
                <w:sz w:val="24"/>
                <w:szCs w:val="24"/>
                <w:shd w:val="clear" w:fill="auto"/>
                <w:lang w:val="en-US" w:eastAsia="zh-CN" w:bidi="ar-SA"/>
              </w:rPr>
              <w:t>1、</w:t>
            </w:r>
            <w:r>
              <w:rPr>
                <w:color w:val="auto"/>
                <w:sz w:val="24"/>
                <w:szCs w:val="24"/>
                <w:shd w:val="clear" w:color="auto" w:fill="auto"/>
              </w:rPr>
              <w:t>项目生产工艺流程及产污环节</w:t>
            </w:r>
          </w:p>
          <w:p w14:paraId="6216ED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bCs/>
                <w:color w:val="auto"/>
                <w:sz w:val="24"/>
                <w:szCs w:val="24"/>
                <w:lang w:val="en-US" w:eastAsia="zh-CN"/>
              </w:rPr>
            </w:pPr>
            <w:r>
              <w:rPr>
                <w:rFonts w:hint="default" w:ascii="Times New Roman" w:hAnsi="Times New Roman" w:cs="Times New Roman"/>
                <w:b/>
                <w:bCs/>
                <w:color w:val="auto"/>
                <w:sz w:val="24"/>
                <w:lang w:val="en-US" w:eastAsia="zh-CN"/>
              </w:rPr>
              <w:object>
                <v:shape id="_x0000_i1031" o:spt="75" type="#_x0000_t75" style="height:583.25pt;width:402.7pt;" o:ole="t" filled="f" o:preferrelative="t" stroked="f" coordsize="21600,21600">
                  <v:path/>
                  <v:fill on="f" focussize="0,0"/>
                  <v:stroke on="f"/>
                  <v:imagedata r:id="rId34" o:title=""/>
                  <o:lock v:ext="edit" aspectratio="f"/>
                  <w10:wrap type="none"/>
                  <w10:anchorlock/>
                </v:shape>
                <o:OLEObject Type="Embed" ProgID="Visio.Drawing.11" ShapeID="_x0000_i1031" DrawAspect="Content" ObjectID="_1468075731" r:id="rId33">
                  <o:LockedField>false</o:LockedField>
                </o:OLEObject>
              </w:object>
            </w:r>
            <w:r>
              <w:rPr>
                <w:rFonts w:hint="eastAsia" w:cs="Times New Roman"/>
                <w:b/>
                <w:bCs/>
                <w:color w:val="auto"/>
                <w:sz w:val="24"/>
                <w:lang w:val="en-US" w:eastAsia="zh-CN"/>
              </w:rPr>
              <w:t>图2-6 项目运营期生产工艺流程及产污环节示意图</w:t>
            </w:r>
          </w:p>
          <w:p w14:paraId="2CC77FC7">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hint="default"/>
                <w:b/>
                <w:bCs/>
                <w:color w:val="auto"/>
                <w:sz w:val="24"/>
                <w:szCs w:val="24"/>
                <w:lang w:val="en-US" w:eastAsia="zh-CN"/>
              </w:rPr>
            </w:pPr>
            <w:r>
              <w:rPr>
                <w:rFonts w:hint="default"/>
                <w:b/>
                <w:bCs/>
                <w:color w:val="auto"/>
                <w:sz w:val="24"/>
                <w:szCs w:val="24"/>
                <w:lang w:val="en-US" w:eastAsia="zh-CN"/>
              </w:rPr>
              <w:t>工艺流程简述</w:t>
            </w:r>
            <w:r>
              <w:rPr>
                <w:rFonts w:hint="eastAsia"/>
                <w:b/>
                <w:bCs/>
                <w:color w:val="auto"/>
                <w:sz w:val="24"/>
                <w:szCs w:val="24"/>
                <w:lang w:val="en-US" w:eastAsia="zh-CN"/>
              </w:rPr>
              <w:t>：</w:t>
            </w:r>
          </w:p>
          <w:p w14:paraId="4F03404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rPr>
              <w:t>①</w:t>
            </w:r>
            <w:r>
              <w:rPr>
                <w:rFonts w:hint="eastAsia" w:cs="Times New Roman"/>
                <w:color w:val="auto"/>
                <w:sz w:val="24"/>
                <w:lang w:val="en-US" w:eastAsia="zh-CN"/>
              </w:rPr>
              <w:t>去毛刺、切管、弯管、管端加工、钻孔压扁、检验</w:t>
            </w:r>
            <w:r>
              <w:rPr>
                <w:rFonts w:hint="default" w:ascii="Times New Roman" w:hAnsi="Times New Roman" w:cs="Times New Roman"/>
                <w:color w:val="auto"/>
                <w:sz w:val="24"/>
              </w:rPr>
              <w:t>：</w:t>
            </w:r>
            <w:r>
              <w:rPr>
                <w:rFonts w:hint="eastAsia" w:cs="Times New Roman"/>
                <w:color w:val="auto"/>
                <w:sz w:val="24"/>
                <w:lang w:val="en-US" w:eastAsia="zh-CN"/>
              </w:rPr>
              <w:t>管材通过人工将边角的毛刺去除，利用切割机将管材切割成需要的长短形状，通过弯管机、缩管机及倒角机将管材塑性变形，将不同管材进行压扁或者钻孔，完成机加工的管材进行人工检验。该过程产生设备噪声N1-N4、</w:t>
            </w:r>
            <w:r>
              <w:rPr>
                <w:rFonts w:hint="eastAsia" w:cs="Times New Roman"/>
                <w:color w:val="auto"/>
                <w:sz w:val="24"/>
                <w:lang w:val="en-US" w:eastAsia="zh-CN"/>
              </w:rPr>
              <w:t>金属碎屑及边角料S1-S4</w:t>
            </w:r>
            <w:r>
              <w:rPr>
                <w:rFonts w:hint="eastAsia" w:cs="Times New Roman"/>
                <w:color w:val="auto"/>
                <w:sz w:val="24"/>
                <w:lang w:val="en-US" w:eastAsia="zh-CN"/>
              </w:rPr>
              <w:t>、机加工废气</w:t>
            </w:r>
            <w:r>
              <w:rPr>
                <w:rFonts w:hint="eastAsia" w:cs="Times New Roman"/>
                <w:color w:val="auto"/>
                <w:sz w:val="24"/>
                <w:lang w:val="en-US" w:eastAsia="zh-CN"/>
              </w:rPr>
              <w:t>G1-G4（主要污染物颗粒物）</w:t>
            </w:r>
            <w:r>
              <w:rPr>
                <w:rFonts w:hint="eastAsia" w:cs="Times New Roman"/>
                <w:color w:val="auto"/>
                <w:sz w:val="24"/>
                <w:lang w:val="en-US" w:eastAsia="zh-CN"/>
              </w:rPr>
              <w:t>，</w:t>
            </w:r>
            <w:r>
              <w:rPr>
                <w:rFonts w:hint="eastAsia" w:cs="Times New Roman"/>
                <w:color w:val="auto"/>
                <w:sz w:val="24"/>
                <w:lang w:val="en-US" w:eastAsia="zh-CN"/>
              </w:rPr>
              <w:t>机加工废气经集气罩收集通过移动烟尘净化器处理无组织排放</w:t>
            </w:r>
            <w:r>
              <w:rPr>
                <w:rFonts w:hint="eastAsia"/>
                <w:color w:val="auto"/>
                <w:sz w:val="24"/>
                <w:highlight w:val="none"/>
                <w:lang w:val="en-US" w:eastAsia="zh-CN"/>
              </w:rPr>
              <w:t>。</w:t>
            </w:r>
          </w:p>
          <w:p w14:paraId="1C10130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②组合拼装、焊接、清理、检验：完成机加工的管件送入焊接工段，将不同型号的管材进行组合拼装，利用焊丝将组合管材焊接，焊接过程均为自动机器焊接，由人工将工件表面碎屑清理干净，清理后进行产品检验。该过程产生设备噪声N5-N9、焊渣S5、</w:t>
            </w:r>
            <w:r>
              <w:rPr>
                <w:rFonts w:hint="eastAsia" w:cs="Times New Roman"/>
                <w:color w:val="auto"/>
                <w:sz w:val="24"/>
                <w:lang w:val="en-US" w:eastAsia="zh-CN"/>
              </w:rPr>
              <w:t>金属碎屑及边角料</w:t>
            </w:r>
            <w:r>
              <w:rPr>
                <w:rFonts w:hint="eastAsia" w:cs="Times New Roman"/>
                <w:color w:val="auto"/>
                <w:sz w:val="24"/>
                <w:lang w:val="en-US" w:eastAsia="zh-CN"/>
              </w:rPr>
              <w:t>S6、</w:t>
            </w:r>
            <w:r>
              <w:rPr>
                <w:rFonts w:hint="eastAsia" w:cs="Times New Roman"/>
                <w:color w:val="auto"/>
                <w:sz w:val="24"/>
                <w:lang w:val="en-US" w:eastAsia="zh-CN"/>
              </w:rPr>
              <w:t>不合格产品S7</w:t>
            </w:r>
            <w:r>
              <w:rPr>
                <w:rFonts w:hint="eastAsia" w:cs="Times New Roman"/>
                <w:color w:val="auto"/>
                <w:sz w:val="24"/>
                <w:lang w:val="en-US" w:eastAsia="zh-CN"/>
              </w:rPr>
              <w:t>、焊接废气G5（主要污染物颗粒物），焊接废气经移动式烟尘净化器处理通过15mDA001排气筒排放，</w:t>
            </w:r>
            <w:r>
              <w:rPr>
                <w:rFonts w:hint="eastAsia" w:cs="Times New Roman"/>
                <w:color w:val="auto"/>
                <w:sz w:val="24"/>
                <w:lang w:val="en-US" w:eastAsia="zh-CN"/>
              </w:rPr>
              <w:t>未收集废气通风自然排放。</w:t>
            </w:r>
          </w:p>
          <w:p w14:paraId="7DBF029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cs="Times New Roman"/>
                <w:color w:val="auto"/>
                <w:sz w:val="24"/>
                <w:lang w:val="en-US" w:eastAsia="zh-CN"/>
              </w:rPr>
            </w:pPr>
            <w:r>
              <w:rPr>
                <w:rFonts w:hint="eastAsia" w:cs="Times New Roman"/>
                <w:color w:val="auto"/>
                <w:sz w:val="24"/>
                <w:lang w:val="en-US" w:eastAsia="zh-CN"/>
              </w:rPr>
              <w:t>③喷砂、入库：利用高压空气和管道将砂粒吹到工件表面除掉金属表面锈和氧化皮，以增强后续涂层附着力，完成加工的管件入库暂存。该过程产生喷砂粉尘G6</w:t>
            </w:r>
            <w:r>
              <w:rPr>
                <w:rFonts w:hint="eastAsia" w:cs="Times New Roman"/>
                <w:color w:val="auto"/>
                <w:sz w:val="24"/>
                <w:lang w:val="en-US" w:eastAsia="zh-CN"/>
              </w:rPr>
              <w:t>（主要污染物颗粒物）</w:t>
            </w:r>
            <w:r>
              <w:rPr>
                <w:rFonts w:hint="eastAsia" w:cs="Times New Roman"/>
                <w:color w:val="auto"/>
                <w:sz w:val="24"/>
                <w:lang w:val="en-US" w:eastAsia="zh-CN"/>
              </w:rPr>
              <w:t>、设备噪声N10；</w:t>
            </w:r>
            <w:r>
              <w:rPr>
                <w:rFonts w:hint="eastAsia" w:cs="Times New Roman"/>
                <w:color w:val="auto"/>
                <w:sz w:val="24"/>
                <w:lang w:val="en-US" w:eastAsia="zh-CN"/>
              </w:rPr>
              <w:t>喷砂设备为密闭状态，设置负压集气装置收集喷砂废气，经水喷淋塔+二级活性炭</w:t>
            </w:r>
            <w:r>
              <w:rPr>
                <w:rFonts w:hint="eastAsia" w:cs="Times New Roman"/>
                <w:color w:val="auto"/>
                <w:sz w:val="24"/>
                <w:szCs w:val="24"/>
                <w:lang w:val="en-US" w:eastAsia="zh-CN"/>
              </w:rPr>
              <w:t>（含干式过滤棉）</w:t>
            </w:r>
            <w:r>
              <w:rPr>
                <w:rFonts w:hint="eastAsia" w:cs="Times New Roman"/>
                <w:color w:val="auto"/>
                <w:sz w:val="24"/>
                <w:lang w:val="en-US" w:eastAsia="zh-CN"/>
              </w:rPr>
              <w:t>装置处理后通过15mDA002排气筒排放。</w:t>
            </w:r>
          </w:p>
          <w:p w14:paraId="4875636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b w:val="0"/>
                <w:bCs w:val="0"/>
                <w:color w:val="auto"/>
                <w:sz w:val="24"/>
                <w:highlight w:val="none"/>
                <w:u w:val="none"/>
                <w:lang w:val="en-US" w:eastAsia="zh-CN"/>
              </w:rPr>
            </w:pPr>
            <w:r>
              <w:rPr>
                <w:rFonts w:hint="eastAsia" w:cs="Times New Roman"/>
                <w:color w:val="auto"/>
                <w:sz w:val="24"/>
                <w:lang w:val="en-US" w:eastAsia="zh-CN"/>
              </w:rPr>
              <w:t>④热水洗、预脱脂、脱脂、喷淋浸洗：项目脱脂包括热水洗、预脱脂、脱脂，采用化学脱脂除油技术，在加热条件下（采用瓶装液化石油气用</w:t>
            </w:r>
            <w:r>
              <w:rPr>
                <w:rFonts w:hint="eastAsia"/>
                <w:color w:val="auto"/>
                <w:lang w:eastAsia="zh-CN"/>
              </w:rPr>
              <w:t>，</w:t>
            </w:r>
            <w:r>
              <w:rPr>
                <w:rFonts w:hint="eastAsia"/>
                <w:color w:val="auto"/>
                <w:sz w:val="24"/>
                <w:szCs w:val="24"/>
              </w:rPr>
              <w:t>燃烧石油气</w:t>
            </w:r>
            <w:r>
              <w:rPr>
                <w:rFonts w:hint="eastAsia"/>
                <w:color w:val="auto"/>
                <w:sz w:val="24"/>
                <w:szCs w:val="24"/>
                <w:lang w:val="en-US" w:eastAsia="zh-CN"/>
              </w:rPr>
              <w:t>产生热能，供应</w:t>
            </w:r>
            <w:r>
              <w:rPr>
                <w:rFonts w:hint="eastAsia" w:cs="Times New Roman"/>
                <w:color w:val="auto"/>
                <w:sz w:val="24"/>
                <w:lang w:val="en-US" w:eastAsia="zh-CN"/>
              </w:rPr>
              <w:t>电泳烘干室间接烘干，烘干后的高温</w:t>
            </w:r>
            <w:r>
              <w:rPr>
                <w:rFonts w:hint="eastAsia" w:cs="Times New Roman"/>
                <w:color w:val="auto"/>
                <w:sz w:val="24"/>
                <w:lang w:val="en-US" w:eastAsia="zh-CN"/>
              </w:rPr>
              <w:t>（温度约180℃）</w:t>
            </w:r>
            <w:r>
              <w:rPr>
                <w:rFonts w:hint="eastAsia" w:cs="Times New Roman"/>
                <w:color w:val="auto"/>
                <w:sz w:val="24"/>
                <w:lang w:val="en-US" w:eastAsia="zh-CN"/>
              </w:rPr>
              <w:t>经过余热回收装置，用于本工段槽液间接加热</w:t>
            </w:r>
            <w:r>
              <w:rPr>
                <w:rFonts w:hint="eastAsia" w:cs="Times New Roman"/>
                <w:color w:val="auto"/>
                <w:sz w:val="24"/>
                <w:lang w:val="en-US" w:eastAsia="zh-CN"/>
              </w:rPr>
              <w:t>），</w:t>
            </w:r>
            <w:r>
              <w:rPr>
                <w:rFonts w:hint="eastAsia" w:cs="Times New Roman"/>
                <w:color w:val="auto"/>
                <w:sz w:val="24"/>
                <w:lang w:val="en-US" w:eastAsia="zh-CN"/>
              </w:rPr>
              <w:t>脱脂工序操作温度为30～50℃</w:t>
            </w:r>
            <w:r>
              <w:rPr>
                <w:rFonts w:hint="eastAsia" w:cs="Times New Roman"/>
                <w:color w:val="auto"/>
                <w:sz w:val="24"/>
                <w:lang w:val="en-US" w:eastAsia="zh-CN"/>
              </w:rPr>
              <w:t>，利用碱性脱脂剂中碱的皂化作用去除工件表面油污的过程。碱性溶液在高温条件下与可皂化性油脂发生皂化反应，生成可溶性的肥皂和甘油，从而去除镀件表面的油污。</w:t>
            </w:r>
          </w:p>
          <w:p w14:paraId="717350C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b w:val="0"/>
                <w:bCs w:val="0"/>
                <w:color w:val="auto"/>
                <w:sz w:val="24"/>
                <w:highlight w:val="none"/>
                <w:u w:val="none"/>
                <w:lang w:val="en-US" w:eastAsia="zh-CN"/>
              </w:rPr>
            </w:pPr>
            <w:r>
              <w:rPr>
                <w:rFonts w:hint="eastAsia"/>
                <w:b w:val="0"/>
                <w:bCs w:val="0"/>
                <w:color w:val="auto"/>
                <w:sz w:val="24"/>
                <w:highlight w:val="none"/>
                <w:u w:val="none"/>
                <w:lang w:val="en-US" w:eastAsia="zh-CN"/>
              </w:rPr>
              <w:t>完成脱脂后，使用水喷淋一遍，再用水深度浸洗一遍，最后用水喷淋一遍，彻底去除零件表面的碱液。该过程产生设备噪声N11-N14、脱脂废水W1、脱脂槽渣S8-S9，</w:t>
            </w:r>
            <w:r>
              <w:rPr>
                <w:rFonts w:hint="eastAsia"/>
                <w:b w:val="0"/>
                <w:bCs w:val="0"/>
                <w:color w:val="auto"/>
                <w:sz w:val="24"/>
                <w:highlight w:val="none"/>
                <w:u w:val="none"/>
                <w:lang w:val="en-US" w:eastAsia="zh-CN"/>
              </w:rPr>
              <w:t>脱脂废水排入厂内污水处理站处理；脱脂槽槽液循环使用，不外排，定期补充水量，脱脂后清洗水槽每周排放一次。</w:t>
            </w:r>
          </w:p>
          <w:p w14:paraId="571F4A8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b w:val="0"/>
                <w:bCs w:val="0"/>
                <w:color w:val="auto"/>
                <w:sz w:val="24"/>
                <w:highlight w:val="none"/>
                <w:u w:val="none"/>
                <w:lang w:val="en-US" w:eastAsia="zh-CN"/>
              </w:rPr>
            </w:pPr>
            <w:r>
              <w:rPr>
                <w:rFonts w:hint="eastAsia"/>
                <w:b w:val="0"/>
                <w:bCs w:val="0"/>
                <w:color w:val="auto"/>
                <w:sz w:val="24"/>
                <w:highlight w:val="none"/>
                <w:u w:val="none"/>
                <w:lang w:val="en-US" w:eastAsia="zh-CN"/>
              </w:rPr>
              <w:t>④表调喷淋、浸泡磷化、喷淋浸洗、滴水：磷化之前需要对工件进行表调，表调在室温下操作，表调即对工件表面的状态进行调整，经表调处理后工件表面可形成均匀有序的网状结晶，为后续磷化层提供平台。磷化是一种化学与电化学反应形成磷酸盐化学转化膜的过程，所形成的磷酸盐转化膜称为磷化膜，磷化的目的主要是为基体金属提供保护，在一定程度上防止金属被腐蚀。</w:t>
            </w:r>
          </w:p>
          <w:p w14:paraId="21EB2E9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b w:val="0"/>
                <w:bCs w:val="0"/>
                <w:color w:val="auto"/>
                <w:sz w:val="24"/>
                <w:highlight w:val="none"/>
                <w:u w:val="none"/>
                <w:lang w:val="en-US" w:eastAsia="zh-CN"/>
              </w:rPr>
            </w:pPr>
            <w:r>
              <w:rPr>
                <w:rFonts w:hint="eastAsia"/>
                <w:b w:val="0"/>
                <w:bCs w:val="0"/>
                <w:color w:val="auto"/>
                <w:sz w:val="24"/>
                <w:highlight w:val="none"/>
                <w:u w:val="none"/>
                <w:lang w:val="en-US" w:eastAsia="zh-CN"/>
              </w:rPr>
              <w:t>完成磷化加工后，</w:t>
            </w:r>
            <w:r>
              <w:rPr>
                <w:rFonts w:hint="eastAsia"/>
                <w:b w:val="0"/>
                <w:bCs w:val="0"/>
                <w:color w:val="auto"/>
                <w:sz w:val="24"/>
                <w:highlight w:val="none"/>
                <w:u w:val="none"/>
                <w:lang w:val="en-US" w:eastAsia="zh-CN"/>
              </w:rPr>
              <w:t>进行两次纯水喷淋</w:t>
            </w:r>
            <w:r>
              <w:rPr>
                <w:rFonts w:hint="eastAsia"/>
                <w:b w:val="0"/>
                <w:bCs w:val="0"/>
                <w:color w:val="auto"/>
                <w:sz w:val="24"/>
                <w:highlight w:val="none"/>
                <w:u w:val="none"/>
                <w:lang w:val="en-US" w:eastAsia="zh-CN"/>
              </w:rPr>
              <w:t>，最后再用纯水深度浸洗一遍，完成磷化后清洗，</w:t>
            </w:r>
            <w:r>
              <w:rPr>
                <w:rFonts w:hint="eastAsia"/>
                <w:b w:val="0"/>
                <w:bCs w:val="0"/>
                <w:color w:val="auto"/>
                <w:sz w:val="24"/>
                <w:highlight w:val="none"/>
                <w:u w:val="none"/>
                <w:lang w:val="en-US" w:eastAsia="zh-CN"/>
              </w:rPr>
              <w:t>磷化工序后设有自然控水段，工件在该段悬挂静置，使表面残留液自然回流至磷化清洗槽。该过程产生设备噪声N15-N17、表调废水W2、磷化清洗废水W3-W4、表调槽渣S10、磷化槽渣S11，表调及磷化清洗废水排入厂内污水处理站处理；表调废水定期每月排放一次，磷化槽液循环使用不外排，磷化清洗废水每周排放一次。</w:t>
            </w:r>
          </w:p>
          <w:p w14:paraId="1D45D8D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b w:val="0"/>
                <w:bCs w:val="0"/>
                <w:color w:val="auto"/>
                <w:sz w:val="24"/>
                <w:highlight w:val="none"/>
                <w:u w:val="none"/>
                <w:lang w:val="en-US" w:eastAsia="zh-CN"/>
              </w:rPr>
            </w:pPr>
            <w:r>
              <w:rPr>
                <w:rFonts w:hint="eastAsia"/>
                <w:b w:val="0"/>
                <w:bCs w:val="0"/>
                <w:color w:val="auto"/>
                <w:sz w:val="24"/>
                <w:highlight w:val="none"/>
                <w:u w:val="none"/>
                <w:lang w:val="en-US" w:eastAsia="zh-CN"/>
              </w:rPr>
              <w:t>⑤阴极电泳底漆、超滤清洗、喷淋、烘干：零部件经预处理后的工件进入电泳涂装工序，电泳是在外加电场的作用下，使分离于电泳液中的涂料微粒定向迁移并沉积于电极之一的工件表面形成保护性的涂层，电泳涂装包含电泳、电沉积、电渗、电解过程。项目电泳涂装属阴极电泳，电泳漆与</w:t>
            </w:r>
            <w:r>
              <w:rPr>
                <w:rFonts w:hint="eastAsia"/>
                <w:b w:val="0"/>
                <w:bCs w:val="0"/>
                <w:color w:val="auto"/>
                <w:sz w:val="24"/>
                <w:highlight w:val="none"/>
                <w:u w:val="none"/>
                <w:lang w:val="en-US" w:eastAsia="zh-CN"/>
              </w:rPr>
              <w:t>纯水以1:1的比例进行配比，在常温状态下，电泳时间为4分钟。</w:t>
            </w:r>
          </w:p>
          <w:p w14:paraId="21AD9F9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b w:val="0"/>
                <w:bCs w:val="0"/>
                <w:color w:val="auto"/>
                <w:sz w:val="24"/>
                <w:highlight w:val="none"/>
                <w:u w:val="none"/>
                <w:lang w:val="en-US" w:eastAsia="zh-CN"/>
              </w:rPr>
            </w:pPr>
            <w:r>
              <w:rPr>
                <w:rFonts w:hint="eastAsia"/>
                <w:b w:val="0"/>
                <w:bCs w:val="0"/>
                <w:color w:val="auto"/>
                <w:sz w:val="24"/>
                <w:highlight w:val="none"/>
                <w:u w:val="none"/>
                <w:lang w:val="en-US" w:eastAsia="zh-CN"/>
              </w:rPr>
              <w:t>电泳后的工件采用UF循环水2级逆流水洗，水洗时间0.2min。UF2水洗槽中水溢流至UF1水槽中。UF1喷淋水中主要含有电泳后未附着于工件上的电泳漆，经超滤装置后，电泳漆浓液回流到电泳槽，过滤后的超滤清液直接回流到UF2工艺中重新利用，电泳漆经超滤器，将小分子（如水、低分子溶剂等）分离浓缩后再返回使用；而初始时分离出的浓度较低的超滤液，作为冲洗水循环使用，逆向给水冲洗工件。但随着超滤液的浓度增高，为了净化电泳漆液，需要定期排放部分超滤液，以排除影响电泳性能的有害离子。电泳槽后设置超滤膜，槽液经超滤膜过滤后循环使用，定期每年排放一次。</w:t>
            </w:r>
          </w:p>
          <w:p w14:paraId="35E3C53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b w:val="0"/>
                <w:bCs w:val="0"/>
                <w:color w:val="auto"/>
                <w:sz w:val="24"/>
                <w:highlight w:val="none"/>
                <w:u w:val="none"/>
                <w:lang w:val="en-US" w:eastAsia="zh-CN"/>
              </w:rPr>
            </w:pPr>
            <w:r>
              <w:rPr>
                <w:rFonts w:hint="eastAsia"/>
                <w:b w:val="0"/>
                <w:bCs w:val="0"/>
                <w:color w:val="auto"/>
                <w:sz w:val="24"/>
                <w:highlight w:val="none"/>
                <w:u w:val="none"/>
                <w:lang w:val="en-US" w:eastAsia="zh-CN"/>
              </w:rPr>
              <w:t>完成电泳加工的零件进行水喷淋清洗，去除表面浮漆。采用瓶装液化石油气燃烧石油气间接加热烘干工件，固化温度为80~190℃，使电泳漆迅速固化成膜，粘附在金属表面，形成坚硬涂膜。该过程产生设备噪声N18-N21、电泳超滤清洗废水W5、电泳喷淋清洗废水W6、电泳废气G7</w:t>
            </w:r>
            <w:r>
              <w:rPr>
                <w:rFonts w:hint="eastAsia" w:cs="Times New Roman"/>
                <w:color w:val="auto"/>
                <w:sz w:val="24"/>
                <w:lang w:val="en-US" w:eastAsia="zh-CN"/>
              </w:rPr>
              <w:t>（主要污染物非甲烷总烃）、电泳烘干废气G8（主要污染物非甲烷总烃）、液化石油气燃烧废气G10（主要污染物颗粒物、二氧化硫、氮氧化物）</w:t>
            </w:r>
            <w:r>
              <w:rPr>
                <w:rFonts w:hint="eastAsia"/>
                <w:b w:val="0"/>
                <w:bCs w:val="0"/>
                <w:color w:val="auto"/>
                <w:sz w:val="24"/>
                <w:highlight w:val="none"/>
                <w:u w:val="none"/>
                <w:lang w:val="en-US" w:eastAsia="zh-CN"/>
              </w:rPr>
              <w:t>、</w:t>
            </w:r>
            <w:r>
              <w:rPr>
                <w:rFonts w:hint="eastAsia"/>
                <w:b w:val="0"/>
                <w:bCs w:val="0"/>
                <w:color w:val="auto"/>
                <w:sz w:val="24"/>
                <w:highlight w:val="none"/>
                <w:u w:val="none"/>
                <w:lang w:val="en-US" w:eastAsia="zh-CN"/>
              </w:rPr>
              <w:t>电泳槽渣S12、</w:t>
            </w:r>
            <w:r>
              <w:rPr>
                <w:rFonts w:hint="eastAsia"/>
                <w:b w:val="0"/>
                <w:bCs w:val="0"/>
                <w:color w:val="auto"/>
                <w:sz w:val="24"/>
                <w:highlight w:val="none"/>
                <w:u w:val="none"/>
                <w:lang w:val="en-US" w:eastAsia="zh-CN"/>
              </w:rPr>
              <w:t>废超滤膜S13，电泳超滤及喷淋清洗废水排入厂内污水处理站处理</w:t>
            </w:r>
            <w:r>
              <w:rPr>
                <w:rFonts w:hint="eastAsia"/>
                <w:b w:val="0"/>
                <w:bCs w:val="0"/>
                <w:color w:val="auto"/>
                <w:sz w:val="24"/>
                <w:highlight w:val="none"/>
                <w:u w:val="none"/>
                <w:lang w:val="en-US" w:eastAsia="zh-CN"/>
              </w:rPr>
              <w:t>；电泳废气、电泳烘干废气经收集通过水喷淋塔</w:t>
            </w:r>
            <w:r>
              <w:rPr>
                <w:rFonts w:hint="eastAsia" w:cs="Times New Roman"/>
                <w:color w:val="auto"/>
                <w:sz w:val="24"/>
                <w:lang w:val="en-US" w:eastAsia="zh-CN"/>
              </w:rPr>
              <w:t>+</w:t>
            </w:r>
            <w:r>
              <w:rPr>
                <w:rFonts w:hint="eastAsia"/>
                <w:b w:val="0"/>
                <w:bCs w:val="0"/>
                <w:color w:val="auto"/>
                <w:sz w:val="24"/>
                <w:highlight w:val="none"/>
                <w:u w:val="none"/>
                <w:lang w:val="en-US" w:eastAsia="zh-CN"/>
              </w:rPr>
              <w:t>二级活性炭</w:t>
            </w:r>
            <w:r>
              <w:rPr>
                <w:rFonts w:hint="eastAsia" w:cs="Times New Roman"/>
                <w:color w:val="auto"/>
                <w:sz w:val="24"/>
                <w:szCs w:val="24"/>
                <w:lang w:val="en-US" w:eastAsia="zh-CN"/>
              </w:rPr>
              <w:t>（含干式过滤棉）</w:t>
            </w:r>
            <w:r>
              <w:rPr>
                <w:rFonts w:hint="eastAsia"/>
                <w:b w:val="0"/>
                <w:bCs w:val="0"/>
                <w:color w:val="auto"/>
                <w:sz w:val="24"/>
                <w:highlight w:val="none"/>
                <w:u w:val="none"/>
                <w:lang w:val="en-US" w:eastAsia="zh-CN"/>
              </w:rPr>
              <w:t>吸附装置处理通过15mDA002排气筒排放，</w:t>
            </w:r>
            <w:r>
              <w:rPr>
                <w:rFonts w:hint="eastAsia"/>
                <w:b w:val="0"/>
                <w:bCs w:val="0"/>
                <w:color w:val="auto"/>
                <w:sz w:val="24"/>
                <w:highlight w:val="none"/>
                <w:u w:val="none"/>
                <w:lang w:val="en-US" w:eastAsia="zh-CN"/>
              </w:rPr>
              <w:t>本项目活性炭吸附装置内包含过滤棉，</w:t>
            </w:r>
            <w:r>
              <w:rPr>
                <w:rFonts w:hint="eastAsia"/>
                <w:b w:val="0"/>
                <w:bCs w:val="0"/>
                <w:color w:val="auto"/>
                <w:sz w:val="24"/>
                <w:highlight w:val="none"/>
                <w:u w:val="none"/>
                <w:lang w:val="en-US" w:eastAsia="zh-CN"/>
              </w:rPr>
              <w:t>液化石油气燃烧废气经收集通过15mDA002排气筒排放。</w:t>
            </w:r>
          </w:p>
          <w:p w14:paraId="0CF050B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b w:val="0"/>
                <w:bCs w:val="0"/>
                <w:color w:val="auto"/>
                <w:sz w:val="24"/>
                <w:highlight w:val="none"/>
                <w:u w:val="none"/>
                <w:lang w:val="en-US" w:eastAsia="zh-CN"/>
              </w:rPr>
            </w:pPr>
            <w:r>
              <w:rPr>
                <w:rFonts w:hint="eastAsia"/>
                <w:b w:val="0"/>
                <w:bCs w:val="0"/>
                <w:color w:val="auto"/>
                <w:sz w:val="24"/>
                <w:highlight w:val="none"/>
                <w:u w:val="none"/>
                <w:lang w:val="en-US" w:eastAsia="zh-CN"/>
              </w:rPr>
              <w:t>⑥喷粉、烘干、检验：完成电泳加工的零部件送至喷粉房，喷粉工序在一体化喷粉房操作，采用自动静电喷粉，喷粉房由喷粉操作室与滤芯集中式回收系统组成，项目采用静电粉末喷粉，利用静电自动将粉末涂料均匀、牢固地吸附在工件表面上。静电喷粉是涂料经过各种机械作用雾化而得到涂料粒子，在电场的作用下，涂料粒子呈弧状轨迹迅速飞向带正电的工件进行放电，这样涂料便均匀、牢固地吸附在工件表面上。将经过表面喷粉的工件运至半密闭烘干室，采</w:t>
            </w:r>
            <w:r>
              <w:rPr>
                <w:rFonts w:hint="eastAsia"/>
                <w:b w:val="0"/>
                <w:bCs w:val="0"/>
                <w:color w:val="auto"/>
                <w:sz w:val="24"/>
                <w:highlight w:val="none"/>
                <w:u w:val="none"/>
                <w:lang w:val="en-US" w:eastAsia="zh-CN"/>
              </w:rPr>
              <w:t>用</w:t>
            </w:r>
            <w:r>
              <w:rPr>
                <w:rFonts w:hint="eastAsia" w:cs="Times New Roman"/>
                <w:color w:val="auto"/>
                <w:sz w:val="24"/>
                <w:lang w:val="en-US" w:eastAsia="zh-CN"/>
              </w:rPr>
              <w:t>瓶装液化石油气</w:t>
            </w:r>
            <w:r>
              <w:rPr>
                <w:rFonts w:hint="eastAsia"/>
                <w:b w:val="0"/>
                <w:bCs w:val="0"/>
                <w:color w:val="auto"/>
                <w:sz w:val="24"/>
                <w:highlight w:val="none"/>
                <w:u w:val="none"/>
                <w:lang w:val="en-US" w:eastAsia="zh-CN"/>
              </w:rPr>
              <w:t>燃烧石油气间接加热烘干工件</w:t>
            </w:r>
            <w:r>
              <w:rPr>
                <w:rFonts w:hint="eastAsia"/>
                <w:b w:val="0"/>
                <w:bCs w:val="0"/>
                <w:color w:val="auto"/>
                <w:sz w:val="24"/>
                <w:highlight w:val="none"/>
                <w:u w:val="none"/>
                <w:lang w:val="en-US" w:eastAsia="zh-CN"/>
              </w:rPr>
              <w:t>，加热升温至约180-200℃，工件表面的粉末涂料加热后会熔化、流平，待其自然降温后固化，形成一层致密的保护涂层，牢牢附着在工件表面，对加工完成的零件进行检验。该过程产生设备噪声N22-N24、喷粉废气G9</w:t>
            </w:r>
            <w:r>
              <w:rPr>
                <w:rFonts w:hint="eastAsia" w:cs="Times New Roman"/>
                <w:color w:val="auto"/>
                <w:sz w:val="24"/>
                <w:lang w:val="en-US" w:eastAsia="zh-CN"/>
              </w:rPr>
              <w:t>（主要污染物颗粒物）</w:t>
            </w:r>
            <w:r>
              <w:rPr>
                <w:rFonts w:hint="eastAsia"/>
                <w:b w:val="0"/>
                <w:bCs w:val="0"/>
                <w:color w:val="auto"/>
                <w:sz w:val="24"/>
                <w:highlight w:val="none"/>
                <w:u w:val="none"/>
                <w:lang w:val="en-US" w:eastAsia="zh-CN"/>
              </w:rPr>
              <w:t>、喷粉烘干废气G11</w:t>
            </w:r>
            <w:r>
              <w:rPr>
                <w:rFonts w:hint="eastAsia" w:cs="Times New Roman"/>
                <w:color w:val="auto"/>
                <w:sz w:val="24"/>
                <w:lang w:val="en-US" w:eastAsia="zh-CN"/>
              </w:rPr>
              <w:t>（主要污染物非甲烷总烃）</w:t>
            </w:r>
            <w:r>
              <w:rPr>
                <w:rFonts w:hint="eastAsia"/>
                <w:b w:val="0"/>
                <w:bCs w:val="0"/>
                <w:color w:val="auto"/>
                <w:sz w:val="24"/>
                <w:highlight w:val="none"/>
                <w:u w:val="none"/>
                <w:lang w:val="en-US" w:eastAsia="zh-CN"/>
              </w:rPr>
              <w:t>、喷粉废料</w:t>
            </w:r>
            <w:r>
              <w:rPr>
                <w:rFonts w:hint="eastAsia"/>
                <w:b w:val="0"/>
                <w:bCs w:val="0"/>
                <w:color w:val="auto"/>
                <w:sz w:val="24"/>
                <w:highlight w:val="none"/>
                <w:u w:val="none"/>
                <w:lang w:val="en-US" w:eastAsia="zh-CN"/>
              </w:rPr>
              <w:t>S14</w:t>
            </w:r>
            <w:r>
              <w:rPr>
                <w:rFonts w:hint="eastAsia"/>
                <w:b w:val="0"/>
                <w:bCs w:val="0"/>
                <w:color w:val="auto"/>
                <w:sz w:val="24"/>
                <w:highlight w:val="none"/>
                <w:u w:val="none"/>
                <w:lang w:val="en-US" w:eastAsia="zh-CN"/>
              </w:rPr>
              <w:t>，喷粉废气经喷粉室自带粉料回收装置处理通过15mDA002排气筒排放，</w:t>
            </w:r>
            <w:r>
              <w:rPr>
                <w:rFonts w:hint="eastAsia"/>
                <w:color w:val="auto"/>
                <w:sz w:val="24"/>
                <w:szCs w:val="24"/>
                <w:lang w:val="en-US" w:eastAsia="zh-CN"/>
              </w:rPr>
              <w:t>喷粉</w:t>
            </w:r>
            <w:r>
              <w:rPr>
                <w:rFonts w:hint="eastAsia"/>
                <w:b w:val="0"/>
                <w:bCs w:val="0"/>
                <w:color w:val="auto"/>
                <w:sz w:val="24"/>
                <w:highlight w:val="none"/>
                <w:u w:val="none"/>
                <w:lang w:val="en-US" w:eastAsia="zh-CN"/>
              </w:rPr>
              <w:t>烘干废气经收集通过水喷淋塔</w:t>
            </w:r>
            <w:r>
              <w:rPr>
                <w:rFonts w:hint="eastAsia" w:cs="Times New Roman"/>
                <w:color w:val="auto"/>
                <w:sz w:val="24"/>
                <w:lang w:val="en-US" w:eastAsia="zh-CN"/>
              </w:rPr>
              <w:t>+</w:t>
            </w:r>
            <w:r>
              <w:rPr>
                <w:rFonts w:hint="eastAsia"/>
                <w:b w:val="0"/>
                <w:bCs w:val="0"/>
                <w:color w:val="auto"/>
                <w:sz w:val="24"/>
                <w:highlight w:val="none"/>
                <w:u w:val="none"/>
                <w:lang w:val="en-US" w:eastAsia="zh-CN"/>
              </w:rPr>
              <w:t>二级活性炭</w:t>
            </w:r>
            <w:r>
              <w:rPr>
                <w:rFonts w:hint="eastAsia" w:cs="Times New Roman"/>
                <w:color w:val="auto"/>
                <w:sz w:val="24"/>
                <w:szCs w:val="24"/>
                <w:lang w:val="en-US" w:eastAsia="zh-CN"/>
              </w:rPr>
              <w:t>（含干式过滤棉）</w:t>
            </w:r>
            <w:r>
              <w:rPr>
                <w:rFonts w:hint="eastAsia"/>
                <w:b w:val="0"/>
                <w:bCs w:val="0"/>
                <w:color w:val="auto"/>
                <w:sz w:val="24"/>
                <w:highlight w:val="none"/>
                <w:u w:val="none"/>
                <w:lang w:val="en-US" w:eastAsia="zh-CN"/>
              </w:rPr>
              <w:t>吸附装置处理通过15mDA002排气筒排放，</w:t>
            </w:r>
            <w:r>
              <w:rPr>
                <w:rFonts w:hint="eastAsia"/>
                <w:b w:val="0"/>
                <w:bCs w:val="0"/>
                <w:color w:val="auto"/>
                <w:sz w:val="24"/>
                <w:highlight w:val="none"/>
                <w:u w:val="none"/>
                <w:lang w:val="en-US" w:eastAsia="zh-CN"/>
              </w:rPr>
              <w:t>本项目活性炭吸附装置内包含过滤棉</w:t>
            </w:r>
            <w:r>
              <w:rPr>
                <w:rFonts w:hint="eastAsia"/>
                <w:b w:val="0"/>
                <w:bCs w:val="0"/>
                <w:color w:val="auto"/>
                <w:sz w:val="24"/>
                <w:highlight w:val="none"/>
                <w:u w:val="none"/>
                <w:lang w:val="en-US" w:eastAsia="zh-CN"/>
              </w:rPr>
              <w:t>。</w:t>
            </w:r>
          </w:p>
          <w:p w14:paraId="24C1133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b w:val="0"/>
                <w:bCs w:val="0"/>
                <w:color w:val="auto"/>
                <w:sz w:val="24"/>
                <w:highlight w:val="none"/>
                <w:u w:val="none"/>
                <w:lang w:val="en-US" w:eastAsia="zh-CN"/>
              </w:rPr>
            </w:pPr>
            <w:r>
              <w:rPr>
                <w:rFonts w:hint="eastAsia"/>
                <w:b w:val="0"/>
                <w:bCs w:val="0"/>
                <w:color w:val="auto"/>
                <w:sz w:val="24"/>
                <w:highlight w:val="none"/>
                <w:u w:val="none"/>
                <w:lang w:val="en-US" w:eastAsia="zh-CN"/>
              </w:rPr>
              <w:t>⑦整车组装、检测、包装：将完成电泳涂装的零件及其他外购的各类零件进行组装，对组装完成的电动助动车进行整车完整性、正确性、外观检查，合格产品包装入库。该过程产生设备噪声N25-N27、一般废包装S15。</w:t>
            </w:r>
          </w:p>
          <w:p w14:paraId="191BE5AE">
            <w:pPr>
              <w:numPr>
                <w:ilvl w:val="0"/>
                <w:numId w:val="0"/>
              </w:numPr>
              <w:tabs>
                <w:tab w:val="left" w:pos="624"/>
              </w:tabs>
              <w:spacing w:line="500" w:lineRule="exact"/>
              <w:ind w:left="0" w:leftChars="0" w:firstLine="480" w:firstLineChars="200"/>
              <w:rPr>
                <w:rFonts w:hint="eastAsia" w:cs="Times New Roman"/>
                <w:color w:val="auto"/>
                <w:sz w:val="24"/>
                <w:highlight w:val="none"/>
                <w:shd w:val="clear" w:color="auto" w:fill="auto"/>
                <w:lang w:val="en-US" w:eastAsia="zh-CN"/>
              </w:rPr>
            </w:pPr>
            <w:r>
              <w:rPr>
                <w:rFonts w:hint="eastAsia" w:ascii="Times New Roman" w:hAnsi="Times New Roman" w:eastAsia="宋体" w:cs="Times New Roman"/>
                <w:color w:val="auto"/>
                <w:kern w:val="2"/>
                <w:sz w:val="24"/>
                <w:szCs w:val="24"/>
                <w:shd w:val="clear" w:fill="auto"/>
                <w:lang w:val="en-US" w:eastAsia="zh-CN" w:bidi="ar-SA"/>
              </w:rPr>
              <w:t>2、</w:t>
            </w:r>
            <w:r>
              <w:rPr>
                <w:rFonts w:hint="eastAsia" w:cs="Times New Roman"/>
                <w:color w:val="auto"/>
                <w:sz w:val="24"/>
                <w:highlight w:val="none"/>
                <w:shd w:val="clear" w:color="auto" w:fill="auto"/>
                <w:lang w:val="en-US" w:eastAsia="zh-CN"/>
              </w:rPr>
              <w:t>污水处理站工艺流程</w:t>
            </w:r>
          </w:p>
          <w:p w14:paraId="4F4A9D33">
            <w:pPr>
              <w:keepNext w:val="0"/>
              <w:keepLines w:val="0"/>
              <w:pageBreakBefore w:val="0"/>
              <w:widowControl w:val="0"/>
              <w:numPr>
                <w:ilvl w:val="0"/>
                <w:numId w:val="0"/>
              </w:numPr>
              <w:tabs>
                <w:tab w:val="left" w:pos="624"/>
              </w:tabs>
              <w:kinsoku/>
              <w:wordWrap/>
              <w:overflowPunct/>
              <w:topLinePunct w:val="0"/>
              <w:autoSpaceDE/>
              <w:autoSpaceDN/>
              <w:bidi w:val="0"/>
              <w:adjustRightInd/>
              <w:snapToGrid/>
              <w:spacing w:line="500" w:lineRule="exact"/>
              <w:ind w:leftChars="0" w:firstLine="480" w:firstLineChars="200"/>
              <w:textAlignment w:val="auto"/>
              <w:rPr>
                <w:rFonts w:hint="eastAsia" w:cs="Times New Roman"/>
                <w:color w:val="auto"/>
                <w:sz w:val="24"/>
                <w:highlight w:val="none"/>
                <w:shd w:val="clear" w:color="auto" w:fill="auto"/>
                <w:lang w:val="en-US" w:eastAsia="zh-CN"/>
              </w:rPr>
            </w:pPr>
            <w:r>
              <w:rPr>
                <w:rFonts w:hint="eastAsia" w:cs="Times New Roman"/>
                <w:color w:val="auto"/>
                <w:sz w:val="24"/>
                <w:highlight w:val="none"/>
                <w:shd w:val="clear" w:color="auto" w:fill="auto"/>
                <w:lang w:val="en-US" w:eastAsia="zh-CN"/>
              </w:rPr>
              <w:t>项目拟设置一个污水处理站，废水处理能力为10m</w:t>
            </w:r>
            <w:r>
              <w:rPr>
                <w:rFonts w:hint="eastAsia" w:cs="Times New Roman"/>
                <w:color w:val="auto"/>
                <w:sz w:val="24"/>
                <w:highlight w:val="none"/>
                <w:shd w:val="clear" w:color="auto" w:fill="auto"/>
                <w:vertAlign w:val="superscript"/>
                <w:lang w:val="en-US" w:eastAsia="zh-CN"/>
              </w:rPr>
              <w:t>3</w:t>
            </w:r>
            <w:r>
              <w:rPr>
                <w:rFonts w:hint="eastAsia" w:cs="Times New Roman"/>
                <w:color w:val="auto"/>
                <w:sz w:val="24"/>
                <w:highlight w:val="none"/>
                <w:shd w:val="clear" w:color="auto" w:fill="auto"/>
                <w:lang w:val="en-US" w:eastAsia="zh-CN"/>
              </w:rPr>
              <w:t>/d，生产废水</w:t>
            </w:r>
            <w:r>
              <w:rPr>
                <w:rFonts w:hint="eastAsia"/>
                <w:color w:val="auto"/>
                <w:lang w:val="en-US" w:eastAsia="zh-CN"/>
              </w:rPr>
              <w:t>及废气喷淋废水</w:t>
            </w:r>
            <w:r>
              <w:rPr>
                <w:rFonts w:hint="eastAsia" w:cs="Times New Roman"/>
                <w:color w:val="auto"/>
                <w:sz w:val="24"/>
                <w:highlight w:val="none"/>
                <w:shd w:val="clear" w:color="auto" w:fill="auto"/>
                <w:lang w:val="en-US" w:eastAsia="zh-CN"/>
              </w:rPr>
              <w:t>排入污水处理站处理。</w:t>
            </w:r>
          </w:p>
          <w:p w14:paraId="41A56DC9">
            <w:pPr>
              <w:tabs>
                <w:tab w:val="left" w:pos="624"/>
              </w:tabs>
              <w:spacing w:line="240" w:lineRule="auto"/>
              <w:ind w:firstLine="482" w:firstLineChars="200"/>
              <w:rPr>
                <w:rFonts w:hint="default" w:ascii="Times New Roman" w:hAnsi="Times New Roman" w:eastAsia="宋体" w:cs="Times New Roman"/>
                <w:color w:val="auto"/>
                <w:sz w:val="24"/>
                <w:highlight w:val="none"/>
                <w:shd w:val="clear" w:color="auto" w:fill="auto"/>
                <w:lang w:val="en-US" w:eastAsia="zh-CN"/>
              </w:rPr>
            </w:pPr>
            <w:r>
              <w:rPr>
                <w:rFonts w:hint="default" w:ascii="Times New Roman" w:hAnsi="Times New Roman" w:cs="Times New Roman"/>
                <w:b/>
                <w:bCs/>
                <w:color w:val="auto"/>
                <w:sz w:val="24"/>
                <w:lang w:val="en-US" w:eastAsia="zh-CN"/>
              </w:rPr>
              <w:object>
                <v:shape id="_x0000_i1032" o:spt="75" type="#_x0000_t75" style="height:427.65pt;width:383.65pt;" o:ole="t" filled="f" o:preferrelative="t" stroked="f" coordsize="21600,21600">
                  <v:path/>
                  <v:fill on="f" focussize="0,0"/>
                  <v:stroke on="f"/>
                  <v:imagedata r:id="rId36" o:title=""/>
                  <o:lock v:ext="edit" aspectratio="f"/>
                  <w10:wrap type="none"/>
                  <w10:anchorlock/>
                </v:shape>
                <o:OLEObject Type="Embed" ProgID="Visio.Drawing.11" ShapeID="_x0000_i1032" DrawAspect="Content" ObjectID="_1468075732" r:id="rId35">
                  <o:LockedField>false</o:LockedField>
                </o:OLEObject>
              </w:object>
            </w:r>
          </w:p>
          <w:p w14:paraId="396F346A">
            <w:pPr>
              <w:tabs>
                <w:tab w:val="left" w:pos="624"/>
              </w:tabs>
              <w:spacing w:line="500" w:lineRule="exact"/>
              <w:jc w:val="center"/>
              <w:rPr>
                <w:rFonts w:hint="default" w:ascii="Times New Roman" w:hAnsi="Times New Roman" w:eastAsia="宋体" w:cs="Times New Roman"/>
                <w:color w:val="auto"/>
                <w:sz w:val="24"/>
                <w:highlight w:val="none"/>
                <w:shd w:val="clear" w:color="auto" w:fill="auto"/>
                <w:lang w:val="en-US" w:eastAsia="zh-CN"/>
              </w:rPr>
            </w:pPr>
            <w:r>
              <w:rPr>
                <w:rFonts w:hint="eastAsia" w:cs="Times New Roman"/>
                <w:b/>
                <w:bCs/>
                <w:color w:val="auto"/>
                <w:sz w:val="24"/>
                <w:lang w:val="en-US" w:eastAsia="zh-CN"/>
              </w:rPr>
              <w:t>图2-7 项目运营期污水处理站工艺流程及产污环节示意图</w:t>
            </w:r>
          </w:p>
          <w:p w14:paraId="26D1AABD">
            <w:pPr>
              <w:tabs>
                <w:tab w:val="left" w:pos="624"/>
              </w:tabs>
              <w:spacing w:line="500" w:lineRule="exact"/>
              <w:ind w:firstLine="482" w:firstLineChars="200"/>
              <w:rPr>
                <w:rFonts w:hint="default" w:ascii="Times New Roman" w:hAnsi="Times New Roman" w:eastAsia="宋体" w:cs="Times New Roman"/>
                <w:color w:val="auto"/>
                <w:sz w:val="24"/>
                <w:highlight w:val="none"/>
                <w:shd w:val="clear" w:color="auto" w:fill="auto"/>
                <w:lang w:val="en-US" w:eastAsia="zh-CN"/>
              </w:rPr>
            </w:pPr>
            <w:r>
              <w:rPr>
                <w:rFonts w:hint="eastAsia"/>
                <w:b/>
                <w:bCs/>
                <w:color w:val="auto"/>
                <w:sz w:val="24"/>
                <w:highlight w:val="none"/>
                <w:u w:val="none"/>
                <w:lang w:val="en-US" w:eastAsia="zh-CN"/>
              </w:rPr>
              <w:t>工艺流程简述：</w:t>
            </w:r>
          </w:p>
          <w:p w14:paraId="40611D6B">
            <w:pPr>
              <w:tabs>
                <w:tab w:val="left" w:pos="624"/>
              </w:tabs>
              <w:spacing w:line="500" w:lineRule="exact"/>
              <w:ind w:firstLine="480" w:firstLineChars="200"/>
              <w:rPr>
                <w:rFonts w:hint="default" w:cs="Times New Roman"/>
                <w:color w:val="auto"/>
                <w:sz w:val="24"/>
                <w:highlight w:val="none"/>
                <w:shd w:val="clear" w:color="auto" w:fill="auto"/>
                <w:lang w:val="en-US" w:eastAsia="zh-CN"/>
              </w:rPr>
            </w:pPr>
            <w:r>
              <w:rPr>
                <w:rFonts w:hint="eastAsia" w:cs="Times New Roman"/>
                <w:color w:val="auto"/>
                <w:sz w:val="24"/>
                <w:highlight w:val="none"/>
                <w:shd w:val="clear" w:color="auto" w:fill="auto"/>
                <w:lang w:val="en-US" w:eastAsia="zh-CN"/>
              </w:rPr>
              <w:t>收集池：各股废水汇聚于收集池再进入后续处理环节，该过程产生设备噪声N28。</w:t>
            </w:r>
          </w:p>
          <w:p w14:paraId="47B322E6">
            <w:pPr>
              <w:tabs>
                <w:tab w:val="left" w:pos="624"/>
              </w:tabs>
              <w:spacing w:line="500" w:lineRule="exact"/>
              <w:ind w:firstLine="480" w:firstLineChars="200"/>
              <w:rPr>
                <w:rFonts w:hint="default" w:ascii="Times New Roman" w:hAnsi="Times New Roman" w:eastAsia="宋体" w:cs="Times New Roman"/>
                <w:color w:val="auto"/>
                <w:sz w:val="24"/>
                <w:highlight w:val="none"/>
                <w:shd w:val="clear" w:color="auto" w:fill="auto"/>
                <w:lang w:val="en-US" w:eastAsia="zh-CN"/>
              </w:rPr>
            </w:pPr>
            <w:r>
              <w:rPr>
                <w:rFonts w:hint="eastAsia" w:cs="Times New Roman"/>
                <w:color w:val="auto"/>
                <w:sz w:val="24"/>
                <w:highlight w:val="none"/>
                <w:shd w:val="clear" w:color="auto" w:fill="auto"/>
                <w:lang w:val="en-US" w:eastAsia="zh-CN"/>
              </w:rPr>
              <w:t>调节池：对废水进行中和调节，pH调节8左右，该过程产生设备噪声N29。</w:t>
            </w:r>
          </w:p>
          <w:p w14:paraId="4AA4A386">
            <w:pPr>
              <w:tabs>
                <w:tab w:val="left" w:pos="624"/>
              </w:tabs>
              <w:spacing w:line="500" w:lineRule="exact"/>
              <w:ind w:firstLine="480" w:firstLineChars="200"/>
              <w:rPr>
                <w:rFonts w:hint="default" w:ascii="Times New Roman" w:hAnsi="Times New Roman" w:eastAsia="宋体" w:cs="Times New Roman"/>
                <w:color w:val="auto"/>
                <w:sz w:val="24"/>
                <w:highlight w:val="none"/>
                <w:shd w:val="clear" w:color="auto" w:fill="auto"/>
                <w:lang w:val="en-US" w:eastAsia="zh-CN"/>
              </w:rPr>
            </w:pPr>
            <w:r>
              <w:rPr>
                <w:rFonts w:hint="eastAsia" w:cs="Times New Roman"/>
                <w:color w:val="auto"/>
                <w:sz w:val="24"/>
                <w:highlight w:val="none"/>
                <w:shd w:val="clear" w:color="auto" w:fill="auto"/>
                <w:lang w:val="en-US" w:eastAsia="zh-CN"/>
              </w:rPr>
              <w:t>气浮：气浮是溶气系统在水中产生大量的微细气泡，使空气以高度分散的微小气泡形式附着在悬浮物颗粒上，造成密度小于水的状态，利用浮力原理使其浮在水面，从而实现固一液分离的水处理设备。</w:t>
            </w:r>
            <w:r>
              <w:rPr>
                <w:rFonts w:hint="eastAsia" w:ascii="Times New Roman" w:hAnsi="Times New Roman" w:cs="Times New Roman"/>
                <w:b w:val="0"/>
                <w:bCs w:val="0"/>
                <w:color w:val="auto"/>
                <w:sz w:val="24"/>
                <w:highlight w:val="none"/>
                <w:u w:val="none"/>
                <w:lang w:val="en-US" w:eastAsia="zh-CN"/>
              </w:rPr>
              <w:t>加PAM、PAC使水体中的污染物形成大的絮凝体</w:t>
            </w:r>
            <w:r>
              <w:rPr>
                <w:rFonts w:hint="eastAsia" w:cs="Times New Roman"/>
                <w:color w:val="auto"/>
                <w:sz w:val="24"/>
                <w:highlight w:val="none"/>
                <w:shd w:val="clear" w:color="auto" w:fill="auto"/>
                <w:lang w:val="en-US" w:eastAsia="zh-CN"/>
              </w:rPr>
              <w:t>，水中气泡附着悬浮颗粒一起上升。该过程产生设备噪声N30，污泥S16。</w:t>
            </w:r>
          </w:p>
          <w:p w14:paraId="7EF37E97">
            <w:pPr>
              <w:tabs>
                <w:tab w:val="left" w:pos="624"/>
              </w:tabs>
              <w:spacing w:line="500" w:lineRule="exact"/>
              <w:ind w:firstLine="480" w:firstLineChars="200"/>
              <w:rPr>
                <w:rFonts w:hint="default" w:ascii="Times New Roman" w:hAnsi="Times New Roman" w:eastAsia="宋体" w:cs="Times New Roman"/>
                <w:color w:val="auto"/>
                <w:sz w:val="24"/>
                <w:highlight w:val="none"/>
                <w:shd w:val="clear" w:color="auto" w:fill="auto"/>
                <w:lang w:val="en-US" w:eastAsia="zh-CN"/>
              </w:rPr>
            </w:pPr>
            <w:r>
              <w:rPr>
                <w:rFonts w:hint="eastAsia" w:cs="Times New Roman"/>
                <w:color w:val="auto"/>
                <w:sz w:val="24"/>
                <w:highlight w:val="none"/>
                <w:shd w:val="clear" w:color="auto" w:fill="auto"/>
                <w:lang w:val="en-US" w:eastAsia="zh-CN"/>
              </w:rPr>
              <w:t>一级、二级、三级沉淀：由于废水中固体悬浮物含量较高，采用三级沉淀池去除废水中悬浮物。该过程产生污泥S17-S19，设备噪声N31-N33。</w:t>
            </w:r>
          </w:p>
          <w:p w14:paraId="46954949">
            <w:pPr>
              <w:tabs>
                <w:tab w:val="left" w:pos="624"/>
              </w:tabs>
              <w:spacing w:line="500" w:lineRule="exact"/>
              <w:ind w:firstLine="480" w:firstLineChars="200"/>
              <w:rPr>
                <w:rFonts w:hint="default" w:ascii="Times New Roman" w:hAnsi="Times New Roman" w:eastAsia="宋体" w:cs="Times New Roman"/>
                <w:color w:val="auto"/>
                <w:sz w:val="24"/>
                <w:highlight w:val="none"/>
                <w:shd w:val="clear" w:color="auto" w:fill="auto"/>
                <w:lang w:val="en-US" w:eastAsia="zh-CN"/>
              </w:rPr>
            </w:pPr>
            <w:r>
              <w:rPr>
                <w:rFonts w:hint="eastAsia" w:cs="Times New Roman"/>
                <w:color w:val="auto"/>
                <w:sz w:val="24"/>
                <w:highlight w:val="none"/>
                <w:shd w:val="clear" w:color="auto" w:fill="auto"/>
                <w:lang w:val="en-US" w:eastAsia="zh-CN"/>
              </w:rPr>
              <w:t>生化池：分离后的出水进入MBR池，MBR池主要是通过活性污泥来去除水中可生物降解的有机污染物，然后采用膜将净化后的水和活性污泥进行固液分离，分离后的出水达标排放。该过程产生设备噪声N34、污泥S20。</w:t>
            </w:r>
          </w:p>
          <w:p w14:paraId="06DFFB54">
            <w:pPr>
              <w:tabs>
                <w:tab w:val="left" w:pos="624"/>
              </w:tabs>
              <w:spacing w:line="500" w:lineRule="exact"/>
              <w:ind w:firstLine="480" w:firstLineChars="200"/>
              <w:rPr>
                <w:rFonts w:hint="default" w:ascii="Times New Roman" w:hAnsi="Times New Roman" w:eastAsia="宋体" w:cs="Times New Roman"/>
                <w:color w:val="auto"/>
                <w:sz w:val="24"/>
                <w:highlight w:val="none"/>
                <w:shd w:val="clear" w:color="auto" w:fill="auto"/>
                <w:lang w:val="en-US" w:eastAsia="zh-CN"/>
              </w:rPr>
            </w:pPr>
            <w:r>
              <w:rPr>
                <w:rFonts w:hint="eastAsia" w:cs="Times New Roman"/>
                <w:color w:val="auto"/>
                <w:sz w:val="24"/>
                <w:highlight w:val="none"/>
                <w:shd w:val="clear" w:color="auto" w:fill="auto"/>
                <w:lang w:val="en-US" w:eastAsia="zh-CN"/>
              </w:rPr>
              <w:t>污水处理站产生的污泥通过压滤机继续泥水分离，滤液排入污水处理站处理，该过程产生设备噪声N35。</w:t>
            </w:r>
          </w:p>
          <w:p w14:paraId="39E12C5D">
            <w:pPr>
              <w:tabs>
                <w:tab w:val="left" w:pos="624"/>
              </w:tabs>
              <w:spacing w:line="500" w:lineRule="exact"/>
              <w:ind w:firstLine="480" w:firstLineChars="200"/>
              <w:rPr>
                <w:rFonts w:hint="default" w:ascii="Times New Roman" w:hAnsi="Times New Roman" w:eastAsia="宋体" w:cs="Times New Roman"/>
                <w:color w:val="auto"/>
                <w:sz w:val="24"/>
                <w:highlight w:val="none"/>
                <w:shd w:val="clear" w:color="auto" w:fill="auto"/>
                <w:lang w:val="en-US" w:eastAsia="zh-CN"/>
              </w:rPr>
            </w:pPr>
            <w:r>
              <w:rPr>
                <w:rFonts w:hint="default" w:ascii="Times New Roman" w:hAnsi="Times New Roman" w:eastAsia="宋体" w:cs="Times New Roman"/>
                <w:color w:val="auto"/>
                <w:sz w:val="24"/>
                <w:highlight w:val="none"/>
                <w:shd w:val="clear" w:color="auto" w:fill="auto"/>
                <w:lang w:val="en-US" w:eastAsia="zh-CN"/>
              </w:rPr>
              <w:t>具体产污节点见表2-</w:t>
            </w:r>
            <w:r>
              <w:rPr>
                <w:rFonts w:hint="eastAsia" w:cs="Times New Roman"/>
                <w:color w:val="auto"/>
                <w:sz w:val="24"/>
                <w:highlight w:val="none"/>
                <w:shd w:val="clear" w:color="auto" w:fill="auto"/>
                <w:lang w:val="en-US" w:eastAsia="zh-CN"/>
              </w:rPr>
              <w:t>14</w:t>
            </w:r>
            <w:r>
              <w:rPr>
                <w:rFonts w:hint="default" w:ascii="Times New Roman" w:hAnsi="Times New Roman" w:eastAsia="宋体" w:cs="Times New Roman"/>
                <w:color w:val="auto"/>
                <w:sz w:val="24"/>
                <w:highlight w:val="none"/>
                <w:shd w:val="clear" w:color="auto" w:fill="auto"/>
                <w:lang w:val="en-US" w:eastAsia="zh-CN"/>
              </w:rPr>
              <w:t>。</w:t>
            </w:r>
          </w:p>
          <w:p w14:paraId="7A4640A7">
            <w:pPr>
              <w:adjustRightInd w:val="0"/>
              <w:snapToGrid w:val="0"/>
              <w:spacing w:line="240" w:lineRule="auto"/>
              <w:jc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表2-</w:t>
            </w:r>
            <w:r>
              <w:rPr>
                <w:rFonts w:hint="eastAsia" w:cs="Times New Roman"/>
                <w:b/>
                <w:bCs/>
                <w:color w:val="auto"/>
                <w:sz w:val="24"/>
                <w:szCs w:val="24"/>
                <w:highlight w:val="none"/>
                <w:lang w:val="en-US" w:eastAsia="zh-CN"/>
              </w:rPr>
              <w:t xml:space="preserve">14 </w:t>
            </w:r>
            <w:r>
              <w:rPr>
                <w:rFonts w:hint="default" w:ascii="Times New Roman" w:hAnsi="Times New Roman" w:cs="Times New Roman"/>
                <w:b/>
                <w:bCs/>
                <w:color w:val="auto"/>
                <w:sz w:val="24"/>
                <w:szCs w:val="24"/>
                <w:highlight w:val="none"/>
              </w:rPr>
              <w:t>项目主要产污节点一览表</w:t>
            </w:r>
          </w:p>
          <w:tbl>
            <w:tblPr>
              <w:tblStyle w:val="40"/>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925"/>
              <w:gridCol w:w="1825"/>
              <w:gridCol w:w="1708"/>
              <w:gridCol w:w="2608"/>
            </w:tblGrid>
            <w:tr w14:paraId="4052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643" w:type="pct"/>
                  <w:tcBorders>
                    <w:tl2br w:val="nil"/>
                    <w:tr2bl w:val="nil"/>
                  </w:tcBorders>
                  <w:vAlign w:val="center"/>
                </w:tcPr>
                <w:p w14:paraId="0FB794DA">
                  <w:pPr>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污染物类型</w:t>
                  </w:r>
                </w:p>
              </w:tc>
              <w:tc>
                <w:tcPr>
                  <w:tcW w:w="570" w:type="pct"/>
                  <w:tcBorders>
                    <w:tl2br w:val="nil"/>
                    <w:tr2bl w:val="nil"/>
                  </w:tcBorders>
                  <w:vAlign w:val="center"/>
                </w:tcPr>
                <w:p w14:paraId="400020EC">
                  <w:pPr>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序号</w:t>
                  </w:r>
                </w:p>
              </w:tc>
              <w:tc>
                <w:tcPr>
                  <w:tcW w:w="1125" w:type="pct"/>
                  <w:tcBorders>
                    <w:tl2br w:val="nil"/>
                    <w:tr2bl w:val="nil"/>
                  </w:tcBorders>
                  <w:vAlign w:val="center"/>
                </w:tcPr>
                <w:p w14:paraId="398D9024">
                  <w:pPr>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主要污染物</w:t>
                  </w:r>
                </w:p>
              </w:tc>
              <w:tc>
                <w:tcPr>
                  <w:tcW w:w="1053" w:type="pct"/>
                  <w:tcBorders>
                    <w:tl2br w:val="nil"/>
                    <w:tr2bl w:val="nil"/>
                  </w:tcBorders>
                  <w:vAlign w:val="center"/>
                </w:tcPr>
                <w:p w14:paraId="326B107E">
                  <w:pPr>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产生环节</w:t>
                  </w:r>
                </w:p>
              </w:tc>
              <w:tc>
                <w:tcPr>
                  <w:tcW w:w="1608" w:type="pct"/>
                  <w:tcBorders>
                    <w:tl2br w:val="nil"/>
                    <w:tr2bl w:val="nil"/>
                  </w:tcBorders>
                  <w:vAlign w:val="center"/>
                </w:tcPr>
                <w:p w14:paraId="4497EAAB">
                  <w:pPr>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治理措施</w:t>
                  </w:r>
                </w:p>
              </w:tc>
            </w:tr>
            <w:tr w14:paraId="16E1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643" w:type="pct"/>
                  <w:vMerge w:val="restart"/>
                  <w:tcBorders>
                    <w:tl2br w:val="nil"/>
                    <w:tr2bl w:val="nil"/>
                  </w:tcBorders>
                  <w:vAlign w:val="center"/>
                </w:tcPr>
                <w:p w14:paraId="027766E0">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废气</w:t>
                  </w:r>
                </w:p>
              </w:tc>
              <w:tc>
                <w:tcPr>
                  <w:tcW w:w="570" w:type="pct"/>
                  <w:tcBorders>
                    <w:tl2br w:val="nil"/>
                    <w:tr2bl w:val="nil"/>
                  </w:tcBorders>
                  <w:vAlign w:val="center"/>
                </w:tcPr>
                <w:p w14:paraId="26D40426">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G1</w:t>
                  </w:r>
                  <w:r>
                    <w:rPr>
                      <w:rFonts w:hint="eastAsia" w:ascii="Times New Roman" w:hAnsi="Times New Roman" w:cs="Times New Roman"/>
                      <w:color w:val="auto"/>
                      <w:sz w:val="21"/>
                      <w:szCs w:val="21"/>
                      <w:highlight w:val="none"/>
                      <w:lang w:val="en-US" w:eastAsia="zh-CN"/>
                    </w:rPr>
                    <w:t>-G4</w:t>
                  </w:r>
                </w:p>
              </w:tc>
              <w:tc>
                <w:tcPr>
                  <w:tcW w:w="1125" w:type="pct"/>
                  <w:tcBorders>
                    <w:tl2br w:val="nil"/>
                    <w:tr2bl w:val="nil"/>
                  </w:tcBorders>
                  <w:vAlign w:val="center"/>
                </w:tcPr>
                <w:p w14:paraId="7673FAD2">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颗粒物</w:t>
                  </w:r>
                </w:p>
              </w:tc>
              <w:tc>
                <w:tcPr>
                  <w:tcW w:w="1053" w:type="pct"/>
                  <w:tcBorders>
                    <w:tl2br w:val="nil"/>
                    <w:tr2bl w:val="nil"/>
                  </w:tcBorders>
                  <w:vAlign w:val="center"/>
                </w:tcPr>
                <w:p w14:paraId="5AD3DF2C">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去毛刺、切管、管段加工、钻孔</w:t>
                  </w:r>
                </w:p>
              </w:tc>
              <w:tc>
                <w:tcPr>
                  <w:tcW w:w="1608" w:type="pct"/>
                  <w:tcBorders>
                    <w:tl2br w:val="nil"/>
                    <w:tr2bl w:val="nil"/>
                  </w:tcBorders>
                  <w:vAlign w:val="center"/>
                </w:tcPr>
                <w:p w14:paraId="25385EA2">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移动式烟尘净化器+无组织排放</w:t>
                  </w:r>
                </w:p>
              </w:tc>
            </w:tr>
            <w:tr w14:paraId="7E2C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643" w:type="pct"/>
                  <w:vMerge w:val="continue"/>
                  <w:tcBorders>
                    <w:tl2br w:val="nil"/>
                    <w:tr2bl w:val="nil"/>
                  </w:tcBorders>
                  <w:vAlign w:val="center"/>
                </w:tcPr>
                <w:p w14:paraId="00FFD61A">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vAlign w:val="center"/>
                </w:tcPr>
                <w:p w14:paraId="50897183">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G</w:t>
                  </w:r>
                  <w:r>
                    <w:rPr>
                      <w:rFonts w:hint="eastAsia" w:cs="Times New Roman"/>
                      <w:color w:val="auto"/>
                      <w:sz w:val="21"/>
                      <w:szCs w:val="21"/>
                      <w:highlight w:val="none"/>
                      <w:lang w:val="en-US" w:eastAsia="zh-CN"/>
                    </w:rPr>
                    <w:t>5</w:t>
                  </w:r>
                </w:p>
              </w:tc>
              <w:tc>
                <w:tcPr>
                  <w:tcW w:w="1125" w:type="pct"/>
                  <w:tcBorders>
                    <w:tl2br w:val="nil"/>
                    <w:tr2bl w:val="nil"/>
                  </w:tcBorders>
                  <w:vAlign w:val="center"/>
                </w:tcPr>
                <w:p w14:paraId="73052475">
                  <w:pPr>
                    <w:adjustRightInd w:val="0"/>
                    <w:snapToGrid w:val="0"/>
                    <w:spacing w:line="240" w:lineRule="auto"/>
                    <w:jc w:val="center"/>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颗粒物</w:t>
                  </w:r>
                </w:p>
              </w:tc>
              <w:tc>
                <w:tcPr>
                  <w:tcW w:w="1053" w:type="pct"/>
                  <w:tcBorders>
                    <w:tl2br w:val="nil"/>
                    <w:tr2bl w:val="nil"/>
                  </w:tcBorders>
                  <w:vAlign w:val="center"/>
                </w:tcPr>
                <w:p w14:paraId="213BA748">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焊接</w:t>
                  </w:r>
                </w:p>
              </w:tc>
              <w:tc>
                <w:tcPr>
                  <w:tcW w:w="1608" w:type="pct"/>
                  <w:tcBorders>
                    <w:tl2br w:val="nil"/>
                    <w:tr2bl w:val="nil"/>
                  </w:tcBorders>
                  <w:vAlign w:val="center"/>
                </w:tcPr>
                <w:p w14:paraId="5743364F">
                  <w:pPr>
                    <w:adjustRightInd w:val="0"/>
                    <w:snapToGrid w:val="0"/>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移动式烟尘净化器+DA001排气筒排放</w:t>
                  </w:r>
                </w:p>
              </w:tc>
            </w:tr>
            <w:tr w14:paraId="26BB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643" w:type="pct"/>
                  <w:vMerge w:val="continue"/>
                  <w:tcBorders>
                    <w:tl2br w:val="nil"/>
                    <w:tr2bl w:val="nil"/>
                  </w:tcBorders>
                  <w:vAlign w:val="center"/>
                </w:tcPr>
                <w:p w14:paraId="2B6B933E">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vAlign w:val="center"/>
                </w:tcPr>
                <w:p w14:paraId="13FFB2A8">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G</w:t>
                  </w:r>
                  <w:r>
                    <w:rPr>
                      <w:rFonts w:hint="eastAsia" w:cs="Times New Roman"/>
                      <w:color w:val="auto"/>
                      <w:sz w:val="21"/>
                      <w:szCs w:val="21"/>
                      <w:highlight w:val="none"/>
                      <w:lang w:val="en-US" w:eastAsia="zh-CN"/>
                    </w:rPr>
                    <w:t>6</w:t>
                  </w:r>
                </w:p>
              </w:tc>
              <w:tc>
                <w:tcPr>
                  <w:tcW w:w="1125" w:type="pct"/>
                  <w:tcBorders>
                    <w:tl2br w:val="nil"/>
                    <w:tr2bl w:val="nil"/>
                  </w:tcBorders>
                  <w:vAlign w:val="center"/>
                </w:tcPr>
                <w:p w14:paraId="73804B2E">
                  <w:pPr>
                    <w:adjustRightInd w:val="0"/>
                    <w:snapToGrid w:val="0"/>
                    <w:spacing w:line="240" w:lineRule="auto"/>
                    <w:jc w:val="center"/>
                    <w:rPr>
                      <w:rFonts w:hint="eastAsia"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颗粒物</w:t>
                  </w:r>
                </w:p>
              </w:tc>
              <w:tc>
                <w:tcPr>
                  <w:tcW w:w="1053" w:type="pct"/>
                  <w:tcBorders>
                    <w:tl2br w:val="nil"/>
                    <w:tr2bl w:val="nil"/>
                  </w:tcBorders>
                  <w:vAlign w:val="center"/>
                </w:tcPr>
                <w:p w14:paraId="259F9D11">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喷砂</w:t>
                  </w:r>
                </w:p>
              </w:tc>
              <w:tc>
                <w:tcPr>
                  <w:tcW w:w="1608" w:type="pct"/>
                  <w:tcBorders>
                    <w:tl2br w:val="nil"/>
                    <w:tr2bl w:val="nil"/>
                  </w:tcBorders>
                  <w:vAlign w:val="center"/>
                </w:tcPr>
                <w:p w14:paraId="29164F15">
                  <w:pPr>
                    <w:adjustRightInd w:val="0"/>
                    <w:snapToGrid w:val="0"/>
                    <w:spacing w:line="240" w:lineRule="auto"/>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水喷淋塔+二级活性炭（含干式过滤棉）+DA002排气筒</w:t>
                  </w:r>
                </w:p>
              </w:tc>
            </w:tr>
            <w:tr w14:paraId="765A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3" w:type="pct"/>
                  <w:vMerge w:val="continue"/>
                  <w:tcBorders>
                    <w:tl2br w:val="nil"/>
                    <w:tr2bl w:val="nil"/>
                  </w:tcBorders>
                  <w:vAlign w:val="center"/>
                </w:tcPr>
                <w:p w14:paraId="0976FFF7">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7F9CEDE9">
                  <w:pPr>
                    <w:adjustRightInd w:val="0"/>
                    <w:snapToGrid w:val="0"/>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G</w:t>
                  </w:r>
                  <w:r>
                    <w:rPr>
                      <w:rFonts w:hint="eastAsia" w:cs="Times New Roman"/>
                      <w:color w:val="auto"/>
                      <w:sz w:val="21"/>
                      <w:szCs w:val="21"/>
                      <w:highlight w:val="none"/>
                      <w:lang w:val="en-US" w:eastAsia="zh-CN"/>
                    </w:rPr>
                    <w:t>7</w:t>
                  </w:r>
                </w:p>
              </w:tc>
              <w:tc>
                <w:tcPr>
                  <w:tcW w:w="1125" w:type="pct"/>
                  <w:tcBorders>
                    <w:tl2br w:val="nil"/>
                    <w:tr2bl w:val="nil"/>
                  </w:tcBorders>
                  <w:shd w:val="clear" w:color="auto" w:fill="auto"/>
                  <w:vAlign w:val="center"/>
                </w:tcPr>
                <w:p w14:paraId="25CB8CD0">
                  <w:pPr>
                    <w:adjustRightInd w:val="0"/>
                    <w:snapToGrid w:val="0"/>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非甲烷总烃</w:t>
                  </w:r>
                </w:p>
              </w:tc>
              <w:tc>
                <w:tcPr>
                  <w:tcW w:w="1053" w:type="pct"/>
                  <w:tcBorders>
                    <w:tl2br w:val="nil"/>
                    <w:tr2bl w:val="nil"/>
                  </w:tcBorders>
                  <w:shd w:val="clear" w:color="auto" w:fill="auto"/>
                  <w:vAlign w:val="center"/>
                </w:tcPr>
                <w:p w14:paraId="27EE48BC">
                  <w:pPr>
                    <w:adjustRightInd w:val="0"/>
                    <w:snapToGrid w:val="0"/>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电泳</w:t>
                  </w:r>
                </w:p>
              </w:tc>
              <w:tc>
                <w:tcPr>
                  <w:tcW w:w="1608" w:type="pct"/>
                  <w:tcBorders>
                    <w:tl2br w:val="nil"/>
                    <w:tr2bl w:val="nil"/>
                  </w:tcBorders>
                  <w:shd w:val="clear" w:color="auto" w:fill="auto"/>
                  <w:vAlign w:val="center"/>
                </w:tcPr>
                <w:p w14:paraId="612549F1">
                  <w:pPr>
                    <w:adjustRightInd w:val="0"/>
                    <w:snapToGrid w:val="0"/>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水喷淋塔+二级活性炭（含干式过滤棉）+DA002排气筒</w:t>
                  </w:r>
                </w:p>
              </w:tc>
            </w:tr>
            <w:tr w14:paraId="65442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643" w:type="pct"/>
                  <w:vMerge w:val="continue"/>
                  <w:tcBorders>
                    <w:tl2br w:val="nil"/>
                    <w:tr2bl w:val="nil"/>
                  </w:tcBorders>
                  <w:vAlign w:val="center"/>
                </w:tcPr>
                <w:p w14:paraId="1F7E0D70">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025456DB">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G</w:t>
                  </w:r>
                  <w:r>
                    <w:rPr>
                      <w:rFonts w:hint="eastAsia" w:cs="Times New Roman"/>
                      <w:color w:val="auto"/>
                      <w:sz w:val="21"/>
                      <w:szCs w:val="21"/>
                      <w:highlight w:val="none"/>
                      <w:lang w:val="en-US" w:eastAsia="zh-CN"/>
                    </w:rPr>
                    <w:t>8</w:t>
                  </w:r>
                </w:p>
              </w:tc>
              <w:tc>
                <w:tcPr>
                  <w:tcW w:w="1125" w:type="pct"/>
                  <w:tcBorders>
                    <w:tl2br w:val="nil"/>
                    <w:tr2bl w:val="nil"/>
                  </w:tcBorders>
                  <w:shd w:val="clear" w:color="auto" w:fill="auto"/>
                  <w:vAlign w:val="center"/>
                </w:tcPr>
                <w:p w14:paraId="442BB2F9">
                  <w:pPr>
                    <w:adjustRightInd w:val="0"/>
                    <w:snapToGrid w:val="0"/>
                    <w:spacing w:line="240" w:lineRule="auto"/>
                    <w:jc w:val="center"/>
                    <w:rPr>
                      <w:rFonts w:hint="default" w:ascii="Times New Roman" w:hAnsi="Times New Roman" w:eastAsia="宋体" w:cs="Times New Roman"/>
                      <w:color w:val="auto"/>
                      <w:kern w:val="2"/>
                      <w:sz w:val="21"/>
                      <w:szCs w:val="21"/>
                      <w:highlight w:val="yellow"/>
                      <w:lang w:val="en-US" w:eastAsia="zh-CN" w:bidi="ar-SA"/>
                    </w:rPr>
                  </w:pPr>
                  <w:r>
                    <w:rPr>
                      <w:rFonts w:hint="eastAsia" w:eastAsia="宋体" w:cs="Times New Roman"/>
                      <w:color w:val="auto"/>
                      <w:sz w:val="21"/>
                      <w:szCs w:val="21"/>
                      <w:highlight w:val="none"/>
                      <w:lang w:val="en-US" w:eastAsia="zh-CN"/>
                    </w:rPr>
                    <w:t>非甲烷总烃</w:t>
                  </w:r>
                </w:p>
              </w:tc>
              <w:tc>
                <w:tcPr>
                  <w:tcW w:w="1053" w:type="pct"/>
                  <w:tcBorders>
                    <w:tl2br w:val="nil"/>
                    <w:tr2bl w:val="nil"/>
                  </w:tcBorders>
                  <w:shd w:val="clear" w:color="auto" w:fill="auto"/>
                  <w:vAlign w:val="center"/>
                </w:tcPr>
                <w:p w14:paraId="3C11B4C6">
                  <w:pPr>
                    <w:adjustRightInd w:val="0"/>
                    <w:snapToGrid w:val="0"/>
                    <w:spacing w:line="240" w:lineRule="auto"/>
                    <w:jc w:val="center"/>
                    <w:rPr>
                      <w:rFonts w:hint="default" w:ascii="Times New Roman" w:hAnsi="Times New Roman" w:eastAsia="宋体" w:cs="Times New Roman"/>
                      <w:color w:val="auto"/>
                      <w:kern w:val="2"/>
                      <w:sz w:val="21"/>
                      <w:szCs w:val="21"/>
                      <w:highlight w:val="yellow"/>
                      <w:lang w:val="en-US" w:eastAsia="zh-CN" w:bidi="ar-SA"/>
                    </w:rPr>
                  </w:pPr>
                  <w:r>
                    <w:rPr>
                      <w:rFonts w:hint="eastAsia" w:ascii="Times New Roman" w:hAnsi="Times New Roman" w:eastAsia="宋体" w:cs="Times New Roman"/>
                      <w:color w:val="auto"/>
                      <w:kern w:val="2"/>
                      <w:sz w:val="21"/>
                      <w:szCs w:val="21"/>
                      <w:highlight w:val="none"/>
                      <w:lang w:val="en-US" w:eastAsia="zh-CN" w:bidi="ar-SA"/>
                    </w:rPr>
                    <w:t>电泳烘干</w:t>
                  </w:r>
                </w:p>
              </w:tc>
              <w:tc>
                <w:tcPr>
                  <w:tcW w:w="1608" w:type="pct"/>
                  <w:tcBorders>
                    <w:tl2br w:val="nil"/>
                    <w:tr2bl w:val="nil"/>
                  </w:tcBorders>
                  <w:shd w:val="clear" w:color="auto" w:fill="auto"/>
                  <w:vAlign w:val="center"/>
                </w:tcPr>
                <w:p w14:paraId="35F13990">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水喷淋塔+二级活性炭（含干式过滤棉）+DA002排气筒</w:t>
                  </w:r>
                </w:p>
              </w:tc>
            </w:tr>
            <w:tr w14:paraId="2953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643" w:type="pct"/>
                  <w:vMerge w:val="continue"/>
                  <w:tcBorders>
                    <w:tl2br w:val="nil"/>
                    <w:tr2bl w:val="nil"/>
                  </w:tcBorders>
                  <w:vAlign w:val="center"/>
                </w:tcPr>
                <w:p w14:paraId="66BBE5CD">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4E2AB08B">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G9</w:t>
                  </w:r>
                </w:p>
              </w:tc>
              <w:tc>
                <w:tcPr>
                  <w:tcW w:w="1125" w:type="pct"/>
                  <w:tcBorders>
                    <w:tl2br w:val="nil"/>
                    <w:tr2bl w:val="nil"/>
                  </w:tcBorders>
                  <w:shd w:val="clear" w:color="auto" w:fill="auto"/>
                  <w:vAlign w:val="center"/>
                </w:tcPr>
                <w:p w14:paraId="2146B512">
                  <w:pPr>
                    <w:adjustRightInd w:val="0"/>
                    <w:snapToGrid w:val="0"/>
                    <w:spacing w:line="240" w:lineRule="auto"/>
                    <w:jc w:val="center"/>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颗粒物</w:t>
                  </w:r>
                </w:p>
              </w:tc>
              <w:tc>
                <w:tcPr>
                  <w:tcW w:w="1053" w:type="pct"/>
                  <w:tcBorders>
                    <w:tl2br w:val="nil"/>
                    <w:tr2bl w:val="nil"/>
                  </w:tcBorders>
                  <w:shd w:val="clear" w:color="auto" w:fill="auto"/>
                  <w:vAlign w:val="center"/>
                </w:tcPr>
                <w:p w14:paraId="6F946741">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喷粉</w:t>
                  </w:r>
                </w:p>
              </w:tc>
              <w:tc>
                <w:tcPr>
                  <w:tcW w:w="1608" w:type="pct"/>
                  <w:tcBorders>
                    <w:tl2br w:val="nil"/>
                    <w:tr2bl w:val="nil"/>
                  </w:tcBorders>
                  <w:shd w:val="clear" w:color="auto" w:fill="auto"/>
                  <w:vAlign w:val="center"/>
                </w:tcPr>
                <w:p w14:paraId="0EE7DD39">
                  <w:pPr>
                    <w:adjustRightInd w:val="0"/>
                    <w:snapToGrid w:val="0"/>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粉料回收装置+DA002排气筒</w:t>
                  </w:r>
                </w:p>
              </w:tc>
            </w:tr>
            <w:tr w14:paraId="5D1A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643" w:type="pct"/>
                  <w:vMerge w:val="continue"/>
                  <w:tcBorders>
                    <w:tl2br w:val="nil"/>
                    <w:tr2bl w:val="nil"/>
                  </w:tcBorders>
                  <w:vAlign w:val="center"/>
                </w:tcPr>
                <w:p w14:paraId="001B181B">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6B08266B">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G</w:t>
                  </w:r>
                  <w:r>
                    <w:rPr>
                      <w:rFonts w:hint="eastAsia" w:cs="Times New Roman"/>
                      <w:color w:val="auto"/>
                      <w:sz w:val="21"/>
                      <w:szCs w:val="21"/>
                      <w:highlight w:val="none"/>
                      <w:lang w:val="en-US" w:eastAsia="zh-CN"/>
                    </w:rPr>
                    <w:t>10</w:t>
                  </w:r>
                </w:p>
              </w:tc>
              <w:tc>
                <w:tcPr>
                  <w:tcW w:w="1125" w:type="pct"/>
                  <w:tcBorders>
                    <w:tl2br w:val="nil"/>
                    <w:tr2bl w:val="nil"/>
                  </w:tcBorders>
                  <w:shd w:val="clear" w:color="auto" w:fill="auto"/>
                  <w:vAlign w:val="center"/>
                </w:tcPr>
                <w:p w14:paraId="7BB5305B">
                  <w:pPr>
                    <w:adjustRightInd w:val="0"/>
                    <w:snapToGrid w:val="0"/>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颗粒物、二氧化硫、氮氧化物</w:t>
                  </w:r>
                </w:p>
              </w:tc>
              <w:tc>
                <w:tcPr>
                  <w:tcW w:w="1053" w:type="pct"/>
                  <w:tcBorders>
                    <w:tl2br w:val="nil"/>
                    <w:tr2bl w:val="nil"/>
                  </w:tcBorders>
                  <w:shd w:val="clear" w:color="auto" w:fill="auto"/>
                  <w:vAlign w:val="center"/>
                </w:tcPr>
                <w:p w14:paraId="285507AE">
                  <w:pPr>
                    <w:adjustRightInd w:val="0"/>
                    <w:snapToGrid w:val="0"/>
                    <w:spacing w:line="240" w:lineRule="auto"/>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液化石油气</w:t>
                  </w:r>
                </w:p>
                <w:p w14:paraId="63C54575">
                  <w:pPr>
                    <w:adjustRightInd w:val="0"/>
                    <w:snapToGrid w:val="0"/>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燃烧废气</w:t>
                  </w:r>
                </w:p>
              </w:tc>
              <w:tc>
                <w:tcPr>
                  <w:tcW w:w="1608" w:type="pct"/>
                  <w:tcBorders>
                    <w:tl2br w:val="nil"/>
                    <w:tr2bl w:val="nil"/>
                  </w:tcBorders>
                  <w:shd w:val="clear" w:color="auto" w:fill="auto"/>
                  <w:vAlign w:val="center"/>
                </w:tcPr>
                <w:p w14:paraId="067BCE91">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DA002排气筒</w:t>
                  </w:r>
                </w:p>
              </w:tc>
            </w:tr>
            <w:tr w14:paraId="2ED8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43" w:type="pct"/>
                  <w:vMerge w:val="continue"/>
                  <w:tcBorders>
                    <w:tl2br w:val="nil"/>
                    <w:tr2bl w:val="nil"/>
                  </w:tcBorders>
                  <w:vAlign w:val="center"/>
                </w:tcPr>
                <w:p w14:paraId="7ECD2BBA">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5738A1AF">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G11</w:t>
                  </w:r>
                </w:p>
              </w:tc>
              <w:tc>
                <w:tcPr>
                  <w:tcW w:w="1125" w:type="pct"/>
                  <w:tcBorders>
                    <w:tl2br w:val="nil"/>
                    <w:tr2bl w:val="nil"/>
                  </w:tcBorders>
                  <w:shd w:val="clear" w:color="auto" w:fill="auto"/>
                  <w:vAlign w:val="center"/>
                </w:tcPr>
                <w:p w14:paraId="1741493A">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非甲烷总烃</w:t>
                  </w:r>
                </w:p>
              </w:tc>
              <w:tc>
                <w:tcPr>
                  <w:tcW w:w="1053" w:type="pct"/>
                  <w:tcBorders>
                    <w:tl2br w:val="nil"/>
                    <w:tr2bl w:val="nil"/>
                  </w:tcBorders>
                  <w:shd w:val="clear" w:color="auto" w:fill="auto"/>
                  <w:vAlign w:val="center"/>
                </w:tcPr>
                <w:p w14:paraId="106B167C">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喷粉</w:t>
                  </w:r>
                  <w:r>
                    <w:rPr>
                      <w:rFonts w:hint="eastAsia" w:ascii="Times New Roman" w:hAnsi="Times New Roman" w:cs="Times New Roman"/>
                      <w:color w:val="auto"/>
                      <w:sz w:val="21"/>
                      <w:szCs w:val="21"/>
                      <w:highlight w:val="none"/>
                      <w:lang w:val="en-US" w:eastAsia="zh-CN"/>
                    </w:rPr>
                    <w:t>烘干</w:t>
                  </w:r>
                </w:p>
              </w:tc>
              <w:tc>
                <w:tcPr>
                  <w:tcW w:w="1608" w:type="pct"/>
                  <w:tcBorders>
                    <w:tl2br w:val="nil"/>
                    <w:tr2bl w:val="nil"/>
                  </w:tcBorders>
                  <w:shd w:val="clear" w:color="auto" w:fill="auto"/>
                  <w:vAlign w:val="center"/>
                </w:tcPr>
                <w:p w14:paraId="17897A06">
                  <w:pPr>
                    <w:adjustRightInd w:val="0"/>
                    <w:snapToGrid w:val="0"/>
                    <w:spacing w:line="240" w:lineRule="auto"/>
                    <w:jc w:val="both"/>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水喷淋塔+二级活性炭（含干式过滤棉）+DA002排气筒</w:t>
                  </w:r>
                </w:p>
              </w:tc>
            </w:tr>
            <w:tr w14:paraId="2747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643" w:type="pct"/>
                  <w:tcBorders>
                    <w:tl2br w:val="nil"/>
                    <w:tr2bl w:val="nil"/>
                  </w:tcBorders>
                  <w:vAlign w:val="center"/>
                </w:tcPr>
                <w:p w14:paraId="4BFF6921">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w:t>
                  </w:r>
                </w:p>
              </w:tc>
              <w:tc>
                <w:tcPr>
                  <w:tcW w:w="570" w:type="pct"/>
                  <w:tcBorders>
                    <w:tl2br w:val="nil"/>
                    <w:tr2bl w:val="nil"/>
                  </w:tcBorders>
                  <w:vAlign w:val="center"/>
                </w:tcPr>
                <w:p w14:paraId="05E77C98">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N1-N</w:t>
                  </w:r>
                  <w:r>
                    <w:rPr>
                      <w:rFonts w:hint="eastAsia" w:cs="Times New Roman"/>
                      <w:color w:val="auto"/>
                      <w:sz w:val="21"/>
                      <w:szCs w:val="21"/>
                      <w:highlight w:val="none"/>
                      <w:lang w:val="en-US" w:eastAsia="zh-CN"/>
                    </w:rPr>
                    <w:t>35</w:t>
                  </w:r>
                </w:p>
              </w:tc>
              <w:tc>
                <w:tcPr>
                  <w:tcW w:w="1125" w:type="pct"/>
                  <w:tcBorders>
                    <w:tl2br w:val="nil"/>
                    <w:tr2bl w:val="nil"/>
                  </w:tcBorders>
                  <w:vAlign w:val="center"/>
                </w:tcPr>
                <w:p w14:paraId="6C5B08D9">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w:t>
                  </w:r>
                </w:p>
              </w:tc>
              <w:tc>
                <w:tcPr>
                  <w:tcW w:w="1053" w:type="pct"/>
                  <w:tcBorders>
                    <w:tl2br w:val="nil"/>
                    <w:tr2bl w:val="nil"/>
                  </w:tcBorders>
                  <w:vAlign w:val="center"/>
                </w:tcPr>
                <w:p w14:paraId="4ABBB44B">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生产设备</w:t>
                  </w:r>
                </w:p>
              </w:tc>
              <w:tc>
                <w:tcPr>
                  <w:tcW w:w="1608" w:type="pct"/>
                  <w:tcBorders>
                    <w:tl2br w:val="nil"/>
                    <w:tr2bl w:val="nil"/>
                  </w:tcBorders>
                  <w:vAlign w:val="center"/>
                </w:tcPr>
                <w:p w14:paraId="59289A11">
                  <w:pPr>
                    <w:adjustRightInd w:val="0"/>
                    <w:snapToGrid w:val="0"/>
                    <w:spacing w:line="240" w:lineRule="auto"/>
                    <w:jc w:val="both"/>
                    <w:rPr>
                      <w:rFonts w:hint="default" w:ascii="Times New Roman" w:hAnsi="Times New Roman" w:cs="Times New Roman"/>
                      <w:color w:val="auto"/>
                      <w:sz w:val="21"/>
                      <w:szCs w:val="21"/>
                      <w:highlight w:val="none"/>
                    </w:rPr>
                  </w:pPr>
                  <w:r>
                    <w:rPr>
                      <w:rFonts w:hint="default" w:ascii="Times New Roman" w:hAnsi="Times New Roman" w:cs="Times New Roman"/>
                      <w:bCs/>
                      <w:color w:val="auto"/>
                      <w:kern w:val="0"/>
                      <w:sz w:val="21"/>
                      <w:szCs w:val="21"/>
                      <w:highlight w:val="none"/>
                    </w:rPr>
                    <w:t>选用低噪声设备、厂房隔声</w:t>
                  </w:r>
                </w:p>
              </w:tc>
            </w:tr>
            <w:tr w14:paraId="328B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3" w:type="pct"/>
                  <w:vMerge w:val="restart"/>
                  <w:tcBorders>
                    <w:tl2br w:val="nil"/>
                    <w:tr2bl w:val="nil"/>
                  </w:tcBorders>
                  <w:vAlign w:val="center"/>
                </w:tcPr>
                <w:p w14:paraId="78B35238">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废水</w:t>
                  </w:r>
                </w:p>
              </w:tc>
              <w:tc>
                <w:tcPr>
                  <w:tcW w:w="570" w:type="pct"/>
                  <w:tcBorders>
                    <w:tl2br w:val="nil"/>
                    <w:tr2bl w:val="nil"/>
                  </w:tcBorders>
                  <w:vAlign w:val="center"/>
                </w:tcPr>
                <w:p w14:paraId="4322E635">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W1</w:t>
                  </w:r>
                </w:p>
              </w:tc>
              <w:tc>
                <w:tcPr>
                  <w:tcW w:w="1125" w:type="pct"/>
                  <w:tcBorders>
                    <w:tl2br w:val="nil"/>
                    <w:tr2bl w:val="nil"/>
                  </w:tcBorders>
                  <w:shd w:val="clear" w:color="auto" w:fill="auto"/>
                  <w:vAlign w:val="center"/>
                </w:tcPr>
                <w:p w14:paraId="14753D82">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COD</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SS</w:t>
                  </w:r>
                  <w:r>
                    <w:rPr>
                      <w:rFonts w:hint="eastAsia" w:cs="Times New Roman"/>
                      <w:color w:val="auto"/>
                      <w:highlight w:val="none"/>
                      <w:lang w:val="en-US" w:eastAsia="zh-CN"/>
                    </w:rPr>
                    <w:t>、石油类、磷酸盐</w:t>
                  </w:r>
                </w:p>
              </w:tc>
              <w:tc>
                <w:tcPr>
                  <w:tcW w:w="1053" w:type="pct"/>
                  <w:tcBorders>
                    <w:tl2br w:val="nil"/>
                    <w:tr2bl w:val="nil"/>
                  </w:tcBorders>
                  <w:shd w:val="clear" w:color="auto" w:fill="auto"/>
                  <w:vAlign w:val="center"/>
                </w:tcPr>
                <w:p w14:paraId="5B065CB3">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脱脂喷淋浸洗</w:t>
                  </w:r>
                </w:p>
              </w:tc>
              <w:tc>
                <w:tcPr>
                  <w:tcW w:w="1608" w:type="pct"/>
                  <w:vMerge w:val="restart"/>
                  <w:tcBorders>
                    <w:tl2br w:val="nil"/>
                    <w:tr2bl w:val="nil"/>
                  </w:tcBorders>
                  <w:shd w:val="clear" w:color="auto" w:fill="auto"/>
                  <w:vAlign w:val="center"/>
                </w:tcPr>
                <w:p w14:paraId="66FB725C">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污水处理站</w:t>
                  </w:r>
                </w:p>
              </w:tc>
            </w:tr>
            <w:tr w14:paraId="4EBE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3" w:type="pct"/>
                  <w:vMerge w:val="continue"/>
                  <w:tcBorders>
                    <w:tl2br w:val="nil"/>
                    <w:tr2bl w:val="nil"/>
                  </w:tcBorders>
                  <w:vAlign w:val="center"/>
                </w:tcPr>
                <w:p w14:paraId="34E8A140">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vAlign w:val="center"/>
                </w:tcPr>
                <w:p w14:paraId="0F431899">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w:t>
                  </w:r>
                  <w:r>
                    <w:rPr>
                      <w:rFonts w:hint="eastAsia" w:cs="Times New Roman"/>
                      <w:color w:val="auto"/>
                      <w:sz w:val="21"/>
                      <w:szCs w:val="21"/>
                      <w:highlight w:val="none"/>
                      <w:lang w:val="en-US" w:eastAsia="zh-CN"/>
                    </w:rPr>
                    <w:t>2-W4</w:t>
                  </w:r>
                </w:p>
              </w:tc>
              <w:tc>
                <w:tcPr>
                  <w:tcW w:w="1125" w:type="pct"/>
                  <w:tcBorders>
                    <w:tl2br w:val="nil"/>
                    <w:tr2bl w:val="nil"/>
                  </w:tcBorders>
                  <w:shd w:val="clear" w:color="auto" w:fill="auto"/>
                  <w:vAlign w:val="center"/>
                </w:tcPr>
                <w:p w14:paraId="3E46B9FF">
                  <w:pPr>
                    <w:adjustRightInd w:val="0"/>
                    <w:snapToGrid w:val="0"/>
                    <w:spacing w:line="240" w:lineRule="auto"/>
                    <w:jc w:val="center"/>
                    <w:rPr>
                      <w:rFonts w:hint="default" w:ascii="Times New Roman" w:hAnsi="Times New Roman" w:cs="Times New Roman"/>
                      <w:color w:val="auto"/>
                      <w:sz w:val="21"/>
                      <w:szCs w:val="21"/>
                      <w:highlight w:val="none"/>
                      <w:lang w:val="en-US"/>
                    </w:rPr>
                  </w:pPr>
                  <w:r>
                    <w:rPr>
                      <w:rFonts w:hint="eastAsia" w:eastAsia="宋体" w:cs="Times New Roman"/>
                      <w:bCs/>
                      <w:color w:val="auto"/>
                      <w:szCs w:val="21"/>
                      <w:highlight w:val="none"/>
                      <w:u w:val="none"/>
                      <w:lang w:val="en-US" w:eastAsia="zh-CN"/>
                    </w:rPr>
                    <w:t>COD、SS、磷酸盐、总锌</w:t>
                  </w:r>
                </w:p>
              </w:tc>
              <w:tc>
                <w:tcPr>
                  <w:tcW w:w="1053" w:type="pct"/>
                  <w:tcBorders>
                    <w:tl2br w:val="nil"/>
                    <w:tr2bl w:val="nil"/>
                  </w:tcBorders>
                  <w:shd w:val="clear" w:color="auto" w:fill="auto"/>
                  <w:vAlign w:val="center"/>
                </w:tcPr>
                <w:p w14:paraId="3B3C791F">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表调喷淋、喷淋浸洗、滴水</w:t>
                  </w:r>
                </w:p>
              </w:tc>
              <w:tc>
                <w:tcPr>
                  <w:tcW w:w="1608" w:type="pct"/>
                  <w:vMerge w:val="continue"/>
                  <w:tcBorders>
                    <w:tl2br w:val="nil"/>
                    <w:tr2bl w:val="nil"/>
                  </w:tcBorders>
                  <w:shd w:val="clear" w:color="auto" w:fill="auto"/>
                  <w:vAlign w:val="center"/>
                </w:tcPr>
                <w:p w14:paraId="3B6A79E0">
                  <w:pPr>
                    <w:adjustRightInd w:val="0"/>
                    <w:snapToGrid w:val="0"/>
                    <w:spacing w:line="240" w:lineRule="auto"/>
                    <w:jc w:val="center"/>
                    <w:rPr>
                      <w:rFonts w:hint="eastAsia" w:cs="Times New Roman"/>
                      <w:color w:val="auto"/>
                      <w:kern w:val="2"/>
                      <w:sz w:val="21"/>
                      <w:szCs w:val="21"/>
                      <w:highlight w:val="none"/>
                      <w:lang w:val="en-US" w:eastAsia="zh-CN" w:bidi="ar-SA"/>
                    </w:rPr>
                  </w:pPr>
                </w:p>
              </w:tc>
            </w:tr>
            <w:tr w14:paraId="67FE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3" w:type="pct"/>
                  <w:vMerge w:val="continue"/>
                  <w:tcBorders>
                    <w:tl2br w:val="nil"/>
                    <w:tr2bl w:val="nil"/>
                  </w:tcBorders>
                  <w:vAlign w:val="center"/>
                </w:tcPr>
                <w:p w14:paraId="798DDEC8">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vAlign w:val="center"/>
                </w:tcPr>
                <w:p w14:paraId="716C3764">
                  <w:pPr>
                    <w:adjustRightInd w:val="0"/>
                    <w:snapToGrid w:val="0"/>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W5-W6</w:t>
                  </w:r>
                </w:p>
              </w:tc>
              <w:tc>
                <w:tcPr>
                  <w:tcW w:w="1125" w:type="pct"/>
                  <w:tcBorders>
                    <w:tl2br w:val="nil"/>
                    <w:tr2bl w:val="nil"/>
                  </w:tcBorders>
                  <w:shd w:val="clear" w:color="auto" w:fill="auto"/>
                  <w:vAlign w:val="center"/>
                </w:tcPr>
                <w:p w14:paraId="5DA9F5A9">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COD、SS</w:t>
                  </w:r>
                </w:p>
              </w:tc>
              <w:tc>
                <w:tcPr>
                  <w:tcW w:w="1053" w:type="pct"/>
                  <w:tcBorders>
                    <w:tl2br w:val="nil"/>
                    <w:tr2bl w:val="nil"/>
                  </w:tcBorders>
                  <w:shd w:val="clear" w:color="auto" w:fill="auto"/>
                  <w:vAlign w:val="center"/>
                </w:tcPr>
                <w:p w14:paraId="62197ECB">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超滤清洗、</w:t>
                  </w:r>
                  <w:r>
                    <w:rPr>
                      <w:rFonts w:hint="eastAsia" w:cs="Times New Roman"/>
                      <w:color w:val="auto"/>
                      <w:sz w:val="21"/>
                      <w:szCs w:val="21"/>
                      <w:highlight w:val="none"/>
                      <w:lang w:val="en-US" w:eastAsia="zh-CN"/>
                    </w:rPr>
                    <w:t>喷淋</w:t>
                  </w:r>
                </w:p>
              </w:tc>
              <w:tc>
                <w:tcPr>
                  <w:tcW w:w="1608" w:type="pct"/>
                  <w:vMerge w:val="continue"/>
                  <w:tcBorders>
                    <w:tl2br w:val="nil"/>
                    <w:tr2bl w:val="nil"/>
                  </w:tcBorders>
                  <w:shd w:val="clear" w:color="auto" w:fill="auto"/>
                  <w:vAlign w:val="center"/>
                </w:tcPr>
                <w:p w14:paraId="50635C8C">
                  <w:pPr>
                    <w:adjustRightInd w:val="0"/>
                    <w:snapToGrid w:val="0"/>
                    <w:spacing w:line="240" w:lineRule="auto"/>
                    <w:jc w:val="center"/>
                    <w:rPr>
                      <w:rFonts w:hint="eastAsia" w:ascii="Times New Roman" w:hAnsi="Times New Roman" w:cs="Times New Roman"/>
                      <w:color w:val="auto"/>
                      <w:sz w:val="21"/>
                      <w:szCs w:val="21"/>
                      <w:highlight w:val="none"/>
                      <w:lang w:val="en-US" w:eastAsia="zh-CN"/>
                    </w:rPr>
                  </w:pPr>
                </w:p>
              </w:tc>
            </w:tr>
            <w:tr w14:paraId="343D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3" w:type="pct"/>
                  <w:vMerge w:val="continue"/>
                  <w:tcBorders>
                    <w:tl2br w:val="nil"/>
                    <w:tr2bl w:val="nil"/>
                  </w:tcBorders>
                  <w:vAlign w:val="center"/>
                </w:tcPr>
                <w:p w14:paraId="2F95B620">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vAlign w:val="center"/>
                </w:tcPr>
                <w:p w14:paraId="3AE6FE96">
                  <w:pPr>
                    <w:adjustRightInd w:val="0"/>
                    <w:snapToGrid w:val="0"/>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W7</w:t>
                  </w:r>
                </w:p>
              </w:tc>
              <w:tc>
                <w:tcPr>
                  <w:tcW w:w="1125" w:type="pct"/>
                  <w:tcBorders>
                    <w:tl2br w:val="nil"/>
                    <w:tr2bl w:val="nil"/>
                  </w:tcBorders>
                  <w:shd w:val="clear" w:color="auto" w:fill="auto"/>
                  <w:vAlign w:val="center"/>
                </w:tcPr>
                <w:p w14:paraId="17A2B31F">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COD、</w:t>
                  </w:r>
                  <w:r>
                    <w:rPr>
                      <w:rFonts w:hint="default" w:ascii="Times New Roman" w:hAnsi="Times New Roman" w:cs="Times New Roman"/>
                      <w:color w:val="auto"/>
                      <w:highlight w:val="none"/>
                      <w:lang w:val="en-US" w:eastAsia="zh-CN"/>
                    </w:rPr>
                    <w:t>SS</w:t>
                  </w:r>
                </w:p>
              </w:tc>
              <w:tc>
                <w:tcPr>
                  <w:tcW w:w="1053" w:type="pct"/>
                  <w:tcBorders>
                    <w:tl2br w:val="nil"/>
                    <w:tr2bl w:val="nil"/>
                  </w:tcBorders>
                  <w:shd w:val="clear" w:color="auto" w:fill="auto"/>
                  <w:vAlign w:val="center"/>
                </w:tcPr>
                <w:p w14:paraId="471056BA">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水喷淋塔</w:t>
                  </w:r>
                </w:p>
              </w:tc>
              <w:tc>
                <w:tcPr>
                  <w:tcW w:w="1608" w:type="pct"/>
                  <w:vMerge w:val="continue"/>
                  <w:tcBorders>
                    <w:tl2br w:val="nil"/>
                    <w:tr2bl w:val="nil"/>
                  </w:tcBorders>
                  <w:shd w:val="clear" w:color="auto" w:fill="auto"/>
                  <w:vAlign w:val="center"/>
                </w:tcPr>
                <w:p w14:paraId="2760189C">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p>
              </w:tc>
            </w:tr>
            <w:tr w14:paraId="1031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3" w:type="pct"/>
                  <w:vMerge w:val="continue"/>
                  <w:tcBorders>
                    <w:tl2br w:val="nil"/>
                    <w:tr2bl w:val="nil"/>
                  </w:tcBorders>
                  <w:vAlign w:val="center"/>
                </w:tcPr>
                <w:p w14:paraId="0EE9C0A9">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vAlign w:val="center"/>
                </w:tcPr>
                <w:p w14:paraId="07F8F9C7">
                  <w:pPr>
                    <w:adjustRightInd w:val="0"/>
                    <w:snapToGrid w:val="0"/>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W8</w:t>
                  </w:r>
                </w:p>
              </w:tc>
              <w:tc>
                <w:tcPr>
                  <w:tcW w:w="1125" w:type="pct"/>
                  <w:tcBorders>
                    <w:tl2br w:val="nil"/>
                    <w:tr2bl w:val="nil"/>
                  </w:tcBorders>
                  <w:shd w:val="clear" w:color="auto" w:fill="auto"/>
                  <w:vAlign w:val="center"/>
                </w:tcPr>
                <w:p w14:paraId="299BC501">
                  <w:pPr>
                    <w:adjustRightInd w:val="0"/>
                    <w:snapToGrid w:val="0"/>
                    <w:spacing w:line="240" w:lineRule="auto"/>
                    <w:jc w:val="center"/>
                    <w:rPr>
                      <w:rFonts w:hint="default" w:cs="Times New Roman"/>
                      <w:color w:val="auto"/>
                      <w:highlight w:val="none"/>
                      <w:lang w:val="en-US" w:eastAsia="zh-CN"/>
                    </w:rPr>
                  </w:pPr>
                  <w:r>
                    <w:rPr>
                      <w:rFonts w:hint="eastAsia" w:cs="Times New Roman"/>
                      <w:color w:val="auto"/>
                      <w:highlight w:val="none"/>
                      <w:lang w:val="en-US" w:eastAsia="zh-CN"/>
                    </w:rPr>
                    <w:t>COD</w:t>
                  </w:r>
                </w:p>
              </w:tc>
              <w:tc>
                <w:tcPr>
                  <w:tcW w:w="1053" w:type="pct"/>
                  <w:tcBorders>
                    <w:tl2br w:val="nil"/>
                    <w:tr2bl w:val="nil"/>
                  </w:tcBorders>
                  <w:shd w:val="clear" w:color="auto" w:fill="auto"/>
                  <w:vAlign w:val="center"/>
                </w:tcPr>
                <w:p w14:paraId="651F7977">
                  <w:pPr>
                    <w:adjustRightInd w:val="0"/>
                    <w:snapToGrid w:val="0"/>
                    <w:spacing w:line="240" w:lineRule="auto"/>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纯水制备</w:t>
                  </w:r>
                </w:p>
              </w:tc>
              <w:tc>
                <w:tcPr>
                  <w:tcW w:w="1608" w:type="pct"/>
                  <w:tcBorders>
                    <w:tl2br w:val="nil"/>
                    <w:tr2bl w:val="nil"/>
                  </w:tcBorders>
                  <w:shd w:val="clear" w:color="auto" w:fill="auto"/>
                  <w:vAlign w:val="center"/>
                </w:tcPr>
                <w:p w14:paraId="1E7F7BA5">
                  <w:pPr>
                    <w:adjustRightInd w:val="0"/>
                    <w:snapToGrid w:val="0"/>
                    <w:spacing w:line="240" w:lineRule="auto"/>
                    <w:jc w:val="center"/>
                    <w:rPr>
                      <w:rFonts w:hint="eastAsia" w:cs="Times New Roman"/>
                      <w:color w:val="auto"/>
                      <w:sz w:val="21"/>
                      <w:szCs w:val="21"/>
                      <w:highlight w:val="none"/>
                      <w:lang w:val="en-US" w:eastAsia="zh-CN"/>
                    </w:rPr>
                  </w:pPr>
                  <w:r>
                    <w:rPr>
                      <w:rFonts w:hint="eastAsia" w:cs="Times New Roman"/>
                      <w:color w:val="auto"/>
                      <w:kern w:val="2"/>
                      <w:sz w:val="21"/>
                      <w:szCs w:val="21"/>
                      <w:highlight w:val="none"/>
                      <w:lang w:val="en-US" w:eastAsia="zh-CN" w:bidi="ar-SA"/>
                    </w:rPr>
                    <w:t>市政污水管网</w:t>
                  </w:r>
                </w:p>
              </w:tc>
            </w:tr>
            <w:tr w14:paraId="6E80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3" w:type="pct"/>
                  <w:vMerge w:val="continue"/>
                  <w:tcBorders>
                    <w:tl2br w:val="nil"/>
                    <w:tr2bl w:val="nil"/>
                  </w:tcBorders>
                  <w:vAlign w:val="center"/>
                </w:tcPr>
                <w:p w14:paraId="58A8D6FB">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vAlign w:val="center"/>
                </w:tcPr>
                <w:p w14:paraId="66430CA5">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w:t>
                  </w:r>
                  <w:r>
                    <w:rPr>
                      <w:rFonts w:hint="eastAsia" w:cs="Times New Roman"/>
                      <w:color w:val="auto"/>
                      <w:sz w:val="21"/>
                      <w:szCs w:val="21"/>
                      <w:highlight w:val="none"/>
                      <w:lang w:val="en-US" w:eastAsia="zh-CN"/>
                    </w:rPr>
                    <w:t>9</w:t>
                  </w:r>
                </w:p>
              </w:tc>
              <w:tc>
                <w:tcPr>
                  <w:tcW w:w="1125" w:type="pct"/>
                  <w:tcBorders>
                    <w:tl2br w:val="nil"/>
                    <w:tr2bl w:val="nil"/>
                  </w:tcBorders>
                  <w:shd w:val="clear" w:color="auto" w:fill="auto"/>
                  <w:vAlign w:val="center"/>
                </w:tcPr>
                <w:p w14:paraId="3500EBDB">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highlight w:val="none"/>
                      <w:lang w:val="en-US" w:eastAsia="zh-CN"/>
                    </w:rPr>
                    <w:t>pH、</w:t>
                  </w:r>
                  <w:r>
                    <w:rPr>
                      <w:rFonts w:hint="default" w:ascii="Times New Roman" w:hAnsi="Times New Roman" w:cs="Times New Roman"/>
                      <w:color w:val="auto"/>
                      <w:sz w:val="21"/>
                      <w:szCs w:val="21"/>
                      <w:highlight w:val="none"/>
                    </w:rPr>
                    <w:t>COD</w:t>
                  </w:r>
                  <w:r>
                    <w:rPr>
                      <w:rFonts w:hint="default" w:ascii="Times New Roman" w:hAnsi="Times New Roman" w:cs="Times New Roman"/>
                      <w:color w:val="auto"/>
                      <w:sz w:val="21"/>
                      <w:szCs w:val="21"/>
                      <w:highlight w:val="none"/>
                      <w:vertAlign w:val="subscript"/>
                    </w:rPr>
                    <w:t>cr</w:t>
                  </w:r>
                  <w:r>
                    <w:rPr>
                      <w:rFonts w:hint="default" w:ascii="Times New Roman" w:hAnsi="Times New Roman" w:cs="Times New Roman"/>
                      <w:color w:val="auto"/>
                      <w:sz w:val="21"/>
                      <w:szCs w:val="21"/>
                      <w:highlight w:val="none"/>
                    </w:rPr>
                    <w:t>、BOD</w:t>
                  </w:r>
                  <w:r>
                    <w:rPr>
                      <w:rFonts w:hint="default" w:ascii="Times New Roman" w:hAnsi="Times New Roman" w:cs="Times New Roman"/>
                      <w:color w:val="auto"/>
                      <w:sz w:val="21"/>
                      <w:szCs w:val="21"/>
                      <w:highlight w:val="none"/>
                      <w:vertAlign w:val="subscript"/>
                    </w:rPr>
                    <w:t>5</w:t>
                  </w:r>
                  <w:r>
                    <w:rPr>
                      <w:rFonts w:hint="default" w:ascii="Times New Roman" w:hAnsi="Times New Roman" w:cs="Times New Roman"/>
                      <w:color w:val="auto"/>
                      <w:sz w:val="21"/>
                      <w:szCs w:val="21"/>
                      <w:highlight w:val="none"/>
                    </w:rPr>
                    <w:t>、SS、NH</w:t>
                  </w:r>
                  <w:r>
                    <w:rPr>
                      <w:rFonts w:hint="default" w:ascii="Times New Roman" w:hAnsi="Times New Roman" w:cs="Times New Roman"/>
                      <w:color w:val="auto"/>
                      <w:sz w:val="21"/>
                      <w:szCs w:val="21"/>
                      <w:highlight w:val="none"/>
                      <w:vertAlign w:val="subscript"/>
                    </w:rPr>
                    <w:t>3</w:t>
                  </w:r>
                  <w:r>
                    <w:rPr>
                      <w:rFonts w:hint="default" w:ascii="Times New Roman" w:hAnsi="Times New Roman" w:cs="Times New Roman"/>
                      <w:color w:val="auto"/>
                      <w:sz w:val="21"/>
                      <w:szCs w:val="21"/>
                      <w:highlight w:val="none"/>
                    </w:rPr>
                    <w:t>-N</w:t>
                  </w:r>
                </w:p>
              </w:tc>
              <w:tc>
                <w:tcPr>
                  <w:tcW w:w="1053" w:type="pct"/>
                  <w:tcBorders>
                    <w:tl2br w:val="nil"/>
                    <w:tr2bl w:val="nil"/>
                  </w:tcBorders>
                  <w:shd w:val="clear" w:color="auto" w:fill="auto"/>
                  <w:vAlign w:val="center"/>
                </w:tcPr>
                <w:p w14:paraId="1DE07CCC">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办公生活</w:t>
                  </w:r>
                </w:p>
              </w:tc>
              <w:tc>
                <w:tcPr>
                  <w:tcW w:w="1608" w:type="pct"/>
                  <w:tcBorders>
                    <w:tl2br w:val="nil"/>
                    <w:tr2bl w:val="nil"/>
                  </w:tcBorders>
                  <w:shd w:val="clear" w:color="auto" w:fill="auto"/>
                  <w:vAlign w:val="center"/>
                </w:tcPr>
                <w:p w14:paraId="77FACC71">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化粪池</w:t>
                  </w:r>
                </w:p>
              </w:tc>
            </w:tr>
            <w:tr w14:paraId="23C68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restart"/>
                  <w:tcBorders>
                    <w:tl2br w:val="nil"/>
                    <w:tr2bl w:val="nil"/>
                  </w:tcBorders>
                  <w:vAlign w:val="center"/>
                </w:tcPr>
                <w:p w14:paraId="357A4C7B">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固体</w:t>
                  </w:r>
                </w:p>
                <w:p w14:paraId="4D1DC926">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废物</w:t>
                  </w:r>
                </w:p>
              </w:tc>
              <w:tc>
                <w:tcPr>
                  <w:tcW w:w="570" w:type="pct"/>
                  <w:tcBorders>
                    <w:tl2br w:val="nil"/>
                    <w:tr2bl w:val="nil"/>
                  </w:tcBorders>
                  <w:shd w:val="clear" w:color="auto" w:fill="auto"/>
                  <w:vAlign w:val="center"/>
                </w:tcPr>
                <w:p w14:paraId="1B439CD8">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S1</w:t>
                  </w:r>
                  <w:r>
                    <w:rPr>
                      <w:rFonts w:hint="eastAsia" w:ascii="Times New Roman" w:hAnsi="Times New Roman" w:cs="Times New Roman"/>
                      <w:color w:val="auto"/>
                      <w:sz w:val="21"/>
                      <w:szCs w:val="21"/>
                      <w:highlight w:val="none"/>
                      <w:lang w:val="en-US" w:eastAsia="zh-CN"/>
                    </w:rPr>
                    <w:t>-S4、S6</w:t>
                  </w:r>
                </w:p>
              </w:tc>
              <w:tc>
                <w:tcPr>
                  <w:tcW w:w="1125" w:type="pct"/>
                  <w:tcBorders>
                    <w:tl2br w:val="nil"/>
                    <w:tr2bl w:val="nil"/>
                  </w:tcBorders>
                  <w:shd w:val="clear" w:color="auto" w:fill="auto"/>
                  <w:vAlign w:val="center"/>
                </w:tcPr>
                <w:p w14:paraId="1DDF343C">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金属碎屑</w:t>
                  </w:r>
                  <w:r>
                    <w:rPr>
                      <w:rFonts w:hint="eastAsia" w:cs="Times New Roman"/>
                      <w:color w:val="auto"/>
                      <w:sz w:val="21"/>
                      <w:szCs w:val="21"/>
                      <w:highlight w:val="none"/>
                      <w:lang w:val="en-US" w:eastAsia="zh-CN"/>
                    </w:rPr>
                    <w:t>及边角料</w:t>
                  </w:r>
                </w:p>
              </w:tc>
              <w:tc>
                <w:tcPr>
                  <w:tcW w:w="1053" w:type="pct"/>
                  <w:tcBorders>
                    <w:tl2br w:val="nil"/>
                    <w:tr2bl w:val="nil"/>
                  </w:tcBorders>
                  <w:shd w:val="clear" w:color="auto" w:fill="auto"/>
                  <w:vAlign w:val="center"/>
                </w:tcPr>
                <w:p w14:paraId="1D858125">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去毛刺、切管、管段加工、钻孔</w:t>
                  </w:r>
                  <w:r>
                    <w:rPr>
                      <w:rFonts w:hint="eastAsia" w:cs="Times New Roman"/>
                      <w:color w:val="auto"/>
                      <w:sz w:val="21"/>
                      <w:szCs w:val="21"/>
                      <w:highlight w:val="none"/>
                      <w:lang w:val="en-US" w:eastAsia="zh-CN"/>
                    </w:rPr>
                    <w:t>、清理</w:t>
                  </w:r>
                </w:p>
              </w:tc>
              <w:tc>
                <w:tcPr>
                  <w:tcW w:w="1608" w:type="pct"/>
                  <w:vMerge w:val="restart"/>
                  <w:tcBorders>
                    <w:tl2br w:val="nil"/>
                    <w:tr2bl w:val="nil"/>
                  </w:tcBorders>
                  <w:shd w:val="clear" w:color="auto" w:fill="auto"/>
                  <w:vAlign w:val="center"/>
                </w:tcPr>
                <w:p w14:paraId="2ACACC49">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收集后外售</w:t>
                  </w:r>
                </w:p>
              </w:tc>
            </w:tr>
            <w:tr w14:paraId="0EAC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Borders>
                    <w:tl2br w:val="nil"/>
                    <w:tr2bl w:val="nil"/>
                  </w:tcBorders>
                  <w:vAlign w:val="center"/>
                </w:tcPr>
                <w:p w14:paraId="64A07F6A">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2C164158">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S14</w:t>
                  </w:r>
                </w:p>
              </w:tc>
              <w:tc>
                <w:tcPr>
                  <w:tcW w:w="1125" w:type="pct"/>
                  <w:tcBorders>
                    <w:tl2br w:val="nil"/>
                    <w:tr2bl w:val="nil"/>
                  </w:tcBorders>
                  <w:shd w:val="clear" w:color="auto" w:fill="auto"/>
                  <w:vAlign w:val="center"/>
                </w:tcPr>
                <w:p w14:paraId="5DCB6903">
                  <w:pPr>
                    <w:adjustRightInd w:val="0"/>
                    <w:snapToGrid w:val="0"/>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喷粉废料</w:t>
                  </w:r>
                </w:p>
              </w:tc>
              <w:tc>
                <w:tcPr>
                  <w:tcW w:w="1053" w:type="pct"/>
                  <w:tcBorders>
                    <w:tl2br w:val="nil"/>
                    <w:tr2bl w:val="nil"/>
                  </w:tcBorders>
                  <w:shd w:val="clear" w:color="auto" w:fill="auto"/>
                  <w:vAlign w:val="center"/>
                </w:tcPr>
                <w:p w14:paraId="0BD917FE">
                  <w:pPr>
                    <w:adjustRightInd w:val="0"/>
                    <w:snapToGrid w:val="0"/>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喷粉</w:t>
                  </w:r>
                </w:p>
              </w:tc>
              <w:tc>
                <w:tcPr>
                  <w:tcW w:w="1608" w:type="pct"/>
                  <w:vMerge w:val="continue"/>
                  <w:tcBorders>
                    <w:tl2br w:val="nil"/>
                    <w:tr2bl w:val="nil"/>
                  </w:tcBorders>
                  <w:shd w:val="clear" w:color="auto" w:fill="auto"/>
                  <w:vAlign w:val="center"/>
                </w:tcPr>
                <w:p w14:paraId="53ECE1C1">
                  <w:pPr>
                    <w:adjustRightInd w:val="0"/>
                    <w:snapToGrid w:val="0"/>
                    <w:spacing w:line="240" w:lineRule="auto"/>
                    <w:jc w:val="center"/>
                    <w:rPr>
                      <w:rFonts w:hint="default" w:ascii="Times New Roman" w:hAnsi="Times New Roman" w:cs="Times New Roman"/>
                      <w:color w:val="auto"/>
                      <w:sz w:val="21"/>
                      <w:szCs w:val="21"/>
                      <w:highlight w:val="none"/>
                    </w:rPr>
                  </w:pPr>
                </w:p>
              </w:tc>
            </w:tr>
            <w:tr w14:paraId="31584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Borders>
                    <w:tl2br w:val="nil"/>
                    <w:tr2bl w:val="nil"/>
                  </w:tcBorders>
                  <w:vAlign w:val="center"/>
                </w:tcPr>
                <w:p w14:paraId="40BBF33B">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20A03A46">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S</w:t>
                  </w:r>
                  <w:r>
                    <w:rPr>
                      <w:rFonts w:hint="eastAsia" w:ascii="Times New Roman" w:hAnsi="Times New Roman" w:cs="Times New Roman"/>
                      <w:color w:val="auto"/>
                      <w:sz w:val="21"/>
                      <w:szCs w:val="21"/>
                      <w:highlight w:val="none"/>
                      <w:lang w:val="en-US" w:eastAsia="zh-CN"/>
                    </w:rPr>
                    <w:t>5</w:t>
                  </w:r>
                </w:p>
              </w:tc>
              <w:tc>
                <w:tcPr>
                  <w:tcW w:w="1125" w:type="pct"/>
                  <w:tcBorders>
                    <w:tl2br w:val="nil"/>
                    <w:tr2bl w:val="nil"/>
                  </w:tcBorders>
                  <w:shd w:val="clear" w:color="auto" w:fill="auto"/>
                  <w:vAlign w:val="center"/>
                </w:tcPr>
                <w:p w14:paraId="489EF1F3">
                  <w:pPr>
                    <w:adjustRightInd w:val="0"/>
                    <w:snapToGrid w:val="0"/>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焊渣</w:t>
                  </w:r>
                </w:p>
              </w:tc>
              <w:tc>
                <w:tcPr>
                  <w:tcW w:w="1053" w:type="pct"/>
                  <w:tcBorders>
                    <w:tl2br w:val="nil"/>
                    <w:tr2bl w:val="nil"/>
                  </w:tcBorders>
                  <w:shd w:val="clear" w:color="auto" w:fill="auto"/>
                  <w:vAlign w:val="center"/>
                </w:tcPr>
                <w:p w14:paraId="55A3A1E0">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焊接</w:t>
                  </w:r>
                </w:p>
              </w:tc>
              <w:tc>
                <w:tcPr>
                  <w:tcW w:w="1608" w:type="pct"/>
                  <w:vMerge w:val="continue"/>
                  <w:tcBorders>
                    <w:tl2br w:val="nil"/>
                    <w:tr2bl w:val="nil"/>
                  </w:tcBorders>
                  <w:shd w:val="clear" w:color="auto" w:fill="auto"/>
                  <w:vAlign w:val="center"/>
                </w:tcPr>
                <w:p w14:paraId="678262AF">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p>
              </w:tc>
            </w:tr>
            <w:tr w14:paraId="639FF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Borders>
                    <w:tl2br w:val="nil"/>
                    <w:tr2bl w:val="nil"/>
                  </w:tcBorders>
                  <w:vAlign w:val="center"/>
                </w:tcPr>
                <w:p w14:paraId="63F12CC9">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64FA04B8">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S7</w:t>
                  </w:r>
                </w:p>
              </w:tc>
              <w:tc>
                <w:tcPr>
                  <w:tcW w:w="1125" w:type="pct"/>
                  <w:tcBorders>
                    <w:tl2br w:val="nil"/>
                    <w:tr2bl w:val="nil"/>
                  </w:tcBorders>
                  <w:shd w:val="clear" w:color="auto" w:fill="auto"/>
                  <w:vAlign w:val="center"/>
                </w:tcPr>
                <w:p w14:paraId="6D1F41A9">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不合格产品</w:t>
                  </w:r>
                </w:p>
              </w:tc>
              <w:tc>
                <w:tcPr>
                  <w:tcW w:w="1053" w:type="pct"/>
                  <w:tcBorders>
                    <w:tl2br w:val="nil"/>
                    <w:tr2bl w:val="nil"/>
                  </w:tcBorders>
                  <w:shd w:val="clear" w:color="auto" w:fill="auto"/>
                  <w:vAlign w:val="center"/>
                </w:tcPr>
                <w:p w14:paraId="414F2EA3">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检验</w:t>
                  </w:r>
                </w:p>
              </w:tc>
              <w:tc>
                <w:tcPr>
                  <w:tcW w:w="1608" w:type="pct"/>
                  <w:tcBorders>
                    <w:tl2br w:val="nil"/>
                    <w:tr2bl w:val="nil"/>
                  </w:tcBorders>
                  <w:shd w:val="clear" w:color="auto" w:fill="auto"/>
                  <w:vAlign w:val="center"/>
                </w:tcPr>
                <w:p w14:paraId="1770D7ED">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回用</w:t>
                  </w:r>
                </w:p>
              </w:tc>
            </w:tr>
            <w:tr w14:paraId="589D3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Borders>
                    <w:tl2br w:val="nil"/>
                    <w:tr2bl w:val="nil"/>
                  </w:tcBorders>
                  <w:vAlign w:val="center"/>
                </w:tcPr>
                <w:p w14:paraId="0A1AA438">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32F232C2">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S</w:t>
                  </w:r>
                  <w:r>
                    <w:rPr>
                      <w:rFonts w:hint="eastAsia" w:cs="Times New Roman"/>
                      <w:color w:val="auto"/>
                      <w:sz w:val="21"/>
                      <w:szCs w:val="21"/>
                      <w:highlight w:val="none"/>
                      <w:lang w:val="en-US" w:eastAsia="zh-CN"/>
                    </w:rPr>
                    <w:t>8</w:t>
                  </w:r>
                  <w:r>
                    <w:rPr>
                      <w:rFonts w:hint="eastAsia" w:eastAsia="宋体" w:cs="Times New Roman"/>
                      <w:color w:val="auto"/>
                      <w:sz w:val="21"/>
                      <w:szCs w:val="21"/>
                      <w:highlight w:val="none"/>
                      <w:lang w:val="en-US" w:eastAsia="zh-CN"/>
                    </w:rPr>
                    <w:t>-S</w:t>
                  </w:r>
                  <w:r>
                    <w:rPr>
                      <w:rFonts w:hint="eastAsia" w:cs="Times New Roman"/>
                      <w:color w:val="auto"/>
                      <w:sz w:val="21"/>
                      <w:szCs w:val="21"/>
                      <w:highlight w:val="none"/>
                      <w:lang w:val="en-US" w:eastAsia="zh-CN"/>
                    </w:rPr>
                    <w:t>9</w:t>
                  </w:r>
                </w:p>
              </w:tc>
              <w:tc>
                <w:tcPr>
                  <w:tcW w:w="1125" w:type="pct"/>
                  <w:tcBorders>
                    <w:tl2br w:val="nil"/>
                    <w:tr2bl w:val="nil"/>
                  </w:tcBorders>
                  <w:shd w:val="clear" w:color="auto" w:fill="auto"/>
                  <w:vAlign w:val="center"/>
                </w:tcPr>
                <w:p w14:paraId="640670D8">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脱脂槽渣</w:t>
                  </w:r>
                </w:p>
              </w:tc>
              <w:tc>
                <w:tcPr>
                  <w:tcW w:w="1053" w:type="pct"/>
                  <w:tcBorders>
                    <w:tl2br w:val="nil"/>
                    <w:tr2bl w:val="nil"/>
                  </w:tcBorders>
                  <w:shd w:val="clear" w:color="auto" w:fill="auto"/>
                  <w:vAlign w:val="center"/>
                </w:tcPr>
                <w:p w14:paraId="730D6EBA">
                  <w:pPr>
                    <w:adjustRightInd w:val="0"/>
                    <w:snapToGrid w:val="0"/>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预脱脂、脱脂</w:t>
                  </w:r>
                </w:p>
              </w:tc>
              <w:tc>
                <w:tcPr>
                  <w:tcW w:w="1608" w:type="pct"/>
                  <w:vMerge w:val="restart"/>
                  <w:tcBorders>
                    <w:tl2br w:val="nil"/>
                    <w:tr2bl w:val="nil"/>
                  </w:tcBorders>
                  <w:shd w:val="clear" w:color="auto" w:fill="auto"/>
                  <w:vAlign w:val="center"/>
                </w:tcPr>
                <w:p w14:paraId="6FDCB10A">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交由</w:t>
                  </w:r>
                  <w:r>
                    <w:rPr>
                      <w:rFonts w:hint="eastAsia" w:cs="Times New Roman"/>
                      <w:color w:val="auto"/>
                      <w:sz w:val="21"/>
                      <w:szCs w:val="21"/>
                      <w:highlight w:val="none"/>
                      <w:lang w:val="en-US" w:eastAsia="zh-CN"/>
                    </w:rPr>
                    <w:t>柳州金太阳工业废物处置有限公司</w:t>
                  </w:r>
                  <w:r>
                    <w:rPr>
                      <w:rFonts w:hint="eastAsia" w:cs="Times New Roman"/>
                      <w:color w:val="auto"/>
                      <w:sz w:val="21"/>
                      <w:szCs w:val="21"/>
                      <w:highlight w:val="none"/>
                      <w:lang w:val="en-US" w:eastAsia="zh-CN"/>
                    </w:rPr>
                    <w:t>处理</w:t>
                  </w:r>
                </w:p>
              </w:tc>
            </w:tr>
            <w:tr w14:paraId="33DA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Borders>
                    <w:tl2br w:val="nil"/>
                    <w:tr2bl w:val="nil"/>
                  </w:tcBorders>
                  <w:vAlign w:val="center"/>
                </w:tcPr>
                <w:p w14:paraId="3674EC5B">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2F79C4A8">
                  <w:pPr>
                    <w:adjustRightInd w:val="0"/>
                    <w:snapToGrid w:val="0"/>
                    <w:spacing w:line="240" w:lineRule="auto"/>
                    <w:jc w:val="center"/>
                    <w:rPr>
                      <w:rFonts w:hint="default" w:eastAsia="宋体" w:cs="Times New Roman" w:asciiTheme="minorHAnsi" w:hAnsiTheme="minorHAnsi"/>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S</w:t>
                  </w:r>
                  <w:r>
                    <w:rPr>
                      <w:rFonts w:hint="eastAsia" w:cs="Times New Roman"/>
                      <w:color w:val="auto"/>
                      <w:sz w:val="21"/>
                      <w:szCs w:val="21"/>
                      <w:highlight w:val="none"/>
                      <w:lang w:val="en-US" w:eastAsia="zh-CN"/>
                    </w:rPr>
                    <w:t>10</w:t>
                  </w:r>
                </w:p>
              </w:tc>
              <w:tc>
                <w:tcPr>
                  <w:tcW w:w="1125" w:type="pct"/>
                  <w:tcBorders>
                    <w:tl2br w:val="nil"/>
                    <w:tr2bl w:val="nil"/>
                  </w:tcBorders>
                  <w:shd w:val="clear" w:color="auto" w:fill="auto"/>
                  <w:vAlign w:val="center"/>
                </w:tcPr>
                <w:p w14:paraId="5BBD7028">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表调</w:t>
                  </w:r>
                  <w:r>
                    <w:rPr>
                      <w:rFonts w:hint="eastAsia" w:ascii="Times New Roman" w:hAnsi="Times New Roman" w:eastAsia="宋体" w:cs="Times New Roman"/>
                      <w:color w:val="auto"/>
                      <w:sz w:val="21"/>
                      <w:szCs w:val="21"/>
                      <w:highlight w:val="none"/>
                      <w:lang w:val="en-US" w:eastAsia="zh-CN"/>
                    </w:rPr>
                    <w:t>槽渣</w:t>
                  </w:r>
                </w:p>
              </w:tc>
              <w:tc>
                <w:tcPr>
                  <w:tcW w:w="1053" w:type="pct"/>
                  <w:tcBorders>
                    <w:tl2br w:val="nil"/>
                    <w:tr2bl w:val="nil"/>
                  </w:tcBorders>
                  <w:shd w:val="clear" w:color="auto" w:fill="auto"/>
                  <w:vAlign w:val="center"/>
                </w:tcPr>
                <w:p w14:paraId="6EB3EC7B">
                  <w:pPr>
                    <w:adjustRightInd w:val="0"/>
                    <w:snapToGrid w:val="0"/>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color w:val="auto"/>
                      <w:sz w:val="21"/>
                      <w:szCs w:val="21"/>
                      <w:highlight w:val="none"/>
                      <w:lang w:val="en-US" w:eastAsia="zh-CN"/>
                    </w:rPr>
                    <w:t>表调喷淋</w:t>
                  </w:r>
                </w:p>
              </w:tc>
              <w:tc>
                <w:tcPr>
                  <w:tcW w:w="1608" w:type="pct"/>
                  <w:vMerge w:val="continue"/>
                  <w:tcBorders>
                    <w:tl2br w:val="nil"/>
                    <w:tr2bl w:val="nil"/>
                  </w:tcBorders>
                  <w:vAlign w:val="center"/>
                </w:tcPr>
                <w:p w14:paraId="14B495C4">
                  <w:pPr>
                    <w:adjustRightInd w:val="0"/>
                    <w:snapToGrid w:val="0"/>
                    <w:spacing w:line="240" w:lineRule="auto"/>
                    <w:jc w:val="center"/>
                    <w:rPr>
                      <w:rFonts w:hint="eastAsia" w:cs="Times New Roman"/>
                      <w:color w:val="auto"/>
                      <w:sz w:val="21"/>
                      <w:szCs w:val="21"/>
                      <w:highlight w:val="none"/>
                      <w:lang w:val="en-US" w:eastAsia="zh-CN"/>
                    </w:rPr>
                  </w:pPr>
                </w:p>
              </w:tc>
            </w:tr>
            <w:tr w14:paraId="76FC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Borders>
                    <w:tl2br w:val="nil"/>
                    <w:tr2bl w:val="nil"/>
                  </w:tcBorders>
                  <w:vAlign w:val="center"/>
                </w:tcPr>
                <w:p w14:paraId="5078C87D">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026DB4BD">
                  <w:pPr>
                    <w:adjustRightInd w:val="0"/>
                    <w:snapToGrid w:val="0"/>
                    <w:spacing w:line="240" w:lineRule="auto"/>
                    <w:jc w:val="center"/>
                    <w:rPr>
                      <w:rFonts w:hint="default" w:eastAsia="宋体" w:cs="Times New Roman" w:asciiTheme="minorHAnsi" w:hAnsiTheme="minorHAnsi"/>
                      <w:color w:val="auto"/>
                      <w:kern w:val="2"/>
                      <w:sz w:val="21"/>
                      <w:szCs w:val="21"/>
                      <w:highlight w:val="none"/>
                      <w:lang w:val="en-US" w:eastAsia="zh-CN" w:bidi="ar-SA"/>
                    </w:rPr>
                  </w:pPr>
                  <w:r>
                    <w:rPr>
                      <w:rFonts w:hint="eastAsia" w:cs="Times New Roman"/>
                      <w:color w:val="auto"/>
                      <w:sz w:val="21"/>
                      <w:szCs w:val="21"/>
                      <w:highlight w:val="none"/>
                      <w:lang w:val="en-US" w:eastAsia="zh-CN"/>
                    </w:rPr>
                    <w:t>S11</w:t>
                  </w:r>
                </w:p>
              </w:tc>
              <w:tc>
                <w:tcPr>
                  <w:tcW w:w="1125" w:type="pct"/>
                  <w:tcBorders>
                    <w:tl2br w:val="nil"/>
                    <w:tr2bl w:val="nil"/>
                  </w:tcBorders>
                  <w:shd w:val="clear" w:color="auto" w:fill="auto"/>
                  <w:vAlign w:val="center"/>
                </w:tcPr>
                <w:p w14:paraId="0F878714">
                  <w:pPr>
                    <w:adjustRightInd w:val="0"/>
                    <w:snapToGrid w:val="0"/>
                    <w:spacing w:line="240" w:lineRule="auto"/>
                    <w:jc w:val="center"/>
                    <w:rPr>
                      <w:rFonts w:hint="default" w:cs="Times New Roman" w:asciiTheme="minorHAnsi" w:hAnsiTheme="minorHAnsi" w:eastAsiaTheme="minorEastAsia"/>
                      <w:color w:val="auto"/>
                      <w:kern w:val="2"/>
                      <w:sz w:val="21"/>
                      <w:szCs w:val="21"/>
                      <w:highlight w:val="none"/>
                      <w:lang w:val="en-US" w:eastAsia="zh-CN" w:bidi="ar-SA"/>
                    </w:rPr>
                  </w:pPr>
                  <w:r>
                    <w:rPr>
                      <w:rFonts w:hint="eastAsia" w:cs="Times New Roman"/>
                      <w:color w:val="auto"/>
                      <w:sz w:val="21"/>
                      <w:szCs w:val="21"/>
                      <w:highlight w:val="none"/>
                      <w:lang w:val="en-US" w:eastAsia="zh-CN"/>
                    </w:rPr>
                    <w:t>磷化槽渣</w:t>
                  </w:r>
                </w:p>
              </w:tc>
              <w:tc>
                <w:tcPr>
                  <w:tcW w:w="1053" w:type="pct"/>
                  <w:tcBorders>
                    <w:tl2br w:val="nil"/>
                    <w:tr2bl w:val="nil"/>
                  </w:tcBorders>
                  <w:shd w:val="clear" w:color="auto" w:fill="auto"/>
                  <w:vAlign w:val="center"/>
                </w:tcPr>
                <w:p w14:paraId="7462D7F9">
                  <w:pPr>
                    <w:adjustRightInd w:val="0"/>
                    <w:snapToGrid w:val="0"/>
                    <w:spacing w:line="240" w:lineRule="auto"/>
                    <w:jc w:val="center"/>
                    <w:rPr>
                      <w:rFonts w:hint="default" w:cs="Times New Roman" w:asciiTheme="minorHAnsi" w:hAnsiTheme="minorHAnsi" w:eastAsiaTheme="minorEastAsia"/>
                      <w:color w:val="auto"/>
                      <w:kern w:val="2"/>
                      <w:sz w:val="21"/>
                      <w:szCs w:val="21"/>
                      <w:highlight w:val="none"/>
                      <w:lang w:val="en-US" w:eastAsia="zh-CN" w:bidi="ar-SA"/>
                    </w:rPr>
                  </w:pPr>
                  <w:r>
                    <w:rPr>
                      <w:rFonts w:hint="eastAsia" w:cs="Times New Roman"/>
                      <w:color w:val="auto"/>
                      <w:sz w:val="21"/>
                      <w:szCs w:val="21"/>
                      <w:highlight w:val="none"/>
                      <w:lang w:val="en-US" w:eastAsia="zh-CN"/>
                    </w:rPr>
                    <w:t>浸泡磷化</w:t>
                  </w:r>
                </w:p>
              </w:tc>
              <w:tc>
                <w:tcPr>
                  <w:tcW w:w="1608" w:type="pct"/>
                  <w:vMerge w:val="continue"/>
                  <w:tcBorders>
                    <w:tl2br w:val="nil"/>
                    <w:tr2bl w:val="nil"/>
                  </w:tcBorders>
                  <w:vAlign w:val="center"/>
                </w:tcPr>
                <w:p w14:paraId="3627360D">
                  <w:pPr>
                    <w:adjustRightInd w:val="0"/>
                    <w:snapToGrid w:val="0"/>
                    <w:spacing w:line="240" w:lineRule="auto"/>
                    <w:jc w:val="center"/>
                    <w:rPr>
                      <w:rFonts w:hint="eastAsia" w:cs="Times New Roman"/>
                      <w:color w:val="auto"/>
                      <w:sz w:val="21"/>
                      <w:szCs w:val="21"/>
                      <w:highlight w:val="none"/>
                      <w:lang w:val="en-US" w:eastAsia="zh-CN"/>
                    </w:rPr>
                  </w:pPr>
                </w:p>
              </w:tc>
            </w:tr>
            <w:tr w14:paraId="41CD5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Borders>
                    <w:tl2br w:val="nil"/>
                    <w:tr2bl w:val="nil"/>
                  </w:tcBorders>
                  <w:vAlign w:val="center"/>
                </w:tcPr>
                <w:p w14:paraId="1B67AD17">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01EE18EC">
                  <w:pPr>
                    <w:adjustRightInd w:val="0"/>
                    <w:snapToGrid w:val="0"/>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S12</w:t>
                  </w:r>
                </w:p>
              </w:tc>
              <w:tc>
                <w:tcPr>
                  <w:tcW w:w="1125" w:type="pct"/>
                  <w:tcBorders>
                    <w:tl2br w:val="nil"/>
                    <w:tr2bl w:val="nil"/>
                  </w:tcBorders>
                  <w:shd w:val="clear" w:color="auto" w:fill="auto"/>
                  <w:vAlign w:val="center"/>
                </w:tcPr>
                <w:p w14:paraId="161B9572">
                  <w:pPr>
                    <w:adjustRightInd w:val="0"/>
                    <w:snapToGrid w:val="0"/>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电泳槽渣</w:t>
                  </w:r>
                </w:p>
              </w:tc>
              <w:tc>
                <w:tcPr>
                  <w:tcW w:w="1053" w:type="pct"/>
                  <w:tcBorders>
                    <w:tl2br w:val="nil"/>
                    <w:tr2bl w:val="nil"/>
                  </w:tcBorders>
                  <w:shd w:val="clear" w:color="auto" w:fill="auto"/>
                  <w:vAlign w:val="center"/>
                </w:tcPr>
                <w:p w14:paraId="531E5A47">
                  <w:pPr>
                    <w:adjustRightInd w:val="0"/>
                    <w:snapToGrid w:val="0"/>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电泳</w:t>
                  </w:r>
                </w:p>
              </w:tc>
              <w:tc>
                <w:tcPr>
                  <w:tcW w:w="1608" w:type="pct"/>
                  <w:vMerge w:val="continue"/>
                  <w:tcBorders>
                    <w:tl2br w:val="nil"/>
                    <w:tr2bl w:val="nil"/>
                  </w:tcBorders>
                  <w:vAlign w:val="center"/>
                </w:tcPr>
                <w:p w14:paraId="6658F4B9">
                  <w:pPr>
                    <w:adjustRightInd w:val="0"/>
                    <w:snapToGrid w:val="0"/>
                    <w:spacing w:line="240" w:lineRule="auto"/>
                    <w:jc w:val="center"/>
                    <w:rPr>
                      <w:rFonts w:hint="eastAsia" w:cs="Times New Roman"/>
                      <w:color w:val="auto"/>
                      <w:sz w:val="21"/>
                      <w:szCs w:val="21"/>
                      <w:highlight w:val="none"/>
                      <w:lang w:val="en-US" w:eastAsia="zh-CN"/>
                    </w:rPr>
                  </w:pPr>
                </w:p>
              </w:tc>
            </w:tr>
            <w:tr w14:paraId="6F2C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Borders>
                    <w:tl2br w:val="nil"/>
                    <w:tr2bl w:val="nil"/>
                  </w:tcBorders>
                  <w:vAlign w:val="center"/>
                </w:tcPr>
                <w:p w14:paraId="786CFB0E">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0991B5BD">
                  <w:pPr>
                    <w:adjustRightInd w:val="0"/>
                    <w:snapToGrid w:val="0"/>
                    <w:spacing w:line="240" w:lineRule="auto"/>
                    <w:jc w:val="center"/>
                    <w:rPr>
                      <w:rFonts w:hint="default" w:eastAsia="宋体" w:cs="Times New Roman" w:asciiTheme="minorHAnsi" w:hAnsiTheme="minorHAnsi"/>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S1</w:t>
                  </w:r>
                  <w:r>
                    <w:rPr>
                      <w:rFonts w:hint="eastAsia" w:cs="Times New Roman"/>
                      <w:color w:val="auto"/>
                      <w:sz w:val="21"/>
                      <w:szCs w:val="21"/>
                      <w:highlight w:val="none"/>
                      <w:lang w:val="en-US" w:eastAsia="zh-CN"/>
                    </w:rPr>
                    <w:t>3</w:t>
                  </w:r>
                </w:p>
              </w:tc>
              <w:tc>
                <w:tcPr>
                  <w:tcW w:w="1125" w:type="pct"/>
                  <w:tcBorders>
                    <w:tl2br w:val="nil"/>
                    <w:tr2bl w:val="nil"/>
                  </w:tcBorders>
                  <w:shd w:val="clear" w:color="auto" w:fill="auto"/>
                  <w:vAlign w:val="center"/>
                </w:tcPr>
                <w:p w14:paraId="45D55D66">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废超滤膜</w:t>
                  </w:r>
                </w:p>
              </w:tc>
              <w:tc>
                <w:tcPr>
                  <w:tcW w:w="1053" w:type="pct"/>
                  <w:tcBorders>
                    <w:tl2br w:val="nil"/>
                    <w:tr2bl w:val="nil"/>
                  </w:tcBorders>
                  <w:shd w:val="clear" w:color="auto" w:fill="auto"/>
                  <w:vAlign w:val="center"/>
                </w:tcPr>
                <w:p w14:paraId="37238746">
                  <w:pPr>
                    <w:adjustRightInd w:val="0"/>
                    <w:snapToGrid w:val="0"/>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超滤清洗</w:t>
                  </w:r>
                </w:p>
              </w:tc>
              <w:tc>
                <w:tcPr>
                  <w:tcW w:w="1608" w:type="pct"/>
                  <w:vMerge w:val="continue"/>
                  <w:tcBorders>
                    <w:tl2br w:val="nil"/>
                    <w:tr2bl w:val="nil"/>
                  </w:tcBorders>
                  <w:vAlign w:val="center"/>
                </w:tcPr>
                <w:p w14:paraId="1EE2BC8A">
                  <w:pPr>
                    <w:adjustRightInd w:val="0"/>
                    <w:snapToGrid w:val="0"/>
                    <w:spacing w:line="240" w:lineRule="auto"/>
                    <w:jc w:val="center"/>
                    <w:rPr>
                      <w:rFonts w:hint="eastAsia" w:cs="Times New Roman"/>
                      <w:color w:val="auto"/>
                      <w:sz w:val="21"/>
                      <w:szCs w:val="21"/>
                      <w:highlight w:val="none"/>
                      <w:lang w:val="en-US" w:eastAsia="zh-CN"/>
                    </w:rPr>
                  </w:pPr>
                </w:p>
              </w:tc>
            </w:tr>
            <w:tr w14:paraId="302B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Borders>
                    <w:tl2br w:val="nil"/>
                    <w:tr2bl w:val="nil"/>
                  </w:tcBorders>
                  <w:vAlign w:val="center"/>
                </w:tcPr>
                <w:p w14:paraId="7AB007E1">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2864411C">
                  <w:pPr>
                    <w:adjustRightInd w:val="0"/>
                    <w:snapToGrid w:val="0"/>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S15</w:t>
                  </w:r>
                </w:p>
              </w:tc>
              <w:tc>
                <w:tcPr>
                  <w:tcW w:w="1125" w:type="pct"/>
                  <w:tcBorders>
                    <w:tl2br w:val="nil"/>
                    <w:tr2bl w:val="nil"/>
                  </w:tcBorders>
                  <w:shd w:val="clear" w:color="auto" w:fill="auto"/>
                  <w:vAlign w:val="center"/>
                </w:tcPr>
                <w:p w14:paraId="42B35AE6">
                  <w:pPr>
                    <w:adjustRightInd w:val="0"/>
                    <w:snapToGrid w:val="0"/>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一般废包装</w:t>
                  </w:r>
                </w:p>
              </w:tc>
              <w:tc>
                <w:tcPr>
                  <w:tcW w:w="1053" w:type="pct"/>
                  <w:tcBorders>
                    <w:tl2br w:val="nil"/>
                    <w:tr2bl w:val="nil"/>
                  </w:tcBorders>
                  <w:shd w:val="clear" w:color="auto" w:fill="auto"/>
                  <w:vAlign w:val="center"/>
                </w:tcPr>
                <w:p w14:paraId="5F429601">
                  <w:pPr>
                    <w:adjustRightInd w:val="0"/>
                    <w:snapToGrid w:val="0"/>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包装</w:t>
                  </w:r>
                </w:p>
              </w:tc>
              <w:tc>
                <w:tcPr>
                  <w:tcW w:w="1608" w:type="pct"/>
                  <w:vMerge w:val="continue"/>
                  <w:tcBorders>
                    <w:tl2br w:val="nil"/>
                    <w:tr2bl w:val="nil"/>
                  </w:tcBorders>
                  <w:vAlign w:val="center"/>
                </w:tcPr>
                <w:p w14:paraId="7B415C11">
                  <w:pPr>
                    <w:adjustRightInd w:val="0"/>
                    <w:snapToGrid w:val="0"/>
                    <w:spacing w:line="240" w:lineRule="auto"/>
                    <w:jc w:val="center"/>
                    <w:rPr>
                      <w:rFonts w:hint="eastAsia" w:cs="Times New Roman"/>
                      <w:color w:val="auto"/>
                      <w:sz w:val="21"/>
                      <w:szCs w:val="21"/>
                      <w:highlight w:val="none"/>
                      <w:lang w:val="en-US" w:eastAsia="zh-CN"/>
                    </w:rPr>
                  </w:pPr>
                </w:p>
              </w:tc>
            </w:tr>
            <w:tr w14:paraId="10E1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Borders>
                    <w:tl2br w:val="nil"/>
                    <w:tr2bl w:val="nil"/>
                  </w:tcBorders>
                  <w:vAlign w:val="center"/>
                </w:tcPr>
                <w:p w14:paraId="4D373EA9">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28B22EC1">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S1</w:t>
                  </w:r>
                  <w:r>
                    <w:rPr>
                      <w:rFonts w:hint="eastAsia" w:cs="Times New Roman"/>
                      <w:color w:val="auto"/>
                      <w:sz w:val="21"/>
                      <w:szCs w:val="21"/>
                      <w:highlight w:val="none"/>
                      <w:lang w:val="en-US" w:eastAsia="zh-CN"/>
                    </w:rPr>
                    <w:t>6-S20</w:t>
                  </w:r>
                </w:p>
              </w:tc>
              <w:tc>
                <w:tcPr>
                  <w:tcW w:w="1125" w:type="pct"/>
                  <w:tcBorders>
                    <w:tl2br w:val="nil"/>
                    <w:tr2bl w:val="nil"/>
                  </w:tcBorders>
                  <w:shd w:val="clear" w:color="auto" w:fill="auto"/>
                  <w:vAlign w:val="center"/>
                </w:tcPr>
                <w:p w14:paraId="2212528C">
                  <w:pPr>
                    <w:adjustRightInd w:val="0"/>
                    <w:snapToGrid w:val="0"/>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污水处理污泥</w:t>
                  </w:r>
                </w:p>
              </w:tc>
              <w:tc>
                <w:tcPr>
                  <w:tcW w:w="1053" w:type="pct"/>
                  <w:tcBorders>
                    <w:tl2br w:val="nil"/>
                    <w:tr2bl w:val="nil"/>
                  </w:tcBorders>
                  <w:shd w:val="clear" w:color="auto" w:fill="auto"/>
                  <w:vAlign w:val="center"/>
                </w:tcPr>
                <w:p w14:paraId="44075E31">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污水处理</w:t>
                  </w:r>
                </w:p>
              </w:tc>
              <w:tc>
                <w:tcPr>
                  <w:tcW w:w="1608" w:type="pct"/>
                  <w:vMerge w:val="continue"/>
                  <w:tcBorders>
                    <w:tl2br w:val="nil"/>
                    <w:tr2bl w:val="nil"/>
                  </w:tcBorders>
                  <w:shd w:val="clear" w:color="auto" w:fill="auto"/>
                  <w:vAlign w:val="center"/>
                </w:tcPr>
                <w:p w14:paraId="7EEA75A9">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p>
              </w:tc>
            </w:tr>
            <w:tr w14:paraId="22CD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Borders>
                    <w:tl2br w:val="nil"/>
                    <w:tr2bl w:val="nil"/>
                  </w:tcBorders>
                  <w:vAlign w:val="center"/>
                </w:tcPr>
                <w:p w14:paraId="11A1A1AB">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09E8DFDA">
                  <w:pPr>
                    <w:adjustRightInd w:val="0"/>
                    <w:snapToGrid w:val="0"/>
                    <w:spacing w:line="240" w:lineRule="auto"/>
                    <w:jc w:val="center"/>
                    <w:rPr>
                      <w:rFonts w:hint="default" w:eastAsia="宋体" w:cs="Times New Roman" w:asciiTheme="minorHAnsi" w:hAnsiTheme="minorHAnsi"/>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S</w:t>
                  </w:r>
                  <w:r>
                    <w:rPr>
                      <w:rFonts w:hint="eastAsia" w:cs="Times New Roman"/>
                      <w:color w:val="auto"/>
                      <w:sz w:val="21"/>
                      <w:szCs w:val="21"/>
                      <w:highlight w:val="none"/>
                      <w:lang w:val="en-US" w:eastAsia="zh-CN"/>
                    </w:rPr>
                    <w:t>21</w:t>
                  </w:r>
                </w:p>
              </w:tc>
              <w:tc>
                <w:tcPr>
                  <w:tcW w:w="1125" w:type="pct"/>
                  <w:tcBorders>
                    <w:tl2br w:val="nil"/>
                    <w:tr2bl w:val="nil"/>
                  </w:tcBorders>
                  <w:shd w:val="clear" w:color="auto" w:fill="auto"/>
                  <w:vAlign w:val="center"/>
                </w:tcPr>
                <w:p w14:paraId="0FC6EB7B">
                  <w:pPr>
                    <w:adjustRightInd w:val="0"/>
                    <w:snapToGrid w:val="0"/>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eastAsia="宋体"/>
                      <w:color w:val="auto"/>
                      <w:szCs w:val="21"/>
                      <w:highlight w:val="none"/>
                      <w:lang w:val="en-US" w:eastAsia="zh-CN"/>
                    </w:rPr>
                    <w:t>废含油棉纱及抹布</w:t>
                  </w:r>
                </w:p>
              </w:tc>
              <w:tc>
                <w:tcPr>
                  <w:tcW w:w="1053" w:type="pct"/>
                  <w:tcBorders>
                    <w:tl2br w:val="nil"/>
                    <w:tr2bl w:val="nil"/>
                  </w:tcBorders>
                  <w:shd w:val="clear" w:color="auto" w:fill="auto"/>
                  <w:vAlign w:val="center"/>
                </w:tcPr>
                <w:p w14:paraId="7FE7B20D">
                  <w:pPr>
                    <w:adjustRightInd w:val="0"/>
                    <w:snapToGrid w:val="0"/>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维护检修</w:t>
                  </w:r>
                </w:p>
              </w:tc>
              <w:tc>
                <w:tcPr>
                  <w:tcW w:w="1608" w:type="pct"/>
                  <w:vMerge w:val="continue"/>
                  <w:tcBorders>
                    <w:tl2br w:val="nil"/>
                    <w:tr2bl w:val="nil"/>
                  </w:tcBorders>
                  <w:vAlign w:val="center"/>
                </w:tcPr>
                <w:p w14:paraId="7025624E">
                  <w:pPr>
                    <w:adjustRightInd w:val="0"/>
                    <w:snapToGrid w:val="0"/>
                    <w:spacing w:line="240" w:lineRule="auto"/>
                    <w:jc w:val="center"/>
                    <w:rPr>
                      <w:rFonts w:hint="default" w:ascii="Times New Roman" w:hAnsi="Times New Roman" w:cs="Times New Roman"/>
                      <w:color w:val="auto"/>
                      <w:sz w:val="21"/>
                      <w:szCs w:val="21"/>
                      <w:highlight w:val="none"/>
                    </w:rPr>
                  </w:pPr>
                </w:p>
              </w:tc>
            </w:tr>
            <w:tr w14:paraId="1CF4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Borders>
                    <w:tl2br w:val="nil"/>
                    <w:tr2bl w:val="nil"/>
                  </w:tcBorders>
                  <w:vAlign w:val="center"/>
                </w:tcPr>
                <w:p w14:paraId="04F55F37">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233E83D2">
                  <w:pPr>
                    <w:adjustRightInd w:val="0"/>
                    <w:snapToGrid w:val="0"/>
                    <w:spacing w:line="240" w:lineRule="auto"/>
                    <w:jc w:val="center"/>
                    <w:rPr>
                      <w:rFonts w:hint="default" w:eastAsia="宋体" w:cs="Times New Roman" w:asciiTheme="minorHAnsi" w:hAnsiTheme="minorHAnsi"/>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S</w:t>
                  </w:r>
                  <w:r>
                    <w:rPr>
                      <w:rFonts w:hint="eastAsia" w:cs="Times New Roman"/>
                      <w:color w:val="auto"/>
                      <w:sz w:val="21"/>
                      <w:szCs w:val="21"/>
                      <w:highlight w:val="none"/>
                      <w:lang w:val="en-US" w:eastAsia="zh-CN"/>
                    </w:rPr>
                    <w:t>22</w:t>
                  </w:r>
                </w:p>
              </w:tc>
              <w:tc>
                <w:tcPr>
                  <w:tcW w:w="1125" w:type="pct"/>
                  <w:tcBorders>
                    <w:tl2br w:val="nil"/>
                    <w:tr2bl w:val="nil"/>
                  </w:tcBorders>
                  <w:shd w:val="clear" w:color="auto" w:fill="auto"/>
                  <w:vAlign w:val="center"/>
                </w:tcPr>
                <w:p w14:paraId="38DAD248">
                  <w:pPr>
                    <w:adjustRightInd w:val="0"/>
                    <w:snapToGrid w:val="0"/>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废活性炭</w:t>
                  </w:r>
                </w:p>
              </w:tc>
              <w:tc>
                <w:tcPr>
                  <w:tcW w:w="1053" w:type="pct"/>
                  <w:tcBorders>
                    <w:tl2br w:val="nil"/>
                    <w:tr2bl w:val="nil"/>
                  </w:tcBorders>
                  <w:shd w:val="clear" w:color="auto" w:fill="auto"/>
                  <w:vAlign w:val="center"/>
                </w:tcPr>
                <w:p w14:paraId="151C3A5C">
                  <w:pPr>
                    <w:adjustRightInd w:val="0"/>
                    <w:snapToGrid w:val="0"/>
                    <w:spacing w:line="240" w:lineRule="auto"/>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废气处理</w:t>
                  </w:r>
                </w:p>
              </w:tc>
              <w:tc>
                <w:tcPr>
                  <w:tcW w:w="1608" w:type="pct"/>
                  <w:vMerge w:val="continue"/>
                  <w:tcBorders>
                    <w:tl2br w:val="nil"/>
                    <w:tr2bl w:val="nil"/>
                  </w:tcBorders>
                  <w:vAlign w:val="center"/>
                </w:tcPr>
                <w:p w14:paraId="38F1254E">
                  <w:pPr>
                    <w:adjustRightInd w:val="0"/>
                    <w:snapToGrid w:val="0"/>
                    <w:spacing w:line="240" w:lineRule="auto"/>
                    <w:jc w:val="center"/>
                    <w:rPr>
                      <w:rFonts w:hint="default" w:ascii="Times New Roman" w:hAnsi="Times New Roman" w:cs="Times New Roman"/>
                      <w:color w:val="auto"/>
                      <w:sz w:val="21"/>
                      <w:szCs w:val="21"/>
                      <w:highlight w:val="none"/>
                    </w:rPr>
                  </w:pPr>
                </w:p>
              </w:tc>
            </w:tr>
            <w:tr w14:paraId="25FCC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Borders>
                    <w:tl2br w:val="nil"/>
                    <w:tr2bl w:val="nil"/>
                  </w:tcBorders>
                  <w:vAlign w:val="center"/>
                </w:tcPr>
                <w:p w14:paraId="452FA9B1">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5D6769F3">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S</w:t>
                  </w:r>
                  <w:r>
                    <w:rPr>
                      <w:rFonts w:hint="eastAsia" w:cs="Times New Roman"/>
                      <w:color w:val="auto"/>
                      <w:sz w:val="21"/>
                      <w:szCs w:val="21"/>
                      <w:highlight w:val="none"/>
                      <w:lang w:val="en-US" w:eastAsia="zh-CN"/>
                    </w:rPr>
                    <w:t>23</w:t>
                  </w:r>
                </w:p>
              </w:tc>
              <w:tc>
                <w:tcPr>
                  <w:tcW w:w="1125" w:type="pct"/>
                  <w:tcBorders>
                    <w:tl2br w:val="nil"/>
                    <w:tr2bl w:val="nil"/>
                  </w:tcBorders>
                  <w:shd w:val="clear" w:color="auto" w:fill="auto"/>
                  <w:vAlign w:val="center"/>
                </w:tcPr>
                <w:p w14:paraId="6BFC8ED1">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废化学品包装物</w:t>
                  </w:r>
                </w:p>
              </w:tc>
              <w:tc>
                <w:tcPr>
                  <w:tcW w:w="1053" w:type="pct"/>
                  <w:tcBorders>
                    <w:tl2br w:val="nil"/>
                    <w:tr2bl w:val="nil"/>
                  </w:tcBorders>
                  <w:shd w:val="clear" w:color="auto" w:fill="auto"/>
                  <w:vAlign w:val="center"/>
                </w:tcPr>
                <w:p w14:paraId="5D5DF464">
                  <w:pPr>
                    <w:adjustRightInd w:val="0"/>
                    <w:snapToGrid w:val="0"/>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原辅材料包装</w:t>
                  </w:r>
                </w:p>
              </w:tc>
              <w:tc>
                <w:tcPr>
                  <w:tcW w:w="1608" w:type="pct"/>
                  <w:vMerge w:val="continue"/>
                  <w:tcBorders>
                    <w:tl2br w:val="nil"/>
                    <w:tr2bl w:val="nil"/>
                  </w:tcBorders>
                  <w:shd w:val="clear" w:color="auto" w:fill="auto"/>
                  <w:vAlign w:val="center"/>
                </w:tcPr>
                <w:p w14:paraId="6F9D67DA">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p>
              </w:tc>
            </w:tr>
            <w:tr w14:paraId="46451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Borders>
                    <w:tl2br w:val="nil"/>
                    <w:tr2bl w:val="nil"/>
                  </w:tcBorders>
                  <w:vAlign w:val="center"/>
                </w:tcPr>
                <w:p w14:paraId="478D6FC2">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18A44DFC">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S24</w:t>
                  </w:r>
                </w:p>
              </w:tc>
              <w:tc>
                <w:tcPr>
                  <w:tcW w:w="1125" w:type="pct"/>
                  <w:tcBorders>
                    <w:tl2br w:val="nil"/>
                    <w:tr2bl w:val="nil"/>
                  </w:tcBorders>
                  <w:shd w:val="clear" w:color="auto" w:fill="auto"/>
                  <w:vAlign w:val="center"/>
                </w:tcPr>
                <w:p w14:paraId="12485A7A">
                  <w:pPr>
                    <w:adjustRightInd w:val="0"/>
                    <w:snapToGrid w:val="0"/>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废过滤棉</w:t>
                  </w:r>
                </w:p>
              </w:tc>
              <w:tc>
                <w:tcPr>
                  <w:tcW w:w="1053" w:type="pct"/>
                  <w:tcBorders>
                    <w:tl2br w:val="nil"/>
                    <w:tr2bl w:val="nil"/>
                  </w:tcBorders>
                  <w:shd w:val="clear" w:color="auto" w:fill="auto"/>
                  <w:vAlign w:val="center"/>
                </w:tcPr>
                <w:p w14:paraId="2E45E2B2">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废气处理</w:t>
                  </w:r>
                </w:p>
              </w:tc>
              <w:tc>
                <w:tcPr>
                  <w:tcW w:w="1608" w:type="pct"/>
                  <w:vMerge w:val="continue"/>
                  <w:tcBorders>
                    <w:tl2br w:val="nil"/>
                    <w:tr2bl w:val="nil"/>
                  </w:tcBorders>
                  <w:shd w:val="clear" w:color="auto" w:fill="auto"/>
                  <w:vAlign w:val="center"/>
                </w:tcPr>
                <w:p w14:paraId="03537A4A">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p>
              </w:tc>
            </w:tr>
            <w:tr w14:paraId="035A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Borders>
                    <w:tl2br w:val="nil"/>
                    <w:tr2bl w:val="nil"/>
                  </w:tcBorders>
                  <w:vAlign w:val="center"/>
                </w:tcPr>
                <w:p w14:paraId="67DD828F">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1B59839F">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S25</w:t>
                  </w:r>
                </w:p>
              </w:tc>
              <w:tc>
                <w:tcPr>
                  <w:tcW w:w="1125" w:type="pct"/>
                  <w:tcBorders>
                    <w:tl2br w:val="nil"/>
                    <w:tr2bl w:val="nil"/>
                  </w:tcBorders>
                  <w:shd w:val="clear" w:color="auto" w:fill="auto"/>
                  <w:vAlign w:val="center"/>
                </w:tcPr>
                <w:p w14:paraId="337B1881">
                  <w:pPr>
                    <w:adjustRightInd w:val="0"/>
                    <w:snapToGrid w:val="0"/>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废</w:t>
                  </w:r>
                  <w:r>
                    <w:rPr>
                      <w:rFonts w:hint="eastAsia"/>
                      <w:color w:val="auto"/>
                      <w:highlight w:val="none"/>
                      <w:lang w:val="en-US" w:eastAsia="zh-CN"/>
                    </w:rPr>
                    <w:t>矿物油</w:t>
                  </w:r>
                </w:p>
              </w:tc>
              <w:tc>
                <w:tcPr>
                  <w:tcW w:w="1053" w:type="pct"/>
                  <w:tcBorders>
                    <w:tl2br w:val="nil"/>
                    <w:tr2bl w:val="nil"/>
                  </w:tcBorders>
                  <w:shd w:val="clear" w:color="auto" w:fill="auto"/>
                  <w:vAlign w:val="center"/>
                </w:tcPr>
                <w:p w14:paraId="35808712">
                  <w:pPr>
                    <w:adjustRightInd w:val="0"/>
                    <w:snapToGrid w:val="0"/>
                    <w:spacing w:line="240" w:lineRule="auto"/>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维护检修</w:t>
                  </w:r>
                </w:p>
                <w:p w14:paraId="46495FCC">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污水处理</w:t>
                  </w:r>
                </w:p>
              </w:tc>
              <w:tc>
                <w:tcPr>
                  <w:tcW w:w="1608" w:type="pct"/>
                  <w:vMerge w:val="continue"/>
                  <w:tcBorders>
                    <w:tl2br w:val="nil"/>
                    <w:tr2bl w:val="nil"/>
                  </w:tcBorders>
                  <w:shd w:val="clear" w:color="auto" w:fill="auto"/>
                  <w:vAlign w:val="center"/>
                </w:tcPr>
                <w:p w14:paraId="2C86517B">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p>
              </w:tc>
            </w:tr>
            <w:tr w14:paraId="67BD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Borders>
                    <w:tl2br w:val="nil"/>
                    <w:tr2bl w:val="nil"/>
                  </w:tcBorders>
                  <w:vAlign w:val="center"/>
                </w:tcPr>
                <w:p w14:paraId="74C45DA3">
                  <w:pPr>
                    <w:adjustRightInd w:val="0"/>
                    <w:snapToGrid w:val="0"/>
                    <w:spacing w:line="240" w:lineRule="auto"/>
                    <w:jc w:val="center"/>
                    <w:rPr>
                      <w:rFonts w:hint="default" w:ascii="Times New Roman" w:hAnsi="Times New Roman" w:cs="Times New Roman"/>
                      <w:color w:val="auto"/>
                      <w:sz w:val="21"/>
                      <w:szCs w:val="21"/>
                      <w:highlight w:val="none"/>
                    </w:rPr>
                  </w:pPr>
                </w:p>
              </w:tc>
              <w:tc>
                <w:tcPr>
                  <w:tcW w:w="570" w:type="pct"/>
                  <w:tcBorders>
                    <w:tl2br w:val="nil"/>
                    <w:tr2bl w:val="nil"/>
                  </w:tcBorders>
                  <w:shd w:val="clear" w:color="auto" w:fill="auto"/>
                  <w:vAlign w:val="center"/>
                </w:tcPr>
                <w:p w14:paraId="4180CF0C">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S26</w:t>
                  </w:r>
                </w:p>
              </w:tc>
              <w:tc>
                <w:tcPr>
                  <w:tcW w:w="1125" w:type="pct"/>
                  <w:tcBorders>
                    <w:tl2br w:val="nil"/>
                    <w:tr2bl w:val="nil"/>
                  </w:tcBorders>
                  <w:shd w:val="clear" w:color="auto" w:fill="auto"/>
                  <w:vAlign w:val="center"/>
                </w:tcPr>
                <w:p w14:paraId="2EEDC14D">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生活垃圾</w:t>
                  </w:r>
                </w:p>
              </w:tc>
              <w:tc>
                <w:tcPr>
                  <w:tcW w:w="1053" w:type="pct"/>
                  <w:tcBorders>
                    <w:tl2br w:val="nil"/>
                    <w:tr2bl w:val="nil"/>
                  </w:tcBorders>
                  <w:shd w:val="clear" w:color="auto" w:fill="auto"/>
                  <w:vAlign w:val="center"/>
                </w:tcPr>
                <w:p w14:paraId="478C832A">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办公生活</w:t>
                  </w:r>
                </w:p>
              </w:tc>
              <w:tc>
                <w:tcPr>
                  <w:tcW w:w="1608" w:type="pct"/>
                  <w:tcBorders>
                    <w:tl2br w:val="nil"/>
                    <w:tr2bl w:val="nil"/>
                  </w:tcBorders>
                  <w:shd w:val="clear" w:color="auto" w:fill="auto"/>
                  <w:vAlign w:val="center"/>
                </w:tcPr>
                <w:p w14:paraId="501E0AC3">
                  <w:pPr>
                    <w:adjustRightInd w:val="0"/>
                    <w:snapToGrid w:val="0"/>
                    <w:spacing w:line="240" w:lineRule="auto"/>
                    <w:jc w:val="both"/>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委托环卫部门统一收集处理</w:t>
                  </w:r>
                </w:p>
              </w:tc>
            </w:tr>
          </w:tbl>
          <w:p w14:paraId="187595FE">
            <w:pPr>
              <w:bidi w:val="0"/>
              <w:rPr>
                <w:rFonts w:hint="default"/>
                <w:color w:val="auto"/>
                <w:lang w:val="en-US" w:eastAsia="zh-CN"/>
              </w:rPr>
            </w:pPr>
          </w:p>
        </w:tc>
      </w:tr>
      <w:tr w14:paraId="4FC5AA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2" w:type="dxa"/>
            <w:noWrap w:val="0"/>
            <w:vAlign w:val="center"/>
          </w:tcPr>
          <w:p w14:paraId="4E13CCDE">
            <w:pPr>
              <w:pStyle w:val="34"/>
              <w:adjustRightInd w:val="0"/>
              <w:snapToGrid w:val="0"/>
              <w:spacing w:before="0" w:beforeAutospacing="0" w:after="0" w:afterAutospacing="0"/>
              <w:jc w:val="center"/>
              <w:rPr>
                <w:rFonts w:cs="宋体"/>
                <w:color w:val="auto"/>
                <w:sz w:val="21"/>
                <w:szCs w:val="21"/>
              </w:rPr>
            </w:pPr>
            <w:r>
              <w:rPr>
                <w:rFonts w:hint="eastAsia" w:cs="宋体"/>
                <w:bCs/>
                <w:color w:val="auto"/>
                <w:kern w:val="2"/>
                <w:sz w:val="21"/>
                <w:szCs w:val="21"/>
              </w:rPr>
              <w:t>与项目有关的原有环境污染问题</w:t>
            </w:r>
          </w:p>
        </w:tc>
        <w:tc>
          <w:tcPr>
            <w:tcW w:w="8338" w:type="dxa"/>
            <w:noWrap w:val="0"/>
            <w:vAlign w:val="center"/>
          </w:tcPr>
          <w:p w14:paraId="1FE9CA7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cs="Times New Roman"/>
                <w:color w:val="auto"/>
                <w:sz w:val="24"/>
                <w:szCs w:val="24"/>
                <w:lang w:val="en-US" w:eastAsia="zh-CN"/>
              </w:rPr>
            </w:pPr>
            <w:r>
              <w:rPr>
                <w:rFonts w:hint="eastAsia" w:cs="Times New Roman"/>
                <w:color w:val="auto"/>
                <w:sz w:val="24"/>
                <w:szCs w:val="24"/>
                <w:lang w:val="en-US" w:eastAsia="zh-CN"/>
              </w:rPr>
              <w:t>1、项目原有环境污染问题</w:t>
            </w:r>
          </w:p>
          <w:p w14:paraId="2465B33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cs="Times New Roman"/>
                <w:color w:val="auto"/>
                <w:sz w:val="24"/>
                <w:szCs w:val="24"/>
                <w:lang w:val="en-US" w:eastAsia="zh-CN"/>
              </w:rPr>
            </w:pPr>
            <w:r>
              <w:rPr>
                <w:rFonts w:hint="eastAsia" w:cs="Times New Roman"/>
                <w:color w:val="auto"/>
                <w:sz w:val="24"/>
                <w:szCs w:val="24"/>
                <w:lang w:val="en-US" w:eastAsia="zh-CN"/>
              </w:rPr>
              <w:t>建设单位租赁广西柳州市东城投资开发集团有限公司</w:t>
            </w:r>
            <w:r>
              <w:rPr>
                <w:rFonts w:hint="eastAsia" w:cs="Times New Roman"/>
                <w:color w:val="auto"/>
                <w:sz w:val="24"/>
                <w:szCs w:val="24"/>
                <w:lang w:val="en-US" w:eastAsia="zh-CN"/>
              </w:rPr>
              <w:t>标准厂房，原有厂房无历史遗留污染物环境问题。</w:t>
            </w:r>
          </w:p>
          <w:p w14:paraId="1FE027A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cs="Times New Roman"/>
                <w:color w:val="auto"/>
                <w:sz w:val="24"/>
                <w:szCs w:val="24"/>
                <w:lang w:val="en-US" w:eastAsia="zh-CN"/>
              </w:rPr>
            </w:pPr>
            <w:r>
              <w:rPr>
                <w:rFonts w:hint="eastAsia" w:cs="Times New Roman"/>
                <w:color w:val="auto"/>
                <w:kern w:val="2"/>
                <w:sz w:val="24"/>
                <w:szCs w:val="24"/>
                <w:lang w:val="en-US" w:eastAsia="zh-CN" w:bidi="ar-SA"/>
              </w:rPr>
              <w:t>2</w:t>
            </w:r>
            <w:r>
              <w:rPr>
                <w:rFonts w:hint="eastAsia" w:ascii="Times New Roman" w:hAnsi="Times New Roman" w:eastAsia="宋体" w:cs="Times New Roman"/>
                <w:color w:val="auto"/>
                <w:kern w:val="2"/>
                <w:sz w:val="24"/>
                <w:szCs w:val="24"/>
                <w:lang w:val="en-US" w:eastAsia="zh-CN" w:bidi="ar-SA"/>
              </w:rPr>
              <w:t>、</w:t>
            </w:r>
            <w:r>
              <w:rPr>
                <w:rFonts w:hint="eastAsia" w:cs="Times New Roman"/>
                <w:color w:val="auto"/>
                <w:sz w:val="24"/>
                <w:szCs w:val="24"/>
                <w:lang w:val="en-US" w:eastAsia="zh-CN"/>
              </w:rPr>
              <w:t>与本项目有关的主要环境问题</w:t>
            </w:r>
          </w:p>
          <w:p w14:paraId="0977BFB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根据现场踏勘，项目现场已建设完毕并开始运营，2026年6月26日柳州市柳东新区生态环境局对项目进行现场检查</w:t>
            </w:r>
            <w:r>
              <w:rPr>
                <w:rFonts w:hint="eastAsia" w:cs="Times New Roman"/>
                <w:color w:val="auto"/>
                <w:sz w:val="24"/>
                <w:szCs w:val="24"/>
                <w:lang w:val="en-US" w:eastAsia="zh-CN"/>
              </w:rPr>
              <w:t>，下达了《柳州市柳东新区生态环境局生态环境问题帮扶通知》</w:t>
            </w:r>
            <w:r>
              <w:rPr>
                <w:rFonts w:hint="eastAsia" w:ascii="Times New Roman" w:hAnsi="Times New Roman" w:eastAsia="宋体" w:cs="Times New Roman"/>
                <w:color w:val="auto"/>
                <w:sz w:val="24"/>
                <w:szCs w:val="24"/>
                <w:lang w:val="en-US" w:eastAsia="zh-CN"/>
              </w:rPr>
              <w:t>，发现项目现状存在以下问题：</w:t>
            </w:r>
          </w:p>
          <w:p w14:paraId="3CEE4A8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表2-15 企业整改问题一览表</w:t>
            </w:r>
          </w:p>
          <w:tbl>
            <w:tblPr>
              <w:tblStyle w:val="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2602"/>
              <w:gridCol w:w="2500"/>
              <w:gridCol w:w="2501"/>
            </w:tblGrid>
            <w:tr w14:paraId="77F64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vAlign w:val="center"/>
                </w:tcPr>
                <w:p w14:paraId="65A2512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序号</w:t>
                  </w:r>
                </w:p>
              </w:tc>
              <w:tc>
                <w:tcPr>
                  <w:tcW w:w="1604" w:type="pct"/>
                  <w:vAlign w:val="center"/>
                </w:tcPr>
                <w:p w14:paraId="31D64EE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存在问题</w:t>
                  </w:r>
                </w:p>
              </w:tc>
              <w:tc>
                <w:tcPr>
                  <w:tcW w:w="1541" w:type="pct"/>
                  <w:vAlign w:val="center"/>
                </w:tcPr>
                <w:p w14:paraId="4BEB115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整改情况</w:t>
                  </w:r>
                </w:p>
              </w:tc>
              <w:tc>
                <w:tcPr>
                  <w:tcW w:w="1542" w:type="pct"/>
                  <w:vAlign w:val="center"/>
                </w:tcPr>
                <w:p w14:paraId="699ABCC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cs="Times New Roman"/>
                      <w:color w:val="auto"/>
                      <w:sz w:val="21"/>
                      <w:szCs w:val="21"/>
                      <w:vertAlign w:val="baseline"/>
                      <w:lang w:val="en-US" w:eastAsia="zh-CN"/>
                    </w:rPr>
                  </w:pPr>
                  <w:r>
                    <w:rPr>
                      <w:rFonts w:hint="eastAsia" w:cs="Times New Roman"/>
                      <w:color w:val="auto"/>
                      <w:sz w:val="21"/>
                      <w:szCs w:val="21"/>
                      <w:vertAlign w:val="baseline"/>
                      <w:lang w:val="en-US" w:eastAsia="zh-CN"/>
                    </w:rPr>
                    <w:t>整改时限</w:t>
                  </w:r>
                </w:p>
              </w:tc>
            </w:tr>
            <w:tr w14:paraId="2EF2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vAlign w:val="center"/>
                </w:tcPr>
                <w:p w14:paraId="70ACA1F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1</w:t>
                  </w:r>
                </w:p>
              </w:tc>
              <w:tc>
                <w:tcPr>
                  <w:tcW w:w="1604" w:type="pct"/>
                  <w:vAlign w:val="center"/>
                </w:tcPr>
                <w:p w14:paraId="338B02D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lang w:val="en-US" w:eastAsia="zh-CN"/>
                    </w:rPr>
                    <w:t>企业</w:t>
                  </w:r>
                  <w:r>
                    <w:rPr>
                      <w:rFonts w:hint="eastAsia" w:ascii="Times New Roman" w:hAnsi="Times New Roman" w:eastAsia="宋体" w:cs="Times New Roman"/>
                      <w:color w:val="auto"/>
                      <w:sz w:val="21"/>
                      <w:szCs w:val="21"/>
                      <w:lang w:val="en-US" w:eastAsia="zh-CN"/>
                    </w:rPr>
                    <w:t>后续拟增设喷粉工序，喷粉室已建成，但喷粉工序未纳入环评文件</w:t>
                  </w:r>
                </w:p>
              </w:tc>
              <w:tc>
                <w:tcPr>
                  <w:tcW w:w="1541" w:type="pct"/>
                  <w:vAlign w:val="center"/>
                </w:tcPr>
                <w:p w14:paraId="6EBA01D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本次报告已补充完善喷粉工序相关内容</w:t>
                  </w:r>
                </w:p>
              </w:tc>
              <w:tc>
                <w:tcPr>
                  <w:tcW w:w="1542" w:type="pct"/>
                  <w:vMerge w:val="restart"/>
                  <w:vAlign w:val="center"/>
                </w:tcPr>
                <w:p w14:paraId="1613E87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企业已于2026年6月29日收到整改通知，要求2026年7月31日前完成</w:t>
                  </w:r>
                </w:p>
              </w:tc>
            </w:tr>
            <w:tr w14:paraId="74D5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1" w:hRule="atLeast"/>
              </w:trPr>
              <w:tc>
                <w:tcPr>
                  <w:tcW w:w="311" w:type="pct"/>
                  <w:vAlign w:val="center"/>
                </w:tcPr>
                <w:p w14:paraId="0BCFBFB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2</w:t>
                  </w:r>
                </w:p>
              </w:tc>
              <w:tc>
                <w:tcPr>
                  <w:tcW w:w="1604" w:type="pct"/>
                  <w:vAlign w:val="center"/>
                </w:tcPr>
                <w:p w14:paraId="6C436E8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喷粉工序废气排放口设置在车间内，应引出车间排放且排放高度≥15米</w:t>
                  </w:r>
                </w:p>
              </w:tc>
              <w:tc>
                <w:tcPr>
                  <w:tcW w:w="1541" w:type="pct"/>
                  <w:vAlign w:val="center"/>
                </w:tcPr>
                <w:p w14:paraId="590B4C7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lang w:val="en-US" w:eastAsia="zh-CN"/>
                    </w:rPr>
                    <w:t>项目</w:t>
                  </w:r>
                  <w:r>
                    <w:rPr>
                      <w:rFonts w:hint="eastAsia" w:ascii="Times New Roman" w:hAnsi="Times New Roman" w:eastAsia="宋体" w:cs="Times New Roman"/>
                      <w:color w:val="auto"/>
                      <w:sz w:val="21"/>
                      <w:szCs w:val="21"/>
                      <w:lang w:val="en-US" w:eastAsia="zh-CN"/>
                    </w:rPr>
                    <w:t>喷粉工序废气</w:t>
                  </w:r>
                  <w:r>
                    <w:rPr>
                      <w:rFonts w:hint="eastAsia" w:cs="Times New Roman"/>
                      <w:color w:val="auto"/>
                      <w:sz w:val="21"/>
                      <w:szCs w:val="21"/>
                      <w:lang w:val="en-US" w:eastAsia="zh-CN"/>
                    </w:rPr>
                    <w:t>拟</w:t>
                  </w:r>
                  <w:r>
                    <w:rPr>
                      <w:rFonts w:hint="eastAsia" w:ascii="Times New Roman" w:hAnsi="Times New Roman" w:eastAsia="宋体" w:cs="Times New Roman"/>
                      <w:color w:val="auto"/>
                      <w:sz w:val="21"/>
                      <w:szCs w:val="21"/>
                      <w:lang w:val="en-US" w:eastAsia="zh-CN"/>
                    </w:rPr>
                    <w:t>采取</w:t>
                  </w:r>
                  <w:r>
                    <w:rPr>
                      <w:rFonts w:hint="eastAsia" w:cs="Times New Roman"/>
                      <w:color w:val="auto"/>
                      <w:sz w:val="21"/>
                      <w:szCs w:val="21"/>
                      <w:lang w:val="en-US" w:eastAsia="zh-CN"/>
                    </w:rPr>
                    <w:t>半</w:t>
                  </w:r>
                  <w:r>
                    <w:rPr>
                      <w:rFonts w:hint="eastAsia" w:ascii="Times New Roman" w:hAnsi="Times New Roman" w:eastAsia="宋体" w:cs="Times New Roman"/>
                      <w:color w:val="auto"/>
                      <w:sz w:val="21"/>
                      <w:szCs w:val="21"/>
                      <w:lang w:val="en-US" w:eastAsia="zh-CN"/>
                    </w:rPr>
                    <w:t>密闭</w:t>
                  </w:r>
                  <w:r>
                    <w:rPr>
                      <w:rFonts w:hint="eastAsia" w:cs="Times New Roman"/>
                      <w:color w:val="auto"/>
                      <w:sz w:val="21"/>
                      <w:szCs w:val="21"/>
                      <w:lang w:val="en-US" w:eastAsia="zh-CN"/>
                    </w:rPr>
                    <w:t>负压</w:t>
                  </w:r>
                  <w:r>
                    <w:rPr>
                      <w:rFonts w:hint="eastAsia" w:ascii="Times New Roman" w:hAnsi="Times New Roman" w:eastAsia="宋体" w:cs="Times New Roman"/>
                      <w:color w:val="auto"/>
                      <w:sz w:val="21"/>
                      <w:szCs w:val="21"/>
                      <w:lang w:val="en-US" w:eastAsia="zh-CN"/>
                    </w:rPr>
                    <w:t>收集，出入口配置风帘，未附着于工件的粉末通过风机产生的负压吸入喷粉设备内自带的滤芯过滤处理系统</w:t>
                  </w:r>
                  <w:r>
                    <w:rPr>
                      <w:rFonts w:hint="eastAsia" w:cs="Times New Roman"/>
                      <w:color w:val="auto"/>
                      <w:sz w:val="21"/>
                      <w:szCs w:val="21"/>
                      <w:lang w:val="en-US" w:eastAsia="zh-CN"/>
                    </w:rPr>
                    <w:t>，喷粉废气通过15mDA002排气筒排放</w:t>
                  </w:r>
                </w:p>
              </w:tc>
              <w:tc>
                <w:tcPr>
                  <w:tcW w:w="1542" w:type="pct"/>
                  <w:vMerge w:val="continue"/>
                  <w:vAlign w:val="center"/>
                </w:tcPr>
                <w:p w14:paraId="72579C3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cs="Times New Roman"/>
                      <w:color w:val="auto"/>
                      <w:sz w:val="21"/>
                      <w:szCs w:val="21"/>
                      <w:lang w:val="en-US" w:eastAsia="zh-CN"/>
                    </w:rPr>
                  </w:pPr>
                </w:p>
              </w:tc>
            </w:tr>
            <w:tr w14:paraId="74CF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vAlign w:val="center"/>
                </w:tcPr>
                <w:p w14:paraId="7C8106B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3</w:t>
                  </w:r>
                </w:p>
              </w:tc>
              <w:tc>
                <w:tcPr>
                  <w:tcW w:w="1604" w:type="pct"/>
                  <w:vAlign w:val="center"/>
                </w:tcPr>
                <w:p w14:paraId="79F27CA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抛丸机周围地面积有较多铁砂，运行时存在粉尘无组织排放现象</w:t>
                  </w:r>
                </w:p>
              </w:tc>
              <w:tc>
                <w:tcPr>
                  <w:tcW w:w="1541" w:type="pct"/>
                  <w:vAlign w:val="center"/>
                </w:tcPr>
                <w:p w14:paraId="271D41E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lang w:val="en-US" w:eastAsia="zh-CN"/>
                    </w:rPr>
                    <w:t>项目喷砂设备</w:t>
                  </w:r>
                  <w:r>
                    <w:rPr>
                      <w:rFonts w:hint="eastAsia" w:cs="Times New Roman"/>
                      <w:color w:val="auto"/>
                      <w:sz w:val="21"/>
                      <w:szCs w:val="21"/>
                      <w:highlight w:val="none"/>
                      <w:lang w:val="en-US" w:eastAsia="zh-CN"/>
                    </w:rPr>
                    <w:t>拟</w:t>
                  </w:r>
                  <w:r>
                    <w:rPr>
                      <w:rFonts w:hint="eastAsia" w:ascii="Times New Roman" w:hAnsi="Times New Roman" w:eastAsia="宋体" w:cs="Times New Roman"/>
                      <w:color w:val="auto"/>
                      <w:sz w:val="21"/>
                      <w:szCs w:val="21"/>
                      <w:highlight w:val="none"/>
                      <w:lang w:val="en-US" w:eastAsia="zh-CN"/>
                    </w:rPr>
                    <w:t>加强废气密闭收集措施，喷</w:t>
                  </w:r>
                  <w:r>
                    <w:rPr>
                      <w:rFonts w:hint="eastAsia" w:cs="Times New Roman"/>
                      <w:color w:val="auto"/>
                      <w:sz w:val="21"/>
                      <w:szCs w:val="21"/>
                      <w:highlight w:val="none"/>
                      <w:lang w:val="en-US" w:eastAsia="zh-CN"/>
                    </w:rPr>
                    <w:t>砂</w:t>
                  </w:r>
                  <w:r>
                    <w:rPr>
                      <w:rFonts w:hint="eastAsia" w:ascii="Times New Roman" w:hAnsi="Times New Roman" w:eastAsia="宋体" w:cs="Times New Roman"/>
                      <w:color w:val="auto"/>
                      <w:sz w:val="21"/>
                      <w:szCs w:val="21"/>
                      <w:highlight w:val="none"/>
                      <w:lang w:val="en-US" w:eastAsia="zh-CN"/>
                    </w:rPr>
                    <w:t>废气经</w:t>
                  </w:r>
                  <w:r>
                    <w:rPr>
                      <w:rFonts w:hint="eastAsia" w:cs="Times New Roman"/>
                      <w:color w:val="auto"/>
                      <w:sz w:val="21"/>
                      <w:szCs w:val="21"/>
                      <w:highlight w:val="none"/>
                      <w:lang w:val="en-US" w:eastAsia="zh-CN"/>
                    </w:rPr>
                    <w:t>负压</w:t>
                  </w:r>
                  <w:r>
                    <w:rPr>
                      <w:rFonts w:hint="eastAsia" w:ascii="Times New Roman" w:hAnsi="Times New Roman" w:eastAsia="宋体" w:cs="Times New Roman"/>
                      <w:color w:val="auto"/>
                      <w:sz w:val="21"/>
                      <w:szCs w:val="21"/>
                      <w:highlight w:val="none"/>
                      <w:lang w:val="en-US" w:eastAsia="zh-CN"/>
                    </w:rPr>
                    <w:t>收集后通过水喷淋</w:t>
                  </w: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二级活性炭处理后通过15mDA002排</w:t>
                  </w:r>
                  <w:r>
                    <w:rPr>
                      <w:rFonts w:hint="eastAsia" w:ascii="Times New Roman" w:hAnsi="Times New Roman" w:eastAsia="宋体" w:cs="Times New Roman"/>
                      <w:color w:val="auto"/>
                      <w:sz w:val="21"/>
                      <w:szCs w:val="21"/>
                      <w:lang w:val="en-US" w:eastAsia="zh-CN"/>
                    </w:rPr>
                    <w:t>气筒排放</w:t>
                  </w:r>
                </w:p>
              </w:tc>
              <w:tc>
                <w:tcPr>
                  <w:tcW w:w="1542" w:type="pct"/>
                  <w:vMerge w:val="continue"/>
                  <w:vAlign w:val="center"/>
                </w:tcPr>
                <w:p w14:paraId="531039E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highlight w:val="none"/>
                      <w:lang w:val="en-US" w:eastAsia="zh-CN"/>
                    </w:rPr>
                  </w:pPr>
                </w:p>
              </w:tc>
            </w:tr>
            <w:tr w14:paraId="5E98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vAlign w:val="center"/>
                </w:tcPr>
                <w:p w14:paraId="2A5ACB3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4</w:t>
                  </w:r>
                </w:p>
              </w:tc>
              <w:tc>
                <w:tcPr>
                  <w:tcW w:w="1604" w:type="pct"/>
                  <w:vAlign w:val="center"/>
                </w:tcPr>
                <w:p w14:paraId="614211F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现场发现使用生物质颗粒作为热风炉燃料，与环评文件不符</w:t>
                  </w:r>
                </w:p>
              </w:tc>
              <w:tc>
                <w:tcPr>
                  <w:tcW w:w="1541" w:type="pct"/>
                  <w:vAlign w:val="center"/>
                </w:tcPr>
                <w:p w14:paraId="5E03F7F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lang w:val="en-US" w:eastAsia="zh-CN"/>
                    </w:rPr>
                    <w:t>企业拟将生物质燃料替换为瓶装液化石油气作为烘干热源</w:t>
                  </w:r>
                </w:p>
              </w:tc>
              <w:tc>
                <w:tcPr>
                  <w:tcW w:w="1542" w:type="pct"/>
                  <w:vMerge w:val="continue"/>
                  <w:vAlign w:val="center"/>
                </w:tcPr>
                <w:p w14:paraId="4575223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cs="Times New Roman"/>
                      <w:color w:val="auto"/>
                      <w:sz w:val="21"/>
                      <w:szCs w:val="21"/>
                      <w:highlight w:val="none"/>
                      <w:lang w:val="en-US" w:eastAsia="zh-CN"/>
                    </w:rPr>
                  </w:pPr>
                </w:p>
              </w:tc>
            </w:tr>
            <w:tr w14:paraId="51A27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vAlign w:val="center"/>
                </w:tcPr>
                <w:p w14:paraId="09D674C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5</w:t>
                  </w:r>
                </w:p>
              </w:tc>
              <w:tc>
                <w:tcPr>
                  <w:tcW w:w="1604" w:type="pct"/>
                  <w:vAlign w:val="center"/>
                </w:tcPr>
                <w:p w14:paraId="543F633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电泳烘干废气的处理工艺为水喷淋+活性炭吸附，中间缺少干式过滤装置</w:t>
                  </w:r>
                </w:p>
              </w:tc>
              <w:tc>
                <w:tcPr>
                  <w:tcW w:w="1541" w:type="pct"/>
                  <w:vAlign w:val="center"/>
                </w:tcPr>
                <w:p w14:paraId="2FB5591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根据建设单位提供资料，项目活性炭装置内部包含干式过滤棉，分别与活性炭前后端设置了干式过滤棉，能满足废水除湿后再进入活性炭处理要求</w:t>
                  </w:r>
                </w:p>
              </w:tc>
              <w:tc>
                <w:tcPr>
                  <w:tcW w:w="1542" w:type="pct"/>
                  <w:vMerge w:val="continue"/>
                  <w:vAlign w:val="center"/>
                </w:tcPr>
                <w:p w14:paraId="5BD1690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lang w:val="en-US" w:eastAsia="zh-CN"/>
                    </w:rPr>
                  </w:pPr>
                </w:p>
              </w:tc>
            </w:tr>
            <w:tr w14:paraId="51AF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vAlign w:val="center"/>
                </w:tcPr>
                <w:p w14:paraId="700433C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6</w:t>
                  </w:r>
                </w:p>
              </w:tc>
              <w:tc>
                <w:tcPr>
                  <w:tcW w:w="1604" w:type="pct"/>
                  <w:vAlign w:val="center"/>
                </w:tcPr>
                <w:p w14:paraId="1459D80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工业污水通过敞开式沟渠排入污水处理设施前端污水池，应通过密闭式管道排入</w:t>
                  </w:r>
                </w:p>
              </w:tc>
              <w:tc>
                <w:tcPr>
                  <w:tcW w:w="1541" w:type="pct"/>
                  <w:vAlign w:val="center"/>
                </w:tcPr>
                <w:p w14:paraId="2FB5EA2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项目</w:t>
                  </w:r>
                  <w:r>
                    <w:rPr>
                      <w:rFonts w:hint="eastAsia" w:cs="Times New Roman"/>
                      <w:color w:val="auto"/>
                      <w:sz w:val="21"/>
                      <w:szCs w:val="21"/>
                      <w:lang w:val="en-US" w:eastAsia="zh-CN"/>
                    </w:rPr>
                    <w:t>拟将</w:t>
                  </w:r>
                  <w:r>
                    <w:rPr>
                      <w:rFonts w:hint="eastAsia" w:ascii="Times New Roman" w:hAnsi="Times New Roman" w:eastAsia="宋体" w:cs="Times New Roman"/>
                      <w:color w:val="auto"/>
                      <w:sz w:val="21"/>
                      <w:szCs w:val="21"/>
                      <w:lang w:val="en-US" w:eastAsia="zh-CN"/>
                    </w:rPr>
                    <w:t>工业废水收集管道由明沟改为暗管并落实防渗防漏措施</w:t>
                  </w:r>
                </w:p>
              </w:tc>
              <w:tc>
                <w:tcPr>
                  <w:tcW w:w="1542" w:type="pct"/>
                  <w:vMerge w:val="continue"/>
                  <w:vAlign w:val="center"/>
                </w:tcPr>
                <w:p w14:paraId="1541D2E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lang w:val="en-US" w:eastAsia="zh-CN"/>
                    </w:rPr>
                  </w:pPr>
                </w:p>
              </w:tc>
            </w:tr>
            <w:tr w14:paraId="1937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vAlign w:val="center"/>
                </w:tcPr>
                <w:p w14:paraId="6C855C5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7</w:t>
                  </w:r>
                </w:p>
              </w:tc>
              <w:tc>
                <w:tcPr>
                  <w:tcW w:w="1604" w:type="pct"/>
                  <w:vAlign w:val="center"/>
                </w:tcPr>
                <w:p w14:paraId="1339C2F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污水处理设施前端污水池为敞开式，未加盖</w:t>
                  </w:r>
                </w:p>
              </w:tc>
              <w:tc>
                <w:tcPr>
                  <w:tcW w:w="1541" w:type="pct"/>
                  <w:vAlign w:val="center"/>
                </w:tcPr>
                <w:p w14:paraId="6880C97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项目</w:t>
                  </w:r>
                  <w:r>
                    <w:rPr>
                      <w:rFonts w:hint="eastAsia" w:cs="Times New Roman"/>
                      <w:color w:val="auto"/>
                      <w:sz w:val="21"/>
                      <w:szCs w:val="21"/>
                      <w:lang w:val="en-US" w:eastAsia="zh-CN"/>
                    </w:rPr>
                    <w:t>拟将</w:t>
                  </w:r>
                  <w:r>
                    <w:rPr>
                      <w:rFonts w:hint="eastAsia" w:ascii="Times New Roman" w:hAnsi="Times New Roman" w:eastAsia="宋体" w:cs="Times New Roman"/>
                      <w:color w:val="auto"/>
                      <w:sz w:val="21"/>
                      <w:szCs w:val="21"/>
                      <w:lang w:val="en-US" w:eastAsia="zh-CN"/>
                    </w:rPr>
                    <w:t>污水处理设施前端污水池加盖密闭</w:t>
                  </w:r>
                </w:p>
              </w:tc>
              <w:tc>
                <w:tcPr>
                  <w:tcW w:w="1542" w:type="pct"/>
                  <w:vMerge w:val="continue"/>
                  <w:vAlign w:val="center"/>
                </w:tcPr>
                <w:p w14:paraId="1A19EF9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lang w:val="en-US" w:eastAsia="zh-CN"/>
                    </w:rPr>
                  </w:pPr>
                </w:p>
              </w:tc>
            </w:tr>
            <w:tr w14:paraId="19DC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vAlign w:val="center"/>
                </w:tcPr>
                <w:p w14:paraId="509A95F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8</w:t>
                  </w:r>
                </w:p>
              </w:tc>
              <w:tc>
                <w:tcPr>
                  <w:tcW w:w="1604" w:type="pct"/>
                  <w:vAlign w:val="center"/>
                </w:tcPr>
                <w:p w14:paraId="5F7673F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污水处理设施、前端污水沟、污水池、废气处理设施均露天安装，无防雨设施；</w:t>
                  </w:r>
                </w:p>
              </w:tc>
              <w:tc>
                <w:tcPr>
                  <w:tcW w:w="1541" w:type="pct"/>
                  <w:vAlign w:val="center"/>
                </w:tcPr>
                <w:p w14:paraId="1C0E32A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lang w:val="en-US" w:eastAsia="zh-CN"/>
                    </w:rPr>
                    <w:t>项目已</w:t>
                  </w:r>
                  <w:r>
                    <w:rPr>
                      <w:rFonts w:hint="eastAsia" w:ascii="Times New Roman" w:hAnsi="Times New Roman" w:eastAsia="宋体" w:cs="Times New Roman"/>
                      <w:color w:val="auto"/>
                      <w:sz w:val="21"/>
                      <w:szCs w:val="21"/>
                      <w:lang w:val="en-US" w:eastAsia="zh-CN"/>
                    </w:rPr>
                    <w:t>对露天污水处理设施增设防雨棚</w:t>
                  </w:r>
                  <w:r>
                    <w:rPr>
                      <w:rFonts w:hint="eastAsia" w:cs="Times New Roman"/>
                      <w:color w:val="auto"/>
                      <w:sz w:val="21"/>
                      <w:szCs w:val="21"/>
                      <w:lang w:val="en-US" w:eastAsia="zh-CN"/>
                    </w:rPr>
                    <w:t>，拟将</w:t>
                  </w:r>
                  <w:r>
                    <w:rPr>
                      <w:rFonts w:hint="eastAsia" w:ascii="Times New Roman" w:hAnsi="Times New Roman" w:eastAsia="宋体" w:cs="Times New Roman"/>
                      <w:color w:val="auto"/>
                      <w:sz w:val="21"/>
                      <w:szCs w:val="21"/>
                      <w:lang w:val="en-US" w:eastAsia="zh-CN"/>
                    </w:rPr>
                    <w:t>污水沟/池加盖密封，废气处理设施</w:t>
                  </w:r>
                  <w:r>
                    <w:rPr>
                      <w:rFonts w:hint="eastAsia" w:cs="Times New Roman"/>
                      <w:color w:val="auto"/>
                      <w:sz w:val="21"/>
                      <w:szCs w:val="21"/>
                      <w:lang w:val="en-US" w:eastAsia="zh-CN"/>
                    </w:rPr>
                    <w:t>已</w:t>
                  </w:r>
                  <w:r>
                    <w:rPr>
                      <w:rFonts w:hint="eastAsia" w:ascii="Times New Roman" w:hAnsi="Times New Roman" w:eastAsia="宋体" w:cs="Times New Roman"/>
                      <w:color w:val="auto"/>
                      <w:sz w:val="21"/>
                      <w:szCs w:val="21"/>
                      <w:lang w:val="en-US" w:eastAsia="zh-CN"/>
                    </w:rPr>
                    <w:t>同步设置防雨顶棚，确保各单元无雨水混入，并完善周边导流沟，防止雨水冲刷及溢流</w:t>
                  </w:r>
                </w:p>
              </w:tc>
              <w:tc>
                <w:tcPr>
                  <w:tcW w:w="1542" w:type="pct"/>
                  <w:vMerge w:val="continue"/>
                  <w:vAlign w:val="center"/>
                </w:tcPr>
                <w:p w14:paraId="550ACF6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lang w:val="en-US" w:eastAsia="zh-CN"/>
                    </w:rPr>
                  </w:pPr>
                </w:p>
              </w:tc>
            </w:tr>
            <w:tr w14:paraId="148EC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vAlign w:val="center"/>
                </w:tcPr>
                <w:p w14:paraId="6E71695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9</w:t>
                  </w:r>
                </w:p>
              </w:tc>
              <w:tc>
                <w:tcPr>
                  <w:tcW w:w="1604" w:type="pct"/>
                  <w:vAlign w:val="center"/>
                </w:tcPr>
                <w:p w14:paraId="3C1A0B8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排放口设置不规范，未规范设置排放口标识标牌，污水排放口无法规范测量污水排放流量</w:t>
                  </w:r>
                </w:p>
              </w:tc>
              <w:tc>
                <w:tcPr>
                  <w:tcW w:w="1541" w:type="pct"/>
                  <w:vAlign w:val="center"/>
                </w:tcPr>
                <w:p w14:paraId="2AC7A6E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lang w:val="en-US" w:eastAsia="zh-CN"/>
                    </w:rPr>
                    <w:t>企业已</w:t>
                  </w:r>
                  <w:r>
                    <w:rPr>
                      <w:rFonts w:hint="eastAsia" w:ascii="Times New Roman" w:hAnsi="Times New Roman" w:eastAsia="宋体" w:cs="Times New Roman"/>
                      <w:color w:val="auto"/>
                      <w:sz w:val="21"/>
                      <w:szCs w:val="21"/>
                      <w:lang w:val="en-US" w:eastAsia="zh-CN"/>
                    </w:rPr>
                    <w:t>按照《环境保护图形标志排放口（源）》（GB15562.1-1995）及《环境保护图形标志固体废物贮存（处置）场》（GB15562.2-1995）及其修改单的规定设置排放口标识标牌，</w:t>
                  </w:r>
                  <w:r>
                    <w:rPr>
                      <w:rFonts w:hint="eastAsia" w:cs="Times New Roman"/>
                      <w:color w:val="auto"/>
                      <w:sz w:val="21"/>
                      <w:szCs w:val="21"/>
                      <w:lang w:val="en-US" w:eastAsia="zh-CN"/>
                    </w:rPr>
                    <w:t>拟</w:t>
                  </w:r>
                  <w:r>
                    <w:rPr>
                      <w:rFonts w:hint="eastAsia" w:ascii="Times New Roman" w:hAnsi="Times New Roman" w:eastAsia="宋体" w:cs="Times New Roman"/>
                      <w:color w:val="auto"/>
                      <w:sz w:val="21"/>
                      <w:szCs w:val="21"/>
                      <w:lang w:val="en-US" w:eastAsia="zh-CN"/>
                    </w:rPr>
                    <w:t>安装明渠流量计，确保具备规范的流量监测条件</w:t>
                  </w:r>
                </w:p>
              </w:tc>
              <w:tc>
                <w:tcPr>
                  <w:tcW w:w="1542" w:type="pct"/>
                  <w:vMerge w:val="continue"/>
                  <w:vAlign w:val="center"/>
                </w:tcPr>
                <w:p w14:paraId="30F32FD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cs="Times New Roman"/>
                      <w:color w:val="auto"/>
                      <w:sz w:val="21"/>
                      <w:szCs w:val="21"/>
                      <w:lang w:val="en-US" w:eastAsia="zh-CN"/>
                    </w:rPr>
                  </w:pPr>
                </w:p>
              </w:tc>
            </w:tr>
            <w:tr w14:paraId="27C5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vAlign w:val="center"/>
                </w:tcPr>
                <w:p w14:paraId="2125A69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10</w:t>
                  </w:r>
                </w:p>
              </w:tc>
              <w:tc>
                <w:tcPr>
                  <w:tcW w:w="1604" w:type="pct"/>
                  <w:vAlign w:val="center"/>
                </w:tcPr>
                <w:p w14:paraId="1C58BF8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企业需严格生产各项参数符合《电动自行车安全技术规范》(GB17761一2024)的电动自行车产品，不得违法生产电动摩托车、超标电动自行车等产品，否则涉嫌“未批先建”环境违法行为</w:t>
                  </w:r>
                </w:p>
              </w:tc>
              <w:tc>
                <w:tcPr>
                  <w:tcW w:w="1541" w:type="pct"/>
                  <w:vAlign w:val="center"/>
                </w:tcPr>
                <w:p w14:paraId="20F9D98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项目严格按照《电动自行车安全技术规范》(GB17761一2024)要求生产电动自行车产品，禁止生产电动摩托车、超标电动自行车等产品，如需调整产品类型，将依法重新办理环评手续</w:t>
                  </w:r>
                </w:p>
              </w:tc>
              <w:tc>
                <w:tcPr>
                  <w:tcW w:w="1542" w:type="pct"/>
                  <w:vMerge w:val="continue"/>
                  <w:vAlign w:val="center"/>
                </w:tcPr>
                <w:p w14:paraId="4318159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lang w:val="en-US" w:eastAsia="zh-CN"/>
                    </w:rPr>
                  </w:pPr>
                </w:p>
              </w:tc>
            </w:tr>
            <w:tr w14:paraId="525A3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vAlign w:val="center"/>
                </w:tcPr>
                <w:p w14:paraId="70EAFFB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11</w:t>
                  </w:r>
                </w:p>
              </w:tc>
              <w:tc>
                <w:tcPr>
                  <w:tcW w:w="1604" w:type="pct"/>
                  <w:vAlign w:val="center"/>
                </w:tcPr>
                <w:p w14:paraId="459CE99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电泳槽废气未单独密闭收集</w:t>
                  </w:r>
                </w:p>
              </w:tc>
              <w:tc>
                <w:tcPr>
                  <w:tcW w:w="1541" w:type="pct"/>
                  <w:vAlign w:val="center"/>
                </w:tcPr>
                <w:p w14:paraId="5392A33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电泳槽</w:t>
                  </w:r>
                  <w:r>
                    <w:rPr>
                      <w:rFonts w:hint="eastAsia" w:cs="Times New Roman"/>
                      <w:color w:val="auto"/>
                      <w:sz w:val="21"/>
                      <w:szCs w:val="21"/>
                      <w:lang w:val="en-US" w:eastAsia="zh-CN"/>
                    </w:rPr>
                    <w:t>拟</w:t>
                  </w:r>
                  <w:r>
                    <w:rPr>
                      <w:rFonts w:hint="eastAsia" w:ascii="Times New Roman" w:hAnsi="Times New Roman" w:eastAsia="宋体" w:cs="Times New Roman"/>
                      <w:color w:val="auto"/>
                      <w:sz w:val="21"/>
                      <w:szCs w:val="21"/>
                      <w:lang w:val="en-US" w:eastAsia="zh-CN"/>
                    </w:rPr>
                    <w:t>增设</w:t>
                  </w:r>
                  <w:r>
                    <w:rPr>
                      <w:rFonts w:hint="eastAsia" w:cs="Times New Roman"/>
                      <w:color w:val="auto"/>
                      <w:sz w:val="21"/>
                      <w:szCs w:val="21"/>
                      <w:lang w:val="en-US" w:eastAsia="zh-CN"/>
                    </w:rPr>
                    <w:t>半</w:t>
                  </w:r>
                  <w:r>
                    <w:rPr>
                      <w:rFonts w:hint="eastAsia" w:ascii="Times New Roman" w:hAnsi="Times New Roman" w:eastAsia="宋体" w:cs="Times New Roman"/>
                      <w:color w:val="auto"/>
                      <w:sz w:val="21"/>
                      <w:szCs w:val="21"/>
                      <w:lang w:val="en-US" w:eastAsia="zh-CN"/>
                    </w:rPr>
                    <w:t>密闭</w:t>
                  </w:r>
                  <w:r>
                    <w:rPr>
                      <w:rFonts w:hint="eastAsia" w:cs="Times New Roman"/>
                      <w:color w:val="auto"/>
                      <w:sz w:val="21"/>
                      <w:szCs w:val="21"/>
                      <w:lang w:val="en-US" w:eastAsia="zh-CN"/>
                    </w:rPr>
                    <w:t>负压集气</w:t>
                  </w:r>
                  <w:r>
                    <w:rPr>
                      <w:rFonts w:hint="eastAsia" w:ascii="Times New Roman" w:hAnsi="Times New Roman" w:eastAsia="宋体" w:cs="Times New Roman"/>
                      <w:color w:val="auto"/>
                      <w:sz w:val="21"/>
                      <w:szCs w:val="21"/>
                      <w:lang w:val="en-US" w:eastAsia="zh-CN"/>
                    </w:rPr>
                    <w:t>装置，确保废气有效收集</w:t>
                  </w:r>
                </w:p>
              </w:tc>
              <w:tc>
                <w:tcPr>
                  <w:tcW w:w="1542" w:type="pct"/>
                  <w:vMerge w:val="continue"/>
                  <w:vAlign w:val="center"/>
                </w:tcPr>
                <w:p w14:paraId="52D5242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lang w:val="en-US" w:eastAsia="zh-CN"/>
                    </w:rPr>
                  </w:pPr>
                </w:p>
              </w:tc>
            </w:tr>
            <w:tr w14:paraId="7E0D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vAlign w:val="center"/>
                </w:tcPr>
                <w:p w14:paraId="6E49A17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12</w:t>
                  </w:r>
                </w:p>
              </w:tc>
              <w:tc>
                <w:tcPr>
                  <w:tcW w:w="1604" w:type="pct"/>
                  <w:vAlign w:val="center"/>
                </w:tcPr>
                <w:p w14:paraId="4F445DF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各股废水依赖潜水泵抽送至污水处理站</w:t>
                  </w:r>
                </w:p>
              </w:tc>
              <w:tc>
                <w:tcPr>
                  <w:tcW w:w="1541" w:type="pct"/>
                  <w:vAlign w:val="center"/>
                </w:tcPr>
                <w:p w14:paraId="30FD33F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项目</w:t>
                  </w:r>
                  <w:r>
                    <w:rPr>
                      <w:rFonts w:hint="eastAsia" w:cs="Times New Roman"/>
                      <w:color w:val="auto"/>
                      <w:sz w:val="21"/>
                      <w:szCs w:val="21"/>
                      <w:lang w:val="en-US" w:eastAsia="zh-CN"/>
                    </w:rPr>
                    <w:t>拟</w:t>
                  </w:r>
                  <w:r>
                    <w:rPr>
                      <w:rFonts w:hint="eastAsia" w:ascii="Times New Roman" w:hAnsi="Times New Roman" w:eastAsia="宋体" w:cs="Times New Roman"/>
                      <w:color w:val="auto"/>
                      <w:sz w:val="21"/>
                      <w:szCs w:val="21"/>
                      <w:lang w:val="en-US" w:eastAsia="zh-CN"/>
                    </w:rPr>
                    <w:t>将优化潜水泵，替换为标准化提升泵，废水通过提升泵输送至污水处理站处理</w:t>
                  </w:r>
                </w:p>
              </w:tc>
              <w:tc>
                <w:tcPr>
                  <w:tcW w:w="1542" w:type="pct"/>
                  <w:vMerge w:val="continue"/>
                  <w:vAlign w:val="center"/>
                </w:tcPr>
                <w:p w14:paraId="0D7A4A9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lang w:val="en-US" w:eastAsia="zh-CN"/>
                    </w:rPr>
                  </w:pPr>
                </w:p>
              </w:tc>
            </w:tr>
            <w:tr w14:paraId="6D3AC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vAlign w:val="center"/>
                </w:tcPr>
                <w:p w14:paraId="12DAAE6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13</w:t>
                  </w:r>
                </w:p>
              </w:tc>
              <w:tc>
                <w:tcPr>
                  <w:tcW w:w="1604" w:type="pct"/>
                  <w:vAlign w:val="center"/>
                </w:tcPr>
                <w:p w14:paraId="4D7EC91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未设置危险废物暂存间</w:t>
                  </w:r>
                </w:p>
              </w:tc>
              <w:tc>
                <w:tcPr>
                  <w:tcW w:w="1541" w:type="pct"/>
                  <w:vAlign w:val="center"/>
                </w:tcPr>
                <w:p w14:paraId="5334C72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项目将在2号厂房生产区设置危险废物暂存区，并已与</w:t>
                  </w:r>
                  <w:r>
                    <w:rPr>
                      <w:rFonts w:hint="eastAsia" w:ascii="Times New Roman" w:hAnsi="Times New Roman" w:eastAsia="宋体" w:cs="Times New Roman"/>
                      <w:color w:val="auto"/>
                      <w:sz w:val="21"/>
                      <w:szCs w:val="21"/>
                      <w:lang w:val="en-US" w:eastAsia="zh-CN"/>
                    </w:rPr>
                    <w:t>柳州金太阳工业废物处置有限公司签订危废处置协议</w:t>
                  </w:r>
                </w:p>
              </w:tc>
              <w:tc>
                <w:tcPr>
                  <w:tcW w:w="1542" w:type="pct"/>
                  <w:vMerge w:val="continue"/>
                  <w:vAlign w:val="center"/>
                </w:tcPr>
                <w:p w14:paraId="0A721C1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lang w:val="en-US" w:eastAsia="zh-CN"/>
                    </w:rPr>
                  </w:pPr>
                </w:p>
              </w:tc>
            </w:tr>
            <w:tr w14:paraId="3E71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vAlign w:val="center"/>
                </w:tcPr>
                <w:p w14:paraId="0E614B7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14</w:t>
                  </w:r>
                </w:p>
              </w:tc>
              <w:tc>
                <w:tcPr>
                  <w:tcW w:w="1604" w:type="pct"/>
                  <w:vAlign w:val="center"/>
                </w:tcPr>
                <w:p w14:paraId="6E074A3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生产线挂具失衡，运行中产生电火花，存在安全风险</w:t>
                  </w:r>
                </w:p>
              </w:tc>
              <w:tc>
                <w:tcPr>
                  <w:tcW w:w="1541" w:type="pct"/>
                  <w:vAlign w:val="center"/>
                </w:tcPr>
                <w:p w14:paraId="1752E54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项目</w:t>
                  </w:r>
                  <w:r>
                    <w:rPr>
                      <w:rFonts w:hint="eastAsia" w:cs="Times New Roman"/>
                      <w:color w:val="auto"/>
                      <w:sz w:val="21"/>
                      <w:szCs w:val="21"/>
                      <w:lang w:val="en-US" w:eastAsia="zh-CN"/>
                    </w:rPr>
                    <w:t>已即刻</w:t>
                  </w:r>
                  <w:r>
                    <w:rPr>
                      <w:rFonts w:hint="eastAsia" w:ascii="Times New Roman" w:hAnsi="Times New Roman" w:eastAsia="宋体" w:cs="Times New Roman"/>
                      <w:color w:val="auto"/>
                      <w:sz w:val="21"/>
                      <w:szCs w:val="21"/>
                      <w:lang w:val="en-US" w:eastAsia="zh-CN"/>
                    </w:rPr>
                    <w:t>停用问题挂具，矫正平衡、确保不倾斜晃动后再使用，并检查紧固挂具与导电轨接触部位，必要时更换严重磨损挂钩</w:t>
                  </w:r>
                </w:p>
              </w:tc>
              <w:tc>
                <w:tcPr>
                  <w:tcW w:w="1542" w:type="pct"/>
                  <w:vMerge w:val="continue"/>
                  <w:vAlign w:val="center"/>
                </w:tcPr>
                <w:p w14:paraId="7F2D268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auto"/>
                      <w:sz w:val="21"/>
                      <w:szCs w:val="21"/>
                      <w:lang w:val="en-US" w:eastAsia="zh-CN"/>
                    </w:rPr>
                  </w:pPr>
                </w:p>
              </w:tc>
            </w:tr>
          </w:tbl>
          <w:p w14:paraId="5BBC90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cs="Times New Roman"/>
                <w:color w:val="auto"/>
                <w:sz w:val="24"/>
                <w:szCs w:val="24"/>
                <w:lang w:val="en-US" w:eastAsia="zh-CN"/>
              </w:rPr>
            </w:pPr>
          </w:p>
        </w:tc>
      </w:tr>
    </w:tbl>
    <w:p w14:paraId="626AED80">
      <w:pPr>
        <w:pStyle w:val="34"/>
        <w:jc w:val="center"/>
        <w:rPr>
          <w:rFonts w:ascii="黑体" w:hAnsi="黑体" w:eastAsia="黑体"/>
          <w:snapToGrid w:val="0"/>
          <w:color w:val="auto"/>
          <w:sz w:val="36"/>
          <w:szCs w:val="36"/>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68BB5AFD">
      <w:pPr>
        <w:pStyle w:val="34"/>
        <w:adjustRightInd w:val="0"/>
        <w:snapToGrid w:val="0"/>
        <w:spacing w:before="0" w:beforeAutospacing="0" w:after="0" w:afterAutospacing="0" w:line="14" w:lineRule="auto"/>
        <w:jc w:val="center"/>
        <w:outlineLvl w:val="9"/>
        <w:rPr>
          <w:rFonts w:hint="eastAsia" w:ascii="黑体" w:hAnsi="黑体" w:eastAsia="黑体"/>
          <w:snapToGrid w:val="0"/>
          <w:color w:val="auto"/>
          <w:sz w:val="30"/>
          <w:szCs w:val="30"/>
        </w:rPr>
      </w:pPr>
    </w:p>
    <w:p w14:paraId="3F3F48AD">
      <w:pPr>
        <w:pStyle w:val="34"/>
        <w:jc w:val="center"/>
        <w:outlineLvl w:val="0"/>
        <w:rPr>
          <w:rFonts w:ascii="黑体" w:hAnsi="黑体" w:eastAsia="黑体"/>
          <w:snapToGrid w:val="0"/>
          <w:color w:val="auto"/>
          <w:sz w:val="30"/>
          <w:szCs w:val="30"/>
        </w:rPr>
      </w:pPr>
      <w:bookmarkStart w:id="5" w:name="_Toc5348"/>
      <w:r>
        <w:rPr>
          <w:rFonts w:hint="eastAsia" w:ascii="黑体" w:hAnsi="黑体" w:eastAsia="黑体"/>
          <w:snapToGrid w:val="0"/>
          <w:color w:val="auto"/>
          <w:sz w:val="30"/>
          <w:szCs w:val="30"/>
        </w:rPr>
        <w:t>三、区域环境质量现状、环境保护目标及评价标准</w:t>
      </w:r>
      <w:bookmarkEnd w:id="5"/>
    </w:p>
    <w:tbl>
      <w:tblPr>
        <w:tblStyle w:val="3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14:paraId="3DBC66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800" w:type="dxa"/>
            <w:noWrap w:val="0"/>
            <w:vAlign w:val="center"/>
          </w:tcPr>
          <w:p w14:paraId="379D1514">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区域</w:t>
            </w:r>
          </w:p>
          <w:p w14:paraId="45583284">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环境</w:t>
            </w:r>
          </w:p>
          <w:p w14:paraId="27D0FD0D">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质量</w:t>
            </w:r>
          </w:p>
          <w:p w14:paraId="330E2DBC">
            <w:pPr>
              <w:adjustRightInd w:val="0"/>
              <w:snapToGrid w:val="0"/>
              <w:jc w:val="center"/>
              <w:rPr>
                <w:rFonts w:ascii="宋体" w:hAnsi="宋体" w:cs="宋体"/>
                <w:color w:val="auto"/>
                <w:kern w:val="0"/>
                <w:szCs w:val="21"/>
              </w:rPr>
            </w:pPr>
            <w:r>
              <w:rPr>
                <w:rFonts w:hint="eastAsia" w:ascii="宋体" w:hAnsi="宋体" w:cs="宋体"/>
                <w:color w:val="auto"/>
                <w:kern w:val="0"/>
                <w:szCs w:val="21"/>
              </w:rPr>
              <w:t>现状</w:t>
            </w:r>
          </w:p>
        </w:tc>
        <w:tc>
          <w:tcPr>
            <w:tcW w:w="8190" w:type="dxa"/>
            <w:noWrap w:val="0"/>
            <w:vAlign w:val="center"/>
          </w:tcPr>
          <w:p w14:paraId="7B3E8899">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b/>
                <w:bCs/>
                <w:color w:val="auto"/>
                <w:sz w:val="24"/>
                <w:szCs w:val="24"/>
              </w:rPr>
            </w:pPr>
            <w:r>
              <w:rPr>
                <w:rFonts w:hint="eastAsia"/>
                <w:b/>
                <w:bCs/>
                <w:color w:val="auto"/>
                <w:sz w:val="24"/>
                <w:szCs w:val="24"/>
                <w:lang w:val="en-US" w:eastAsia="zh-CN"/>
              </w:rPr>
              <w:t>一</w:t>
            </w:r>
            <w:r>
              <w:rPr>
                <w:rFonts w:hint="eastAsia"/>
                <w:b/>
                <w:bCs/>
                <w:color w:val="auto"/>
                <w:sz w:val="24"/>
                <w:szCs w:val="24"/>
              </w:rPr>
              <w:t xml:space="preserve"> 、大气环境</w:t>
            </w:r>
          </w:p>
          <w:p w14:paraId="3F7A0E03">
            <w:pPr>
              <w:pStyle w:val="3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00" w:lineRule="exact"/>
              <w:ind w:firstLine="482" w:firstLineChars="200"/>
              <w:jc w:val="both"/>
              <w:textAlignment w:val="auto"/>
              <w:rPr>
                <w:rFonts w:ascii="Times New Roman" w:hAnsi="Times New Roman"/>
                <w:b/>
                <w:snapToGrid w:val="0"/>
                <w:color w:val="auto"/>
                <w:szCs w:val="24"/>
              </w:rPr>
            </w:pPr>
            <w:r>
              <w:rPr>
                <w:rFonts w:hint="eastAsia" w:ascii="Times New Roman" w:hAnsi="Times New Roman"/>
                <w:b/>
                <w:snapToGrid w:val="0"/>
                <w:color w:val="auto"/>
                <w:szCs w:val="24"/>
              </w:rPr>
              <w:t>（1）</w:t>
            </w:r>
            <w:r>
              <w:rPr>
                <w:rFonts w:ascii="Times New Roman" w:hAnsi="Times New Roman"/>
                <w:b/>
                <w:bCs/>
                <w:snapToGrid w:val="0"/>
                <w:color w:val="auto"/>
                <w:szCs w:val="24"/>
              </w:rPr>
              <w:t>项目所在区域达标判断</w:t>
            </w:r>
          </w:p>
          <w:p w14:paraId="004DA19F">
            <w:pPr>
              <w:pStyle w:val="37"/>
              <w:keepNext w:val="0"/>
              <w:keepLines w:val="0"/>
              <w:pageBreakBefore w:val="0"/>
              <w:widowControl w:val="0"/>
              <w:kinsoku/>
              <w:wordWrap/>
              <w:overflowPunct/>
              <w:topLinePunct w:val="0"/>
              <w:autoSpaceDE/>
              <w:autoSpaceDN/>
              <w:bidi w:val="0"/>
              <w:adjustRightInd w:val="0"/>
              <w:snapToGrid w:val="0"/>
              <w:spacing w:after="0" w:line="500" w:lineRule="exact"/>
              <w:ind w:left="0" w:leftChars="0" w:firstLine="480" w:firstLineChars="200"/>
              <w:textAlignment w:val="auto"/>
              <w:rPr>
                <w:rFonts w:hint="eastAsia" w:ascii="Times New Roman" w:hAnsi="Times New Roman" w:eastAsia="宋体" w:cs="sans-serif"/>
                <w:snapToGrid w:val="0"/>
                <w:color w:val="auto"/>
                <w:kern w:val="0"/>
                <w:sz w:val="24"/>
                <w:szCs w:val="21"/>
                <w:highlight w:val="none"/>
                <w:u w:val="none"/>
                <w:shd w:val="clear" w:color="auto" w:fill="auto"/>
                <w:lang w:val="en-US" w:eastAsia="zh-CN"/>
              </w:rPr>
            </w:pPr>
            <w:r>
              <w:rPr>
                <w:rFonts w:ascii="Times New Roman" w:hAnsi="Times New Roman" w:eastAsia="宋体"/>
                <w:snapToGrid w:val="0"/>
                <w:color w:val="auto"/>
                <w:kern w:val="0"/>
                <w:sz w:val="24"/>
                <w:highlight w:val="none"/>
                <w:u w:val="none"/>
                <w:shd w:val="clear" w:color="auto" w:fill="auto"/>
              </w:rPr>
              <w:t>项目所在区域为</w:t>
            </w:r>
            <w:r>
              <w:rPr>
                <w:rFonts w:hint="eastAsia" w:ascii="Times New Roman" w:hAnsi="Times New Roman" w:eastAsia="宋体"/>
                <w:snapToGrid w:val="0"/>
                <w:color w:val="auto"/>
                <w:kern w:val="0"/>
                <w:sz w:val="24"/>
                <w:highlight w:val="none"/>
                <w:u w:val="none"/>
                <w:shd w:val="clear" w:color="auto" w:fill="auto"/>
                <w:lang w:val="en-US" w:eastAsia="zh-CN"/>
              </w:rPr>
              <w:t>柳州市柳东新区</w:t>
            </w:r>
            <w:r>
              <w:rPr>
                <w:rFonts w:ascii="Times New Roman" w:hAnsi="Times New Roman" w:eastAsia="宋体"/>
                <w:snapToGrid w:val="0"/>
                <w:color w:val="auto"/>
                <w:kern w:val="0"/>
                <w:sz w:val="24"/>
                <w:highlight w:val="none"/>
                <w:u w:val="none"/>
                <w:shd w:val="clear" w:color="auto" w:fill="auto"/>
              </w:rPr>
              <w:t>，根据</w:t>
            </w:r>
            <w:r>
              <w:rPr>
                <w:rFonts w:hint="eastAsia" w:ascii="Times New Roman" w:hAnsi="Times New Roman" w:eastAsia="宋体"/>
                <w:snapToGrid w:val="0"/>
                <w:color w:val="auto"/>
                <w:kern w:val="0"/>
                <w:sz w:val="24"/>
                <w:highlight w:val="none"/>
                <w:u w:val="none"/>
                <w:shd w:val="clear" w:color="auto" w:fill="auto"/>
                <w:lang w:val="en-US" w:eastAsia="zh-CN"/>
              </w:rPr>
              <w:t>柳州市生态环境局网站公布的《</w:t>
            </w:r>
            <w:r>
              <w:rPr>
                <w:rFonts w:hint="eastAsia" w:ascii="Times New Roman" w:hAnsi="Times New Roman" w:eastAsia="宋体"/>
                <w:snapToGrid w:val="0"/>
                <w:color w:val="auto"/>
                <w:kern w:val="0"/>
                <w:sz w:val="24"/>
                <w:highlight w:val="none"/>
                <w:u w:val="none"/>
                <w:shd w:val="clear" w:color="auto" w:fill="auto"/>
                <w:lang w:val="en-US" w:eastAsia="zh-CN"/>
              </w:rPr>
              <w:t>202</w:t>
            </w:r>
            <w:r>
              <w:rPr>
                <w:rFonts w:hint="eastAsia"/>
                <w:snapToGrid w:val="0"/>
                <w:color w:val="auto"/>
                <w:kern w:val="0"/>
                <w:sz w:val="24"/>
                <w:highlight w:val="none"/>
                <w:u w:val="none"/>
                <w:shd w:val="clear" w:color="auto" w:fill="auto"/>
                <w:lang w:val="en-US" w:eastAsia="zh-CN"/>
              </w:rPr>
              <w:t>5</w:t>
            </w:r>
            <w:r>
              <w:rPr>
                <w:rFonts w:hint="eastAsia" w:ascii="Times New Roman" w:hAnsi="Times New Roman" w:eastAsia="宋体"/>
                <w:snapToGrid w:val="0"/>
                <w:color w:val="auto"/>
                <w:kern w:val="0"/>
                <w:sz w:val="24"/>
                <w:highlight w:val="none"/>
                <w:u w:val="none"/>
                <w:shd w:val="clear" w:color="auto" w:fill="auto"/>
                <w:lang w:val="en-US" w:eastAsia="zh-CN"/>
              </w:rPr>
              <w:t>年</w:t>
            </w:r>
            <w:r>
              <w:rPr>
                <w:rFonts w:hint="eastAsia" w:ascii="Times New Roman" w:hAnsi="Times New Roman" w:eastAsia="宋体"/>
                <w:snapToGrid w:val="0"/>
                <w:color w:val="auto"/>
                <w:kern w:val="0"/>
                <w:sz w:val="24"/>
                <w:highlight w:val="none"/>
                <w:u w:val="none"/>
                <w:shd w:val="clear" w:color="auto" w:fill="auto"/>
                <w:lang w:val="en-US" w:eastAsia="zh-CN"/>
              </w:rPr>
              <w:t>柳州市生态环境状况公报》</w:t>
            </w:r>
            <w:r>
              <w:rPr>
                <w:rFonts w:ascii="Times New Roman" w:hAnsi="Times New Roman" w:eastAsia="宋体"/>
                <w:snapToGrid w:val="0"/>
                <w:color w:val="auto"/>
                <w:kern w:val="0"/>
                <w:sz w:val="24"/>
                <w:highlight w:val="none"/>
                <w:u w:val="none"/>
                <w:shd w:val="clear" w:color="auto" w:fill="auto"/>
              </w:rPr>
              <w:t>，</w:t>
            </w:r>
            <w:r>
              <w:rPr>
                <w:rFonts w:hint="default" w:ascii="Times New Roman" w:hAnsi="Times New Roman" w:eastAsia="宋体" w:cs="Times New Roman"/>
                <w:color w:val="auto"/>
                <w:sz w:val="24"/>
                <w:highlight w:val="none"/>
                <w:u w:val="none" w:color="auto"/>
                <w:shd w:val="clear" w:color="auto" w:fill="auto"/>
                <w:lang w:val="en-US" w:eastAsia="zh-CN"/>
              </w:rPr>
              <w:t>202</w:t>
            </w:r>
            <w:r>
              <w:rPr>
                <w:rFonts w:hint="eastAsia" w:cs="Times New Roman"/>
                <w:color w:val="auto"/>
                <w:sz w:val="24"/>
                <w:highlight w:val="none"/>
                <w:u w:val="none" w:color="auto"/>
                <w:shd w:val="clear" w:color="auto" w:fill="auto"/>
                <w:lang w:val="en-US" w:eastAsia="zh-CN"/>
              </w:rPr>
              <w:t>5</w:t>
            </w:r>
            <w:r>
              <w:rPr>
                <w:rFonts w:hint="default" w:ascii="Times New Roman" w:hAnsi="Times New Roman" w:eastAsia="宋体" w:cs="Times New Roman"/>
                <w:color w:val="auto"/>
                <w:sz w:val="24"/>
                <w:highlight w:val="none"/>
                <w:u w:val="none" w:color="auto"/>
                <w:shd w:val="clear" w:color="auto" w:fill="auto"/>
                <w:lang w:val="en-US" w:eastAsia="zh-CN"/>
              </w:rPr>
              <w:t>年</w:t>
            </w:r>
            <w:r>
              <w:rPr>
                <w:rFonts w:hint="eastAsia" w:ascii="Times New Roman" w:hAnsi="Times New Roman" w:eastAsia="宋体" w:cs="Times New Roman"/>
                <w:color w:val="auto"/>
                <w:sz w:val="24"/>
                <w:highlight w:val="none"/>
                <w:u w:val="none" w:color="auto"/>
                <w:shd w:val="clear" w:color="auto" w:fill="auto"/>
                <w:lang w:val="en-US" w:eastAsia="zh-CN"/>
              </w:rPr>
              <w:t>柳州市柳东新区环境</w:t>
            </w:r>
            <w:r>
              <w:rPr>
                <w:rFonts w:hint="default" w:ascii="Times New Roman" w:hAnsi="Times New Roman" w:eastAsia="宋体" w:cs="Times New Roman"/>
                <w:color w:val="auto"/>
                <w:sz w:val="24"/>
                <w:highlight w:val="none"/>
                <w:u w:val="none" w:color="auto"/>
                <w:shd w:val="clear" w:color="auto" w:fill="auto"/>
                <w:lang w:val="en-US" w:eastAsia="zh-CN"/>
              </w:rPr>
              <w:t>空气质量</w:t>
            </w:r>
            <w:r>
              <w:rPr>
                <w:rFonts w:hint="eastAsia" w:ascii="Times New Roman" w:hAnsi="Times New Roman" w:eastAsia="宋体" w:cs="Times New Roman"/>
                <w:color w:val="auto"/>
                <w:sz w:val="24"/>
                <w:highlight w:val="none"/>
                <w:u w:val="none" w:color="auto"/>
                <w:shd w:val="clear" w:color="auto" w:fill="auto"/>
                <w:lang w:val="en-US" w:eastAsia="zh-CN"/>
              </w:rPr>
              <w:t>年平均</w:t>
            </w:r>
            <w:r>
              <w:rPr>
                <w:rFonts w:hint="default" w:ascii="Times New Roman" w:hAnsi="Times New Roman" w:eastAsia="宋体" w:cs="Times New Roman"/>
                <w:color w:val="auto"/>
                <w:sz w:val="24"/>
                <w:highlight w:val="none"/>
                <w:u w:val="none" w:color="auto"/>
                <w:shd w:val="clear" w:color="auto" w:fill="auto"/>
                <w:lang w:val="en-US" w:eastAsia="zh-CN"/>
              </w:rPr>
              <w:t>监测数据见</w:t>
            </w:r>
            <w:r>
              <w:rPr>
                <w:rFonts w:hint="eastAsia" w:ascii="Times New Roman" w:hAnsi="Times New Roman" w:eastAsia="宋体" w:cs="Times New Roman"/>
                <w:color w:val="auto"/>
                <w:sz w:val="24"/>
                <w:highlight w:val="none"/>
                <w:u w:val="none" w:color="auto"/>
                <w:shd w:val="clear" w:color="auto" w:fill="auto"/>
                <w:lang w:val="en-US" w:eastAsia="zh-CN"/>
              </w:rPr>
              <w:t>下表</w:t>
            </w:r>
            <w:r>
              <w:rPr>
                <w:rFonts w:ascii="Times New Roman" w:hAnsi="Times New Roman" w:eastAsia="宋体"/>
                <w:snapToGrid w:val="0"/>
                <w:color w:val="auto"/>
                <w:kern w:val="0"/>
                <w:sz w:val="24"/>
                <w:highlight w:val="none"/>
                <w:u w:val="none"/>
                <w:shd w:val="clear" w:color="auto" w:fill="auto"/>
              </w:rPr>
              <w:t>。</w:t>
            </w:r>
          </w:p>
          <w:p w14:paraId="533251AB">
            <w:pPr>
              <w:pStyle w:val="10"/>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Times New Roman" w:hAnsi="Times New Roman" w:eastAsia="宋体"/>
                <w:b/>
                <w:bCs/>
                <w:snapToGrid w:val="0"/>
                <w:color w:val="auto"/>
                <w:kern w:val="0"/>
                <w:sz w:val="24"/>
                <w:szCs w:val="24"/>
                <w:highlight w:val="none"/>
                <w:u w:val="none"/>
                <w:shd w:val="clear" w:color="auto" w:fill="auto"/>
                <w:lang w:val="en-US" w:eastAsia="zh-CN"/>
              </w:rPr>
            </w:pPr>
            <w:r>
              <w:rPr>
                <w:rFonts w:ascii="Times New Roman" w:hAnsi="Times New Roman" w:eastAsia="宋体"/>
                <w:b/>
                <w:bCs/>
                <w:snapToGrid w:val="0"/>
                <w:color w:val="auto"/>
                <w:kern w:val="0"/>
                <w:sz w:val="24"/>
                <w:szCs w:val="24"/>
                <w:highlight w:val="none"/>
                <w:u w:val="none"/>
                <w:shd w:val="clear" w:color="auto" w:fill="auto"/>
              </w:rPr>
              <w:t>表3-1区域空气质量现状评价表</w:t>
            </w:r>
            <w:r>
              <w:rPr>
                <w:rFonts w:hint="eastAsia" w:ascii="Times New Roman" w:hAnsi="Times New Roman" w:eastAsia="宋体"/>
                <w:b/>
                <w:bCs/>
                <w:snapToGrid w:val="0"/>
                <w:color w:val="auto"/>
                <w:kern w:val="0"/>
                <w:sz w:val="24"/>
                <w:szCs w:val="24"/>
                <w:highlight w:val="none"/>
                <w:u w:val="none"/>
                <w:shd w:val="clear" w:color="auto" w:fill="auto"/>
                <w:lang w:val="en-US" w:eastAsia="zh-CN"/>
              </w:rPr>
              <w:t>污染物浓度单位：</w:t>
            </w:r>
            <w:r>
              <w:rPr>
                <w:rFonts w:ascii="Times New Roman" w:hAnsi="Times New Roman" w:eastAsia="宋体"/>
                <w:b/>
                <w:bCs/>
                <w:snapToGrid w:val="0"/>
                <w:color w:val="auto"/>
                <w:kern w:val="0"/>
                <w:sz w:val="24"/>
                <w:szCs w:val="24"/>
                <w:highlight w:val="none"/>
                <w:u w:val="none"/>
                <w:shd w:val="clear" w:color="auto" w:fill="auto"/>
              </w:rPr>
              <w:t>µg/m</w:t>
            </w:r>
            <w:r>
              <w:rPr>
                <w:rFonts w:ascii="Times New Roman" w:hAnsi="Times New Roman" w:eastAsia="宋体"/>
                <w:b/>
                <w:bCs/>
                <w:snapToGrid w:val="0"/>
                <w:color w:val="auto"/>
                <w:kern w:val="0"/>
                <w:sz w:val="24"/>
                <w:szCs w:val="24"/>
                <w:highlight w:val="none"/>
                <w:u w:val="none"/>
                <w:shd w:val="clear" w:color="auto" w:fill="auto"/>
                <w:vertAlign w:val="superscript"/>
              </w:rPr>
              <w:t>3</w:t>
            </w:r>
            <w:r>
              <w:rPr>
                <w:rFonts w:hint="eastAsia" w:ascii="Times New Roman" w:hAnsi="Times New Roman" w:eastAsia="宋体"/>
                <w:b/>
                <w:bCs/>
                <w:snapToGrid w:val="0"/>
                <w:color w:val="auto"/>
                <w:kern w:val="0"/>
                <w:sz w:val="24"/>
                <w:szCs w:val="24"/>
                <w:highlight w:val="none"/>
                <w:u w:val="none"/>
                <w:shd w:val="clear" w:color="auto" w:fill="auto"/>
                <w:vertAlign w:val="baseline"/>
                <w:lang w:eastAsia="zh-CN"/>
              </w:rPr>
              <w:t>，</w:t>
            </w:r>
            <w:r>
              <w:rPr>
                <w:rFonts w:hint="eastAsia" w:ascii="Times New Roman" w:hAnsi="Times New Roman" w:eastAsia="宋体"/>
                <w:b/>
                <w:bCs/>
                <w:snapToGrid w:val="0"/>
                <w:color w:val="auto"/>
                <w:kern w:val="0"/>
                <w:sz w:val="24"/>
                <w:szCs w:val="24"/>
                <w:highlight w:val="none"/>
                <w:u w:val="none"/>
                <w:shd w:val="clear" w:color="auto" w:fill="auto"/>
                <w:vertAlign w:val="baseline"/>
                <w:lang w:val="en-US" w:eastAsia="zh-CN"/>
              </w:rPr>
              <w:t>CO为</w:t>
            </w:r>
            <w:r>
              <w:rPr>
                <w:rFonts w:ascii="Times New Roman" w:hAnsi="Times New Roman" w:eastAsia="宋体"/>
                <w:b/>
                <w:bCs/>
                <w:snapToGrid w:val="0"/>
                <w:color w:val="auto"/>
                <w:kern w:val="0"/>
                <w:sz w:val="24"/>
                <w:szCs w:val="24"/>
                <w:highlight w:val="none"/>
                <w:u w:val="none"/>
                <w:shd w:val="clear" w:color="auto" w:fill="auto"/>
              </w:rPr>
              <w:t>mg/m</w:t>
            </w:r>
            <w:r>
              <w:rPr>
                <w:rFonts w:ascii="Times New Roman" w:hAnsi="Times New Roman" w:eastAsia="宋体"/>
                <w:b/>
                <w:bCs/>
                <w:snapToGrid w:val="0"/>
                <w:color w:val="auto"/>
                <w:kern w:val="0"/>
                <w:sz w:val="24"/>
                <w:szCs w:val="24"/>
                <w:highlight w:val="none"/>
                <w:u w:val="none"/>
                <w:shd w:val="clear" w:color="auto" w:fill="auto"/>
                <w:vertAlign w:val="superscript"/>
              </w:rPr>
              <w:t>3</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0"/>
              <w:gridCol w:w="2368"/>
              <w:gridCol w:w="894"/>
              <w:gridCol w:w="1340"/>
              <w:gridCol w:w="1446"/>
              <w:gridCol w:w="793"/>
            </w:tblGrid>
            <w:tr w14:paraId="0979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703" w:type="pct"/>
                  <w:vMerge w:val="restart"/>
                  <w:vAlign w:val="center"/>
                </w:tcPr>
                <w:p w14:paraId="5C9E45B6">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snapToGrid w:val="0"/>
                      <w:color w:val="auto"/>
                      <w:kern w:val="0"/>
                      <w:sz w:val="21"/>
                      <w:szCs w:val="21"/>
                      <w:highlight w:val="none"/>
                      <w:u w:val="none"/>
                      <w:shd w:val="clear" w:color="auto" w:fill="auto"/>
                    </w:rPr>
                  </w:pPr>
                  <w:r>
                    <w:rPr>
                      <w:rFonts w:ascii="Times New Roman" w:hAnsi="Times New Roman" w:eastAsia="宋体"/>
                      <w:b w:val="0"/>
                      <w:bCs w:val="0"/>
                      <w:snapToGrid w:val="0"/>
                      <w:color w:val="auto"/>
                      <w:kern w:val="0"/>
                      <w:sz w:val="21"/>
                      <w:szCs w:val="21"/>
                      <w:highlight w:val="none"/>
                      <w:u w:val="none"/>
                      <w:shd w:val="clear" w:color="auto" w:fill="auto"/>
                    </w:rPr>
                    <w:t>污染物</w:t>
                  </w:r>
                </w:p>
              </w:tc>
              <w:tc>
                <w:tcPr>
                  <w:tcW w:w="1487" w:type="pct"/>
                  <w:vMerge w:val="restart"/>
                  <w:vAlign w:val="center"/>
                </w:tcPr>
                <w:p w14:paraId="671975EE">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snapToGrid w:val="0"/>
                      <w:color w:val="auto"/>
                      <w:kern w:val="0"/>
                      <w:sz w:val="21"/>
                      <w:szCs w:val="21"/>
                      <w:highlight w:val="none"/>
                      <w:u w:val="none"/>
                      <w:shd w:val="clear" w:color="auto" w:fill="auto"/>
                    </w:rPr>
                  </w:pPr>
                  <w:r>
                    <w:rPr>
                      <w:rFonts w:ascii="Times New Roman" w:hAnsi="Times New Roman" w:eastAsia="宋体"/>
                      <w:b w:val="0"/>
                      <w:bCs w:val="0"/>
                      <w:snapToGrid w:val="0"/>
                      <w:color w:val="auto"/>
                      <w:kern w:val="0"/>
                      <w:sz w:val="21"/>
                      <w:szCs w:val="21"/>
                      <w:highlight w:val="none"/>
                      <w:u w:val="none"/>
                      <w:shd w:val="clear" w:color="auto" w:fill="auto"/>
                    </w:rPr>
                    <w:t>年评价指标</w:t>
                  </w:r>
                </w:p>
              </w:tc>
              <w:tc>
                <w:tcPr>
                  <w:tcW w:w="561" w:type="pct"/>
                  <w:vMerge w:val="restart"/>
                  <w:vAlign w:val="center"/>
                </w:tcPr>
                <w:p w14:paraId="4EB1BB92">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snapToGrid w:val="0"/>
                      <w:color w:val="auto"/>
                      <w:kern w:val="0"/>
                      <w:sz w:val="21"/>
                      <w:szCs w:val="21"/>
                      <w:highlight w:val="none"/>
                      <w:u w:val="none"/>
                      <w:shd w:val="clear" w:color="auto" w:fill="auto"/>
                    </w:rPr>
                  </w:pPr>
                  <w:r>
                    <w:rPr>
                      <w:rFonts w:hint="eastAsia"/>
                      <w:b w:val="0"/>
                      <w:bCs w:val="0"/>
                      <w:snapToGrid w:val="0"/>
                      <w:color w:val="auto"/>
                      <w:kern w:val="0"/>
                      <w:sz w:val="21"/>
                      <w:szCs w:val="21"/>
                      <w:highlight w:val="none"/>
                      <w:u w:val="none"/>
                      <w:shd w:val="clear" w:color="auto" w:fill="auto"/>
                      <w:lang w:val="en-US" w:eastAsia="zh-CN"/>
                    </w:rPr>
                    <w:t>年平均</w:t>
                  </w:r>
                  <w:r>
                    <w:rPr>
                      <w:rFonts w:ascii="Times New Roman" w:hAnsi="Times New Roman" w:eastAsia="宋体"/>
                      <w:b w:val="0"/>
                      <w:bCs w:val="0"/>
                      <w:snapToGrid w:val="0"/>
                      <w:color w:val="auto"/>
                      <w:kern w:val="0"/>
                      <w:sz w:val="21"/>
                      <w:szCs w:val="21"/>
                      <w:highlight w:val="none"/>
                      <w:u w:val="none"/>
                      <w:shd w:val="clear" w:color="auto" w:fill="auto"/>
                    </w:rPr>
                    <w:t>浓度</w:t>
                  </w:r>
                </w:p>
              </w:tc>
              <w:tc>
                <w:tcPr>
                  <w:tcW w:w="841" w:type="pct"/>
                  <w:vMerge w:val="restart"/>
                  <w:vAlign w:val="center"/>
                </w:tcPr>
                <w:p w14:paraId="78FD46E3">
                  <w:pPr>
                    <w:keepNext w:val="0"/>
                    <w:keepLines w:val="0"/>
                    <w:pageBreakBefore w:val="0"/>
                    <w:widowControl/>
                    <w:kinsoku/>
                    <w:wordWrap/>
                    <w:overflowPunct/>
                    <w:topLinePunct w:val="0"/>
                    <w:autoSpaceDE/>
                    <w:autoSpaceDN/>
                    <w:bidi w:val="0"/>
                    <w:adjustRightInd w:val="0"/>
                    <w:snapToGrid w:val="0"/>
                    <w:jc w:val="center"/>
                    <w:textAlignment w:val="auto"/>
                    <w:rPr>
                      <w:color w:val="auto"/>
                    </w:rPr>
                  </w:pPr>
                  <w:r>
                    <w:rPr>
                      <w:rFonts w:hint="eastAsia"/>
                      <w:b w:val="0"/>
                      <w:bCs w:val="0"/>
                      <w:snapToGrid w:val="0"/>
                      <w:color w:val="auto"/>
                      <w:kern w:val="0"/>
                      <w:sz w:val="21"/>
                      <w:szCs w:val="21"/>
                      <w:highlight w:val="none"/>
                      <w:u w:val="none"/>
                      <w:shd w:val="clear" w:color="auto" w:fill="auto"/>
                      <w:lang w:val="en-US" w:eastAsia="zh-CN"/>
                    </w:rPr>
                    <w:t>GB3095-2026过渡阶段标准值</w:t>
                  </w:r>
                </w:p>
              </w:tc>
              <w:tc>
                <w:tcPr>
                  <w:tcW w:w="908" w:type="pct"/>
                  <w:vAlign w:val="center"/>
                </w:tcPr>
                <w:p w14:paraId="78D643CF">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snapToGrid w:val="0"/>
                      <w:color w:val="auto"/>
                      <w:kern w:val="0"/>
                      <w:sz w:val="21"/>
                      <w:szCs w:val="21"/>
                      <w:highlight w:val="none"/>
                      <w:u w:val="none"/>
                      <w:shd w:val="clear" w:color="auto" w:fill="auto"/>
                    </w:rPr>
                  </w:pPr>
                  <w:r>
                    <w:rPr>
                      <w:rFonts w:ascii="Times New Roman" w:hAnsi="Times New Roman" w:eastAsia="宋体"/>
                      <w:b w:val="0"/>
                      <w:bCs w:val="0"/>
                      <w:snapToGrid w:val="0"/>
                      <w:color w:val="auto"/>
                      <w:kern w:val="0"/>
                      <w:sz w:val="21"/>
                      <w:szCs w:val="21"/>
                      <w:highlight w:val="none"/>
                      <w:u w:val="none"/>
                      <w:shd w:val="clear" w:color="auto" w:fill="auto"/>
                    </w:rPr>
                    <w:t>占标率（%）</w:t>
                  </w:r>
                </w:p>
              </w:tc>
              <w:tc>
                <w:tcPr>
                  <w:tcW w:w="498" w:type="pct"/>
                  <w:vMerge w:val="restart"/>
                  <w:vAlign w:val="center"/>
                </w:tcPr>
                <w:p w14:paraId="4D2DB0A1">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snapToGrid w:val="0"/>
                      <w:color w:val="auto"/>
                      <w:kern w:val="0"/>
                      <w:sz w:val="21"/>
                      <w:szCs w:val="21"/>
                      <w:highlight w:val="none"/>
                      <w:u w:val="none"/>
                      <w:shd w:val="clear" w:color="auto" w:fill="auto"/>
                    </w:rPr>
                  </w:pPr>
                  <w:r>
                    <w:rPr>
                      <w:rFonts w:ascii="Times New Roman" w:hAnsi="Times New Roman" w:eastAsia="宋体"/>
                      <w:b w:val="0"/>
                      <w:bCs w:val="0"/>
                      <w:snapToGrid w:val="0"/>
                      <w:color w:val="auto"/>
                      <w:kern w:val="0"/>
                      <w:sz w:val="21"/>
                      <w:szCs w:val="21"/>
                      <w:highlight w:val="none"/>
                      <w:u w:val="none"/>
                      <w:shd w:val="clear" w:color="auto" w:fill="auto"/>
                    </w:rPr>
                    <w:t>达标情况</w:t>
                  </w:r>
                </w:p>
              </w:tc>
            </w:tr>
            <w:tr w14:paraId="52A20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03" w:type="pct"/>
                  <w:vMerge w:val="continue"/>
                  <w:vAlign w:val="center"/>
                </w:tcPr>
                <w:p w14:paraId="6DA2E343">
                  <w:pPr>
                    <w:keepNext w:val="0"/>
                    <w:keepLines w:val="0"/>
                    <w:pageBreakBefore w:val="0"/>
                    <w:widowControl/>
                    <w:kinsoku/>
                    <w:wordWrap/>
                    <w:overflowPunct/>
                    <w:topLinePunct w:val="0"/>
                    <w:autoSpaceDE/>
                    <w:autoSpaceDN/>
                    <w:bidi w:val="0"/>
                    <w:adjustRightInd w:val="0"/>
                    <w:snapToGrid w:val="0"/>
                    <w:jc w:val="center"/>
                    <w:textAlignment w:val="auto"/>
                    <w:rPr>
                      <w:color w:val="auto"/>
                    </w:rPr>
                  </w:pPr>
                </w:p>
              </w:tc>
              <w:tc>
                <w:tcPr>
                  <w:tcW w:w="1487" w:type="pct"/>
                  <w:vMerge w:val="continue"/>
                  <w:vAlign w:val="center"/>
                </w:tcPr>
                <w:p w14:paraId="1F66FDD0">
                  <w:pPr>
                    <w:keepNext w:val="0"/>
                    <w:keepLines w:val="0"/>
                    <w:pageBreakBefore w:val="0"/>
                    <w:widowControl/>
                    <w:kinsoku/>
                    <w:wordWrap/>
                    <w:overflowPunct/>
                    <w:topLinePunct w:val="0"/>
                    <w:autoSpaceDE/>
                    <w:autoSpaceDN/>
                    <w:bidi w:val="0"/>
                    <w:adjustRightInd w:val="0"/>
                    <w:snapToGrid w:val="0"/>
                    <w:jc w:val="center"/>
                    <w:textAlignment w:val="auto"/>
                    <w:rPr>
                      <w:color w:val="auto"/>
                    </w:rPr>
                  </w:pPr>
                </w:p>
              </w:tc>
              <w:tc>
                <w:tcPr>
                  <w:tcW w:w="561" w:type="pct"/>
                  <w:vMerge w:val="continue"/>
                  <w:vAlign w:val="center"/>
                </w:tcPr>
                <w:p w14:paraId="6E99558B">
                  <w:pPr>
                    <w:keepNext w:val="0"/>
                    <w:keepLines w:val="0"/>
                    <w:pageBreakBefore w:val="0"/>
                    <w:widowControl/>
                    <w:kinsoku/>
                    <w:wordWrap/>
                    <w:overflowPunct/>
                    <w:topLinePunct w:val="0"/>
                    <w:autoSpaceDE/>
                    <w:autoSpaceDN/>
                    <w:bidi w:val="0"/>
                    <w:adjustRightInd w:val="0"/>
                    <w:snapToGrid w:val="0"/>
                    <w:jc w:val="center"/>
                    <w:textAlignment w:val="auto"/>
                    <w:rPr>
                      <w:color w:val="auto"/>
                    </w:rPr>
                  </w:pPr>
                </w:p>
              </w:tc>
              <w:tc>
                <w:tcPr>
                  <w:tcW w:w="841" w:type="pct"/>
                  <w:vMerge w:val="continue"/>
                  <w:vAlign w:val="center"/>
                </w:tcPr>
                <w:p w14:paraId="3AB86091">
                  <w:pPr>
                    <w:keepNext w:val="0"/>
                    <w:keepLines w:val="0"/>
                    <w:pageBreakBefore w:val="0"/>
                    <w:widowControl/>
                    <w:kinsoku/>
                    <w:wordWrap/>
                    <w:overflowPunct/>
                    <w:topLinePunct w:val="0"/>
                    <w:autoSpaceDE/>
                    <w:autoSpaceDN/>
                    <w:bidi w:val="0"/>
                    <w:adjustRightInd w:val="0"/>
                    <w:snapToGrid w:val="0"/>
                    <w:jc w:val="center"/>
                    <w:textAlignment w:val="auto"/>
                    <w:rPr>
                      <w:color w:val="auto"/>
                    </w:rPr>
                  </w:pPr>
                </w:p>
              </w:tc>
              <w:tc>
                <w:tcPr>
                  <w:tcW w:w="908" w:type="pct"/>
                  <w:vAlign w:val="center"/>
                </w:tcPr>
                <w:p w14:paraId="0EC4287B">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snapToGrid w:val="0"/>
                      <w:color w:val="auto"/>
                      <w:kern w:val="0"/>
                      <w:sz w:val="21"/>
                      <w:szCs w:val="21"/>
                      <w:highlight w:val="none"/>
                      <w:u w:val="none"/>
                      <w:shd w:val="clear" w:color="auto" w:fill="auto"/>
                    </w:rPr>
                  </w:pPr>
                  <w:r>
                    <w:rPr>
                      <w:rFonts w:hint="eastAsia"/>
                      <w:b w:val="0"/>
                      <w:bCs w:val="0"/>
                      <w:snapToGrid w:val="0"/>
                      <w:color w:val="auto"/>
                      <w:kern w:val="0"/>
                      <w:sz w:val="21"/>
                      <w:szCs w:val="21"/>
                      <w:highlight w:val="none"/>
                      <w:u w:val="none"/>
                      <w:shd w:val="clear" w:color="auto" w:fill="auto"/>
                      <w:lang w:val="en-US" w:eastAsia="zh-CN"/>
                    </w:rPr>
                    <w:t>GB3095-2026</w:t>
                  </w:r>
                </w:p>
              </w:tc>
              <w:tc>
                <w:tcPr>
                  <w:tcW w:w="498" w:type="pct"/>
                  <w:vMerge w:val="continue"/>
                  <w:vAlign w:val="center"/>
                </w:tcPr>
                <w:p w14:paraId="32982341">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snapToGrid w:val="0"/>
                      <w:color w:val="auto"/>
                      <w:kern w:val="0"/>
                      <w:sz w:val="21"/>
                      <w:szCs w:val="21"/>
                      <w:highlight w:val="none"/>
                      <w:u w:val="none"/>
                      <w:shd w:val="clear" w:color="auto" w:fill="auto"/>
                    </w:rPr>
                  </w:pPr>
                </w:p>
              </w:tc>
            </w:tr>
            <w:tr w14:paraId="0710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111B6257">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Cs/>
                      <w:snapToGrid w:val="0"/>
                      <w:color w:val="auto"/>
                      <w:kern w:val="0"/>
                      <w:sz w:val="21"/>
                      <w:szCs w:val="21"/>
                      <w:highlight w:val="none"/>
                      <w:u w:val="none"/>
                      <w:shd w:val="clear" w:color="auto" w:fill="auto"/>
                    </w:rPr>
                  </w:pPr>
                  <w:r>
                    <w:rPr>
                      <w:rFonts w:ascii="Times New Roman" w:hAnsi="Times New Roman" w:eastAsia="宋体"/>
                      <w:snapToGrid w:val="0"/>
                      <w:color w:val="auto"/>
                      <w:kern w:val="0"/>
                      <w:sz w:val="21"/>
                      <w:szCs w:val="21"/>
                      <w:highlight w:val="none"/>
                      <w:u w:val="none"/>
                      <w:shd w:val="clear" w:color="auto" w:fill="auto"/>
                    </w:rPr>
                    <w:t>SO</w:t>
                  </w:r>
                  <w:r>
                    <w:rPr>
                      <w:rFonts w:ascii="Times New Roman" w:hAnsi="Times New Roman" w:eastAsia="宋体"/>
                      <w:snapToGrid w:val="0"/>
                      <w:color w:val="auto"/>
                      <w:kern w:val="0"/>
                      <w:sz w:val="21"/>
                      <w:szCs w:val="21"/>
                      <w:highlight w:val="none"/>
                      <w:u w:val="none"/>
                      <w:shd w:val="clear" w:color="auto" w:fill="auto"/>
                      <w:vertAlign w:val="subscript"/>
                    </w:rPr>
                    <w:t>2</w:t>
                  </w:r>
                </w:p>
              </w:tc>
              <w:tc>
                <w:tcPr>
                  <w:tcW w:w="1487" w:type="pct"/>
                  <w:vAlign w:val="center"/>
                </w:tcPr>
                <w:p w14:paraId="6A7CEF4F">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Cs/>
                      <w:snapToGrid w:val="0"/>
                      <w:color w:val="auto"/>
                      <w:kern w:val="0"/>
                      <w:sz w:val="21"/>
                      <w:szCs w:val="21"/>
                      <w:highlight w:val="none"/>
                      <w:u w:val="none"/>
                      <w:shd w:val="clear" w:color="auto" w:fill="auto"/>
                    </w:rPr>
                  </w:pPr>
                  <w:r>
                    <w:rPr>
                      <w:rFonts w:ascii="Times New Roman" w:hAnsi="Times New Roman" w:eastAsia="宋体"/>
                      <w:bCs/>
                      <w:snapToGrid w:val="0"/>
                      <w:color w:val="auto"/>
                      <w:kern w:val="0"/>
                      <w:sz w:val="21"/>
                      <w:szCs w:val="21"/>
                      <w:highlight w:val="none"/>
                      <w:u w:val="none"/>
                      <w:shd w:val="clear" w:color="auto" w:fill="auto"/>
                    </w:rPr>
                    <w:t>年平均质量浓度</w:t>
                  </w:r>
                </w:p>
              </w:tc>
              <w:tc>
                <w:tcPr>
                  <w:tcW w:w="561" w:type="pct"/>
                  <w:vAlign w:val="center"/>
                </w:tcPr>
                <w:p w14:paraId="1A7E79C4">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Cs/>
                      <w:snapToGrid w:val="0"/>
                      <w:color w:val="auto"/>
                      <w:kern w:val="0"/>
                      <w:sz w:val="21"/>
                      <w:szCs w:val="21"/>
                      <w:highlight w:val="none"/>
                      <w:u w:val="none"/>
                      <w:shd w:val="clear" w:color="auto" w:fill="auto"/>
                      <w:lang w:val="en-US" w:eastAsia="zh-CN"/>
                    </w:rPr>
                  </w:pPr>
                  <w:r>
                    <w:rPr>
                      <w:rFonts w:hint="eastAsia"/>
                      <w:bCs/>
                      <w:snapToGrid w:val="0"/>
                      <w:color w:val="auto"/>
                      <w:kern w:val="0"/>
                      <w:sz w:val="21"/>
                      <w:szCs w:val="21"/>
                      <w:highlight w:val="none"/>
                      <w:u w:val="none"/>
                      <w:shd w:val="clear" w:color="auto" w:fill="auto"/>
                      <w:lang w:val="en-US" w:eastAsia="zh-CN"/>
                    </w:rPr>
                    <w:t>10</w:t>
                  </w:r>
                </w:p>
              </w:tc>
              <w:tc>
                <w:tcPr>
                  <w:tcW w:w="841" w:type="pct"/>
                  <w:vAlign w:val="center"/>
                </w:tcPr>
                <w:p w14:paraId="0B32399F">
                  <w:pPr>
                    <w:keepNext w:val="0"/>
                    <w:keepLines w:val="0"/>
                    <w:pageBreakBefore w:val="0"/>
                    <w:widowControl/>
                    <w:kinsoku/>
                    <w:wordWrap/>
                    <w:overflowPunct/>
                    <w:topLinePunct w:val="0"/>
                    <w:autoSpaceDE/>
                    <w:autoSpaceDN/>
                    <w:bidi w:val="0"/>
                    <w:adjustRightInd w:val="0"/>
                    <w:snapToGrid w:val="0"/>
                    <w:jc w:val="center"/>
                    <w:textAlignment w:val="auto"/>
                    <w:rPr>
                      <w:rFonts w:hint="default"/>
                      <w:bCs/>
                      <w:snapToGrid w:val="0"/>
                      <w:color w:val="auto"/>
                      <w:kern w:val="0"/>
                      <w:sz w:val="21"/>
                      <w:szCs w:val="21"/>
                      <w:highlight w:val="none"/>
                      <w:u w:val="none"/>
                      <w:shd w:val="clear" w:color="auto" w:fill="auto"/>
                      <w:lang w:val="en-US" w:eastAsia="zh-CN"/>
                    </w:rPr>
                  </w:pPr>
                  <w:r>
                    <w:rPr>
                      <w:rFonts w:hint="eastAsia"/>
                      <w:bCs/>
                      <w:snapToGrid w:val="0"/>
                      <w:color w:val="auto"/>
                      <w:kern w:val="0"/>
                      <w:sz w:val="21"/>
                      <w:szCs w:val="21"/>
                      <w:highlight w:val="none"/>
                      <w:u w:val="none"/>
                      <w:shd w:val="clear" w:color="auto" w:fill="auto"/>
                      <w:lang w:val="en-US" w:eastAsia="zh-CN"/>
                    </w:rPr>
                    <w:t>60</w:t>
                  </w:r>
                </w:p>
              </w:tc>
              <w:tc>
                <w:tcPr>
                  <w:tcW w:w="908" w:type="pct"/>
                  <w:shd w:val="clear" w:color="auto" w:fill="auto"/>
                  <w:vAlign w:val="center"/>
                </w:tcPr>
                <w:p w14:paraId="18DBCAB0">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Cs/>
                      <w:snapToGrid w:val="0"/>
                      <w:color w:val="auto"/>
                      <w:kern w:val="0"/>
                      <w:sz w:val="21"/>
                      <w:szCs w:val="21"/>
                      <w:highlight w:val="none"/>
                      <w:u w:val="none"/>
                      <w:shd w:val="clear" w:color="auto" w:fill="auto"/>
                      <w:lang w:val="en-US" w:eastAsia="zh-CN"/>
                    </w:rPr>
                  </w:pPr>
                  <w:r>
                    <w:rPr>
                      <w:rFonts w:hint="eastAsia" w:ascii="Times New Roman" w:hAnsi="Times New Roman" w:eastAsia="宋体"/>
                      <w:bCs/>
                      <w:snapToGrid w:val="0"/>
                      <w:color w:val="auto"/>
                      <w:kern w:val="0"/>
                      <w:sz w:val="21"/>
                      <w:szCs w:val="21"/>
                      <w:highlight w:val="none"/>
                      <w:u w:val="none"/>
                      <w:shd w:val="clear" w:color="auto" w:fill="auto"/>
                      <w:lang w:val="en-US" w:eastAsia="zh-CN"/>
                    </w:rPr>
                    <w:t xml:space="preserve">16.67 </w:t>
                  </w:r>
                </w:p>
              </w:tc>
              <w:tc>
                <w:tcPr>
                  <w:tcW w:w="498" w:type="pct"/>
                  <w:vAlign w:val="center"/>
                </w:tcPr>
                <w:p w14:paraId="79115E84">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Cs/>
                      <w:snapToGrid w:val="0"/>
                      <w:color w:val="auto"/>
                      <w:kern w:val="0"/>
                      <w:sz w:val="21"/>
                      <w:szCs w:val="21"/>
                      <w:highlight w:val="none"/>
                      <w:u w:val="none"/>
                      <w:shd w:val="clear" w:color="auto" w:fill="auto"/>
                    </w:rPr>
                  </w:pPr>
                  <w:r>
                    <w:rPr>
                      <w:rFonts w:ascii="Times New Roman" w:hAnsi="Times New Roman" w:eastAsia="宋体"/>
                      <w:bCs/>
                      <w:snapToGrid w:val="0"/>
                      <w:color w:val="auto"/>
                      <w:kern w:val="0"/>
                      <w:sz w:val="21"/>
                      <w:szCs w:val="21"/>
                      <w:highlight w:val="none"/>
                      <w:u w:val="none"/>
                      <w:shd w:val="clear" w:color="auto" w:fill="auto"/>
                    </w:rPr>
                    <w:t>达标</w:t>
                  </w:r>
                </w:p>
              </w:tc>
            </w:tr>
            <w:tr w14:paraId="4A219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0245D8BD">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snapToGrid w:val="0"/>
                      <w:color w:val="auto"/>
                      <w:kern w:val="0"/>
                      <w:sz w:val="21"/>
                      <w:szCs w:val="21"/>
                      <w:highlight w:val="none"/>
                      <w:u w:val="none"/>
                      <w:shd w:val="clear" w:color="auto" w:fill="auto"/>
                    </w:rPr>
                  </w:pPr>
                  <w:r>
                    <w:rPr>
                      <w:rFonts w:ascii="Times New Roman" w:hAnsi="Times New Roman" w:eastAsia="宋体"/>
                      <w:snapToGrid w:val="0"/>
                      <w:color w:val="auto"/>
                      <w:kern w:val="0"/>
                      <w:sz w:val="21"/>
                      <w:szCs w:val="21"/>
                      <w:highlight w:val="none"/>
                      <w:u w:val="none"/>
                      <w:shd w:val="clear" w:color="auto" w:fill="auto"/>
                    </w:rPr>
                    <w:t>NO</w:t>
                  </w:r>
                  <w:r>
                    <w:rPr>
                      <w:rFonts w:ascii="Times New Roman" w:hAnsi="Times New Roman" w:eastAsia="宋体"/>
                      <w:snapToGrid w:val="0"/>
                      <w:color w:val="auto"/>
                      <w:kern w:val="0"/>
                      <w:sz w:val="21"/>
                      <w:szCs w:val="21"/>
                      <w:highlight w:val="none"/>
                      <w:u w:val="none"/>
                      <w:shd w:val="clear" w:color="auto" w:fill="auto"/>
                      <w:vertAlign w:val="subscript"/>
                    </w:rPr>
                    <w:t>2</w:t>
                  </w:r>
                </w:p>
              </w:tc>
              <w:tc>
                <w:tcPr>
                  <w:tcW w:w="1487" w:type="pct"/>
                  <w:vAlign w:val="center"/>
                </w:tcPr>
                <w:p w14:paraId="44165CA3">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Cs/>
                      <w:snapToGrid w:val="0"/>
                      <w:color w:val="auto"/>
                      <w:kern w:val="0"/>
                      <w:sz w:val="21"/>
                      <w:szCs w:val="21"/>
                      <w:highlight w:val="none"/>
                      <w:u w:val="none"/>
                      <w:shd w:val="clear" w:color="auto" w:fill="auto"/>
                    </w:rPr>
                  </w:pPr>
                  <w:r>
                    <w:rPr>
                      <w:rFonts w:ascii="Times New Roman" w:hAnsi="Times New Roman" w:eastAsia="宋体"/>
                      <w:bCs/>
                      <w:snapToGrid w:val="0"/>
                      <w:color w:val="auto"/>
                      <w:kern w:val="0"/>
                      <w:sz w:val="21"/>
                      <w:szCs w:val="21"/>
                      <w:highlight w:val="none"/>
                      <w:u w:val="none"/>
                      <w:shd w:val="clear" w:color="auto" w:fill="auto"/>
                    </w:rPr>
                    <w:t>年平均质量浓度</w:t>
                  </w:r>
                </w:p>
              </w:tc>
              <w:tc>
                <w:tcPr>
                  <w:tcW w:w="561" w:type="pct"/>
                  <w:vAlign w:val="center"/>
                </w:tcPr>
                <w:p w14:paraId="7CC08A48">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Cs/>
                      <w:snapToGrid w:val="0"/>
                      <w:color w:val="auto"/>
                      <w:kern w:val="0"/>
                      <w:sz w:val="21"/>
                      <w:szCs w:val="21"/>
                      <w:highlight w:val="none"/>
                      <w:u w:val="none"/>
                      <w:shd w:val="clear" w:color="auto" w:fill="auto"/>
                      <w:lang w:val="en-US" w:eastAsia="zh-CN"/>
                    </w:rPr>
                  </w:pPr>
                  <w:r>
                    <w:rPr>
                      <w:rFonts w:hint="eastAsia"/>
                      <w:bCs/>
                      <w:snapToGrid w:val="0"/>
                      <w:color w:val="auto"/>
                      <w:kern w:val="0"/>
                      <w:sz w:val="21"/>
                      <w:szCs w:val="21"/>
                      <w:highlight w:val="none"/>
                      <w:u w:val="none"/>
                      <w:shd w:val="clear" w:color="auto" w:fill="auto"/>
                      <w:lang w:val="en-US" w:eastAsia="zh-CN"/>
                    </w:rPr>
                    <w:t>17</w:t>
                  </w:r>
                </w:p>
              </w:tc>
              <w:tc>
                <w:tcPr>
                  <w:tcW w:w="841" w:type="pct"/>
                  <w:vAlign w:val="center"/>
                </w:tcPr>
                <w:p w14:paraId="128B41D6">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Cs/>
                      <w:snapToGrid w:val="0"/>
                      <w:color w:val="auto"/>
                      <w:kern w:val="0"/>
                      <w:sz w:val="21"/>
                      <w:szCs w:val="21"/>
                      <w:highlight w:val="none"/>
                      <w:u w:val="none"/>
                      <w:shd w:val="clear" w:color="auto" w:fill="auto"/>
                      <w:lang w:val="en-US" w:eastAsia="zh-CN"/>
                    </w:rPr>
                  </w:pPr>
                  <w:r>
                    <w:rPr>
                      <w:rFonts w:hint="eastAsia"/>
                      <w:bCs/>
                      <w:snapToGrid w:val="0"/>
                      <w:color w:val="auto"/>
                      <w:kern w:val="0"/>
                      <w:sz w:val="21"/>
                      <w:szCs w:val="21"/>
                      <w:highlight w:val="none"/>
                      <w:u w:val="none"/>
                      <w:shd w:val="clear" w:color="auto" w:fill="auto"/>
                      <w:lang w:val="en-US" w:eastAsia="zh-CN"/>
                    </w:rPr>
                    <w:t>40</w:t>
                  </w:r>
                </w:p>
              </w:tc>
              <w:tc>
                <w:tcPr>
                  <w:tcW w:w="908" w:type="pct"/>
                  <w:shd w:val="clear" w:color="auto" w:fill="auto"/>
                  <w:vAlign w:val="center"/>
                </w:tcPr>
                <w:p w14:paraId="351C90BF">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Cs/>
                      <w:snapToGrid w:val="0"/>
                      <w:color w:val="auto"/>
                      <w:kern w:val="0"/>
                      <w:sz w:val="21"/>
                      <w:szCs w:val="21"/>
                      <w:highlight w:val="none"/>
                      <w:u w:val="none"/>
                      <w:shd w:val="clear" w:color="auto" w:fill="auto"/>
                      <w:lang w:val="en-US" w:eastAsia="zh-CN"/>
                    </w:rPr>
                  </w:pPr>
                  <w:r>
                    <w:rPr>
                      <w:rFonts w:hint="eastAsia" w:ascii="Times New Roman" w:hAnsi="Times New Roman" w:eastAsia="宋体"/>
                      <w:bCs/>
                      <w:snapToGrid w:val="0"/>
                      <w:color w:val="auto"/>
                      <w:kern w:val="0"/>
                      <w:sz w:val="21"/>
                      <w:szCs w:val="21"/>
                      <w:highlight w:val="none"/>
                      <w:u w:val="none"/>
                      <w:shd w:val="clear" w:color="auto" w:fill="auto"/>
                      <w:lang w:val="en-US" w:eastAsia="zh-CN"/>
                    </w:rPr>
                    <w:t xml:space="preserve">42.50 </w:t>
                  </w:r>
                </w:p>
              </w:tc>
              <w:tc>
                <w:tcPr>
                  <w:tcW w:w="498" w:type="pct"/>
                  <w:vAlign w:val="center"/>
                </w:tcPr>
                <w:p w14:paraId="05AD1BF8">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Cs/>
                      <w:snapToGrid w:val="0"/>
                      <w:color w:val="auto"/>
                      <w:kern w:val="0"/>
                      <w:sz w:val="21"/>
                      <w:szCs w:val="21"/>
                      <w:highlight w:val="none"/>
                      <w:u w:val="none"/>
                      <w:shd w:val="clear" w:color="auto" w:fill="auto"/>
                    </w:rPr>
                  </w:pPr>
                  <w:r>
                    <w:rPr>
                      <w:rFonts w:ascii="Times New Roman" w:hAnsi="Times New Roman" w:eastAsia="宋体"/>
                      <w:bCs/>
                      <w:snapToGrid w:val="0"/>
                      <w:color w:val="auto"/>
                      <w:kern w:val="0"/>
                      <w:sz w:val="21"/>
                      <w:szCs w:val="21"/>
                      <w:highlight w:val="none"/>
                      <w:u w:val="none"/>
                      <w:shd w:val="clear" w:color="auto" w:fill="auto"/>
                    </w:rPr>
                    <w:t>达标</w:t>
                  </w:r>
                </w:p>
              </w:tc>
            </w:tr>
            <w:tr w14:paraId="40FA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703" w:type="pct"/>
                  <w:vAlign w:val="center"/>
                </w:tcPr>
                <w:p w14:paraId="0646C520">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snapToGrid w:val="0"/>
                      <w:color w:val="auto"/>
                      <w:kern w:val="0"/>
                      <w:sz w:val="21"/>
                      <w:szCs w:val="21"/>
                      <w:highlight w:val="none"/>
                      <w:u w:val="none"/>
                      <w:shd w:val="clear" w:color="auto" w:fill="auto"/>
                    </w:rPr>
                  </w:pPr>
                  <w:r>
                    <w:rPr>
                      <w:rFonts w:ascii="Times New Roman" w:hAnsi="Times New Roman" w:eastAsia="宋体"/>
                      <w:snapToGrid w:val="0"/>
                      <w:color w:val="auto"/>
                      <w:kern w:val="0"/>
                      <w:sz w:val="21"/>
                      <w:szCs w:val="21"/>
                      <w:highlight w:val="none"/>
                      <w:u w:val="none"/>
                      <w:shd w:val="clear" w:color="auto" w:fill="auto"/>
                    </w:rPr>
                    <w:t>PM</w:t>
                  </w:r>
                  <w:r>
                    <w:rPr>
                      <w:rFonts w:ascii="Times New Roman" w:hAnsi="Times New Roman" w:eastAsia="宋体"/>
                      <w:snapToGrid w:val="0"/>
                      <w:color w:val="auto"/>
                      <w:kern w:val="0"/>
                      <w:sz w:val="21"/>
                      <w:szCs w:val="21"/>
                      <w:highlight w:val="none"/>
                      <w:u w:val="none"/>
                      <w:shd w:val="clear" w:color="auto" w:fill="auto"/>
                      <w:vertAlign w:val="subscript"/>
                    </w:rPr>
                    <w:t>10</w:t>
                  </w:r>
                </w:p>
              </w:tc>
              <w:tc>
                <w:tcPr>
                  <w:tcW w:w="1487" w:type="pct"/>
                  <w:vAlign w:val="center"/>
                </w:tcPr>
                <w:p w14:paraId="063D2EBC">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Cs/>
                      <w:snapToGrid w:val="0"/>
                      <w:color w:val="auto"/>
                      <w:kern w:val="0"/>
                      <w:sz w:val="21"/>
                      <w:szCs w:val="21"/>
                      <w:highlight w:val="none"/>
                      <w:u w:val="none"/>
                      <w:shd w:val="clear" w:color="auto" w:fill="auto"/>
                    </w:rPr>
                  </w:pPr>
                  <w:r>
                    <w:rPr>
                      <w:rFonts w:ascii="Times New Roman" w:hAnsi="Times New Roman" w:eastAsia="宋体"/>
                      <w:bCs/>
                      <w:snapToGrid w:val="0"/>
                      <w:color w:val="auto"/>
                      <w:kern w:val="0"/>
                      <w:sz w:val="21"/>
                      <w:szCs w:val="21"/>
                      <w:highlight w:val="none"/>
                      <w:u w:val="none"/>
                      <w:shd w:val="clear" w:color="auto" w:fill="auto"/>
                    </w:rPr>
                    <w:t>年平均质量浓度</w:t>
                  </w:r>
                </w:p>
              </w:tc>
              <w:tc>
                <w:tcPr>
                  <w:tcW w:w="561" w:type="pct"/>
                  <w:vAlign w:val="center"/>
                </w:tcPr>
                <w:p w14:paraId="6799230A">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Cs/>
                      <w:snapToGrid w:val="0"/>
                      <w:color w:val="auto"/>
                      <w:kern w:val="0"/>
                      <w:sz w:val="21"/>
                      <w:szCs w:val="21"/>
                      <w:highlight w:val="none"/>
                      <w:u w:val="none"/>
                      <w:shd w:val="clear" w:color="auto" w:fill="auto"/>
                      <w:lang w:val="en-US" w:eastAsia="zh-CN"/>
                    </w:rPr>
                  </w:pPr>
                  <w:r>
                    <w:rPr>
                      <w:rFonts w:hint="eastAsia"/>
                      <w:bCs/>
                      <w:snapToGrid w:val="0"/>
                      <w:color w:val="auto"/>
                      <w:kern w:val="0"/>
                      <w:sz w:val="21"/>
                      <w:szCs w:val="21"/>
                      <w:highlight w:val="none"/>
                      <w:u w:val="none"/>
                      <w:shd w:val="clear" w:color="auto" w:fill="auto"/>
                      <w:lang w:val="en-US" w:eastAsia="zh-CN"/>
                    </w:rPr>
                    <w:t>39</w:t>
                  </w:r>
                </w:p>
              </w:tc>
              <w:tc>
                <w:tcPr>
                  <w:tcW w:w="841" w:type="pct"/>
                  <w:vAlign w:val="center"/>
                </w:tcPr>
                <w:p w14:paraId="11A18E6A">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Cs/>
                      <w:snapToGrid w:val="0"/>
                      <w:color w:val="auto"/>
                      <w:kern w:val="0"/>
                      <w:sz w:val="21"/>
                      <w:szCs w:val="21"/>
                      <w:highlight w:val="none"/>
                      <w:u w:val="none"/>
                      <w:shd w:val="clear" w:color="auto" w:fill="auto"/>
                      <w:lang w:val="en-US" w:eastAsia="zh-CN"/>
                    </w:rPr>
                  </w:pPr>
                  <w:r>
                    <w:rPr>
                      <w:rFonts w:hint="eastAsia"/>
                      <w:bCs/>
                      <w:snapToGrid w:val="0"/>
                      <w:color w:val="auto"/>
                      <w:kern w:val="0"/>
                      <w:sz w:val="21"/>
                      <w:szCs w:val="21"/>
                      <w:highlight w:val="none"/>
                      <w:u w:val="none"/>
                      <w:shd w:val="clear" w:color="auto" w:fill="auto"/>
                      <w:lang w:val="en-US" w:eastAsia="zh-CN"/>
                    </w:rPr>
                    <w:t>60</w:t>
                  </w:r>
                </w:p>
              </w:tc>
              <w:tc>
                <w:tcPr>
                  <w:tcW w:w="908" w:type="pct"/>
                  <w:vAlign w:val="center"/>
                </w:tcPr>
                <w:p w14:paraId="4221D89F">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Cs/>
                      <w:snapToGrid w:val="0"/>
                      <w:color w:val="auto"/>
                      <w:kern w:val="0"/>
                      <w:sz w:val="21"/>
                      <w:szCs w:val="21"/>
                      <w:highlight w:val="none"/>
                      <w:u w:val="none"/>
                      <w:shd w:val="clear" w:color="auto" w:fill="auto"/>
                      <w:lang w:val="en-US" w:eastAsia="zh-CN"/>
                    </w:rPr>
                  </w:pPr>
                  <w:r>
                    <w:rPr>
                      <w:rFonts w:hint="eastAsia" w:ascii="Times New Roman" w:hAnsi="Times New Roman" w:eastAsia="宋体"/>
                      <w:bCs/>
                      <w:snapToGrid w:val="0"/>
                      <w:color w:val="auto"/>
                      <w:kern w:val="0"/>
                      <w:sz w:val="21"/>
                      <w:szCs w:val="21"/>
                      <w:highlight w:val="none"/>
                      <w:u w:val="none"/>
                      <w:shd w:val="clear" w:color="auto" w:fill="auto"/>
                      <w:lang w:val="en-US" w:eastAsia="zh-CN"/>
                    </w:rPr>
                    <w:t xml:space="preserve">65.00 </w:t>
                  </w:r>
                </w:p>
              </w:tc>
              <w:tc>
                <w:tcPr>
                  <w:tcW w:w="498" w:type="pct"/>
                  <w:vAlign w:val="center"/>
                </w:tcPr>
                <w:p w14:paraId="6588294A">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Cs/>
                      <w:snapToGrid w:val="0"/>
                      <w:color w:val="auto"/>
                      <w:kern w:val="0"/>
                      <w:sz w:val="21"/>
                      <w:szCs w:val="21"/>
                      <w:highlight w:val="none"/>
                      <w:u w:val="none"/>
                      <w:shd w:val="clear" w:color="auto" w:fill="auto"/>
                    </w:rPr>
                  </w:pPr>
                  <w:r>
                    <w:rPr>
                      <w:rFonts w:ascii="Times New Roman" w:hAnsi="Times New Roman" w:eastAsia="宋体"/>
                      <w:bCs/>
                      <w:snapToGrid w:val="0"/>
                      <w:color w:val="auto"/>
                      <w:kern w:val="0"/>
                      <w:sz w:val="21"/>
                      <w:szCs w:val="21"/>
                      <w:highlight w:val="none"/>
                      <w:u w:val="none"/>
                      <w:shd w:val="clear" w:color="auto" w:fill="auto"/>
                    </w:rPr>
                    <w:t>达标</w:t>
                  </w:r>
                </w:p>
              </w:tc>
            </w:tr>
            <w:tr w14:paraId="4EBFD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37D4554D">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snapToGrid w:val="0"/>
                      <w:color w:val="auto"/>
                      <w:kern w:val="0"/>
                      <w:sz w:val="21"/>
                      <w:szCs w:val="21"/>
                      <w:highlight w:val="none"/>
                      <w:u w:val="none"/>
                      <w:shd w:val="clear" w:color="auto" w:fill="auto"/>
                    </w:rPr>
                  </w:pPr>
                  <w:r>
                    <w:rPr>
                      <w:rFonts w:ascii="Times New Roman" w:hAnsi="Times New Roman" w:eastAsia="宋体"/>
                      <w:snapToGrid w:val="0"/>
                      <w:color w:val="auto"/>
                      <w:kern w:val="0"/>
                      <w:sz w:val="21"/>
                      <w:szCs w:val="21"/>
                      <w:highlight w:val="none"/>
                      <w:u w:val="none"/>
                      <w:shd w:val="clear" w:color="auto" w:fill="auto"/>
                    </w:rPr>
                    <w:t>PM</w:t>
                  </w:r>
                  <w:r>
                    <w:rPr>
                      <w:rFonts w:ascii="Times New Roman" w:hAnsi="Times New Roman" w:eastAsia="宋体"/>
                      <w:snapToGrid w:val="0"/>
                      <w:color w:val="auto"/>
                      <w:kern w:val="0"/>
                      <w:sz w:val="21"/>
                      <w:szCs w:val="21"/>
                      <w:highlight w:val="none"/>
                      <w:u w:val="none"/>
                      <w:shd w:val="clear" w:color="auto" w:fill="auto"/>
                      <w:vertAlign w:val="subscript"/>
                    </w:rPr>
                    <w:t>2.5</w:t>
                  </w:r>
                </w:p>
              </w:tc>
              <w:tc>
                <w:tcPr>
                  <w:tcW w:w="1487" w:type="pct"/>
                  <w:vAlign w:val="center"/>
                </w:tcPr>
                <w:p w14:paraId="24F1E6B5">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Cs/>
                      <w:snapToGrid w:val="0"/>
                      <w:color w:val="auto"/>
                      <w:kern w:val="0"/>
                      <w:sz w:val="21"/>
                      <w:szCs w:val="21"/>
                      <w:highlight w:val="none"/>
                      <w:u w:val="none"/>
                      <w:shd w:val="clear" w:color="auto" w:fill="auto"/>
                    </w:rPr>
                  </w:pPr>
                  <w:r>
                    <w:rPr>
                      <w:rFonts w:ascii="Times New Roman" w:hAnsi="Times New Roman" w:eastAsia="宋体"/>
                      <w:bCs/>
                      <w:snapToGrid w:val="0"/>
                      <w:color w:val="auto"/>
                      <w:kern w:val="0"/>
                      <w:sz w:val="21"/>
                      <w:szCs w:val="21"/>
                      <w:highlight w:val="none"/>
                      <w:u w:val="none"/>
                      <w:shd w:val="clear" w:color="auto" w:fill="auto"/>
                    </w:rPr>
                    <w:t>年平均质量浓度</w:t>
                  </w:r>
                </w:p>
              </w:tc>
              <w:tc>
                <w:tcPr>
                  <w:tcW w:w="561" w:type="pct"/>
                  <w:vAlign w:val="center"/>
                </w:tcPr>
                <w:p w14:paraId="59B75E1C">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Cs/>
                      <w:snapToGrid w:val="0"/>
                      <w:color w:val="auto"/>
                      <w:kern w:val="0"/>
                      <w:sz w:val="21"/>
                      <w:szCs w:val="21"/>
                      <w:highlight w:val="none"/>
                      <w:u w:val="none"/>
                      <w:shd w:val="clear" w:color="auto" w:fill="auto"/>
                      <w:lang w:val="en-US" w:eastAsia="zh-CN"/>
                    </w:rPr>
                  </w:pPr>
                  <w:r>
                    <w:rPr>
                      <w:rFonts w:hint="eastAsia"/>
                      <w:bCs/>
                      <w:snapToGrid w:val="0"/>
                      <w:color w:val="auto"/>
                      <w:kern w:val="0"/>
                      <w:sz w:val="21"/>
                      <w:szCs w:val="21"/>
                      <w:highlight w:val="none"/>
                      <w:u w:val="none"/>
                      <w:shd w:val="clear" w:color="auto" w:fill="auto"/>
                      <w:lang w:val="en-US" w:eastAsia="zh-CN"/>
                    </w:rPr>
                    <w:t>27</w:t>
                  </w:r>
                </w:p>
              </w:tc>
              <w:tc>
                <w:tcPr>
                  <w:tcW w:w="841" w:type="pct"/>
                  <w:vAlign w:val="center"/>
                </w:tcPr>
                <w:p w14:paraId="54BB20DD">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Cs/>
                      <w:snapToGrid w:val="0"/>
                      <w:color w:val="auto"/>
                      <w:kern w:val="0"/>
                      <w:sz w:val="21"/>
                      <w:szCs w:val="21"/>
                      <w:highlight w:val="none"/>
                      <w:u w:val="none"/>
                      <w:shd w:val="clear" w:color="auto" w:fill="auto"/>
                      <w:lang w:val="en-US" w:eastAsia="zh-CN"/>
                    </w:rPr>
                  </w:pPr>
                  <w:r>
                    <w:rPr>
                      <w:rFonts w:hint="eastAsia"/>
                      <w:bCs/>
                      <w:snapToGrid w:val="0"/>
                      <w:color w:val="auto"/>
                      <w:kern w:val="0"/>
                      <w:sz w:val="21"/>
                      <w:szCs w:val="21"/>
                      <w:highlight w:val="none"/>
                      <w:u w:val="none"/>
                      <w:shd w:val="clear" w:color="auto" w:fill="auto"/>
                      <w:lang w:val="en-US" w:eastAsia="zh-CN"/>
                    </w:rPr>
                    <w:t>30</w:t>
                  </w:r>
                </w:p>
              </w:tc>
              <w:tc>
                <w:tcPr>
                  <w:tcW w:w="908" w:type="pct"/>
                  <w:vAlign w:val="center"/>
                </w:tcPr>
                <w:p w14:paraId="72139731">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Cs/>
                      <w:snapToGrid w:val="0"/>
                      <w:color w:val="auto"/>
                      <w:kern w:val="0"/>
                      <w:sz w:val="21"/>
                      <w:szCs w:val="21"/>
                      <w:highlight w:val="none"/>
                      <w:u w:val="none"/>
                      <w:shd w:val="clear" w:color="auto" w:fill="auto"/>
                      <w:lang w:val="en-US" w:eastAsia="zh-CN"/>
                    </w:rPr>
                  </w:pPr>
                  <w:r>
                    <w:rPr>
                      <w:rFonts w:hint="eastAsia" w:ascii="Times New Roman" w:hAnsi="Times New Roman" w:eastAsia="宋体"/>
                      <w:bCs/>
                      <w:snapToGrid w:val="0"/>
                      <w:color w:val="auto"/>
                      <w:kern w:val="0"/>
                      <w:sz w:val="21"/>
                      <w:szCs w:val="21"/>
                      <w:highlight w:val="none"/>
                      <w:u w:val="none"/>
                      <w:shd w:val="clear" w:color="auto" w:fill="auto"/>
                      <w:lang w:val="en-US" w:eastAsia="zh-CN"/>
                    </w:rPr>
                    <w:t xml:space="preserve">90.00 </w:t>
                  </w:r>
                </w:p>
              </w:tc>
              <w:tc>
                <w:tcPr>
                  <w:tcW w:w="498" w:type="pct"/>
                  <w:vAlign w:val="center"/>
                </w:tcPr>
                <w:p w14:paraId="2DC8D1C4">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Cs/>
                      <w:snapToGrid w:val="0"/>
                      <w:color w:val="auto"/>
                      <w:kern w:val="0"/>
                      <w:sz w:val="21"/>
                      <w:szCs w:val="21"/>
                      <w:highlight w:val="none"/>
                      <w:u w:val="none"/>
                      <w:shd w:val="clear" w:color="auto" w:fill="auto"/>
                      <w:lang w:val="en-US" w:eastAsia="zh-CN"/>
                    </w:rPr>
                  </w:pPr>
                  <w:r>
                    <w:rPr>
                      <w:rFonts w:hint="eastAsia"/>
                      <w:bCs/>
                      <w:snapToGrid w:val="0"/>
                      <w:color w:val="auto"/>
                      <w:kern w:val="0"/>
                      <w:sz w:val="21"/>
                      <w:szCs w:val="21"/>
                      <w:highlight w:val="none"/>
                      <w:u w:val="none"/>
                      <w:shd w:val="clear" w:color="auto" w:fill="auto"/>
                      <w:lang w:val="en-US" w:eastAsia="zh-CN"/>
                    </w:rPr>
                    <w:t>达标</w:t>
                  </w:r>
                </w:p>
              </w:tc>
            </w:tr>
            <w:tr w14:paraId="383E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7332E213">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snapToGrid w:val="0"/>
                      <w:color w:val="auto"/>
                      <w:kern w:val="0"/>
                      <w:sz w:val="21"/>
                      <w:szCs w:val="21"/>
                      <w:highlight w:val="none"/>
                      <w:u w:val="none"/>
                      <w:shd w:val="clear" w:color="auto" w:fill="auto"/>
                    </w:rPr>
                  </w:pPr>
                  <w:r>
                    <w:rPr>
                      <w:rFonts w:ascii="Times New Roman" w:hAnsi="Times New Roman" w:eastAsia="宋体"/>
                      <w:snapToGrid w:val="0"/>
                      <w:color w:val="auto"/>
                      <w:kern w:val="0"/>
                      <w:sz w:val="21"/>
                      <w:szCs w:val="21"/>
                      <w:highlight w:val="none"/>
                      <w:u w:val="none"/>
                      <w:shd w:val="clear" w:color="auto" w:fill="auto"/>
                    </w:rPr>
                    <w:t>CO</w:t>
                  </w:r>
                </w:p>
              </w:tc>
              <w:tc>
                <w:tcPr>
                  <w:tcW w:w="1487" w:type="pct"/>
                  <w:vAlign w:val="center"/>
                </w:tcPr>
                <w:p w14:paraId="13C46517">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Cs/>
                      <w:snapToGrid w:val="0"/>
                      <w:color w:val="auto"/>
                      <w:kern w:val="0"/>
                      <w:sz w:val="21"/>
                      <w:szCs w:val="21"/>
                      <w:highlight w:val="none"/>
                      <w:u w:val="none"/>
                      <w:shd w:val="clear" w:color="auto" w:fill="auto"/>
                    </w:rPr>
                  </w:pPr>
                  <w:r>
                    <w:rPr>
                      <w:rFonts w:hint="eastAsia" w:ascii="Times New Roman" w:hAnsi="Times New Roman" w:eastAsia="宋体"/>
                      <w:snapToGrid w:val="0"/>
                      <w:color w:val="auto"/>
                      <w:kern w:val="0"/>
                      <w:sz w:val="21"/>
                      <w:highlight w:val="none"/>
                      <w:u w:val="none"/>
                      <w:shd w:val="clear" w:color="auto" w:fill="auto"/>
                      <w:lang w:val="en-US" w:eastAsia="zh-CN"/>
                    </w:rPr>
                    <w:t>24小时平均浓度</w:t>
                  </w:r>
                </w:p>
              </w:tc>
              <w:tc>
                <w:tcPr>
                  <w:tcW w:w="561" w:type="pct"/>
                  <w:vAlign w:val="center"/>
                </w:tcPr>
                <w:p w14:paraId="01E22EF6">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Cs/>
                      <w:snapToGrid w:val="0"/>
                      <w:color w:val="auto"/>
                      <w:kern w:val="0"/>
                      <w:sz w:val="21"/>
                      <w:szCs w:val="21"/>
                      <w:highlight w:val="none"/>
                      <w:u w:val="none"/>
                      <w:shd w:val="clear" w:color="auto" w:fill="auto"/>
                      <w:lang w:val="en-US" w:eastAsia="zh-CN"/>
                    </w:rPr>
                  </w:pPr>
                  <w:r>
                    <w:rPr>
                      <w:rFonts w:hint="eastAsia"/>
                      <w:bCs/>
                      <w:snapToGrid w:val="0"/>
                      <w:color w:val="auto"/>
                      <w:kern w:val="0"/>
                      <w:sz w:val="21"/>
                      <w:szCs w:val="21"/>
                      <w:highlight w:val="none"/>
                      <w:u w:val="none"/>
                      <w:shd w:val="clear" w:color="auto" w:fill="auto"/>
                      <w:lang w:val="en-US" w:eastAsia="zh-CN"/>
                    </w:rPr>
                    <w:t>0.9</w:t>
                  </w:r>
                </w:p>
              </w:tc>
              <w:tc>
                <w:tcPr>
                  <w:tcW w:w="841" w:type="pct"/>
                  <w:vAlign w:val="center"/>
                </w:tcPr>
                <w:p w14:paraId="50992D99">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Cs/>
                      <w:snapToGrid w:val="0"/>
                      <w:color w:val="auto"/>
                      <w:kern w:val="0"/>
                      <w:sz w:val="21"/>
                      <w:szCs w:val="21"/>
                      <w:highlight w:val="none"/>
                      <w:u w:val="none"/>
                      <w:shd w:val="clear" w:color="auto" w:fill="auto"/>
                      <w:lang w:val="en-US" w:eastAsia="zh-CN"/>
                    </w:rPr>
                  </w:pPr>
                  <w:r>
                    <w:rPr>
                      <w:rFonts w:hint="eastAsia"/>
                      <w:bCs/>
                      <w:snapToGrid w:val="0"/>
                      <w:color w:val="auto"/>
                      <w:kern w:val="0"/>
                      <w:sz w:val="21"/>
                      <w:szCs w:val="21"/>
                      <w:highlight w:val="none"/>
                      <w:u w:val="none"/>
                      <w:shd w:val="clear" w:color="auto" w:fill="auto"/>
                      <w:lang w:val="en-US" w:eastAsia="zh-CN"/>
                    </w:rPr>
                    <w:t>4</w:t>
                  </w:r>
                </w:p>
              </w:tc>
              <w:tc>
                <w:tcPr>
                  <w:tcW w:w="908" w:type="pct"/>
                  <w:shd w:val="clear" w:color="auto" w:fill="auto"/>
                  <w:vAlign w:val="center"/>
                </w:tcPr>
                <w:p w14:paraId="0D9D2E35">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Cs/>
                      <w:snapToGrid w:val="0"/>
                      <w:color w:val="auto"/>
                      <w:kern w:val="0"/>
                      <w:sz w:val="21"/>
                      <w:szCs w:val="21"/>
                      <w:highlight w:val="none"/>
                      <w:u w:val="none"/>
                      <w:shd w:val="clear" w:color="auto" w:fill="auto"/>
                      <w:lang w:val="en-US" w:eastAsia="zh-CN"/>
                    </w:rPr>
                  </w:pPr>
                  <w:r>
                    <w:rPr>
                      <w:rFonts w:hint="eastAsia" w:ascii="Times New Roman" w:hAnsi="Times New Roman" w:eastAsia="宋体"/>
                      <w:bCs/>
                      <w:snapToGrid w:val="0"/>
                      <w:color w:val="auto"/>
                      <w:kern w:val="0"/>
                      <w:sz w:val="21"/>
                      <w:szCs w:val="21"/>
                      <w:highlight w:val="none"/>
                      <w:u w:val="none"/>
                      <w:shd w:val="clear" w:color="auto" w:fill="auto"/>
                      <w:lang w:val="en-US" w:eastAsia="zh-CN"/>
                    </w:rPr>
                    <w:t xml:space="preserve">22.50 </w:t>
                  </w:r>
                </w:p>
              </w:tc>
              <w:tc>
                <w:tcPr>
                  <w:tcW w:w="498" w:type="pct"/>
                  <w:vAlign w:val="center"/>
                </w:tcPr>
                <w:p w14:paraId="6C930C30">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Cs/>
                      <w:snapToGrid w:val="0"/>
                      <w:color w:val="auto"/>
                      <w:kern w:val="0"/>
                      <w:sz w:val="21"/>
                      <w:szCs w:val="21"/>
                      <w:highlight w:val="none"/>
                      <w:u w:val="none"/>
                      <w:shd w:val="clear" w:color="auto" w:fill="auto"/>
                    </w:rPr>
                  </w:pPr>
                  <w:r>
                    <w:rPr>
                      <w:rFonts w:ascii="Times New Roman" w:hAnsi="Times New Roman" w:eastAsia="宋体"/>
                      <w:bCs/>
                      <w:snapToGrid w:val="0"/>
                      <w:color w:val="auto"/>
                      <w:kern w:val="0"/>
                      <w:sz w:val="21"/>
                      <w:szCs w:val="21"/>
                      <w:highlight w:val="none"/>
                      <w:u w:val="none"/>
                      <w:shd w:val="clear" w:color="auto" w:fill="auto"/>
                    </w:rPr>
                    <w:t>达标</w:t>
                  </w:r>
                </w:p>
              </w:tc>
            </w:tr>
            <w:tr w14:paraId="204A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703" w:type="pct"/>
                  <w:vAlign w:val="center"/>
                </w:tcPr>
                <w:p w14:paraId="60725371">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snapToGrid w:val="0"/>
                      <w:color w:val="auto"/>
                      <w:kern w:val="0"/>
                      <w:sz w:val="21"/>
                      <w:szCs w:val="21"/>
                      <w:highlight w:val="none"/>
                      <w:u w:val="none"/>
                      <w:shd w:val="clear" w:color="auto" w:fill="auto"/>
                    </w:rPr>
                  </w:pPr>
                  <w:r>
                    <w:rPr>
                      <w:rFonts w:ascii="Times New Roman" w:hAnsi="Times New Roman" w:eastAsia="宋体"/>
                      <w:snapToGrid w:val="0"/>
                      <w:color w:val="auto"/>
                      <w:kern w:val="0"/>
                      <w:sz w:val="21"/>
                      <w:szCs w:val="21"/>
                      <w:highlight w:val="none"/>
                      <w:u w:val="none"/>
                      <w:shd w:val="clear" w:color="auto" w:fill="auto"/>
                    </w:rPr>
                    <w:t>O</w:t>
                  </w:r>
                  <w:r>
                    <w:rPr>
                      <w:rFonts w:ascii="Times New Roman" w:hAnsi="Times New Roman" w:eastAsia="宋体"/>
                      <w:snapToGrid w:val="0"/>
                      <w:color w:val="auto"/>
                      <w:kern w:val="0"/>
                      <w:sz w:val="21"/>
                      <w:szCs w:val="21"/>
                      <w:highlight w:val="none"/>
                      <w:u w:val="none"/>
                      <w:shd w:val="clear" w:color="auto" w:fill="auto"/>
                      <w:vertAlign w:val="subscript"/>
                    </w:rPr>
                    <w:t>3</w:t>
                  </w:r>
                </w:p>
              </w:tc>
              <w:tc>
                <w:tcPr>
                  <w:tcW w:w="1487" w:type="pct"/>
                  <w:vAlign w:val="center"/>
                </w:tcPr>
                <w:p w14:paraId="59E1550A">
                  <w:pPr>
                    <w:pStyle w:val="10"/>
                    <w:keepNext w:val="0"/>
                    <w:keepLines w:val="0"/>
                    <w:pageBreakBefore w:val="0"/>
                    <w:kinsoku/>
                    <w:wordWrap/>
                    <w:overflowPunct/>
                    <w:topLinePunct w:val="0"/>
                    <w:autoSpaceDE/>
                    <w:autoSpaceDN/>
                    <w:bidi w:val="0"/>
                    <w:adjustRightInd w:val="0"/>
                    <w:snapToGrid w:val="0"/>
                    <w:jc w:val="center"/>
                    <w:textAlignment w:val="auto"/>
                    <w:rPr>
                      <w:rFonts w:ascii="Times New Roman" w:hAnsi="Times New Roman" w:eastAsia="宋体"/>
                      <w:bCs/>
                      <w:snapToGrid w:val="0"/>
                      <w:color w:val="auto"/>
                      <w:kern w:val="0"/>
                      <w:sz w:val="21"/>
                      <w:szCs w:val="21"/>
                      <w:highlight w:val="none"/>
                      <w:u w:val="none"/>
                      <w:shd w:val="clear" w:color="auto" w:fill="auto"/>
                    </w:rPr>
                  </w:pPr>
                  <w:r>
                    <w:rPr>
                      <w:rFonts w:hint="eastAsia" w:ascii="Times New Roman" w:hAnsi="Times New Roman" w:eastAsia="宋体" w:cs="Times New Roman"/>
                      <w:snapToGrid w:val="0"/>
                      <w:color w:val="auto"/>
                      <w:kern w:val="0"/>
                      <w:sz w:val="21"/>
                      <w:szCs w:val="24"/>
                      <w:highlight w:val="none"/>
                      <w:u w:val="none"/>
                      <w:shd w:val="clear" w:color="auto" w:fill="auto"/>
                      <w:lang w:val="en-US" w:eastAsia="zh-CN" w:bidi="ar-SA"/>
                    </w:rPr>
                    <w:t>日最大8小时平均</w:t>
                  </w:r>
                </w:p>
              </w:tc>
              <w:tc>
                <w:tcPr>
                  <w:tcW w:w="561" w:type="pct"/>
                  <w:vAlign w:val="center"/>
                </w:tcPr>
                <w:p w14:paraId="3A8D0EF4">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Cs/>
                      <w:snapToGrid w:val="0"/>
                      <w:color w:val="auto"/>
                      <w:kern w:val="0"/>
                      <w:sz w:val="21"/>
                      <w:szCs w:val="21"/>
                      <w:highlight w:val="none"/>
                      <w:u w:val="none"/>
                      <w:shd w:val="clear" w:color="auto" w:fill="auto"/>
                      <w:lang w:val="en-US" w:eastAsia="zh-CN"/>
                    </w:rPr>
                  </w:pPr>
                  <w:r>
                    <w:rPr>
                      <w:rFonts w:hint="eastAsia"/>
                      <w:bCs/>
                      <w:snapToGrid w:val="0"/>
                      <w:color w:val="auto"/>
                      <w:kern w:val="0"/>
                      <w:sz w:val="21"/>
                      <w:szCs w:val="21"/>
                      <w:highlight w:val="none"/>
                      <w:u w:val="none"/>
                      <w:shd w:val="clear" w:color="auto" w:fill="auto"/>
                      <w:lang w:val="en-US" w:eastAsia="zh-CN"/>
                    </w:rPr>
                    <w:t>127</w:t>
                  </w:r>
                </w:p>
              </w:tc>
              <w:tc>
                <w:tcPr>
                  <w:tcW w:w="841" w:type="pct"/>
                  <w:vAlign w:val="center"/>
                </w:tcPr>
                <w:p w14:paraId="2EB00040">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Cs/>
                      <w:snapToGrid w:val="0"/>
                      <w:color w:val="auto"/>
                      <w:kern w:val="0"/>
                      <w:sz w:val="21"/>
                      <w:szCs w:val="21"/>
                      <w:highlight w:val="none"/>
                      <w:u w:val="none"/>
                      <w:shd w:val="clear" w:color="auto" w:fill="auto"/>
                      <w:lang w:val="en-US" w:eastAsia="zh-CN"/>
                    </w:rPr>
                  </w:pPr>
                  <w:r>
                    <w:rPr>
                      <w:rFonts w:hint="eastAsia"/>
                      <w:bCs/>
                      <w:snapToGrid w:val="0"/>
                      <w:color w:val="auto"/>
                      <w:kern w:val="0"/>
                      <w:sz w:val="21"/>
                      <w:szCs w:val="21"/>
                      <w:highlight w:val="none"/>
                      <w:u w:val="none"/>
                      <w:shd w:val="clear" w:color="auto" w:fill="auto"/>
                      <w:lang w:val="en-US" w:eastAsia="zh-CN"/>
                    </w:rPr>
                    <w:t>160</w:t>
                  </w:r>
                </w:p>
              </w:tc>
              <w:tc>
                <w:tcPr>
                  <w:tcW w:w="908" w:type="pct"/>
                  <w:shd w:val="clear" w:color="auto" w:fill="auto"/>
                  <w:vAlign w:val="center"/>
                </w:tcPr>
                <w:p w14:paraId="5E79453A">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Cs/>
                      <w:snapToGrid w:val="0"/>
                      <w:color w:val="auto"/>
                      <w:kern w:val="0"/>
                      <w:sz w:val="21"/>
                      <w:szCs w:val="21"/>
                      <w:highlight w:val="none"/>
                      <w:u w:val="none"/>
                      <w:shd w:val="clear" w:color="auto" w:fill="auto"/>
                      <w:lang w:val="en-US" w:eastAsia="zh-CN"/>
                    </w:rPr>
                  </w:pPr>
                  <w:r>
                    <w:rPr>
                      <w:rFonts w:hint="eastAsia" w:ascii="Times New Roman" w:hAnsi="Times New Roman" w:eastAsia="宋体"/>
                      <w:bCs/>
                      <w:snapToGrid w:val="0"/>
                      <w:color w:val="auto"/>
                      <w:kern w:val="0"/>
                      <w:sz w:val="21"/>
                      <w:szCs w:val="21"/>
                      <w:highlight w:val="none"/>
                      <w:u w:val="none"/>
                      <w:shd w:val="clear" w:color="auto" w:fill="auto"/>
                      <w:lang w:val="en-US" w:eastAsia="zh-CN"/>
                    </w:rPr>
                    <w:t xml:space="preserve">79.38 </w:t>
                  </w:r>
                </w:p>
              </w:tc>
              <w:tc>
                <w:tcPr>
                  <w:tcW w:w="498" w:type="pct"/>
                  <w:vAlign w:val="center"/>
                </w:tcPr>
                <w:p w14:paraId="0F75C83E">
                  <w:pPr>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Cs/>
                      <w:snapToGrid w:val="0"/>
                      <w:color w:val="auto"/>
                      <w:kern w:val="0"/>
                      <w:sz w:val="21"/>
                      <w:szCs w:val="21"/>
                      <w:highlight w:val="none"/>
                      <w:u w:val="none"/>
                      <w:shd w:val="clear" w:color="auto" w:fill="auto"/>
                    </w:rPr>
                  </w:pPr>
                  <w:r>
                    <w:rPr>
                      <w:rFonts w:ascii="Times New Roman" w:hAnsi="Times New Roman" w:eastAsia="宋体"/>
                      <w:bCs/>
                      <w:snapToGrid w:val="0"/>
                      <w:color w:val="auto"/>
                      <w:kern w:val="0"/>
                      <w:sz w:val="21"/>
                      <w:szCs w:val="21"/>
                      <w:highlight w:val="none"/>
                      <w:u w:val="none"/>
                      <w:shd w:val="clear" w:color="auto" w:fill="auto"/>
                    </w:rPr>
                    <w:t>达标</w:t>
                  </w:r>
                </w:p>
              </w:tc>
            </w:tr>
          </w:tbl>
          <w:p w14:paraId="4871CF4E">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textAlignment w:val="auto"/>
              <w:rPr>
                <w:rFonts w:hint="eastAsia" w:ascii="Times New Roman" w:hAnsi="Times New Roman" w:eastAsia="宋体"/>
                <w:snapToGrid w:val="0"/>
                <w:color w:val="auto"/>
                <w:kern w:val="0"/>
                <w:sz w:val="24"/>
                <w:u w:val="none"/>
                <w:lang w:eastAsia="zh-CN"/>
              </w:rPr>
            </w:pPr>
            <w:r>
              <w:rPr>
                <w:rFonts w:hint="eastAsia" w:ascii="Times New Roman" w:hAnsi="Times New Roman"/>
                <w:snapToGrid w:val="0"/>
                <w:color w:val="auto"/>
                <w:kern w:val="0"/>
                <w:sz w:val="24"/>
                <w:u w:val="none"/>
                <w:lang w:val="en-US" w:eastAsia="zh-CN"/>
              </w:rPr>
              <w:t>根据以上表格可知，</w:t>
            </w:r>
            <w:r>
              <w:rPr>
                <w:rFonts w:hint="eastAsia"/>
                <w:snapToGrid w:val="0"/>
                <w:color w:val="auto"/>
                <w:kern w:val="0"/>
                <w:sz w:val="24"/>
                <w:u w:val="none"/>
                <w:lang w:val="en-US" w:eastAsia="zh-CN"/>
              </w:rPr>
              <w:t>柳州市柳东新区</w:t>
            </w:r>
            <w:r>
              <w:rPr>
                <w:rFonts w:hint="eastAsia" w:ascii="Times New Roman" w:hAnsi="Times New Roman"/>
                <w:snapToGrid w:val="0"/>
                <w:color w:val="auto"/>
                <w:kern w:val="0"/>
                <w:sz w:val="24"/>
                <w:u w:val="none"/>
                <w:lang w:val="en-US" w:eastAsia="zh-CN"/>
              </w:rPr>
              <w:t>202</w:t>
            </w:r>
            <w:r>
              <w:rPr>
                <w:rFonts w:hint="eastAsia"/>
                <w:snapToGrid w:val="0"/>
                <w:color w:val="auto"/>
                <w:kern w:val="0"/>
                <w:sz w:val="24"/>
                <w:u w:val="none"/>
                <w:lang w:val="en-US" w:eastAsia="zh-CN"/>
              </w:rPr>
              <w:t>5</w:t>
            </w:r>
            <w:r>
              <w:rPr>
                <w:rFonts w:hint="eastAsia" w:ascii="Times New Roman" w:hAnsi="Times New Roman"/>
                <w:snapToGrid w:val="0"/>
                <w:color w:val="auto"/>
                <w:kern w:val="0"/>
                <w:sz w:val="24"/>
                <w:u w:val="none"/>
                <w:lang w:val="en-US" w:eastAsia="zh-CN"/>
              </w:rPr>
              <w:t>年环境空气质量</w:t>
            </w:r>
            <w:r>
              <w:rPr>
                <w:rFonts w:hint="eastAsia" w:ascii="Times New Roman" w:hAnsi="Times New Roman" w:eastAsia="宋体"/>
                <w:snapToGrid w:val="0"/>
                <w:color w:val="auto"/>
                <w:kern w:val="0"/>
                <w:sz w:val="24"/>
                <w:u w:val="none"/>
              </w:rPr>
              <w:t>属于达标区</w:t>
            </w:r>
            <w:r>
              <w:rPr>
                <w:rFonts w:hint="eastAsia" w:ascii="Times New Roman" w:hAnsi="Times New Roman" w:eastAsia="宋体"/>
                <w:snapToGrid w:val="0"/>
                <w:color w:val="auto"/>
                <w:kern w:val="0"/>
                <w:sz w:val="24"/>
                <w:u w:val="none"/>
                <w:lang w:eastAsia="zh-CN"/>
              </w:rPr>
              <w:t>，</w:t>
            </w:r>
            <w:r>
              <w:rPr>
                <w:rFonts w:hint="eastAsia" w:ascii="Times New Roman" w:hAnsi="Times New Roman" w:eastAsia="宋体"/>
                <w:snapToGrid w:val="0"/>
                <w:color w:val="auto"/>
                <w:kern w:val="0"/>
                <w:sz w:val="24"/>
                <w:u w:val="none"/>
                <w:lang w:val="en-US" w:eastAsia="zh-CN"/>
              </w:rPr>
              <w:t>能满足</w:t>
            </w:r>
            <w:r>
              <w:rPr>
                <w:rFonts w:hint="default" w:ascii="Times New Roman" w:hAnsi="Times New Roman" w:cs="Times New Roman"/>
                <w:color w:val="auto"/>
                <w:sz w:val="24"/>
                <w:highlight w:val="none"/>
                <w:lang w:val="en-US" w:eastAsia="zh-CN"/>
              </w:rPr>
              <w:t>《环境空气质量标准》（GB 3095</w:t>
            </w: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2026）</w:t>
            </w:r>
            <w:r>
              <w:rPr>
                <w:rFonts w:hint="eastAsia" w:ascii="Times New Roman" w:hAnsi="Times New Roman" w:cs="Times New Roman"/>
                <w:color w:val="auto"/>
                <w:sz w:val="24"/>
                <w:highlight w:val="none"/>
                <w:lang w:val="en-US" w:eastAsia="zh-CN"/>
              </w:rPr>
              <w:t>标准</w:t>
            </w:r>
            <w:r>
              <w:rPr>
                <w:rFonts w:hint="default" w:ascii="Times New Roman" w:hAnsi="Times New Roman" w:cs="Times New Roman"/>
                <w:color w:val="auto"/>
                <w:sz w:val="24"/>
                <w:highlight w:val="none"/>
                <w:lang w:val="en-US" w:eastAsia="zh-CN"/>
              </w:rPr>
              <w:t>浓度限值</w:t>
            </w:r>
            <w:r>
              <w:rPr>
                <w:rFonts w:hint="eastAsia" w:ascii="Times New Roman" w:hAnsi="Times New Roman" w:eastAsia="宋体"/>
                <w:snapToGrid w:val="0"/>
                <w:color w:val="auto"/>
                <w:kern w:val="0"/>
                <w:sz w:val="24"/>
                <w:u w:val="none"/>
                <w:lang w:eastAsia="zh-CN"/>
              </w:rPr>
              <w:t>。</w:t>
            </w:r>
          </w:p>
          <w:p w14:paraId="6CCD7744">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为进一步了解该项目所在区域环境空气质量状况，</w:t>
            </w:r>
            <w:r>
              <w:rPr>
                <w:rFonts w:hint="default" w:ascii="Times New Roman" w:hAnsi="Times New Roman" w:eastAsia="宋体" w:cs="Times New Roman"/>
                <w:color w:val="auto"/>
                <w:kern w:val="0"/>
                <w:sz w:val="24"/>
                <w:szCs w:val="20"/>
              </w:rPr>
              <w:t>本项目引用</w:t>
            </w:r>
            <w:r>
              <w:rPr>
                <w:rFonts w:hint="eastAsia" w:cs="Times New Roman"/>
                <w:color w:val="auto"/>
                <w:kern w:val="0"/>
                <w:sz w:val="24"/>
                <w:szCs w:val="20"/>
                <w:lang w:val="en-US" w:eastAsia="zh-CN"/>
              </w:rPr>
              <w:t>广西中赛检测技术有限公司出具的《广西万安汽车底盘系统有限公司汽车底盘模块化基地建设项目(扩建)环境空气质量现状检测》（中赛（环检）20240447 号）监测报告</w:t>
            </w:r>
            <w:r>
              <w:rPr>
                <w:rFonts w:hint="eastAsia" w:cs="Times New Roman"/>
                <w:color w:val="auto"/>
                <w:kern w:val="0"/>
                <w:sz w:val="24"/>
                <w:szCs w:val="20"/>
                <w:lang w:val="en-US" w:eastAsia="zh-CN"/>
              </w:rPr>
              <w:t>，</w:t>
            </w:r>
            <w:r>
              <w:rPr>
                <w:rFonts w:hint="eastAsia" w:cs="Times New Roman"/>
                <w:color w:val="auto"/>
                <w:kern w:val="0"/>
                <w:sz w:val="24"/>
                <w:szCs w:val="20"/>
                <w:lang w:val="en-US" w:eastAsia="zh-CN"/>
              </w:rPr>
              <w:t>该项目监测点位距离本项目西南4.11km，</w:t>
            </w:r>
            <w:r>
              <w:rPr>
                <w:rFonts w:hint="eastAsia" w:cs="Times New Roman"/>
                <w:color w:val="auto"/>
                <w:kern w:val="0"/>
                <w:sz w:val="24"/>
                <w:szCs w:val="20"/>
                <w:lang w:val="en-US" w:eastAsia="zh-CN"/>
              </w:rPr>
              <w:t>引用该监测报告</w:t>
            </w:r>
            <w:r>
              <w:rPr>
                <w:rFonts w:hint="default" w:ascii="Times New Roman" w:hAnsi="Times New Roman" w:eastAsia="宋体" w:cs="Times New Roman"/>
                <w:color w:val="auto"/>
                <w:kern w:val="0"/>
                <w:sz w:val="24"/>
                <w:szCs w:val="20"/>
              </w:rPr>
              <w:t>中</w:t>
            </w:r>
            <w:r>
              <w:rPr>
                <w:rFonts w:hint="eastAsia" w:cs="Times New Roman"/>
                <w:color w:val="auto"/>
                <w:kern w:val="0"/>
                <w:sz w:val="24"/>
                <w:szCs w:val="20"/>
                <w:lang w:eastAsia="zh-CN"/>
              </w:rPr>
              <w:t>非甲烷总烃、</w:t>
            </w:r>
            <w:r>
              <w:rPr>
                <w:rFonts w:hint="eastAsia" w:cs="Times New Roman"/>
                <w:color w:val="auto"/>
                <w:kern w:val="0"/>
                <w:sz w:val="24"/>
                <w:szCs w:val="20"/>
                <w:lang w:val="en-US" w:eastAsia="zh-CN"/>
              </w:rPr>
              <w:t>TSP</w:t>
            </w:r>
            <w:r>
              <w:rPr>
                <w:rFonts w:hint="default" w:ascii="Times New Roman" w:hAnsi="Times New Roman" w:eastAsia="宋体" w:cs="Times New Roman"/>
                <w:color w:val="auto"/>
                <w:kern w:val="0"/>
                <w:sz w:val="24"/>
                <w:szCs w:val="20"/>
              </w:rPr>
              <w:t>的监测数据</w:t>
            </w:r>
            <w:r>
              <w:rPr>
                <w:rFonts w:hint="eastAsia" w:cs="Times New Roman"/>
                <w:color w:val="auto"/>
                <w:kern w:val="0"/>
                <w:sz w:val="24"/>
                <w:szCs w:val="20"/>
                <w:lang w:eastAsia="zh-CN"/>
              </w:rPr>
              <w:t>，</w:t>
            </w:r>
            <w:r>
              <w:rPr>
                <w:rFonts w:hint="default" w:ascii="Times New Roman" w:hAnsi="Times New Roman" w:eastAsia="宋体" w:cs="Times New Roman"/>
                <w:color w:val="auto"/>
                <w:kern w:val="0"/>
                <w:sz w:val="24"/>
                <w:szCs w:val="20"/>
              </w:rPr>
              <w:t>监测时间为20</w:t>
            </w:r>
            <w:r>
              <w:rPr>
                <w:rFonts w:hint="eastAsia" w:ascii="Times New Roman" w:hAnsi="Times New Roman" w:eastAsia="宋体" w:cs="Times New Roman"/>
                <w:color w:val="auto"/>
                <w:kern w:val="0"/>
                <w:sz w:val="24"/>
                <w:szCs w:val="20"/>
                <w:lang w:val="en-US" w:eastAsia="zh-CN"/>
              </w:rPr>
              <w:t>2</w:t>
            </w:r>
            <w:r>
              <w:rPr>
                <w:rFonts w:hint="eastAsia" w:cs="Times New Roman"/>
                <w:color w:val="auto"/>
                <w:kern w:val="0"/>
                <w:sz w:val="24"/>
                <w:szCs w:val="20"/>
                <w:lang w:val="en-US" w:eastAsia="zh-CN"/>
              </w:rPr>
              <w:t>4</w:t>
            </w:r>
            <w:r>
              <w:rPr>
                <w:rFonts w:hint="default" w:ascii="Times New Roman" w:hAnsi="Times New Roman" w:eastAsia="宋体" w:cs="Times New Roman"/>
                <w:color w:val="auto"/>
                <w:kern w:val="0"/>
                <w:sz w:val="24"/>
                <w:szCs w:val="20"/>
              </w:rPr>
              <w:t>年</w:t>
            </w:r>
            <w:r>
              <w:rPr>
                <w:rFonts w:hint="eastAsia" w:cs="Times New Roman"/>
                <w:color w:val="auto"/>
                <w:kern w:val="0"/>
                <w:sz w:val="24"/>
                <w:szCs w:val="20"/>
                <w:lang w:val="en-US" w:eastAsia="zh-CN"/>
              </w:rPr>
              <w:t>9</w:t>
            </w:r>
            <w:r>
              <w:rPr>
                <w:rFonts w:hint="default" w:ascii="Times New Roman" w:hAnsi="Times New Roman" w:eastAsia="宋体" w:cs="Times New Roman"/>
                <w:color w:val="auto"/>
                <w:kern w:val="0"/>
                <w:sz w:val="24"/>
                <w:szCs w:val="20"/>
              </w:rPr>
              <w:t>月</w:t>
            </w:r>
            <w:r>
              <w:rPr>
                <w:rFonts w:hint="eastAsia" w:cs="Times New Roman"/>
                <w:color w:val="auto"/>
                <w:kern w:val="0"/>
                <w:sz w:val="24"/>
                <w:szCs w:val="20"/>
                <w:lang w:val="en-US" w:eastAsia="zh-CN"/>
              </w:rPr>
              <w:t>13</w:t>
            </w:r>
            <w:r>
              <w:rPr>
                <w:rFonts w:hint="default" w:ascii="Times New Roman" w:hAnsi="Times New Roman" w:eastAsia="宋体" w:cs="Times New Roman"/>
                <w:color w:val="auto"/>
                <w:kern w:val="0"/>
                <w:sz w:val="24"/>
                <w:szCs w:val="20"/>
              </w:rPr>
              <w:t>日</w:t>
            </w:r>
            <w:r>
              <w:rPr>
                <w:rFonts w:hint="eastAsia" w:cs="Times New Roman"/>
                <w:color w:val="auto"/>
                <w:kern w:val="0"/>
                <w:sz w:val="24"/>
                <w:szCs w:val="20"/>
                <w:lang w:eastAsia="zh-CN"/>
              </w:rPr>
              <w:t>—</w:t>
            </w:r>
            <w:r>
              <w:rPr>
                <w:rFonts w:hint="eastAsia" w:cs="Times New Roman"/>
                <w:color w:val="auto"/>
                <w:kern w:val="0"/>
                <w:sz w:val="24"/>
                <w:szCs w:val="20"/>
                <w:lang w:val="en-US" w:eastAsia="zh-CN"/>
              </w:rPr>
              <w:t>19</w:t>
            </w:r>
            <w:r>
              <w:rPr>
                <w:rFonts w:hint="default" w:ascii="Times New Roman" w:hAnsi="Times New Roman" w:eastAsia="宋体" w:cs="Times New Roman"/>
                <w:color w:val="auto"/>
                <w:kern w:val="0"/>
                <w:sz w:val="24"/>
                <w:szCs w:val="20"/>
              </w:rPr>
              <w:t>日</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具体监测结果见下表</w:t>
            </w:r>
            <w:r>
              <w:rPr>
                <w:rFonts w:hint="default" w:ascii="Times New Roman" w:hAnsi="Times New Roman" w:cs="Times New Roman"/>
                <w:color w:val="auto"/>
                <w:sz w:val="24"/>
                <w:highlight w:val="none"/>
              </w:rPr>
              <w:t>。</w:t>
            </w:r>
          </w:p>
          <w:p w14:paraId="2320EF83">
            <w:pPr>
              <w:widowControl/>
              <w:spacing w:line="500" w:lineRule="exact"/>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表3-</w:t>
            </w:r>
            <w:r>
              <w:rPr>
                <w:rFonts w:hint="default" w:ascii="Times New Roman" w:hAnsi="Times New Roman" w:cs="Times New Roman"/>
                <w:b/>
                <w:bCs/>
                <w:color w:val="auto"/>
                <w:sz w:val="24"/>
                <w:highlight w:val="none"/>
                <w:lang w:val="en-US" w:eastAsia="zh-CN"/>
              </w:rPr>
              <w:t>2</w:t>
            </w:r>
            <w:r>
              <w:rPr>
                <w:rFonts w:hint="default" w:ascii="Times New Roman" w:hAnsi="Times New Roman" w:cs="Times New Roman"/>
                <w:b/>
                <w:bCs/>
                <w:color w:val="auto"/>
                <w:kern w:val="0"/>
                <w:sz w:val="24"/>
                <w:highlight w:val="none"/>
                <w:lang w:bidi="ar"/>
              </w:rPr>
              <w:t>项目</w:t>
            </w:r>
            <w:r>
              <w:rPr>
                <w:rFonts w:hint="eastAsia" w:cs="Times New Roman"/>
                <w:b/>
                <w:bCs/>
                <w:color w:val="auto"/>
                <w:kern w:val="0"/>
                <w:sz w:val="24"/>
                <w:highlight w:val="none"/>
                <w:lang w:val="en-US" w:eastAsia="zh-CN" w:bidi="ar"/>
              </w:rPr>
              <w:t>周边</w:t>
            </w:r>
            <w:r>
              <w:rPr>
                <w:rFonts w:hint="default" w:ascii="Times New Roman" w:hAnsi="Times New Roman" w:cs="Times New Roman"/>
                <w:b/>
                <w:bCs/>
                <w:color w:val="auto"/>
                <w:kern w:val="0"/>
                <w:sz w:val="24"/>
                <w:highlight w:val="none"/>
                <w:lang w:bidi="ar"/>
              </w:rPr>
              <w:t>环境质量现状监测点位一览表</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293"/>
              <w:gridCol w:w="1966"/>
              <w:gridCol w:w="1552"/>
              <w:gridCol w:w="1174"/>
            </w:tblGrid>
            <w:tr w14:paraId="62F9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241" w:type="pct"/>
                  <w:tcBorders>
                    <w:tl2br w:val="nil"/>
                    <w:tr2bl w:val="nil"/>
                  </w:tcBorders>
                  <w:vAlign w:val="center"/>
                </w:tcPr>
                <w:p w14:paraId="3FC770C4">
                  <w:pPr>
                    <w:pStyle w:val="107"/>
                    <w:spacing w:beforeLines="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监测点位名称</w:t>
                  </w:r>
                </w:p>
              </w:tc>
              <w:tc>
                <w:tcPr>
                  <w:tcW w:w="812" w:type="pct"/>
                  <w:tcBorders>
                    <w:tl2br w:val="nil"/>
                    <w:tr2bl w:val="nil"/>
                  </w:tcBorders>
                  <w:vAlign w:val="center"/>
                </w:tcPr>
                <w:p w14:paraId="6552323C">
                  <w:pPr>
                    <w:pStyle w:val="107"/>
                    <w:spacing w:beforeLine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rPr>
                    <w:t>监测因子</w:t>
                  </w:r>
                </w:p>
              </w:tc>
              <w:tc>
                <w:tcPr>
                  <w:tcW w:w="1235" w:type="pct"/>
                  <w:tcBorders>
                    <w:tl2br w:val="nil"/>
                    <w:tr2bl w:val="nil"/>
                  </w:tcBorders>
                  <w:vAlign w:val="center"/>
                </w:tcPr>
                <w:p w14:paraId="27D46F87">
                  <w:pPr>
                    <w:pStyle w:val="107"/>
                    <w:spacing w:beforeLine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rPr>
                    <w:t>监测</w:t>
                  </w:r>
                  <w:r>
                    <w:rPr>
                      <w:rFonts w:hint="default" w:ascii="Times New Roman" w:hAnsi="Times New Roman" w:eastAsia="宋体" w:cs="Times New Roman"/>
                      <w:color w:val="auto"/>
                      <w:szCs w:val="21"/>
                      <w:highlight w:val="none"/>
                      <w:lang w:val="en-US" w:eastAsia="zh-CN"/>
                    </w:rPr>
                    <w:t>日期</w:t>
                  </w:r>
                </w:p>
              </w:tc>
              <w:tc>
                <w:tcPr>
                  <w:tcW w:w="975" w:type="pct"/>
                  <w:tcBorders>
                    <w:tl2br w:val="nil"/>
                    <w:tr2bl w:val="nil"/>
                  </w:tcBorders>
                  <w:vAlign w:val="center"/>
                </w:tcPr>
                <w:p w14:paraId="1EE60084">
                  <w:pPr>
                    <w:pStyle w:val="107"/>
                    <w:spacing w:beforeLines="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监测结果</w:t>
                  </w:r>
                </w:p>
              </w:tc>
              <w:tc>
                <w:tcPr>
                  <w:tcW w:w="735" w:type="pct"/>
                  <w:tcBorders>
                    <w:tl2br w:val="nil"/>
                    <w:tr2bl w:val="nil"/>
                  </w:tcBorders>
                  <w:vAlign w:val="center"/>
                </w:tcPr>
                <w:p w14:paraId="6A4E0859">
                  <w:pPr>
                    <w:pStyle w:val="107"/>
                    <w:spacing w:beforeLine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标准限值</w:t>
                  </w:r>
                </w:p>
              </w:tc>
            </w:tr>
            <w:tr w14:paraId="6E8F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76" w:type="dxa"/>
                  <w:vMerge w:val="restart"/>
                  <w:tcBorders>
                    <w:tl2br w:val="nil"/>
                    <w:tr2bl w:val="nil"/>
                  </w:tcBorders>
                  <w:vAlign w:val="center"/>
                </w:tcPr>
                <w:p w14:paraId="47B57C94">
                  <w:pPr>
                    <w:pStyle w:val="107"/>
                    <w:spacing w:beforeLines="0"/>
                    <w:jc w:val="center"/>
                    <w:rPr>
                      <w:rFonts w:hint="default" w:ascii="Times New Roman" w:hAnsi="Times New Roman" w:eastAsia="宋体" w:cs="Times New Roman"/>
                      <w:color w:val="auto"/>
                      <w:szCs w:val="21"/>
                      <w:highlight w:val="none"/>
                      <w:lang w:val="en-US" w:eastAsia="zh-CN"/>
                    </w:rPr>
                  </w:pPr>
                </w:p>
              </w:tc>
              <w:tc>
                <w:tcPr>
                  <w:tcW w:w="1293" w:type="dxa"/>
                  <w:tcBorders>
                    <w:tl2br w:val="nil"/>
                    <w:tr2bl w:val="nil"/>
                  </w:tcBorders>
                  <w:vAlign w:val="center"/>
                </w:tcPr>
                <w:p w14:paraId="71683D7F">
                  <w:pPr>
                    <w:widowControl/>
                    <w:jc w:val="center"/>
                    <w:rPr>
                      <w:rFonts w:hint="default" w:ascii="Times New Roman" w:hAnsi="Times New Roman" w:eastAsia="宋体" w:cs="Times New Roman"/>
                      <w:color w:val="auto"/>
                      <w:szCs w:val="21"/>
                      <w:highlight w:val="none"/>
                      <w:lang w:eastAsia="zh-CN"/>
                    </w:rPr>
                  </w:pPr>
                </w:p>
              </w:tc>
              <w:tc>
                <w:tcPr>
                  <w:tcW w:w="1966" w:type="dxa"/>
                  <w:vMerge w:val="restart"/>
                  <w:tcBorders>
                    <w:tl2br w:val="nil"/>
                    <w:tr2bl w:val="nil"/>
                  </w:tcBorders>
                  <w:vAlign w:val="center"/>
                </w:tcPr>
                <w:p w14:paraId="6D1D8C37">
                  <w:pPr>
                    <w:pStyle w:val="107"/>
                    <w:spacing w:beforeLines="0"/>
                    <w:jc w:val="center"/>
                    <w:rPr>
                      <w:rFonts w:hint="default" w:ascii="Times New Roman" w:hAnsi="Times New Roman" w:eastAsia="宋体" w:cs="Times New Roman"/>
                      <w:color w:val="auto"/>
                      <w:szCs w:val="21"/>
                      <w:highlight w:val="none"/>
                      <w:lang w:val="en-US"/>
                    </w:rPr>
                  </w:pPr>
                </w:p>
              </w:tc>
              <w:tc>
                <w:tcPr>
                  <w:tcW w:w="1552" w:type="dxa"/>
                  <w:tcBorders>
                    <w:tl2br w:val="nil"/>
                    <w:tr2bl w:val="nil"/>
                  </w:tcBorders>
                  <w:vAlign w:val="center"/>
                </w:tcPr>
                <w:p w14:paraId="11732FA4">
                  <w:pPr>
                    <w:pStyle w:val="107"/>
                    <w:spacing w:beforeLines="0"/>
                    <w:rPr>
                      <w:rFonts w:hint="default" w:ascii="Times New Roman" w:hAnsi="Times New Roman" w:eastAsia="宋体" w:cs="Times New Roman"/>
                      <w:color w:val="auto"/>
                      <w:szCs w:val="21"/>
                      <w:highlight w:val="none"/>
                      <w:lang w:val="en-US" w:eastAsia="zh-CN"/>
                    </w:rPr>
                  </w:pPr>
                </w:p>
              </w:tc>
              <w:tc>
                <w:tcPr>
                  <w:tcW w:w="735" w:type="pct"/>
                  <w:tcBorders>
                    <w:tl2br w:val="nil"/>
                    <w:tr2bl w:val="nil"/>
                  </w:tcBorders>
                  <w:vAlign w:val="center"/>
                </w:tcPr>
                <w:p w14:paraId="0B3BDE38">
                  <w:pPr>
                    <w:pStyle w:val="107"/>
                    <w:spacing w:beforeLines="0"/>
                    <w:rPr>
                      <w:rFonts w:hint="default" w:ascii="Times New Roman" w:hAnsi="Times New Roman" w:eastAsia="宋体" w:cs="Times New Roman"/>
                      <w:color w:val="auto"/>
                      <w:szCs w:val="21"/>
                      <w:highlight w:val="none"/>
                      <w:lang w:val="en-US" w:eastAsia="zh-CN"/>
                    </w:rPr>
                  </w:pPr>
                </w:p>
              </w:tc>
            </w:tr>
            <w:tr w14:paraId="2E4A9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76" w:type="dxa"/>
                  <w:vMerge w:val="continue"/>
                  <w:tcBorders>
                    <w:tl2br w:val="nil"/>
                    <w:tr2bl w:val="nil"/>
                  </w:tcBorders>
                  <w:vAlign w:val="center"/>
                </w:tcPr>
                <w:p w14:paraId="4078AC2C">
                  <w:pPr>
                    <w:pStyle w:val="107"/>
                    <w:spacing w:beforeLines="0"/>
                    <w:jc w:val="center"/>
                    <w:rPr>
                      <w:rFonts w:hint="default" w:ascii="Times New Roman" w:hAnsi="Times New Roman" w:eastAsia="宋体" w:cs="Times New Roman"/>
                      <w:color w:val="auto"/>
                      <w:szCs w:val="21"/>
                      <w:highlight w:val="none"/>
                      <w:lang w:val="en-US" w:eastAsia="zh-CN"/>
                    </w:rPr>
                  </w:pPr>
                </w:p>
              </w:tc>
              <w:tc>
                <w:tcPr>
                  <w:tcW w:w="1293" w:type="dxa"/>
                  <w:tcBorders>
                    <w:tl2br w:val="nil"/>
                    <w:tr2bl w:val="nil"/>
                  </w:tcBorders>
                  <w:vAlign w:val="center"/>
                </w:tcPr>
                <w:p w14:paraId="1DD1DC54">
                  <w:pPr>
                    <w:widowControl/>
                    <w:jc w:val="center"/>
                    <w:rPr>
                      <w:rFonts w:hint="default" w:ascii="Times New Roman" w:hAnsi="Times New Roman" w:cs="Times New Roman"/>
                      <w:color w:val="auto"/>
                      <w:szCs w:val="21"/>
                      <w:highlight w:val="none"/>
                      <w:lang w:val="en-US" w:eastAsia="zh-CN"/>
                    </w:rPr>
                  </w:pPr>
                </w:p>
              </w:tc>
              <w:tc>
                <w:tcPr>
                  <w:tcW w:w="1966" w:type="dxa"/>
                  <w:vMerge w:val="continue"/>
                  <w:tcBorders>
                    <w:tl2br w:val="nil"/>
                    <w:tr2bl w:val="nil"/>
                  </w:tcBorders>
                  <w:vAlign w:val="center"/>
                </w:tcPr>
                <w:p w14:paraId="15738A03">
                  <w:pPr>
                    <w:pStyle w:val="107"/>
                    <w:spacing w:beforeLines="0"/>
                    <w:jc w:val="center"/>
                    <w:rPr>
                      <w:rFonts w:hint="default" w:ascii="Times New Roman" w:hAnsi="Times New Roman" w:eastAsia="宋体" w:cs="Times New Roman"/>
                      <w:color w:val="auto"/>
                      <w:szCs w:val="21"/>
                      <w:highlight w:val="none"/>
                    </w:rPr>
                  </w:pPr>
                </w:p>
              </w:tc>
              <w:tc>
                <w:tcPr>
                  <w:tcW w:w="1552" w:type="dxa"/>
                  <w:tcBorders>
                    <w:tl2br w:val="nil"/>
                    <w:tr2bl w:val="nil"/>
                  </w:tcBorders>
                  <w:vAlign w:val="center"/>
                </w:tcPr>
                <w:p w14:paraId="5E046CED">
                  <w:pPr>
                    <w:pStyle w:val="107"/>
                    <w:spacing w:beforeLines="0"/>
                    <w:jc w:val="center"/>
                    <w:rPr>
                      <w:rFonts w:hint="eastAsia" w:ascii="Times New Roman" w:hAnsi="Times New Roman" w:eastAsia="宋体" w:cs="Times New Roman"/>
                      <w:color w:val="auto"/>
                      <w:szCs w:val="21"/>
                      <w:highlight w:val="none"/>
                      <w:lang w:val="en-US" w:eastAsia="zh-CN"/>
                    </w:rPr>
                  </w:pPr>
                </w:p>
              </w:tc>
              <w:tc>
                <w:tcPr>
                  <w:tcW w:w="735" w:type="pct"/>
                  <w:tcBorders>
                    <w:tl2br w:val="nil"/>
                    <w:tr2bl w:val="nil"/>
                  </w:tcBorders>
                  <w:vAlign w:val="center"/>
                </w:tcPr>
                <w:p w14:paraId="56A808EF">
                  <w:pPr>
                    <w:pStyle w:val="107"/>
                    <w:spacing w:beforeLines="0"/>
                    <w:rPr>
                      <w:rFonts w:hint="default" w:ascii="Times New Roman" w:hAnsi="Times New Roman" w:eastAsia="宋体" w:cs="Times New Roman"/>
                      <w:color w:val="auto"/>
                      <w:szCs w:val="21"/>
                      <w:highlight w:val="none"/>
                      <w:lang w:val="en-US" w:eastAsia="zh-CN"/>
                    </w:rPr>
                  </w:pPr>
                </w:p>
              </w:tc>
            </w:tr>
            <w:tr w14:paraId="546D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5"/>
                  <w:tcBorders>
                    <w:tl2br w:val="nil"/>
                    <w:tr2bl w:val="nil"/>
                  </w:tcBorders>
                  <w:vAlign w:val="center"/>
                </w:tcPr>
                <w:p w14:paraId="130CCA7F">
                  <w:pPr>
                    <w:pStyle w:val="107"/>
                    <w:spacing w:beforeLines="0"/>
                    <w:jc w:val="left"/>
                    <w:rPr>
                      <w:rFonts w:hint="default" w:eastAsia="宋体" w:cs="Times New Roman"/>
                      <w:color w:val="auto"/>
                      <w:szCs w:val="21"/>
                      <w:highlight w:val="none"/>
                      <w:lang w:val="en-US" w:eastAsia="zh-CN"/>
                    </w:rPr>
                  </w:pPr>
                  <w:r>
                    <w:rPr>
                      <w:rFonts w:hint="eastAsia" w:eastAsia="宋体" w:cs="Times New Roman"/>
                      <w:color w:val="auto"/>
                      <w:szCs w:val="21"/>
                      <w:highlight w:val="none"/>
                      <w:lang w:val="en-US" w:eastAsia="zh-CN"/>
                    </w:rPr>
                    <w:t>注：检测结果低于方法检出限时，结果以“ND”表示。</w:t>
                  </w:r>
                </w:p>
              </w:tc>
            </w:tr>
          </w:tbl>
          <w:p w14:paraId="526B47DD">
            <w:pPr>
              <w:pStyle w:val="3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00" w:lineRule="exact"/>
              <w:ind w:firstLine="480" w:firstLineChars="200"/>
              <w:jc w:val="both"/>
              <w:textAlignment w:val="auto"/>
              <w:rPr>
                <w:rFonts w:hint="default" w:ascii="Times New Roman" w:hAnsi="Times New Roman" w:eastAsia="宋体" w:cs="Times New Roman"/>
                <w:color w:val="auto"/>
                <w:kern w:val="0"/>
                <w:sz w:val="24"/>
                <w:szCs w:val="24"/>
                <w:highlight w:val="none"/>
                <w:u w:val="none"/>
                <w:shd w:val="clear" w:color="auto" w:fill="auto"/>
                <w:lang w:eastAsia="zh-CN"/>
              </w:rPr>
            </w:pPr>
            <w:r>
              <w:rPr>
                <w:rFonts w:hint="default" w:ascii="Times New Roman" w:hAnsi="Times New Roman" w:cs="Times New Roman"/>
                <w:color w:val="auto"/>
                <w:sz w:val="24"/>
                <w:highlight w:val="none"/>
              </w:rPr>
              <w:t>由</w:t>
            </w:r>
            <w:r>
              <w:rPr>
                <w:rFonts w:hint="default" w:ascii="Times New Roman" w:hAnsi="Times New Roman" w:cs="Times New Roman"/>
                <w:color w:val="auto"/>
                <w:sz w:val="24"/>
                <w:szCs w:val="24"/>
                <w:highlight w:val="none"/>
              </w:rPr>
              <w:t>监测结果可知，</w:t>
            </w:r>
            <w:r>
              <w:rPr>
                <w:rFonts w:hint="eastAsia" w:ascii="Times New Roman" w:hAnsi="Times New Roman" w:cs="Times New Roman"/>
                <w:color w:val="auto"/>
                <w:sz w:val="24"/>
                <w:szCs w:val="24"/>
                <w:highlight w:val="none"/>
                <w:lang w:val="en-US" w:eastAsia="zh-CN"/>
              </w:rPr>
              <w:t>项目区域</w:t>
            </w:r>
            <w:r>
              <w:rPr>
                <w:rFonts w:hint="default" w:ascii="Times New Roman" w:hAnsi="Times New Roman" w:cs="Times New Roman"/>
                <w:color w:val="auto"/>
                <w:sz w:val="24"/>
                <w:szCs w:val="24"/>
                <w:highlight w:val="none"/>
              </w:rPr>
              <w:t>监测因子</w:t>
            </w:r>
            <w:r>
              <w:rPr>
                <w:rFonts w:hint="default" w:ascii="Times New Roman" w:hAnsi="Times New Roman" w:cs="Times New Roman"/>
                <w:color w:val="auto"/>
                <w:sz w:val="24"/>
                <w:szCs w:val="24"/>
                <w:highlight w:val="none"/>
                <w:lang w:val="en-US" w:eastAsia="zh-CN"/>
              </w:rPr>
              <w:t>TSP浓度</w:t>
            </w:r>
            <w:r>
              <w:rPr>
                <w:rFonts w:hint="eastAsia" w:ascii="Times New Roman" w:hAnsi="Times New Roman" w:eastAsia="宋体"/>
                <w:snapToGrid w:val="0"/>
                <w:color w:val="auto"/>
                <w:kern w:val="0"/>
                <w:sz w:val="24"/>
                <w:szCs w:val="24"/>
                <w:u w:val="none"/>
                <w:lang w:val="en-US" w:eastAsia="zh-CN"/>
              </w:rPr>
              <w:t>能满足</w:t>
            </w:r>
            <w:r>
              <w:rPr>
                <w:rFonts w:hint="default" w:ascii="Times New Roman" w:hAnsi="Times New Roman" w:cs="Times New Roman"/>
                <w:color w:val="auto"/>
                <w:sz w:val="24"/>
                <w:szCs w:val="24"/>
                <w:highlight w:val="none"/>
                <w:lang w:val="en-US" w:eastAsia="zh-CN"/>
              </w:rPr>
              <w:t>《环境空气质量标准》（GB 3095</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2026）</w:t>
            </w:r>
            <w:r>
              <w:rPr>
                <w:rFonts w:hint="eastAsia" w:ascii="Times New Roman" w:hAnsi="Times New Roman" w:cs="Times New Roman"/>
                <w:color w:val="auto"/>
                <w:sz w:val="24"/>
                <w:szCs w:val="24"/>
                <w:highlight w:val="none"/>
                <w:lang w:val="en-US" w:eastAsia="zh-CN"/>
              </w:rPr>
              <w:t>标准</w:t>
            </w:r>
            <w:r>
              <w:rPr>
                <w:rFonts w:hint="default" w:ascii="Times New Roman" w:hAnsi="Times New Roman" w:cs="Times New Roman"/>
                <w:color w:val="auto"/>
                <w:sz w:val="24"/>
                <w:szCs w:val="24"/>
                <w:highlight w:val="none"/>
                <w:lang w:val="en-US" w:eastAsia="zh-CN"/>
              </w:rPr>
              <w:t>浓度限值</w:t>
            </w:r>
            <w:r>
              <w:rPr>
                <w:rFonts w:hint="eastAsia" w:ascii="Times New Roman" w:hAnsi="Times New Roman" w:cs="Times New Roman"/>
                <w:color w:val="auto"/>
                <w:sz w:val="24"/>
                <w:szCs w:val="24"/>
                <w:highlight w:val="none"/>
                <w:lang w:val="en-US" w:eastAsia="zh-CN"/>
              </w:rPr>
              <w:t>，</w:t>
            </w:r>
            <w:r>
              <w:rPr>
                <w:rFonts w:hint="eastAsia"/>
                <w:color w:val="auto"/>
                <w:sz w:val="24"/>
                <w:szCs w:val="24"/>
                <w:highlight w:val="none"/>
              </w:rPr>
              <w:t>非甲烷总烃满足参照执行的《大气污染物综合排放标准详解》中的浓度限值</w:t>
            </w:r>
            <w:r>
              <w:rPr>
                <w:rFonts w:hint="eastAsia"/>
                <w:color w:val="auto"/>
                <w:sz w:val="24"/>
                <w:szCs w:val="24"/>
                <w:highlight w:val="none"/>
                <w:lang w:eastAsia="zh-CN"/>
              </w:rPr>
              <w:t>要求</w:t>
            </w:r>
            <w:r>
              <w:rPr>
                <w:rFonts w:hint="default" w:ascii="Times New Roman" w:hAnsi="Times New Roman" w:cs="Times New Roman"/>
                <w:color w:val="auto"/>
                <w:kern w:val="0"/>
                <w:sz w:val="24"/>
                <w:szCs w:val="24"/>
                <w:highlight w:val="none"/>
                <w:u w:val="none"/>
                <w:shd w:val="clear" w:color="auto" w:fill="auto"/>
                <w:lang w:eastAsia="zh-CN"/>
              </w:rPr>
              <w:t>。</w:t>
            </w:r>
          </w:p>
          <w:p w14:paraId="4727C1B8">
            <w:pPr>
              <w:spacing w:line="500" w:lineRule="exact"/>
              <w:ind w:firstLine="482" w:firstLineChars="200"/>
              <w:rPr>
                <w:color w:val="auto"/>
                <w:sz w:val="24"/>
                <w:szCs w:val="24"/>
                <w:highlight w:val="none"/>
                <w:shd w:val="clear" w:color="auto" w:fill="auto"/>
              </w:rPr>
            </w:pPr>
            <w:r>
              <w:rPr>
                <w:rFonts w:hint="eastAsia"/>
                <w:b/>
                <w:bCs/>
                <w:color w:val="auto"/>
                <w:sz w:val="24"/>
                <w:szCs w:val="24"/>
                <w:highlight w:val="none"/>
                <w:shd w:val="clear" w:color="auto" w:fill="auto"/>
                <w:lang w:eastAsia="zh-CN"/>
              </w:rPr>
              <w:t>2.</w:t>
            </w:r>
            <w:r>
              <w:rPr>
                <w:b/>
                <w:bCs/>
                <w:color w:val="auto"/>
                <w:sz w:val="24"/>
                <w:szCs w:val="24"/>
                <w:highlight w:val="none"/>
                <w:shd w:val="clear" w:color="auto" w:fill="auto"/>
              </w:rPr>
              <w:t>地表水环境质量现状</w:t>
            </w:r>
            <w:bookmarkStart w:id="6" w:name="OLE_LINK7"/>
          </w:p>
          <w:bookmarkEnd w:id="6"/>
          <w:p w14:paraId="6327DBC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color w:val="auto"/>
                <w:sz w:val="24"/>
                <w:szCs w:val="24"/>
              </w:rPr>
            </w:pPr>
            <w:r>
              <w:rPr>
                <w:rFonts w:hint="eastAsia" w:ascii="Times New Roman" w:hAnsi="Times New Roman"/>
                <w:color w:val="auto"/>
                <w:sz w:val="24"/>
                <w:szCs w:val="24"/>
                <w:highlight w:val="none"/>
                <w:shd w:val="clear" w:color="auto" w:fill="auto"/>
                <w:lang w:val="en-US" w:eastAsia="zh-CN"/>
              </w:rPr>
              <w:t>项目位于柳州市柳东新区，项目周边最近的地表水体为西面1.8km的竹车河。</w:t>
            </w:r>
            <w:r>
              <w:rPr>
                <w:rFonts w:hint="eastAsia" w:ascii="Times New Roman" w:hAnsi="Times New Roman"/>
                <w:color w:val="auto"/>
                <w:sz w:val="24"/>
                <w:szCs w:val="24"/>
                <w:highlight w:val="none"/>
                <w:shd w:val="clear" w:color="auto" w:fill="auto"/>
              </w:rPr>
              <w:t>根据柳州市生态环境局网站公布《2025年10月柳州市地表水水质信息公开》，2025年10月，柳州市地表水水质优良。考核柳州市的10个国控断面水质优良比例为100%，3个断面均为I类水质，7个断面为I类水质。水质均达到相应考核目标要求，区域水环境水质良好</w:t>
            </w:r>
            <w:r>
              <w:rPr>
                <w:color w:val="auto"/>
                <w:sz w:val="24"/>
                <w:szCs w:val="24"/>
              </w:rPr>
              <w:t>。</w:t>
            </w:r>
          </w:p>
          <w:p w14:paraId="74DC2494">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b/>
                <w:bCs/>
                <w:color w:val="auto"/>
                <w:sz w:val="24"/>
              </w:rPr>
            </w:pPr>
            <w:r>
              <w:rPr>
                <w:rFonts w:hint="eastAsia"/>
                <w:b/>
                <w:bCs/>
                <w:color w:val="auto"/>
                <w:sz w:val="24"/>
              </w:rPr>
              <w:t>3.声环境</w:t>
            </w:r>
          </w:p>
          <w:p w14:paraId="52565A30">
            <w:pPr>
              <w:keepNext w:val="0"/>
              <w:keepLines w:val="0"/>
              <w:pageBreakBefore w:val="0"/>
              <w:widowControl w:val="0"/>
              <w:tabs>
                <w:tab w:val="right" w:pos="8777"/>
              </w:tabs>
              <w:kinsoku/>
              <w:wordWrap/>
              <w:overflowPunct/>
              <w:topLinePunct w:val="0"/>
              <w:autoSpaceDN/>
              <w:bidi w:val="0"/>
              <w:adjustRightInd w:val="0"/>
              <w:snapToGrid w:val="0"/>
              <w:spacing w:line="500" w:lineRule="exact"/>
              <w:ind w:firstLine="480" w:firstLineChars="200"/>
              <w:textAlignment w:val="auto"/>
              <w:rPr>
                <w:rFonts w:hint="eastAsia" w:ascii="Times New Roman" w:hAnsi="Times New Roman" w:eastAsia="宋体" w:cs="Times New Roman"/>
                <w:color w:val="auto"/>
                <w:sz w:val="24"/>
                <w:lang w:eastAsia="zh-CN"/>
              </w:rPr>
            </w:pPr>
            <w:r>
              <w:rPr>
                <w:color w:val="auto"/>
                <w:sz w:val="24"/>
                <w:highlight w:val="none"/>
                <w:shd w:val="clear" w:color="auto" w:fill="auto"/>
              </w:rPr>
              <w:t>项目周边50m范围内没有声环境敏感目标，根据《建设项目环境影响报告表编制技术指南（污染影响类）（试行）》，本次评价</w:t>
            </w:r>
            <w:r>
              <w:rPr>
                <w:rFonts w:hint="eastAsia"/>
                <w:color w:val="auto"/>
                <w:sz w:val="24"/>
                <w:highlight w:val="none"/>
                <w:shd w:val="clear" w:color="auto" w:fill="auto"/>
              </w:rPr>
              <w:t>无需</w:t>
            </w:r>
            <w:r>
              <w:rPr>
                <w:color w:val="auto"/>
                <w:sz w:val="24"/>
                <w:highlight w:val="none"/>
                <w:shd w:val="clear" w:color="auto" w:fill="auto"/>
              </w:rPr>
              <w:t>开展声环境敏感目标声环境质量现状监测</w:t>
            </w:r>
            <w:r>
              <w:rPr>
                <w:color w:val="auto"/>
                <w:sz w:val="24"/>
                <w:lang w:val="en-GB"/>
              </w:rPr>
              <w:t>。</w:t>
            </w:r>
          </w:p>
          <w:p w14:paraId="2296FD0A">
            <w:pPr>
              <w:pStyle w:val="37"/>
              <w:keepNext w:val="0"/>
              <w:keepLines w:val="0"/>
              <w:pageBreakBefore w:val="0"/>
              <w:widowControl w:val="0"/>
              <w:kinsoku/>
              <w:wordWrap/>
              <w:overflowPunct/>
              <w:topLinePunct w:val="0"/>
              <w:autoSpaceDE/>
              <w:autoSpaceDN/>
              <w:bidi w:val="0"/>
              <w:adjustRightInd/>
              <w:snapToGrid/>
              <w:spacing w:after="0" w:line="500" w:lineRule="exact"/>
              <w:ind w:left="0" w:leftChars="0"/>
              <w:jc w:val="left"/>
              <w:textAlignment w:val="auto"/>
              <w:rPr>
                <w:rFonts w:hint="default" w:ascii="Times New Roman" w:hAnsi="Times New Roman" w:eastAsia="宋体" w:cs="Times New Roman"/>
                <w:b/>
                <w:bCs/>
                <w:color w:val="auto"/>
                <w:sz w:val="24"/>
                <w:szCs w:val="24"/>
              </w:rPr>
            </w:pPr>
            <w:r>
              <w:rPr>
                <w:rFonts w:hint="eastAsia" w:cs="Times New Roman"/>
                <w:b/>
                <w:bCs/>
                <w:color w:val="auto"/>
                <w:sz w:val="24"/>
                <w:szCs w:val="24"/>
                <w:lang w:eastAsia="zh-CN"/>
              </w:rPr>
              <w:t>4.</w:t>
            </w:r>
            <w:r>
              <w:rPr>
                <w:rFonts w:hint="default" w:ascii="Times New Roman" w:hAnsi="Times New Roman" w:eastAsia="宋体" w:cs="Times New Roman"/>
                <w:b/>
                <w:bCs/>
                <w:color w:val="auto"/>
                <w:sz w:val="24"/>
                <w:szCs w:val="24"/>
              </w:rPr>
              <w:t>地下水环境、土壤环境</w:t>
            </w:r>
          </w:p>
          <w:p w14:paraId="73BED5C2">
            <w:pPr>
              <w:pStyle w:val="37"/>
              <w:keepNext w:val="0"/>
              <w:keepLines w:val="0"/>
              <w:pageBreakBefore w:val="0"/>
              <w:widowControl w:val="0"/>
              <w:kinsoku/>
              <w:wordWrap/>
              <w:overflowPunct/>
              <w:topLinePunct w:val="0"/>
              <w:autoSpaceDE/>
              <w:autoSpaceDN/>
              <w:bidi w:val="0"/>
              <w:adjustRightInd/>
              <w:snapToGrid/>
              <w:spacing w:after="0" w:line="500" w:lineRule="exact"/>
              <w:ind w:left="0" w:leftChars="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根据《建设项目环境影响报告表编制技术指南（污染影响类）（试行）》：地下水、土壤环境，原则上不开展环境质量现状调查。</w:t>
            </w:r>
          </w:p>
          <w:p w14:paraId="44BFA8CE">
            <w:pPr>
              <w:pStyle w:val="37"/>
              <w:keepNext w:val="0"/>
              <w:keepLines w:val="0"/>
              <w:pageBreakBefore w:val="0"/>
              <w:widowControl w:val="0"/>
              <w:kinsoku/>
              <w:wordWrap/>
              <w:overflowPunct/>
              <w:topLinePunct w:val="0"/>
              <w:autoSpaceDE/>
              <w:autoSpaceDN/>
              <w:bidi w:val="0"/>
              <w:adjustRightInd/>
              <w:snapToGrid/>
              <w:spacing w:after="0" w:line="500" w:lineRule="exact"/>
              <w:ind w:left="0" w:leftChars="0"/>
              <w:jc w:val="left"/>
              <w:textAlignment w:val="auto"/>
              <w:rPr>
                <w:rFonts w:hint="eastAsia"/>
                <w:color w:val="auto"/>
                <w:lang w:eastAsia="zh-CN"/>
              </w:rPr>
            </w:pPr>
            <w:r>
              <w:rPr>
                <w:rFonts w:hint="default" w:ascii="Times New Roman" w:hAnsi="Times New Roman" w:eastAsia="宋体" w:cs="Times New Roman"/>
                <w:color w:val="auto"/>
                <w:sz w:val="24"/>
                <w:szCs w:val="24"/>
              </w:rPr>
              <w:t>项目周边均为工业用地，土壤环境敏感程度为不敏感</w:t>
            </w:r>
            <w:r>
              <w:rPr>
                <w:rFonts w:hint="eastAsia" w:cs="Times New Roman"/>
                <w:color w:val="auto"/>
                <w:sz w:val="24"/>
                <w:szCs w:val="24"/>
                <w:lang w:eastAsia="zh-CN"/>
              </w:rPr>
              <w:t>，本项目生产地面</w:t>
            </w:r>
            <w:r>
              <w:rPr>
                <w:rFonts w:hint="eastAsia" w:cs="Times New Roman"/>
                <w:color w:val="auto"/>
                <w:sz w:val="24"/>
                <w:szCs w:val="24"/>
                <w:lang w:val="en-US" w:eastAsia="zh-CN"/>
              </w:rPr>
              <w:t>已</w:t>
            </w:r>
            <w:r>
              <w:rPr>
                <w:rFonts w:hint="eastAsia" w:cs="Times New Roman"/>
                <w:color w:val="auto"/>
                <w:sz w:val="24"/>
                <w:szCs w:val="24"/>
                <w:lang w:eastAsia="zh-CN"/>
              </w:rPr>
              <w:t>进行水泥硬化处理，</w:t>
            </w:r>
            <w:r>
              <w:rPr>
                <w:rFonts w:hint="eastAsia" w:cs="Times New Roman"/>
                <w:color w:val="auto"/>
                <w:sz w:val="24"/>
                <w:szCs w:val="24"/>
                <w:lang w:val="en-US" w:eastAsia="zh-CN"/>
              </w:rPr>
              <w:t>污水处理设备及污水管网均采取防渗防漏措施</w:t>
            </w:r>
            <w:r>
              <w:rPr>
                <w:rFonts w:hint="eastAsia" w:cs="Times New Roman"/>
                <w:color w:val="auto"/>
                <w:sz w:val="24"/>
                <w:szCs w:val="24"/>
                <w:lang w:eastAsia="zh-CN"/>
              </w:rPr>
              <w:t>，本项目排放主要污染物为颗粒物、二氧化硫、氮氧化物及非甲烷总烃，废气经收集处理后达标排放，不存在土壤、地下水环境污染途径</w:t>
            </w:r>
            <w:r>
              <w:rPr>
                <w:rFonts w:hint="default" w:ascii="Times New Roman" w:hAnsi="Times New Roman" w:eastAsia="宋体" w:cs="Times New Roman"/>
                <w:color w:val="auto"/>
                <w:sz w:val="24"/>
                <w:szCs w:val="24"/>
              </w:rPr>
              <w:t>，且本项目厂界外500m范围未发现地下水集中式饮用水水源和热水、矿泉水、温泉等特殊地下水保护目标，因此，项目不开展地下水、土壤环境质量现状调查。</w:t>
            </w:r>
          </w:p>
        </w:tc>
      </w:tr>
      <w:tr w14:paraId="52A2EF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79" w:hRule="atLeast"/>
          <w:jc w:val="center"/>
        </w:trPr>
        <w:tc>
          <w:tcPr>
            <w:tcW w:w="800" w:type="dxa"/>
            <w:noWrap w:val="0"/>
            <w:vAlign w:val="center"/>
          </w:tcPr>
          <w:p w14:paraId="6CD85046">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环境</w:t>
            </w:r>
          </w:p>
          <w:p w14:paraId="57D857A3">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保护</w:t>
            </w:r>
          </w:p>
          <w:p w14:paraId="2FB89F6D">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目标</w:t>
            </w:r>
          </w:p>
        </w:tc>
        <w:tc>
          <w:tcPr>
            <w:tcW w:w="8190" w:type="dxa"/>
            <w:noWrap w:val="0"/>
            <w:vAlign w:val="center"/>
          </w:tcPr>
          <w:p w14:paraId="42AF2294">
            <w:pPr>
              <w:spacing w:line="500" w:lineRule="exact"/>
              <w:ind w:firstLine="480" w:firstLineChars="200"/>
              <w:rPr>
                <w:color w:val="auto"/>
                <w:kern w:val="0"/>
                <w:highlight w:val="none"/>
              </w:rPr>
            </w:pPr>
            <w:r>
              <w:rPr>
                <w:rFonts w:hint="eastAsia" w:cs="Times New Roman"/>
                <w:color w:val="auto"/>
                <w:sz w:val="24"/>
                <w:szCs w:val="24"/>
                <w:lang w:val="en-US" w:eastAsia="zh-CN"/>
              </w:rPr>
              <w:t>项目位于广西壮族自治区柳州市雒容镇秀水二路一号三号厂房1层及二号厂房1层东3跨部分、东4跨部分的厂房，</w:t>
            </w:r>
            <w:r>
              <w:rPr>
                <w:rFonts w:hint="eastAsia"/>
                <w:color w:val="auto"/>
                <w:sz w:val="24"/>
                <w:highlight w:val="none"/>
              </w:rPr>
              <w:t>项目</w:t>
            </w:r>
            <w:r>
              <w:rPr>
                <w:rFonts w:hint="eastAsia"/>
                <w:color w:val="auto"/>
                <w:sz w:val="24"/>
                <w:highlight w:val="none"/>
                <w:lang w:eastAsia="zh-CN"/>
              </w:rPr>
              <w:t>厂</w:t>
            </w:r>
            <w:r>
              <w:rPr>
                <w:rFonts w:hint="eastAsia"/>
                <w:color w:val="auto"/>
                <w:sz w:val="24"/>
                <w:highlight w:val="none"/>
              </w:rPr>
              <w:t>界外500m范围内主要环境保护目标见表</w:t>
            </w:r>
            <w:r>
              <w:rPr>
                <w:color w:val="auto"/>
                <w:sz w:val="24"/>
                <w:highlight w:val="none"/>
              </w:rPr>
              <w:t>3-</w:t>
            </w:r>
            <w:r>
              <w:rPr>
                <w:rFonts w:hint="eastAsia"/>
                <w:color w:val="auto"/>
                <w:sz w:val="24"/>
                <w:highlight w:val="none"/>
                <w:lang w:val="en-US" w:eastAsia="zh-CN"/>
              </w:rPr>
              <w:t>3</w:t>
            </w:r>
            <w:r>
              <w:rPr>
                <w:color w:val="auto"/>
                <w:sz w:val="24"/>
                <w:highlight w:val="none"/>
              </w:rPr>
              <w:t>。</w:t>
            </w:r>
          </w:p>
          <w:p w14:paraId="63DADA4C">
            <w:pPr>
              <w:spacing w:line="500" w:lineRule="exact"/>
              <w:jc w:val="center"/>
              <w:rPr>
                <w:b/>
                <w:color w:val="auto"/>
                <w:highlight w:val="none"/>
              </w:rPr>
            </w:pPr>
            <w:r>
              <w:rPr>
                <w:b/>
                <w:color w:val="auto"/>
                <w:sz w:val="24"/>
                <w:highlight w:val="none"/>
              </w:rPr>
              <w:t>表3-</w:t>
            </w:r>
            <w:r>
              <w:rPr>
                <w:rFonts w:hint="eastAsia"/>
                <w:b/>
                <w:color w:val="auto"/>
                <w:sz w:val="24"/>
                <w:highlight w:val="none"/>
                <w:lang w:val="en-US" w:eastAsia="zh-CN"/>
              </w:rPr>
              <w:t>3</w:t>
            </w:r>
            <w:r>
              <w:rPr>
                <w:b/>
                <w:color w:val="auto"/>
                <w:sz w:val="24"/>
                <w:highlight w:val="none"/>
              </w:rPr>
              <w:t>主要环境保护目标</w:t>
            </w:r>
          </w:p>
          <w:tbl>
            <w:tblPr>
              <w:tblStyle w:val="3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744"/>
              <w:gridCol w:w="1139"/>
              <w:gridCol w:w="900"/>
              <w:gridCol w:w="1257"/>
              <w:gridCol w:w="1846"/>
            </w:tblGrid>
            <w:tr w14:paraId="4B2D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pct"/>
                  <w:tcBorders>
                    <w:tl2br w:val="nil"/>
                    <w:tr2bl w:val="nil"/>
                  </w:tcBorders>
                  <w:noWrap w:val="0"/>
                  <w:vAlign w:val="center"/>
                </w:tcPr>
                <w:p w14:paraId="7131DA97">
                  <w:pPr>
                    <w:spacing w:line="300" w:lineRule="exact"/>
                    <w:jc w:val="center"/>
                    <w:rPr>
                      <w:color w:val="auto"/>
                      <w:kern w:val="0"/>
                      <w:szCs w:val="21"/>
                      <w:highlight w:val="none"/>
                    </w:rPr>
                  </w:pPr>
                  <w:r>
                    <w:rPr>
                      <w:color w:val="auto"/>
                      <w:kern w:val="0"/>
                      <w:szCs w:val="21"/>
                      <w:highlight w:val="none"/>
                    </w:rPr>
                    <w:t>环境要素</w:t>
                  </w:r>
                </w:p>
              </w:tc>
              <w:tc>
                <w:tcPr>
                  <w:tcW w:w="1095" w:type="pct"/>
                  <w:tcBorders>
                    <w:tl2br w:val="nil"/>
                    <w:tr2bl w:val="nil"/>
                  </w:tcBorders>
                  <w:noWrap w:val="0"/>
                  <w:vAlign w:val="center"/>
                </w:tcPr>
                <w:p w14:paraId="60D2A683">
                  <w:pPr>
                    <w:spacing w:line="300" w:lineRule="exact"/>
                    <w:jc w:val="center"/>
                    <w:rPr>
                      <w:rFonts w:hint="eastAsia"/>
                      <w:color w:val="auto"/>
                      <w:kern w:val="0"/>
                      <w:szCs w:val="21"/>
                      <w:highlight w:val="none"/>
                    </w:rPr>
                  </w:pPr>
                  <w:r>
                    <w:rPr>
                      <w:rFonts w:hint="eastAsia"/>
                      <w:color w:val="auto"/>
                      <w:kern w:val="0"/>
                      <w:szCs w:val="21"/>
                      <w:highlight w:val="none"/>
                    </w:rPr>
                    <w:t>保护范围</w:t>
                  </w:r>
                </w:p>
              </w:tc>
              <w:tc>
                <w:tcPr>
                  <w:tcW w:w="715" w:type="pct"/>
                  <w:tcBorders>
                    <w:tl2br w:val="nil"/>
                    <w:tr2bl w:val="nil"/>
                  </w:tcBorders>
                  <w:noWrap w:val="0"/>
                  <w:vAlign w:val="center"/>
                </w:tcPr>
                <w:p w14:paraId="3D349B31">
                  <w:pPr>
                    <w:spacing w:line="300" w:lineRule="exact"/>
                    <w:jc w:val="center"/>
                    <w:rPr>
                      <w:color w:val="auto"/>
                      <w:kern w:val="0"/>
                      <w:szCs w:val="21"/>
                      <w:highlight w:val="none"/>
                    </w:rPr>
                  </w:pPr>
                  <w:r>
                    <w:rPr>
                      <w:color w:val="auto"/>
                      <w:kern w:val="0"/>
                      <w:szCs w:val="21"/>
                      <w:highlight w:val="none"/>
                    </w:rPr>
                    <w:t>保护对象</w:t>
                  </w:r>
                </w:p>
              </w:tc>
              <w:tc>
                <w:tcPr>
                  <w:tcW w:w="565" w:type="pct"/>
                  <w:tcBorders>
                    <w:tl2br w:val="nil"/>
                    <w:tr2bl w:val="nil"/>
                  </w:tcBorders>
                  <w:noWrap w:val="0"/>
                  <w:vAlign w:val="center"/>
                </w:tcPr>
                <w:p w14:paraId="41B5A894">
                  <w:pPr>
                    <w:spacing w:line="300" w:lineRule="exact"/>
                    <w:jc w:val="center"/>
                    <w:rPr>
                      <w:rFonts w:hint="eastAsia"/>
                      <w:color w:val="auto"/>
                      <w:kern w:val="0"/>
                      <w:szCs w:val="21"/>
                      <w:highlight w:val="none"/>
                    </w:rPr>
                  </w:pPr>
                  <w:r>
                    <w:rPr>
                      <w:rFonts w:hint="eastAsia"/>
                      <w:color w:val="auto"/>
                      <w:kern w:val="0"/>
                      <w:szCs w:val="21"/>
                      <w:highlight w:val="none"/>
                    </w:rPr>
                    <w:t>性质</w:t>
                  </w:r>
                </w:p>
              </w:tc>
              <w:tc>
                <w:tcPr>
                  <w:tcW w:w="789" w:type="pct"/>
                  <w:tcBorders>
                    <w:tl2br w:val="nil"/>
                    <w:tr2bl w:val="nil"/>
                  </w:tcBorders>
                  <w:noWrap w:val="0"/>
                  <w:vAlign w:val="center"/>
                </w:tcPr>
                <w:p w14:paraId="70E9B022">
                  <w:pPr>
                    <w:spacing w:line="300" w:lineRule="exact"/>
                    <w:jc w:val="center"/>
                    <w:rPr>
                      <w:color w:val="auto"/>
                      <w:kern w:val="0"/>
                      <w:szCs w:val="21"/>
                      <w:highlight w:val="none"/>
                    </w:rPr>
                  </w:pPr>
                  <w:r>
                    <w:rPr>
                      <w:color w:val="auto"/>
                      <w:kern w:val="0"/>
                      <w:szCs w:val="21"/>
                      <w:highlight w:val="none"/>
                    </w:rPr>
                    <w:t>方位</w:t>
                  </w:r>
                  <w:r>
                    <w:rPr>
                      <w:rFonts w:hint="eastAsia"/>
                      <w:color w:val="auto"/>
                      <w:kern w:val="0"/>
                      <w:szCs w:val="21"/>
                      <w:highlight w:val="none"/>
                    </w:rPr>
                    <w:t>/本项目</w:t>
                  </w:r>
                  <w:r>
                    <w:rPr>
                      <w:color w:val="auto"/>
                      <w:kern w:val="0"/>
                      <w:szCs w:val="21"/>
                      <w:highlight w:val="none"/>
                    </w:rPr>
                    <w:t>距离（m）</w:t>
                  </w:r>
                </w:p>
              </w:tc>
              <w:tc>
                <w:tcPr>
                  <w:tcW w:w="1159" w:type="pct"/>
                  <w:tcBorders>
                    <w:tl2br w:val="nil"/>
                    <w:tr2bl w:val="nil"/>
                  </w:tcBorders>
                  <w:noWrap w:val="0"/>
                  <w:vAlign w:val="center"/>
                </w:tcPr>
                <w:p w14:paraId="4CE1188E">
                  <w:pPr>
                    <w:spacing w:line="300" w:lineRule="exact"/>
                    <w:jc w:val="center"/>
                    <w:rPr>
                      <w:color w:val="auto"/>
                      <w:kern w:val="0"/>
                      <w:szCs w:val="21"/>
                      <w:highlight w:val="none"/>
                    </w:rPr>
                  </w:pPr>
                  <w:r>
                    <w:rPr>
                      <w:color w:val="auto"/>
                      <w:kern w:val="0"/>
                      <w:szCs w:val="21"/>
                      <w:highlight w:val="none"/>
                    </w:rPr>
                    <w:t>保护目标</w:t>
                  </w:r>
                </w:p>
              </w:tc>
            </w:tr>
            <w:tr w14:paraId="1B46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pct"/>
                  <w:tcBorders>
                    <w:tl2br w:val="nil"/>
                    <w:tr2bl w:val="nil"/>
                  </w:tcBorders>
                  <w:noWrap w:val="0"/>
                  <w:vAlign w:val="center"/>
                </w:tcPr>
                <w:p w14:paraId="67F9D356">
                  <w:pPr>
                    <w:spacing w:line="300" w:lineRule="exact"/>
                    <w:jc w:val="center"/>
                    <w:rPr>
                      <w:color w:val="auto"/>
                      <w:kern w:val="0"/>
                      <w:szCs w:val="21"/>
                      <w:highlight w:val="none"/>
                    </w:rPr>
                  </w:pPr>
                  <w:r>
                    <w:rPr>
                      <w:color w:val="auto"/>
                      <w:kern w:val="0"/>
                      <w:szCs w:val="21"/>
                      <w:highlight w:val="none"/>
                    </w:rPr>
                    <w:t>环境</w:t>
                  </w:r>
                </w:p>
                <w:p w14:paraId="78E84E8B">
                  <w:pPr>
                    <w:spacing w:line="300" w:lineRule="exact"/>
                    <w:jc w:val="center"/>
                    <w:rPr>
                      <w:rFonts w:hint="eastAsia"/>
                      <w:color w:val="auto"/>
                      <w:kern w:val="0"/>
                      <w:szCs w:val="21"/>
                      <w:highlight w:val="none"/>
                    </w:rPr>
                  </w:pPr>
                  <w:r>
                    <w:rPr>
                      <w:color w:val="auto"/>
                      <w:kern w:val="0"/>
                      <w:szCs w:val="21"/>
                      <w:highlight w:val="none"/>
                    </w:rPr>
                    <w:t>空气</w:t>
                  </w:r>
                </w:p>
              </w:tc>
              <w:tc>
                <w:tcPr>
                  <w:tcW w:w="1095" w:type="pct"/>
                  <w:tcBorders>
                    <w:tl2br w:val="nil"/>
                    <w:tr2bl w:val="nil"/>
                  </w:tcBorders>
                  <w:noWrap w:val="0"/>
                  <w:vAlign w:val="center"/>
                </w:tcPr>
                <w:p w14:paraId="0CF4FCE7">
                  <w:pPr>
                    <w:spacing w:line="300" w:lineRule="exact"/>
                    <w:rPr>
                      <w:color w:val="auto"/>
                      <w:kern w:val="0"/>
                      <w:szCs w:val="21"/>
                      <w:highlight w:val="none"/>
                    </w:rPr>
                  </w:pPr>
                  <w:r>
                    <w:rPr>
                      <w:color w:val="auto"/>
                      <w:kern w:val="0"/>
                      <w:szCs w:val="21"/>
                      <w:highlight w:val="none"/>
                    </w:rPr>
                    <w:t>厂界外500米范围内的自然保护区、风景名胜区、居住区、文化区和农村地区中人群较集中的区域</w:t>
                  </w:r>
                </w:p>
              </w:tc>
              <w:tc>
                <w:tcPr>
                  <w:tcW w:w="715" w:type="pct"/>
                  <w:tcBorders>
                    <w:tl2br w:val="nil"/>
                    <w:tr2bl w:val="nil"/>
                  </w:tcBorders>
                  <w:noWrap w:val="0"/>
                  <w:vAlign w:val="center"/>
                </w:tcPr>
                <w:p w14:paraId="0AAC13A7">
                  <w:pPr>
                    <w:pStyle w:val="93"/>
                    <w:spacing w:line="300" w:lineRule="exact"/>
                    <w:rPr>
                      <w:rFonts w:hint="default" w:eastAsia="宋体"/>
                      <w:color w:val="auto"/>
                      <w:sz w:val="21"/>
                      <w:szCs w:val="21"/>
                      <w:highlight w:val="none"/>
                      <w:lang w:val="en-US" w:eastAsia="zh-CN"/>
                    </w:rPr>
                  </w:pPr>
                  <w:r>
                    <w:rPr>
                      <w:rFonts w:hint="default" w:eastAsia="宋体"/>
                      <w:color w:val="auto"/>
                      <w:sz w:val="21"/>
                      <w:szCs w:val="21"/>
                      <w:highlight w:val="none"/>
                      <w:lang w:val="en-US" w:eastAsia="zh-CN"/>
                    </w:rPr>
                    <w:t>满榄</w:t>
                  </w:r>
                  <w:r>
                    <w:rPr>
                      <w:rFonts w:hint="eastAsia" w:eastAsia="宋体"/>
                      <w:color w:val="auto"/>
                      <w:sz w:val="21"/>
                      <w:szCs w:val="21"/>
                      <w:highlight w:val="none"/>
                      <w:lang w:val="en-US" w:eastAsia="zh-CN"/>
                    </w:rPr>
                    <w:t>村</w:t>
                  </w:r>
                </w:p>
              </w:tc>
              <w:tc>
                <w:tcPr>
                  <w:tcW w:w="565" w:type="pct"/>
                  <w:tcBorders>
                    <w:tl2br w:val="nil"/>
                    <w:tr2bl w:val="nil"/>
                  </w:tcBorders>
                  <w:noWrap w:val="0"/>
                  <w:vAlign w:val="center"/>
                </w:tcPr>
                <w:p w14:paraId="329ED625">
                  <w:pPr>
                    <w:pStyle w:val="93"/>
                    <w:spacing w:line="300" w:lineRule="exact"/>
                    <w:rPr>
                      <w:rFonts w:hint="default" w:eastAsia="宋体"/>
                      <w:color w:val="auto"/>
                      <w:sz w:val="21"/>
                      <w:szCs w:val="21"/>
                      <w:highlight w:val="none"/>
                      <w:lang w:val="en-US" w:eastAsia="zh-CN"/>
                    </w:rPr>
                  </w:pPr>
                  <w:r>
                    <w:rPr>
                      <w:rFonts w:hint="eastAsia"/>
                      <w:color w:val="auto"/>
                      <w:sz w:val="21"/>
                      <w:szCs w:val="21"/>
                      <w:highlight w:val="none"/>
                      <w:lang w:val="en-US" w:eastAsia="zh-CN"/>
                    </w:rPr>
                    <w:t>村庄</w:t>
                  </w:r>
                </w:p>
              </w:tc>
              <w:tc>
                <w:tcPr>
                  <w:tcW w:w="789" w:type="pct"/>
                  <w:tcBorders>
                    <w:tl2br w:val="nil"/>
                    <w:tr2bl w:val="nil"/>
                  </w:tcBorders>
                  <w:noWrap w:val="0"/>
                  <w:vAlign w:val="center"/>
                </w:tcPr>
                <w:p w14:paraId="3603EC46">
                  <w:pPr>
                    <w:adjustRightInd w:val="0"/>
                    <w:spacing w:line="300" w:lineRule="exact"/>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东/190</w:t>
                  </w:r>
                </w:p>
              </w:tc>
              <w:tc>
                <w:tcPr>
                  <w:tcW w:w="1159" w:type="pct"/>
                  <w:tcBorders>
                    <w:tl2br w:val="nil"/>
                    <w:tr2bl w:val="nil"/>
                  </w:tcBorders>
                  <w:noWrap w:val="0"/>
                  <w:vAlign w:val="center"/>
                </w:tcPr>
                <w:p w14:paraId="3DB26E58">
                  <w:pPr>
                    <w:spacing w:line="300" w:lineRule="exact"/>
                    <w:rPr>
                      <w:color w:val="auto"/>
                      <w:kern w:val="0"/>
                      <w:szCs w:val="21"/>
                      <w:highlight w:val="none"/>
                    </w:rPr>
                  </w:pPr>
                  <w:r>
                    <w:rPr>
                      <w:color w:val="auto"/>
                      <w:kern w:val="0"/>
                      <w:szCs w:val="21"/>
                      <w:highlight w:val="none"/>
                    </w:rPr>
                    <w:t>《环境空气质量标准》（GB</w:t>
                  </w:r>
                  <w:r>
                    <w:rPr>
                      <w:rFonts w:hint="eastAsia"/>
                      <w:color w:val="auto"/>
                      <w:kern w:val="0"/>
                      <w:szCs w:val="21"/>
                      <w:highlight w:val="none"/>
                      <w:lang w:val="en-US" w:eastAsia="zh-CN"/>
                    </w:rPr>
                    <w:t xml:space="preserve"> </w:t>
                  </w:r>
                  <w:r>
                    <w:rPr>
                      <w:color w:val="auto"/>
                      <w:kern w:val="0"/>
                      <w:szCs w:val="21"/>
                      <w:highlight w:val="none"/>
                    </w:rPr>
                    <w:t>3095-</w:t>
                  </w:r>
                  <w:r>
                    <w:rPr>
                      <w:rFonts w:hint="eastAsia"/>
                      <w:color w:val="auto"/>
                      <w:kern w:val="0"/>
                      <w:szCs w:val="21"/>
                      <w:highlight w:val="none"/>
                      <w:lang w:val="en-US" w:eastAsia="zh-CN"/>
                    </w:rPr>
                    <w:t>2026</w:t>
                  </w:r>
                  <w:r>
                    <w:rPr>
                      <w:color w:val="auto"/>
                      <w:kern w:val="0"/>
                      <w:szCs w:val="21"/>
                      <w:highlight w:val="none"/>
                    </w:rPr>
                    <w:t>）</w:t>
                  </w:r>
                </w:p>
              </w:tc>
            </w:tr>
            <w:tr w14:paraId="51C0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pct"/>
                  <w:tcBorders>
                    <w:tl2br w:val="nil"/>
                    <w:tr2bl w:val="nil"/>
                  </w:tcBorders>
                  <w:noWrap w:val="0"/>
                  <w:vAlign w:val="center"/>
                </w:tcPr>
                <w:p w14:paraId="5F5D0B20">
                  <w:pPr>
                    <w:spacing w:line="300" w:lineRule="exact"/>
                    <w:jc w:val="center"/>
                    <w:rPr>
                      <w:rFonts w:hint="eastAsia"/>
                      <w:color w:val="auto"/>
                      <w:kern w:val="0"/>
                      <w:szCs w:val="21"/>
                      <w:highlight w:val="none"/>
                    </w:rPr>
                  </w:pPr>
                  <w:r>
                    <w:rPr>
                      <w:rFonts w:hint="eastAsia"/>
                      <w:color w:val="auto"/>
                      <w:kern w:val="0"/>
                      <w:szCs w:val="21"/>
                      <w:highlight w:val="none"/>
                    </w:rPr>
                    <w:t>地下水</w:t>
                  </w:r>
                </w:p>
              </w:tc>
              <w:tc>
                <w:tcPr>
                  <w:tcW w:w="1095" w:type="pct"/>
                  <w:tcBorders>
                    <w:tl2br w:val="nil"/>
                    <w:tr2bl w:val="nil"/>
                  </w:tcBorders>
                  <w:noWrap w:val="0"/>
                  <w:vAlign w:val="center"/>
                </w:tcPr>
                <w:p w14:paraId="74708E33">
                  <w:pPr>
                    <w:spacing w:line="300" w:lineRule="exact"/>
                    <w:rPr>
                      <w:rFonts w:hint="eastAsia"/>
                      <w:color w:val="auto"/>
                      <w:kern w:val="0"/>
                      <w:szCs w:val="21"/>
                      <w:highlight w:val="none"/>
                    </w:rPr>
                  </w:pPr>
                  <w:r>
                    <w:rPr>
                      <w:rFonts w:hint="eastAsia"/>
                      <w:color w:val="auto"/>
                      <w:szCs w:val="21"/>
                      <w:highlight w:val="none"/>
                    </w:rPr>
                    <w:t>厂界外500m范围地下水集中式饮用水水源和热水、矿泉水、温泉等特殊地下水资源</w:t>
                  </w:r>
                </w:p>
              </w:tc>
              <w:tc>
                <w:tcPr>
                  <w:tcW w:w="715" w:type="pct"/>
                  <w:tcBorders>
                    <w:tl2br w:val="nil"/>
                    <w:tr2bl w:val="nil"/>
                  </w:tcBorders>
                  <w:noWrap w:val="0"/>
                  <w:vAlign w:val="center"/>
                </w:tcPr>
                <w:p w14:paraId="65A2A420">
                  <w:pPr>
                    <w:pStyle w:val="93"/>
                    <w:spacing w:line="300" w:lineRule="exact"/>
                    <w:rPr>
                      <w:color w:val="auto"/>
                      <w:sz w:val="21"/>
                      <w:szCs w:val="21"/>
                      <w:highlight w:val="none"/>
                    </w:rPr>
                  </w:pPr>
                  <w:r>
                    <w:rPr>
                      <w:rFonts w:hint="eastAsia"/>
                      <w:color w:val="auto"/>
                      <w:sz w:val="21"/>
                      <w:szCs w:val="21"/>
                      <w:highlight w:val="none"/>
                    </w:rPr>
                    <w:t>/</w:t>
                  </w:r>
                </w:p>
              </w:tc>
              <w:tc>
                <w:tcPr>
                  <w:tcW w:w="565" w:type="pct"/>
                  <w:tcBorders>
                    <w:tl2br w:val="nil"/>
                    <w:tr2bl w:val="nil"/>
                  </w:tcBorders>
                  <w:noWrap w:val="0"/>
                  <w:vAlign w:val="center"/>
                </w:tcPr>
                <w:p w14:paraId="2645060E">
                  <w:pPr>
                    <w:pStyle w:val="93"/>
                    <w:spacing w:line="300" w:lineRule="exact"/>
                    <w:rPr>
                      <w:color w:val="auto"/>
                      <w:sz w:val="21"/>
                      <w:szCs w:val="21"/>
                      <w:highlight w:val="none"/>
                    </w:rPr>
                  </w:pPr>
                  <w:r>
                    <w:rPr>
                      <w:rFonts w:hint="eastAsia"/>
                      <w:color w:val="auto"/>
                      <w:sz w:val="21"/>
                      <w:szCs w:val="21"/>
                      <w:highlight w:val="none"/>
                    </w:rPr>
                    <w:t>/</w:t>
                  </w:r>
                </w:p>
              </w:tc>
              <w:tc>
                <w:tcPr>
                  <w:tcW w:w="789" w:type="pct"/>
                  <w:tcBorders>
                    <w:tl2br w:val="nil"/>
                    <w:tr2bl w:val="nil"/>
                  </w:tcBorders>
                  <w:noWrap w:val="0"/>
                  <w:vAlign w:val="center"/>
                </w:tcPr>
                <w:p w14:paraId="345D345B">
                  <w:pPr>
                    <w:adjustRightInd w:val="0"/>
                    <w:spacing w:line="300" w:lineRule="exact"/>
                    <w:jc w:val="center"/>
                    <w:rPr>
                      <w:color w:val="auto"/>
                      <w:szCs w:val="21"/>
                      <w:highlight w:val="none"/>
                    </w:rPr>
                  </w:pPr>
                  <w:r>
                    <w:rPr>
                      <w:rFonts w:hint="eastAsia"/>
                      <w:color w:val="auto"/>
                      <w:szCs w:val="21"/>
                      <w:highlight w:val="none"/>
                    </w:rPr>
                    <w:t>/</w:t>
                  </w:r>
                </w:p>
              </w:tc>
              <w:tc>
                <w:tcPr>
                  <w:tcW w:w="1159" w:type="pct"/>
                  <w:tcBorders>
                    <w:tl2br w:val="nil"/>
                    <w:tr2bl w:val="nil"/>
                  </w:tcBorders>
                  <w:noWrap w:val="0"/>
                  <w:vAlign w:val="center"/>
                </w:tcPr>
                <w:p w14:paraId="046297F9">
                  <w:pPr>
                    <w:spacing w:line="300" w:lineRule="exact"/>
                    <w:jc w:val="center"/>
                    <w:rPr>
                      <w:rFonts w:hint="eastAsia"/>
                      <w:color w:val="auto"/>
                      <w:kern w:val="0"/>
                      <w:szCs w:val="21"/>
                      <w:highlight w:val="none"/>
                    </w:rPr>
                  </w:pPr>
                  <w:r>
                    <w:rPr>
                      <w:rFonts w:hint="eastAsia"/>
                      <w:color w:val="auto"/>
                      <w:kern w:val="0"/>
                      <w:szCs w:val="21"/>
                      <w:highlight w:val="none"/>
                    </w:rPr>
                    <w:t>/</w:t>
                  </w:r>
                </w:p>
              </w:tc>
            </w:tr>
            <w:tr w14:paraId="0EC4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pct"/>
                  <w:tcBorders>
                    <w:tl2br w:val="nil"/>
                    <w:tr2bl w:val="nil"/>
                  </w:tcBorders>
                  <w:noWrap w:val="0"/>
                  <w:vAlign w:val="center"/>
                </w:tcPr>
                <w:p w14:paraId="4BAEA625">
                  <w:pPr>
                    <w:spacing w:line="300" w:lineRule="exact"/>
                    <w:jc w:val="center"/>
                    <w:rPr>
                      <w:rFonts w:hint="eastAsia"/>
                      <w:color w:val="auto"/>
                      <w:kern w:val="0"/>
                      <w:szCs w:val="21"/>
                      <w:highlight w:val="none"/>
                    </w:rPr>
                  </w:pPr>
                  <w:r>
                    <w:rPr>
                      <w:rFonts w:hint="eastAsia"/>
                      <w:color w:val="auto"/>
                      <w:kern w:val="0"/>
                      <w:szCs w:val="21"/>
                      <w:highlight w:val="none"/>
                    </w:rPr>
                    <w:t>声环境</w:t>
                  </w:r>
                </w:p>
              </w:tc>
              <w:tc>
                <w:tcPr>
                  <w:tcW w:w="1095" w:type="pct"/>
                  <w:tcBorders>
                    <w:tl2br w:val="nil"/>
                    <w:tr2bl w:val="nil"/>
                  </w:tcBorders>
                  <w:noWrap w:val="0"/>
                  <w:vAlign w:val="center"/>
                </w:tcPr>
                <w:p w14:paraId="7A552694">
                  <w:pPr>
                    <w:spacing w:line="300" w:lineRule="exact"/>
                    <w:rPr>
                      <w:color w:val="auto"/>
                      <w:szCs w:val="21"/>
                      <w:highlight w:val="none"/>
                    </w:rPr>
                  </w:pPr>
                  <w:r>
                    <w:rPr>
                      <w:rFonts w:hint="eastAsia"/>
                      <w:color w:val="auto"/>
                      <w:szCs w:val="21"/>
                      <w:highlight w:val="none"/>
                    </w:rPr>
                    <w:t>厂界外50米范围内声环境保护目标</w:t>
                  </w:r>
                </w:p>
              </w:tc>
              <w:tc>
                <w:tcPr>
                  <w:tcW w:w="715" w:type="pct"/>
                  <w:tcBorders>
                    <w:tl2br w:val="nil"/>
                    <w:tr2bl w:val="nil"/>
                  </w:tcBorders>
                  <w:shd w:val="clear" w:color="auto" w:fill="auto"/>
                  <w:noWrap w:val="0"/>
                  <w:vAlign w:val="center"/>
                </w:tcPr>
                <w:p w14:paraId="466038AE">
                  <w:pPr>
                    <w:pStyle w:val="93"/>
                    <w:spacing w:line="300" w:lineRule="exact"/>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w:t>
                  </w:r>
                </w:p>
              </w:tc>
              <w:tc>
                <w:tcPr>
                  <w:tcW w:w="565" w:type="pct"/>
                  <w:tcBorders>
                    <w:tl2br w:val="nil"/>
                    <w:tr2bl w:val="nil"/>
                  </w:tcBorders>
                  <w:shd w:val="clear" w:color="auto" w:fill="auto"/>
                  <w:noWrap w:val="0"/>
                  <w:vAlign w:val="center"/>
                </w:tcPr>
                <w:p w14:paraId="4F69DDE0">
                  <w:pPr>
                    <w:pStyle w:val="93"/>
                    <w:spacing w:line="300" w:lineRule="exact"/>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w:t>
                  </w:r>
                </w:p>
              </w:tc>
              <w:tc>
                <w:tcPr>
                  <w:tcW w:w="789" w:type="pct"/>
                  <w:tcBorders>
                    <w:tl2br w:val="nil"/>
                    <w:tr2bl w:val="nil"/>
                  </w:tcBorders>
                  <w:shd w:val="clear" w:color="auto" w:fill="auto"/>
                  <w:noWrap w:val="0"/>
                  <w:vAlign w:val="center"/>
                </w:tcPr>
                <w:p w14:paraId="3E005384">
                  <w:pPr>
                    <w:adjustRightInd w:val="0"/>
                    <w:spacing w:line="30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szCs w:val="21"/>
                      <w:highlight w:val="none"/>
                    </w:rPr>
                    <w:t>/</w:t>
                  </w:r>
                </w:p>
              </w:tc>
              <w:tc>
                <w:tcPr>
                  <w:tcW w:w="1159" w:type="pct"/>
                  <w:tcBorders>
                    <w:tl2br w:val="nil"/>
                    <w:tr2bl w:val="nil"/>
                  </w:tcBorders>
                  <w:noWrap w:val="0"/>
                  <w:vAlign w:val="center"/>
                </w:tcPr>
                <w:p w14:paraId="563CD353">
                  <w:pPr>
                    <w:spacing w:line="300" w:lineRule="exact"/>
                    <w:jc w:val="center"/>
                    <w:rPr>
                      <w:rFonts w:hint="eastAsia"/>
                      <w:color w:val="auto"/>
                      <w:kern w:val="0"/>
                      <w:szCs w:val="21"/>
                      <w:highlight w:val="none"/>
                    </w:rPr>
                  </w:pPr>
                  <w:r>
                    <w:rPr>
                      <w:rFonts w:hint="eastAsia"/>
                      <w:color w:val="auto"/>
                      <w:kern w:val="0"/>
                      <w:szCs w:val="21"/>
                      <w:highlight w:val="none"/>
                    </w:rPr>
                    <w:t>/</w:t>
                  </w:r>
                </w:p>
              </w:tc>
            </w:tr>
            <w:tr w14:paraId="3430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pct"/>
                  <w:tcBorders>
                    <w:tl2br w:val="nil"/>
                    <w:tr2bl w:val="nil"/>
                  </w:tcBorders>
                  <w:noWrap w:val="0"/>
                  <w:vAlign w:val="center"/>
                </w:tcPr>
                <w:p w14:paraId="7FF347F0">
                  <w:pPr>
                    <w:spacing w:line="300" w:lineRule="exact"/>
                    <w:jc w:val="center"/>
                    <w:rPr>
                      <w:rFonts w:hint="eastAsia"/>
                      <w:color w:val="auto"/>
                      <w:kern w:val="0"/>
                      <w:szCs w:val="21"/>
                      <w:highlight w:val="none"/>
                    </w:rPr>
                  </w:pPr>
                  <w:r>
                    <w:rPr>
                      <w:rFonts w:hint="eastAsia"/>
                      <w:color w:val="auto"/>
                      <w:kern w:val="0"/>
                      <w:szCs w:val="21"/>
                      <w:highlight w:val="none"/>
                    </w:rPr>
                    <w:t>生态</w:t>
                  </w:r>
                </w:p>
                <w:p w14:paraId="744A7F65">
                  <w:pPr>
                    <w:spacing w:line="300" w:lineRule="exact"/>
                    <w:jc w:val="center"/>
                    <w:rPr>
                      <w:rFonts w:hint="eastAsia"/>
                      <w:color w:val="auto"/>
                      <w:kern w:val="0"/>
                      <w:szCs w:val="21"/>
                      <w:highlight w:val="none"/>
                    </w:rPr>
                  </w:pPr>
                  <w:r>
                    <w:rPr>
                      <w:rFonts w:hint="eastAsia"/>
                      <w:color w:val="auto"/>
                      <w:kern w:val="0"/>
                      <w:szCs w:val="21"/>
                      <w:highlight w:val="none"/>
                    </w:rPr>
                    <w:t>环境</w:t>
                  </w:r>
                </w:p>
              </w:tc>
              <w:tc>
                <w:tcPr>
                  <w:tcW w:w="1095" w:type="pct"/>
                  <w:tcBorders>
                    <w:tl2br w:val="nil"/>
                    <w:tr2bl w:val="nil"/>
                  </w:tcBorders>
                  <w:noWrap w:val="0"/>
                  <w:vAlign w:val="center"/>
                </w:tcPr>
                <w:p w14:paraId="0EE116C8">
                  <w:pPr>
                    <w:spacing w:line="300" w:lineRule="exact"/>
                    <w:rPr>
                      <w:rFonts w:hint="eastAsia"/>
                      <w:color w:val="auto"/>
                      <w:szCs w:val="21"/>
                      <w:highlight w:val="none"/>
                    </w:rPr>
                  </w:pPr>
                  <w:r>
                    <w:rPr>
                      <w:rFonts w:hint="eastAsia"/>
                      <w:color w:val="auto"/>
                      <w:szCs w:val="21"/>
                      <w:highlight w:val="none"/>
                    </w:rPr>
                    <w:t>产业园外建设项目新增用地的，应明确新增用地范围内生态环境保护目标</w:t>
                  </w:r>
                </w:p>
              </w:tc>
              <w:tc>
                <w:tcPr>
                  <w:tcW w:w="715" w:type="pct"/>
                  <w:tcBorders>
                    <w:tl2br w:val="nil"/>
                    <w:tr2bl w:val="nil"/>
                  </w:tcBorders>
                  <w:noWrap w:val="0"/>
                  <w:vAlign w:val="center"/>
                </w:tcPr>
                <w:p w14:paraId="39D0782C">
                  <w:pPr>
                    <w:pStyle w:val="93"/>
                    <w:spacing w:line="300" w:lineRule="exact"/>
                    <w:rPr>
                      <w:rFonts w:hint="eastAsia"/>
                      <w:color w:val="auto"/>
                      <w:sz w:val="21"/>
                      <w:szCs w:val="21"/>
                      <w:highlight w:val="none"/>
                    </w:rPr>
                  </w:pPr>
                  <w:r>
                    <w:rPr>
                      <w:rFonts w:hint="eastAsia"/>
                      <w:color w:val="auto"/>
                      <w:sz w:val="21"/>
                      <w:szCs w:val="21"/>
                      <w:highlight w:val="none"/>
                    </w:rPr>
                    <w:t>/</w:t>
                  </w:r>
                </w:p>
              </w:tc>
              <w:tc>
                <w:tcPr>
                  <w:tcW w:w="565" w:type="pct"/>
                  <w:tcBorders>
                    <w:tl2br w:val="nil"/>
                    <w:tr2bl w:val="nil"/>
                  </w:tcBorders>
                  <w:noWrap w:val="0"/>
                  <w:vAlign w:val="center"/>
                </w:tcPr>
                <w:p w14:paraId="679FCCF6">
                  <w:pPr>
                    <w:pStyle w:val="93"/>
                    <w:spacing w:line="300" w:lineRule="exact"/>
                    <w:rPr>
                      <w:rFonts w:hint="eastAsia"/>
                      <w:color w:val="auto"/>
                      <w:sz w:val="21"/>
                      <w:szCs w:val="21"/>
                      <w:highlight w:val="none"/>
                    </w:rPr>
                  </w:pPr>
                  <w:r>
                    <w:rPr>
                      <w:rFonts w:hint="eastAsia"/>
                      <w:color w:val="auto"/>
                      <w:sz w:val="21"/>
                      <w:szCs w:val="21"/>
                      <w:highlight w:val="none"/>
                    </w:rPr>
                    <w:t>/</w:t>
                  </w:r>
                </w:p>
              </w:tc>
              <w:tc>
                <w:tcPr>
                  <w:tcW w:w="789" w:type="pct"/>
                  <w:tcBorders>
                    <w:tl2br w:val="nil"/>
                    <w:tr2bl w:val="nil"/>
                  </w:tcBorders>
                  <w:noWrap w:val="0"/>
                  <w:vAlign w:val="center"/>
                </w:tcPr>
                <w:p w14:paraId="72ECB21D">
                  <w:pPr>
                    <w:adjustRightInd w:val="0"/>
                    <w:spacing w:line="300" w:lineRule="exact"/>
                    <w:jc w:val="center"/>
                    <w:rPr>
                      <w:rFonts w:hint="eastAsia"/>
                      <w:color w:val="auto"/>
                      <w:szCs w:val="21"/>
                      <w:highlight w:val="none"/>
                    </w:rPr>
                  </w:pPr>
                  <w:r>
                    <w:rPr>
                      <w:rFonts w:hint="eastAsia"/>
                      <w:color w:val="auto"/>
                      <w:szCs w:val="21"/>
                      <w:highlight w:val="none"/>
                    </w:rPr>
                    <w:t>/</w:t>
                  </w:r>
                </w:p>
              </w:tc>
              <w:tc>
                <w:tcPr>
                  <w:tcW w:w="1159" w:type="pct"/>
                  <w:tcBorders>
                    <w:tl2br w:val="nil"/>
                    <w:tr2bl w:val="nil"/>
                  </w:tcBorders>
                  <w:noWrap w:val="0"/>
                  <w:vAlign w:val="center"/>
                </w:tcPr>
                <w:p w14:paraId="5A1E4825">
                  <w:pPr>
                    <w:spacing w:line="300" w:lineRule="exact"/>
                    <w:jc w:val="center"/>
                    <w:rPr>
                      <w:rFonts w:hint="eastAsia"/>
                      <w:color w:val="auto"/>
                      <w:kern w:val="0"/>
                      <w:szCs w:val="21"/>
                      <w:highlight w:val="none"/>
                    </w:rPr>
                  </w:pPr>
                  <w:r>
                    <w:rPr>
                      <w:rFonts w:hint="eastAsia"/>
                      <w:color w:val="auto"/>
                      <w:kern w:val="0"/>
                      <w:szCs w:val="21"/>
                      <w:highlight w:val="none"/>
                    </w:rPr>
                    <w:t>/</w:t>
                  </w:r>
                </w:p>
              </w:tc>
            </w:tr>
          </w:tbl>
          <w:p w14:paraId="6B261217">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rPr>
                <w:rFonts w:hint="eastAsia" w:ascii="宋体" w:hAnsi="宋体" w:eastAsia="宋体" w:cs="宋体"/>
                <w:color w:val="auto"/>
                <w:kern w:val="0"/>
                <w:szCs w:val="21"/>
                <w:lang w:val="en-US" w:eastAsia="zh-CN"/>
              </w:rPr>
            </w:pPr>
          </w:p>
        </w:tc>
      </w:tr>
      <w:tr w14:paraId="4B8155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4" w:hRule="atLeast"/>
          <w:jc w:val="center"/>
        </w:trPr>
        <w:tc>
          <w:tcPr>
            <w:tcW w:w="800" w:type="dxa"/>
            <w:noWrap w:val="0"/>
            <w:tcMar>
              <w:left w:w="28" w:type="dxa"/>
              <w:right w:w="28" w:type="dxa"/>
            </w:tcMar>
            <w:vAlign w:val="center"/>
          </w:tcPr>
          <w:p w14:paraId="5FB7FF7F">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污染</w:t>
            </w:r>
          </w:p>
          <w:p w14:paraId="4EFCA7D6">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物排</w:t>
            </w:r>
          </w:p>
          <w:p w14:paraId="0DFD4D5A">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放控</w:t>
            </w:r>
          </w:p>
          <w:p w14:paraId="6F480248">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制标</w:t>
            </w:r>
          </w:p>
          <w:p w14:paraId="7D9A4E67">
            <w:pPr>
              <w:adjustRightInd w:val="0"/>
              <w:snapToGrid w:val="0"/>
              <w:jc w:val="center"/>
              <w:rPr>
                <w:rFonts w:ascii="宋体" w:hAnsi="宋体" w:cs="宋体"/>
                <w:color w:val="auto"/>
                <w:kern w:val="0"/>
                <w:szCs w:val="21"/>
              </w:rPr>
            </w:pPr>
            <w:r>
              <w:rPr>
                <w:rFonts w:hint="eastAsia" w:ascii="宋体" w:hAnsi="宋体" w:cs="宋体"/>
                <w:color w:val="auto"/>
                <w:kern w:val="0"/>
                <w:szCs w:val="21"/>
              </w:rPr>
              <w:t>准</w:t>
            </w:r>
          </w:p>
        </w:tc>
        <w:tc>
          <w:tcPr>
            <w:tcW w:w="8190" w:type="dxa"/>
            <w:noWrap w:val="0"/>
            <w:vAlign w:val="center"/>
          </w:tcPr>
          <w:p w14:paraId="3374D653">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b/>
                <w:bCs/>
                <w:color w:val="auto"/>
                <w:sz w:val="24"/>
                <w:szCs w:val="24"/>
              </w:rPr>
            </w:pPr>
            <w:r>
              <w:rPr>
                <w:rFonts w:hint="eastAsia"/>
                <w:b/>
                <w:bCs/>
                <w:color w:val="auto"/>
                <w:sz w:val="24"/>
                <w:szCs w:val="24"/>
                <w:lang w:eastAsia="zh-CN"/>
              </w:rPr>
              <w:t>1.</w:t>
            </w:r>
            <w:r>
              <w:rPr>
                <w:b/>
                <w:bCs/>
                <w:color w:val="auto"/>
                <w:sz w:val="24"/>
                <w:szCs w:val="24"/>
              </w:rPr>
              <w:t>废气</w:t>
            </w:r>
          </w:p>
          <w:p w14:paraId="18C96C6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ascii="Times New Roman" w:hAnsi="Times New Roman" w:cs="Times New Roman"/>
                <w:color w:val="auto"/>
                <w:sz w:val="24"/>
                <w:szCs w:val="24"/>
                <w:highlight w:val="none"/>
                <w:lang w:eastAsia="zh-CN"/>
              </w:rPr>
            </w:pPr>
            <w:bookmarkStart w:id="7" w:name="_Hlk531251662"/>
            <w:r>
              <w:rPr>
                <w:rFonts w:hint="eastAsia" w:ascii="Times New Roman" w:hAnsi="Times New Roman" w:cs="Times New Roman"/>
                <w:color w:val="auto"/>
                <w:sz w:val="24"/>
                <w:szCs w:val="24"/>
                <w:highlight w:val="none"/>
                <w:lang w:eastAsia="zh-CN"/>
              </w:rPr>
              <w:t>项目</w:t>
            </w:r>
            <w:r>
              <w:rPr>
                <w:rFonts w:hint="eastAsia" w:cs="Times New Roman"/>
                <w:color w:val="auto"/>
                <w:sz w:val="24"/>
                <w:szCs w:val="24"/>
                <w:highlight w:val="none"/>
                <w:lang w:val="en-US" w:eastAsia="zh-CN"/>
              </w:rPr>
              <w:t>运营期机加工</w:t>
            </w:r>
            <w:r>
              <w:rPr>
                <w:rFonts w:hint="eastAsia" w:ascii="Times New Roman" w:hAnsi="Times New Roman" w:cs="Times New Roman"/>
                <w:color w:val="auto"/>
                <w:sz w:val="24"/>
                <w:szCs w:val="24"/>
                <w:highlight w:val="none"/>
                <w:lang w:eastAsia="zh-CN"/>
              </w:rPr>
              <w:t>产生的颗粒物</w:t>
            </w:r>
            <w:r>
              <w:rPr>
                <w:rFonts w:hint="eastAsia" w:cs="Times New Roman"/>
                <w:color w:val="auto"/>
                <w:sz w:val="24"/>
                <w:szCs w:val="24"/>
                <w:highlight w:val="none"/>
                <w:lang w:val="en-US" w:eastAsia="zh-CN"/>
              </w:rPr>
              <w:t>经移动烟尘净化器处理无组织排放，焊接废气经移动烟尘净化器处理通过15mDA001排气筒排放，喷粉废气经收集通过粉料回收装置处理通过DA002排气筒排放，喷砂、电泳、电泳烘干、喷粉烘干废气经收集通过水喷淋塔+二级活性炭</w:t>
            </w:r>
            <w:r>
              <w:rPr>
                <w:rFonts w:hint="eastAsia" w:cs="Times New Roman"/>
                <w:color w:val="auto"/>
                <w:sz w:val="24"/>
                <w:szCs w:val="24"/>
                <w:highlight w:val="none"/>
                <w:lang w:val="en-US" w:eastAsia="zh-CN"/>
              </w:rPr>
              <w:t>（含干式过滤棉）</w:t>
            </w:r>
            <w:r>
              <w:rPr>
                <w:rFonts w:hint="eastAsia" w:cs="Times New Roman"/>
                <w:color w:val="auto"/>
                <w:sz w:val="24"/>
                <w:szCs w:val="24"/>
                <w:highlight w:val="none"/>
                <w:lang w:val="en-US" w:eastAsia="zh-CN"/>
              </w:rPr>
              <w:t>处理通过15mDA002排气筒排放，液化石油气燃烧废气直接通过DA002排气筒排放。</w:t>
            </w:r>
          </w:p>
          <w:p w14:paraId="0D4DDD7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ascii="Times New Roman" w:hAnsi="Times New Roman" w:eastAsia="宋体" w:cs="Times New Roman"/>
                <w:color w:val="auto"/>
                <w:sz w:val="24"/>
                <w:szCs w:val="24"/>
                <w:highlight w:val="none"/>
                <w:u w:val="none"/>
                <w:lang w:val="en-US" w:eastAsia="zh-CN"/>
              </w:rPr>
            </w:pPr>
            <w:r>
              <w:rPr>
                <w:rFonts w:hint="eastAsia" w:cs="Times New Roman"/>
                <w:color w:val="auto"/>
                <w:sz w:val="24"/>
                <w:szCs w:val="24"/>
                <w:highlight w:val="none"/>
                <w:lang w:val="en-US" w:eastAsia="zh-CN"/>
              </w:rPr>
              <w:t>项目厂界无组织废气排放</w:t>
            </w:r>
            <w:r>
              <w:rPr>
                <w:rFonts w:hint="eastAsia" w:ascii="Times New Roman" w:hAnsi="Times New Roman" w:cs="Times New Roman"/>
                <w:color w:val="auto"/>
                <w:sz w:val="24"/>
                <w:szCs w:val="24"/>
                <w:highlight w:val="none"/>
                <w:lang w:eastAsia="zh-CN"/>
              </w:rPr>
              <w:t>执行《大气污染物综合排放标准》（GB16297-1996）表</w:t>
            </w:r>
            <w:r>
              <w:rPr>
                <w:rFonts w:hint="eastAsia" w:ascii="Times New Roman" w:hAnsi="Times New Roman" w:cs="Times New Roman"/>
                <w:color w:val="auto"/>
                <w:sz w:val="24"/>
                <w:szCs w:val="24"/>
                <w:highlight w:val="none"/>
                <w:lang w:val="en-US" w:eastAsia="zh-CN"/>
              </w:rPr>
              <w:t>2</w:t>
            </w:r>
            <w:r>
              <w:rPr>
                <w:rFonts w:hint="eastAsia" w:ascii="Times New Roman" w:hAnsi="Times New Roman" w:cs="Times New Roman"/>
                <w:color w:val="auto"/>
                <w:sz w:val="24"/>
                <w:szCs w:val="24"/>
                <w:highlight w:val="none"/>
                <w:lang w:eastAsia="zh-CN"/>
              </w:rPr>
              <w:t>无组织排放监控浓度限值</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DA001排气筒废气（颗粒物</w:t>
            </w:r>
            <w:r>
              <w:rPr>
                <w:rFonts w:hint="eastAsia"/>
                <w:color w:val="auto"/>
                <w:sz w:val="24"/>
                <w:szCs w:val="24"/>
                <w:lang w:eastAsia="zh-CN"/>
              </w:rPr>
              <w:t>、</w:t>
            </w:r>
            <w:r>
              <w:rPr>
                <w:rFonts w:hint="eastAsia"/>
                <w:color w:val="auto"/>
                <w:sz w:val="24"/>
                <w:szCs w:val="24"/>
                <w:lang w:val="en-US" w:eastAsia="zh-CN"/>
              </w:rPr>
              <w:t>烟气黑度</w:t>
            </w:r>
            <w:r>
              <w:rPr>
                <w:rFonts w:hint="eastAsia" w:cs="Times New Roman"/>
                <w:color w:val="auto"/>
                <w:sz w:val="24"/>
                <w:szCs w:val="24"/>
                <w:highlight w:val="none"/>
                <w:lang w:val="en-US" w:eastAsia="zh-CN"/>
              </w:rPr>
              <w:t>）、DA002排气筒废气（颗粒物、二氧化硫、氮氧化物、非甲烷总烃</w:t>
            </w:r>
            <w:r>
              <w:rPr>
                <w:rFonts w:hint="eastAsia"/>
                <w:color w:val="auto"/>
                <w:sz w:val="24"/>
                <w:szCs w:val="24"/>
                <w:lang w:eastAsia="zh-CN"/>
              </w:rPr>
              <w:t>、</w:t>
            </w:r>
            <w:r>
              <w:rPr>
                <w:rFonts w:hint="eastAsia"/>
                <w:color w:val="auto"/>
                <w:sz w:val="24"/>
                <w:szCs w:val="24"/>
                <w:lang w:val="en-US" w:eastAsia="zh-CN"/>
              </w:rPr>
              <w:t>烟气黑度</w:t>
            </w:r>
            <w:r>
              <w:rPr>
                <w:rFonts w:hint="eastAsia" w:cs="Times New Roman"/>
                <w:color w:val="auto"/>
                <w:sz w:val="24"/>
                <w:szCs w:val="24"/>
                <w:highlight w:val="none"/>
                <w:lang w:val="en-US" w:eastAsia="zh-CN"/>
              </w:rPr>
              <w:t>）排放</w:t>
            </w:r>
            <w:r>
              <w:rPr>
                <w:rFonts w:hint="eastAsia" w:ascii="Times New Roman" w:hAnsi="Times New Roman" w:cs="Times New Roman"/>
                <w:color w:val="auto"/>
                <w:sz w:val="24"/>
                <w:szCs w:val="24"/>
                <w:highlight w:val="none"/>
                <w:lang w:eastAsia="zh-CN"/>
              </w:rPr>
              <w:t>执行《大气污染物综合排放标准》（GB16297-1996）表</w:t>
            </w:r>
            <w:r>
              <w:rPr>
                <w:rFonts w:hint="eastAsia" w:ascii="Times New Roman" w:hAnsi="Times New Roman" w:cs="Times New Roman"/>
                <w:color w:val="auto"/>
                <w:sz w:val="24"/>
                <w:szCs w:val="24"/>
                <w:highlight w:val="none"/>
                <w:lang w:val="en-US" w:eastAsia="zh-CN"/>
              </w:rPr>
              <w:t>2中二级标准限值</w:t>
            </w:r>
            <w:r>
              <w:rPr>
                <w:rFonts w:hint="eastAsia" w:ascii="Times New Roman" w:hAnsi="Times New Roman" w:eastAsia="宋体" w:cs="Times New Roman"/>
                <w:color w:val="auto"/>
                <w:sz w:val="24"/>
                <w:szCs w:val="24"/>
                <w:highlight w:val="none"/>
                <w:u w:val="none"/>
                <w:lang w:val="en-US" w:eastAsia="zh-CN"/>
              </w:rPr>
              <w:t>。</w:t>
            </w:r>
          </w:p>
          <w:p w14:paraId="699C90C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default" w:eastAsia="宋体"/>
                <w:b/>
                <w:color w:val="auto"/>
                <w:sz w:val="24"/>
                <w:szCs w:val="24"/>
                <w:lang w:val="en-US" w:eastAsia="zh-CN"/>
              </w:rPr>
            </w:pPr>
            <w:r>
              <w:rPr>
                <w:rFonts w:hint="eastAsia" w:ascii="Times New Roman" w:hAnsi="Times New Roman" w:cs="Times New Roman"/>
                <w:color w:val="auto"/>
                <w:sz w:val="24"/>
                <w:szCs w:val="24"/>
                <w:highlight w:val="none"/>
                <w:lang w:eastAsia="zh-CN"/>
              </w:rPr>
              <w:t>本项目周边200m范围内最高建筑约为</w:t>
            </w:r>
            <w:r>
              <w:rPr>
                <w:rFonts w:hint="eastAsia" w:cs="Times New Roman"/>
                <w:color w:val="auto"/>
                <w:sz w:val="24"/>
                <w:szCs w:val="24"/>
                <w:highlight w:val="none"/>
                <w:lang w:val="en-US" w:eastAsia="zh-CN"/>
              </w:rPr>
              <w:t>12</w:t>
            </w:r>
            <w:r>
              <w:rPr>
                <w:rFonts w:hint="eastAsia" w:ascii="Times New Roman" w:hAnsi="Times New Roman" w:cs="Times New Roman"/>
                <w:color w:val="auto"/>
                <w:sz w:val="24"/>
                <w:szCs w:val="24"/>
                <w:highlight w:val="none"/>
                <w:lang w:eastAsia="zh-CN"/>
              </w:rPr>
              <w:t>m，本项目</w:t>
            </w:r>
            <w:r>
              <w:rPr>
                <w:rFonts w:hint="eastAsia" w:cs="Times New Roman"/>
                <w:color w:val="auto"/>
                <w:sz w:val="24"/>
                <w:szCs w:val="24"/>
                <w:highlight w:val="none"/>
                <w:lang w:val="en-US" w:eastAsia="zh-CN"/>
              </w:rPr>
              <w:t>DA001、DA002</w:t>
            </w:r>
            <w:r>
              <w:rPr>
                <w:rFonts w:hint="eastAsia" w:ascii="Times New Roman" w:hAnsi="Times New Roman" w:cs="Times New Roman"/>
                <w:color w:val="auto"/>
                <w:sz w:val="24"/>
                <w:szCs w:val="24"/>
                <w:highlight w:val="none"/>
                <w:lang w:eastAsia="zh-CN"/>
              </w:rPr>
              <w:t>排气筒高度为15m，</w:t>
            </w:r>
            <w:r>
              <w:rPr>
                <w:rFonts w:hint="eastAsia" w:ascii="Times New Roman" w:hAnsi="Times New Roman" w:cs="Times New Roman"/>
                <w:color w:val="auto"/>
                <w:sz w:val="24"/>
                <w:szCs w:val="24"/>
                <w:highlight w:val="none"/>
                <w:lang w:eastAsia="zh-CN"/>
              </w:rPr>
              <w:t>根据《大气污染物综合排放标准》（GB16297-1996）：</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新污染源的排气筒不应低于15m；排气筒高度除须遵守表列排放速率标准值外，还应高出周围200m半径范围的建筑5m以上，不能达到该要求的排气筒，应按其高度对应的表列排放速率标准值严格50%执行</w:t>
            </w:r>
            <w:r>
              <w:rPr>
                <w:rFonts w:hint="eastAsia" w:cs="Times New Roman"/>
                <w:color w:val="auto"/>
                <w:sz w:val="24"/>
                <w:szCs w:val="24"/>
                <w:highlight w:val="none"/>
                <w:lang w:eastAsia="zh-CN"/>
              </w:rPr>
              <w:t>。”</w:t>
            </w:r>
            <w:r>
              <w:rPr>
                <w:color w:val="auto"/>
                <w:kern w:val="0"/>
                <w:sz w:val="24"/>
                <w:highlight w:val="none"/>
              </w:rPr>
              <w:t>具体见表3-</w:t>
            </w:r>
            <w:r>
              <w:rPr>
                <w:rFonts w:hint="eastAsia"/>
                <w:color w:val="auto"/>
                <w:kern w:val="0"/>
                <w:sz w:val="24"/>
                <w:highlight w:val="none"/>
                <w:lang w:val="en-US" w:eastAsia="zh-CN"/>
              </w:rPr>
              <w:t>4。</w:t>
            </w:r>
          </w:p>
          <w:p w14:paraId="57BB3B63">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b/>
                <w:bCs/>
                <w:color w:val="auto"/>
                <w:sz w:val="24"/>
                <w:szCs w:val="24"/>
              </w:rPr>
            </w:pPr>
            <w:r>
              <w:rPr>
                <w:b/>
                <w:color w:val="auto"/>
                <w:sz w:val="24"/>
                <w:szCs w:val="24"/>
              </w:rPr>
              <w:t>表</w:t>
            </w:r>
            <w:r>
              <w:rPr>
                <w:rFonts w:hint="eastAsia"/>
                <w:b/>
                <w:color w:val="auto"/>
                <w:sz w:val="24"/>
                <w:szCs w:val="24"/>
              </w:rPr>
              <w:t>3-</w:t>
            </w:r>
            <w:bookmarkEnd w:id="7"/>
            <w:r>
              <w:rPr>
                <w:rFonts w:hint="eastAsia"/>
                <w:b/>
                <w:color w:val="auto"/>
                <w:sz w:val="24"/>
                <w:szCs w:val="24"/>
                <w:lang w:val="en-US" w:eastAsia="zh-CN"/>
              </w:rPr>
              <w:t>4</w:t>
            </w:r>
            <w:r>
              <w:rPr>
                <w:rFonts w:hint="eastAsia"/>
                <w:b/>
                <w:color w:val="auto"/>
                <w:sz w:val="24"/>
                <w:szCs w:val="24"/>
              </w:rPr>
              <w:t xml:space="preserve"> </w:t>
            </w:r>
            <w:r>
              <w:rPr>
                <w:b/>
                <w:bCs/>
                <w:color w:val="auto"/>
                <w:sz w:val="24"/>
                <w:szCs w:val="24"/>
              </w:rPr>
              <w:t>《大气污染物综合排放标准》（GB16297-1996）</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266"/>
              <w:gridCol w:w="1000"/>
              <w:gridCol w:w="1535"/>
              <w:gridCol w:w="1473"/>
              <w:gridCol w:w="1828"/>
            </w:tblGrid>
            <w:tr w14:paraId="23EF7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9" w:type="pct"/>
                  <w:vMerge w:val="restart"/>
                  <w:noWrap w:val="0"/>
                  <w:vAlign w:val="center"/>
                </w:tcPr>
                <w:p w14:paraId="36BF01EB">
                  <w:pPr>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排气筒/编号</w:t>
                  </w:r>
                </w:p>
              </w:tc>
              <w:tc>
                <w:tcPr>
                  <w:tcW w:w="795" w:type="pct"/>
                  <w:vMerge w:val="restart"/>
                  <w:noWrap w:val="0"/>
                  <w:vAlign w:val="center"/>
                </w:tcPr>
                <w:p w14:paraId="21D3BD35">
                  <w:pPr>
                    <w:adjustRightInd w:val="0"/>
                    <w:snapToGrid w:val="0"/>
                    <w:jc w:val="center"/>
                    <w:rPr>
                      <w:color w:val="auto"/>
                      <w:kern w:val="0"/>
                      <w:szCs w:val="21"/>
                    </w:rPr>
                  </w:pPr>
                  <w:r>
                    <w:rPr>
                      <w:color w:val="auto"/>
                      <w:kern w:val="0"/>
                      <w:szCs w:val="21"/>
                    </w:rPr>
                    <w:t>污染物</w:t>
                  </w:r>
                </w:p>
                <w:p w14:paraId="61450480">
                  <w:pPr>
                    <w:adjustRightInd w:val="0"/>
                    <w:snapToGrid w:val="0"/>
                    <w:jc w:val="center"/>
                    <w:rPr>
                      <w:color w:val="auto"/>
                      <w:kern w:val="0"/>
                      <w:szCs w:val="21"/>
                    </w:rPr>
                  </w:pPr>
                  <w:r>
                    <w:rPr>
                      <w:color w:val="auto"/>
                      <w:kern w:val="0"/>
                      <w:szCs w:val="21"/>
                    </w:rPr>
                    <w:t>指标</w:t>
                  </w:r>
                </w:p>
              </w:tc>
              <w:tc>
                <w:tcPr>
                  <w:tcW w:w="3665" w:type="pct"/>
                  <w:gridSpan w:val="4"/>
                  <w:noWrap w:val="0"/>
                  <w:vAlign w:val="center"/>
                </w:tcPr>
                <w:p w14:paraId="102B5336">
                  <w:pPr>
                    <w:adjustRightInd w:val="0"/>
                    <w:snapToGrid w:val="0"/>
                    <w:jc w:val="center"/>
                    <w:rPr>
                      <w:color w:val="auto"/>
                      <w:kern w:val="0"/>
                      <w:szCs w:val="21"/>
                    </w:rPr>
                  </w:pPr>
                  <w:r>
                    <w:rPr>
                      <w:color w:val="auto"/>
                      <w:kern w:val="0"/>
                      <w:szCs w:val="21"/>
                    </w:rPr>
                    <w:t>标准限值</w:t>
                  </w:r>
                </w:p>
              </w:tc>
            </w:tr>
            <w:tr w14:paraId="7EF8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539" w:type="pct"/>
                  <w:vMerge w:val="continue"/>
                  <w:noWrap w:val="0"/>
                  <w:vAlign w:val="center"/>
                </w:tcPr>
                <w:p w14:paraId="55B1302D">
                  <w:pPr>
                    <w:adjustRightInd w:val="0"/>
                    <w:snapToGrid w:val="0"/>
                    <w:jc w:val="center"/>
                    <w:rPr>
                      <w:color w:val="auto"/>
                      <w:kern w:val="0"/>
                      <w:szCs w:val="21"/>
                    </w:rPr>
                  </w:pPr>
                </w:p>
              </w:tc>
              <w:tc>
                <w:tcPr>
                  <w:tcW w:w="795" w:type="pct"/>
                  <w:vMerge w:val="continue"/>
                  <w:noWrap w:val="0"/>
                  <w:vAlign w:val="center"/>
                </w:tcPr>
                <w:p w14:paraId="61D13676">
                  <w:pPr>
                    <w:adjustRightInd w:val="0"/>
                    <w:snapToGrid w:val="0"/>
                    <w:jc w:val="center"/>
                    <w:rPr>
                      <w:color w:val="auto"/>
                      <w:kern w:val="0"/>
                      <w:szCs w:val="21"/>
                    </w:rPr>
                  </w:pPr>
                </w:p>
              </w:tc>
              <w:tc>
                <w:tcPr>
                  <w:tcW w:w="628" w:type="pct"/>
                  <w:noWrap w:val="0"/>
                  <w:vAlign w:val="center"/>
                </w:tcPr>
                <w:p w14:paraId="511A688A">
                  <w:pPr>
                    <w:adjustRightInd w:val="0"/>
                    <w:snapToGrid w:val="0"/>
                    <w:jc w:val="center"/>
                    <w:rPr>
                      <w:color w:val="auto"/>
                      <w:kern w:val="0"/>
                      <w:szCs w:val="21"/>
                    </w:rPr>
                  </w:pPr>
                  <w:r>
                    <w:rPr>
                      <w:color w:val="auto"/>
                      <w:kern w:val="0"/>
                      <w:szCs w:val="21"/>
                    </w:rPr>
                    <w:t>排气筒高度</w:t>
                  </w:r>
                </w:p>
              </w:tc>
              <w:tc>
                <w:tcPr>
                  <w:tcW w:w="964" w:type="pct"/>
                  <w:noWrap w:val="0"/>
                  <w:vAlign w:val="center"/>
                </w:tcPr>
                <w:p w14:paraId="7A421DED">
                  <w:pPr>
                    <w:adjustRightInd w:val="0"/>
                    <w:snapToGrid w:val="0"/>
                    <w:jc w:val="center"/>
                    <w:rPr>
                      <w:color w:val="auto"/>
                      <w:kern w:val="0"/>
                      <w:szCs w:val="21"/>
                    </w:rPr>
                  </w:pPr>
                  <w:r>
                    <w:rPr>
                      <w:color w:val="auto"/>
                      <w:kern w:val="0"/>
                      <w:szCs w:val="21"/>
                    </w:rPr>
                    <w:t>最高允许排放浓度（mg/m</w:t>
                  </w:r>
                  <w:r>
                    <w:rPr>
                      <w:color w:val="auto"/>
                      <w:kern w:val="0"/>
                      <w:szCs w:val="21"/>
                      <w:vertAlign w:val="superscript"/>
                    </w:rPr>
                    <w:t>3</w:t>
                  </w:r>
                  <w:r>
                    <w:rPr>
                      <w:color w:val="auto"/>
                      <w:kern w:val="0"/>
                      <w:szCs w:val="21"/>
                    </w:rPr>
                    <w:t>）</w:t>
                  </w:r>
                </w:p>
              </w:tc>
              <w:tc>
                <w:tcPr>
                  <w:tcW w:w="925" w:type="pct"/>
                  <w:noWrap w:val="0"/>
                  <w:vAlign w:val="center"/>
                </w:tcPr>
                <w:p w14:paraId="5765989D">
                  <w:pPr>
                    <w:adjustRightInd w:val="0"/>
                    <w:snapToGrid w:val="0"/>
                    <w:jc w:val="center"/>
                    <w:rPr>
                      <w:color w:val="auto"/>
                      <w:kern w:val="0"/>
                      <w:szCs w:val="21"/>
                    </w:rPr>
                  </w:pPr>
                  <w:r>
                    <w:rPr>
                      <w:color w:val="auto"/>
                      <w:kern w:val="0"/>
                      <w:szCs w:val="21"/>
                    </w:rPr>
                    <w:t>最高允许排放速率</w:t>
                  </w:r>
                  <w:r>
                    <w:rPr>
                      <w:rFonts w:hint="eastAsia"/>
                      <w:color w:val="auto"/>
                      <w:kern w:val="0"/>
                      <w:szCs w:val="21"/>
                      <w:lang w:eastAsia="zh-CN"/>
                    </w:rPr>
                    <w:t>（</w:t>
                  </w:r>
                  <w:r>
                    <w:rPr>
                      <w:rFonts w:hint="eastAsia"/>
                      <w:color w:val="auto"/>
                      <w:kern w:val="0"/>
                      <w:szCs w:val="21"/>
                      <w:lang w:val="en-US" w:eastAsia="zh-CN"/>
                    </w:rPr>
                    <w:t>严格50%</w:t>
                  </w:r>
                  <w:r>
                    <w:rPr>
                      <w:rFonts w:hint="eastAsia"/>
                      <w:color w:val="auto"/>
                      <w:kern w:val="0"/>
                      <w:szCs w:val="21"/>
                      <w:lang w:eastAsia="zh-CN"/>
                    </w:rPr>
                    <w:t>）</w:t>
                  </w:r>
                  <w:r>
                    <w:rPr>
                      <w:color w:val="auto"/>
                      <w:kern w:val="0"/>
                      <w:szCs w:val="21"/>
                    </w:rPr>
                    <w:t>（kg/h）</w:t>
                  </w:r>
                </w:p>
              </w:tc>
              <w:tc>
                <w:tcPr>
                  <w:tcW w:w="1148" w:type="pct"/>
                  <w:noWrap w:val="0"/>
                  <w:vAlign w:val="center"/>
                </w:tcPr>
                <w:p w14:paraId="6095DAF7">
                  <w:pPr>
                    <w:adjustRightInd w:val="0"/>
                    <w:snapToGrid w:val="0"/>
                    <w:jc w:val="center"/>
                    <w:rPr>
                      <w:color w:val="auto"/>
                      <w:kern w:val="0"/>
                      <w:szCs w:val="21"/>
                    </w:rPr>
                  </w:pPr>
                  <w:r>
                    <w:rPr>
                      <w:color w:val="auto"/>
                      <w:kern w:val="0"/>
                      <w:szCs w:val="21"/>
                    </w:rPr>
                    <w:t>无组织排放监控浓度限值（mg/m</w:t>
                  </w:r>
                  <w:r>
                    <w:rPr>
                      <w:color w:val="auto"/>
                      <w:kern w:val="0"/>
                      <w:szCs w:val="21"/>
                      <w:vertAlign w:val="superscript"/>
                    </w:rPr>
                    <w:t>3</w:t>
                  </w:r>
                  <w:r>
                    <w:rPr>
                      <w:color w:val="auto"/>
                      <w:kern w:val="0"/>
                      <w:szCs w:val="21"/>
                    </w:rPr>
                    <w:t>）</w:t>
                  </w:r>
                </w:p>
              </w:tc>
            </w:tr>
            <w:tr w14:paraId="3F602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9" w:type="pct"/>
                  <w:vMerge w:val="restart"/>
                  <w:noWrap w:val="0"/>
                  <w:vAlign w:val="center"/>
                </w:tcPr>
                <w:p w14:paraId="4DB03992">
                  <w:pPr>
                    <w:adjustRightInd w:val="0"/>
                    <w:snapToGrid w:val="0"/>
                    <w:jc w:val="center"/>
                    <w:rPr>
                      <w:rFonts w:hint="eastAsia"/>
                      <w:color w:val="auto"/>
                      <w:kern w:val="0"/>
                      <w:szCs w:val="21"/>
                      <w:lang w:val="en-US" w:eastAsia="zh-CN"/>
                    </w:rPr>
                  </w:pPr>
                  <w:r>
                    <w:rPr>
                      <w:rFonts w:hint="eastAsia"/>
                      <w:color w:val="auto"/>
                      <w:kern w:val="0"/>
                      <w:szCs w:val="21"/>
                      <w:lang w:val="en-US" w:eastAsia="zh-CN"/>
                    </w:rPr>
                    <w:t>DA001排气筒</w:t>
                  </w:r>
                </w:p>
              </w:tc>
              <w:tc>
                <w:tcPr>
                  <w:tcW w:w="795" w:type="pct"/>
                  <w:shd w:val="clear" w:color="auto" w:fill="auto"/>
                  <w:noWrap w:val="0"/>
                  <w:vAlign w:val="center"/>
                </w:tcPr>
                <w:p w14:paraId="413169F0">
                  <w:pPr>
                    <w:adjustRightInd w:val="0"/>
                    <w:snapToGrid w:val="0"/>
                    <w:jc w:val="center"/>
                    <w:rPr>
                      <w:color w:val="auto"/>
                      <w:kern w:val="0"/>
                      <w:szCs w:val="21"/>
                    </w:rPr>
                  </w:pPr>
                  <w:r>
                    <w:rPr>
                      <w:rFonts w:hint="eastAsia"/>
                      <w:color w:val="auto"/>
                      <w:kern w:val="0"/>
                      <w:szCs w:val="21"/>
                      <w:lang w:val="en-US" w:eastAsia="zh-CN"/>
                    </w:rPr>
                    <w:t>颗粒物</w:t>
                  </w:r>
                </w:p>
              </w:tc>
              <w:tc>
                <w:tcPr>
                  <w:tcW w:w="628" w:type="pct"/>
                  <w:shd w:val="clear" w:color="auto" w:fill="auto"/>
                  <w:noWrap w:val="0"/>
                  <w:vAlign w:val="center"/>
                </w:tcPr>
                <w:p w14:paraId="1716E284">
                  <w:pPr>
                    <w:adjustRightInd w:val="0"/>
                    <w:snapToGrid w:val="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15</w:t>
                  </w:r>
                </w:p>
              </w:tc>
              <w:tc>
                <w:tcPr>
                  <w:tcW w:w="964" w:type="pct"/>
                  <w:shd w:val="clear" w:color="auto" w:fill="auto"/>
                  <w:noWrap w:val="0"/>
                  <w:vAlign w:val="center"/>
                </w:tcPr>
                <w:p w14:paraId="25F672C0">
                  <w:pPr>
                    <w:adjustRightInd w:val="0"/>
                    <w:snapToGrid w:val="0"/>
                    <w:jc w:val="center"/>
                    <w:rPr>
                      <w:rFonts w:ascii="Times New Roman" w:hAnsi="Times New Roman" w:eastAsia="宋体" w:cs="Times New Roman"/>
                      <w:color w:val="auto"/>
                      <w:kern w:val="0"/>
                      <w:sz w:val="21"/>
                      <w:szCs w:val="21"/>
                      <w:lang w:val="en-US" w:eastAsia="zh-CN" w:bidi="ar-SA"/>
                    </w:rPr>
                  </w:pPr>
                  <w:r>
                    <w:rPr>
                      <w:color w:val="auto"/>
                      <w:kern w:val="0"/>
                      <w:szCs w:val="21"/>
                    </w:rPr>
                    <w:t>120</w:t>
                  </w:r>
                </w:p>
              </w:tc>
              <w:tc>
                <w:tcPr>
                  <w:tcW w:w="925" w:type="pct"/>
                  <w:shd w:val="clear" w:color="auto" w:fill="auto"/>
                  <w:noWrap w:val="0"/>
                  <w:vAlign w:val="center"/>
                </w:tcPr>
                <w:p w14:paraId="0A6897C8">
                  <w:pPr>
                    <w:autoSpaceDE w:val="0"/>
                    <w:autoSpaceDN w:val="0"/>
                    <w:adjustRightInd w:val="0"/>
                    <w:snapToGrid w:val="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1.75</w:t>
                  </w:r>
                </w:p>
              </w:tc>
              <w:tc>
                <w:tcPr>
                  <w:tcW w:w="1148" w:type="pct"/>
                  <w:shd w:val="clear" w:color="auto" w:fill="auto"/>
                  <w:noWrap w:val="0"/>
                  <w:vAlign w:val="center"/>
                </w:tcPr>
                <w:p w14:paraId="0B5D8A3D">
                  <w:pPr>
                    <w:adjustRightInd w:val="0"/>
                    <w:snapToGrid w:val="0"/>
                    <w:jc w:val="center"/>
                    <w:rPr>
                      <w:rFonts w:hint="default"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1.0</w:t>
                  </w:r>
                </w:p>
              </w:tc>
            </w:tr>
            <w:tr w14:paraId="6CED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9" w:type="pct"/>
                  <w:vMerge w:val="continue"/>
                  <w:noWrap w:val="0"/>
                  <w:vAlign w:val="center"/>
                </w:tcPr>
                <w:p w14:paraId="14D63A4D">
                  <w:pPr>
                    <w:adjustRightInd w:val="0"/>
                    <w:snapToGrid w:val="0"/>
                    <w:jc w:val="center"/>
                    <w:rPr>
                      <w:rFonts w:hint="eastAsia"/>
                      <w:color w:val="auto"/>
                      <w:kern w:val="0"/>
                      <w:szCs w:val="21"/>
                      <w:lang w:val="en-US" w:eastAsia="zh-CN"/>
                    </w:rPr>
                  </w:pPr>
                </w:p>
              </w:tc>
              <w:tc>
                <w:tcPr>
                  <w:tcW w:w="795" w:type="pct"/>
                  <w:shd w:val="clear" w:color="auto" w:fill="auto"/>
                  <w:noWrap w:val="0"/>
                  <w:vAlign w:val="center"/>
                </w:tcPr>
                <w:p w14:paraId="292091DB">
                  <w:pPr>
                    <w:adjustRightInd w:val="0"/>
                    <w:snapToGrid w:val="0"/>
                    <w:jc w:val="center"/>
                    <w:rPr>
                      <w:rFonts w:hint="default"/>
                      <w:color w:val="auto"/>
                      <w:kern w:val="0"/>
                      <w:szCs w:val="21"/>
                      <w:lang w:val="en-US" w:eastAsia="zh-CN"/>
                    </w:rPr>
                  </w:pPr>
                  <w:r>
                    <w:rPr>
                      <w:rFonts w:hint="eastAsia"/>
                      <w:color w:val="auto"/>
                      <w:kern w:val="0"/>
                      <w:szCs w:val="21"/>
                      <w:lang w:val="en-US" w:eastAsia="zh-CN"/>
                    </w:rPr>
                    <w:t>烟气黑度</w:t>
                  </w:r>
                </w:p>
              </w:tc>
              <w:tc>
                <w:tcPr>
                  <w:tcW w:w="628" w:type="pct"/>
                  <w:shd w:val="clear" w:color="auto" w:fill="auto"/>
                  <w:noWrap w:val="0"/>
                  <w:vAlign w:val="center"/>
                </w:tcPr>
                <w:p w14:paraId="22C5AEA4">
                  <w:pPr>
                    <w:adjustRightInd w:val="0"/>
                    <w:snapToGrid w:val="0"/>
                    <w:jc w:val="center"/>
                    <w:rPr>
                      <w:rFonts w:hint="default"/>
                      <w:color w:val="auto"/>
                      <w:kern w:val="0"/>
                      <w:szCs w:val="21"/>
                      <w:lang w:val="en-US" w:eastAsia="zh-CN"/>
                    </w:rPr>
                  </w:pPr>
                  <w:r>
                    <w:rPr>
                      <w:rFonts w:hint="eastAsia"/>
                      <w:color w:val="auto"/>
                      <w:kern w:val="0"/>
                      <w:szCs w:val="21"/>
                      <w:lang w:val="en-US" w:eastAsia="zh-CN"/>
                    </w:rPr>
                    <w:t>/</w:t>
                  </w:r>
                </w:p>
              </w:tc>
              <w:tc>
                <w:tcPr>
                  <w:tcW w:w="964" w:type="pct"/>
                  <w:shd w:val="clear" w:color="auto" w:fill="auto"/>
                  <w:noWrap w:val="0"/>
                  <w:vAlign w:val="center"/>
                </w:tcPr>
                <w:p w14:paraId="5028AFAF">
                  <w:pPr>
                    <w:adjustRightInd w:val="0"/>
                    <w:snapToGrid w:val="0"/>
                    <w:jc w:val="center"/>
                    <w:rPr>
                      <w:rFonts w:hint="eastAsia" w:eastAsia="宋体"/>
                      <w:color w:val="auto"/>
                      <w:kern w:val="0"/>
                      <w:szCs w:val="21"/>
                      <w:lang w:val="en-US" w:eastAsia="zh-CN"/>
                    </w:rPr>
                  </w:pPr>
                  <w:r>
                    <w:rPr>
                      <w:rFonts w:hint="eastAsia"/>
                      <w:color w:val="auto"/>
                      <w:kern w:val="0"/>
                      <w:szCs w:val="21"/>
                      <w:lang w:val="en-US" w:eastAsia="zh-CN"/>
                    </w:rPr>
                    <w:t>1.0</w:t>
                  </w:r>
                </w:p>
              </w:tc>
              <w:tc>
                <w:tcPr>
                  <w:tcW w:w="925" w:type="pct"/>
                  <w:shd w:val="clear" w:color="auto" w:fill="auto"/>
                  <w:noWrap w:val="0"/>
                  <w:vAlign w:val="center"/>
                </w:tcPr>
                <w:p w14:paraId="7754D642">
                  <w:pPr>
                    <w:autoSpaceDE w:val="0"/>
                    <w:autoSpaceDN w:val="0"/>
                    <w:adjustRightInd w:val="0"/>
                    <w:snapToGrid w:val="0"/>
                    <w:jc w:val="center"/>
                    <w:rPr>
                      <w:rFonts w:hint="default"/>
                      <w:color w:val="auto"/>
                      <w:kern w:val="0"/>
                      <w:szCs w:val="21"/>
                      <w:lang w:val="en-US" w:eastAsia="zh-CN"/>
                    </w:rPr>
                  </w:pPr>
                  <w:r>
                    <w:rPr>
                      <w:rFonts w:hint="eastAsia"/>
                      <w:color w:val="auto"/>
                      <w:kern w:val="0"/>
                      <w:szCs w:val="21"/>
                      <w:lang w:val="en-US" w:eastAsia="zh-CN"/>
                    </w:rPr>
                    <w:t>/</w:t>
                  </w:r>
                </w:p>
              </w:tc>
              <w:tc>
                <w:tcPr>
                  <w:tcW w:w="1148" w:type="pct"/>
                  <w:shd w:val="clear" w:color="auto" w:fill="auto"/>
                  <w:noWrap w:val="0"/>
                  <w:vAlign w:val="center"/>
                </w:tcPr>
                <w:p w14:paraId="469CA3D2">
                  <w:pPr>
                    <w:adjustRightInd w:val="0"/>
                    <w:snapToGrid w:val="0"/>
                    <w:jc w:val="center"/>
                    <w:rPr>
                      <w:rFonts w:hint="default"/>
                      <w:color w:val="auto"/>
                      <w:kern w:val="0"/>
                      <w:szCs w:val="21"/>
                      <w:lang w:val="en-US" w:eastAsia="zh-CN"/>
                    </w:rPr>
                  </w:pPr>
                  <w:r>
                    <w:rPr>
                      <w:rFonts w:hint="eastAsia"/>
                      <w:color w:val="auto"/>
                      <w:kern w:val="0"/>
                      <w:szCs w:val="21"/>
                      <w:lang w:val="en-US" w:eastAsia="zh-CN"/>
                    </w:rPr>
                    <w:t>/</w:t>
                  </w:r>
                </w:p>
              </w:tc>
            </w:tr>
            <w:tr w14:paraId="1853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9" w:type="pct"/>
                  <w:vMerge w:val="restart"/>
                  <w:noWrap w:val="0"/>
                  <w:vAlign w:val="center"/>
                </w:tcPr>
                <w:p w14:paraId="63E7FF9F">
                  <w:pPr>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DA002排气筒</w:t>
                  </w:r>
                </w:p>
              </w:tc>
              <w:tc>
                <w:tcPr>
                  <w:tcW w:w="795" w:type="pct"/>
                  <w:shd w:val="clear" w:color="auto" w:fill="auto"/>
                  <w:noWrap w:val="0"/>
                  <w:vAlign w:val="center"/>
                </w:tcPr>
                <w:p w14:paraId="0C2B98EA">
                  <w:pPr>
                    <w:adjustRightInd w:val="0"/>
                    <w:snapToGrid w:val="0"/>
                    <w:jc w:val="center"/>
                    <w:rPr>
                      <w:rFonts w:ascii="Times New Roman" w:hAnsi="Times New Roman" w:eastAsia="宋体" w:cs="Times New Roman"/>
                      <w:color w:val="auto"/>
                      <w:kern w:val="0"/>
                      <w:sz w:val="21"/>
                      <w:szCs w:val="21"/>
                      <w:lang w:val="en-US" w:eastAsia="zh-CN" w:bidi="ar-SA"/>
                    </w:rPr>
                  </w:pPr>
                  <w:r>
                    <w:rPr>
                      <w:color w:val="auto"/>
                      <w:kern w:val="0"/>
                      <w:szCs w:val="21"/>
                    </w:rPr>
                    <w:t>非甲烷总烃</w:t>
                  </w:r>
                </w:p>
              </w:tc>
              <w:tc>
                <w:tcPr>
                  <w:tcW w:w="628" w:type="pct"/>
                  <w:shd w:val="clear" w:color="auto" w:fill="auto"/>
                  <w:noWrap w:val="0"/>
                  <w:vAlign w:val="center"/>
                </w:tcPr>
                <w:p w14:paraId="54B3A1AC">
                  <w:pPr>
                    <w:adjustRightInd w:val="0"/>
                    <w:snapToGrid w:val="0"/>
                    <w:jc w:val="center"/>
                    <w:rPr>
                      <w:rFonts w:hint="default"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15</w:t>
                  </w:r>
                </w:p>
              </w:tc>
              <w:tc>
                <w:tcPr>
                  <w:tcW w:w="964" w:type="pct"/>
                  <w:shd w:val="clear" w:color="auto" w:fill="auto"/>
                  <w:noWrap w:val="0"/>
                  <w:vAlign w:val="center"/>
                </w:tcPr>
                <w:p w14:paraId="3156C3E3">
                  <w:pPr>
                    <w:adjustRightInd w:val="0"/>
                    <w:snapToGrid w:val="0"/>
                    <w:jc w:val="center"/>
                    <w:rPr>
                      <w:rFonts w:ascii="Times New Roman" w:hAnsi="Times New Roman" w:eastAsia="宋体" w:cs="Times New Roman"/>
                      <w:color w:val="auto"/>
                      <w:kern w:val="0"/>
                      <w:sz w:val="21"/>
                      <w:szCs w:val="21"/>
                      <w:lang w:val="en-US" w:eastAsia="zh-CN" w:bidi="ar-SA"/>
                    </w:rPr>
                  </w:pPr>
                  <w:r>
                    <w:rPr>
                      <w:snapToGrid w:val="0"/>
                      <w:color w:val="auto"/>
                      <w:szCs w:val="21"/>
                    </w:rPr>
                    <w:t>120</w:t>
                  </w:r>
                </w:p>
              </w:tc>
              <w:tc>
                <w:tcPr>
                  <w:tcW w:w="925" w:type="pct"/>
                  <w:shd w:val="clear" w:color="auto" w:fill="auto"/>
                  <w:noWrap w:val="0"/>
                  <w:vAlign w:val="center"/>
                </w:tcPr>
                <w:p w14:paraId="41C647BF">
                  <w:pPr>
                    <w:autoSpaceDE w:val="0"/>
                    <w:autoSpaceDN w:val="0"/>
                    <w:adjustRightInd w:val="0"/>
                    <w:snapToGrid w:val="0"/>
                    <w:jc w:val="center"/>
                    <w:rPr>
                      <w:rFonts w:hint="default"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5</w:t>
                  </w:r>
                </w:p>
              </w:tc>
              <w:tc>
                <w:tcPr>
                  <w:tcW w:w="1148" w:type="pct"/>
                  <w:shd w:val="clear" w:color="auto" w:fill="auto"/>
                  <w:noWrap w:val="0"/>
                  <w:vAlign w:val="center"/>
                </w:tcPr>
                <w:p w14:paraId="4881FA3B">
                  <w:pPr>
                    <w:adjustRightInd w:val="0"/>
                    <w:snapToGrid w:val="0"/>
                    <w:jc w:val="center"/>
                    <w:rPr>
                      <w:rFonts w:ascii="Times New Roman" w:hAnsi="Times New Roman" w:eastAsia="宋体" w:cs="Times New Roman"/>
                      <w:color w:val="auto"/>
                      <w:kern w:val="0"/>
                      <w:sz w:val="21"/>
                      <w:szCs w:val="21"/>
                      <w:lang w:val="en-US" w:eastAsia="zh-CN" w:bidi="ar-SA"/>
                    </w:rPr>
                  </w:pPr>
                  <w:r>
                    <w:rPr>
                      <w:color w:val="auto"/>
                      <w:kern w:val="0"/>
                      <w:szCs w:val="21"/>
                    </w:rPr>
                    <w:t>4.0</w:t>
                  </w:r>
                </w:p>
              </w:tc>
            </w:tr>
            <w:tr w14:paraId="626C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9" w:type="pct"/>
                  <w:vMerge w:val="continue"/>
                  <w:noWrap w:val="0"/>
                  <w:vAlign w:val="center"/>
                </w:tcPr>
                <w:p w14:paraId="1787B063">
                  <w:pPr>
                    <w:adjustRightInd w:val="0"/>
                    <w:snapToGrid w:val="0"/>
                    <w:jc w:val="center"/>
                    <w:rPr>
                      <w:color w:val="auto"/>
                      <w:kern w:val="0"/>
                      <w:szCs w:val="21"/>
                    </w:rPr>
                  </w:pPr>
                </w:p>
              </w:tc>
              <w:tc>
                <w:tcPr>
                  <w:tcW w:w="795" w:type="pct"/>
                  <w:shd w:val="clear" w:color="auto" w:fill="auto"/>
                  <w:noWrap w:val="0"/>
                  <w:vAlign w:val="center"/>
                </w:tcPr>
                <w:p w14:paraId="232BA13D">
                  <w:pPr>
                    <w:adjustRightInd w:val="0"/>
                    <w:snapToGrid w:val="0"/>
                    <w:jc w:val="center"/>
                    <w:rPr>
                      <w:rFonts w:hint="eastAsia" w:eastAsia="宋体"/>
                      <w:color w:val="auto"/>
                      <w:kern w:val="0"/>
                      <w:szCs w:val="21"/>
                      <w:lang w:val="en-US" w:eastAsia="zh-CN"/>
                    </w:rPr>
                  </w:pPr>
                  <w:r>
                    <w:rPr>
                      <w:rFonts w:hint="eastAsia"/>
                      <w:color w:val="auto"/>
                      <w:kern w:val="0"/>
                      <w:szCs w:val="21"/>
                      <w:lang w:val="en-US" w:eastAsia="zh-CN"/>
                    </w:rPr>
                    <w:t>颗粒物</w:t>
                  </w:r>
                </w:p>
              </w:tc>
              <w:tc>
                <w:tcPr>
                  <w:tcW w:w="628" w:type="pct"/>
                  <w:shd w:val="clear" w:color="auto" w:fill="auto"/>
                  <w:noWrap w:val="0"/>
                  <w:vAlign w:val="center"/>
                </w:tcPr>
                <w:p w14:paraId="2A1CEDD8">
                  <w:pPr>
                    <w:adjustRightInd w:val="0"/>
                    <w:snapToGrid w:val="0"/>
                    <w:jc w:val="center"/>
                    <w:rPr>
                      <w:rFonts w:hint="eastAsia"/>
                      <w:color w:val="auto"/>
                      <w:kern w:val="0"/>
                      <w:szCs w:val="21"/>
                      <w:lang w:val="en-US" w:eastAsia="zh-CN"/>
                    </w:rPr>
                  </w:pPr>
                  <w:r>
                    <w:rPr>
                      <w:rFonts w:hint="eastAsia"/>
                      <w:color w:val="auto"/>
                      <w:kern w:val="0"/>
                      <w:szCs w:val="21"/>
                      <w:lang w:val="en-US" w:eastAsia="zh-CN"/>
                    </w:rPr>
                    <w:t>15</w:t>
                  </w:r>
                </w:p>
              </w:tc>
              <w:tc>
                <w:tcPr>
                  <w:tcW w:w="964" w:type="pct"/>
                  <w:shd w:val="clear" w:color="auto" w:fill="auto"/>
                  <w:noWrap w:val="0"/>
                  <w:vAlign w:val="center"/>
                </w:tcPr>
                <w:p w14:paraId="48D19363">
                  <w:pPr>
                    <w:adjustRightInd w:val="0"/>
                    <w:snapToGrid w:val="0"/>
                    <w:jc w:val="center"/>
                    <w:rPr>
                      <w:rFonts w:ascii="Times New Roman" w:hAnsi="Times New Roman" w:eastAsia="宋体" w:cs="Times New Roman"/>
                      <w:color w:val="auto"/>
                      <w:kern w:val="0"/>
                      <w:sz w:val="21"/>
                      <w:szCs w:val="21"/>
                      <w:lang w:val="en-US" w:eastAsia="zh-CN" w:bidi="ar-SA"/>
                    </w:rPr>
                  </w:pPr>
                  <w:r>
                    <w:rPr>
                      <w:color w:val="auto"/>
                      <w:kern w:val="0"/>
                      <w:szCs w:val="21"/>
                    </w:rPr>
                    <w:t>120</w:t>
                  </w:r>
                </w:p>
              </w:tc>
              <w:tc>
                <w:tcPr>
                  <w:tcW w:w="925" w:type="pct"/>
                  <w:shd w:val="clear" w:color="auto" w:fill="auto"/>
                  <w:noWrap w:val="0"/>
                  <w:vAlign w:val="center"/>
                </w:tcPr>
                <w:p w14:paraId="60080CFC">
                  <w:pPr>
                    <w:autoSpaceDE w:val="0"/>
                    <w:autoSpaceDN w:val="0"/>
                    <w:adjustRightInd w:val="0"/>
                    <w:snapToGrid w:val="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1.75</w:t>
                  </w:r>
                </w:p>
              </w:tc>
              <w:tc>
                <w:tcPr>
                  <w:tcW w:w="1148" w:type="pct"/>
                  <w:shd w:val="clear" w:color="auto" w:fill="auto"/>
                  <w:noWrap w:val="0"/>
                  <w:vAlign w:val="center"/>
                </w:tcPr>
                <w:p w14:paraId="61BA1BFE">
                  <w:pPr>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1.0</w:t>
                  </w:r>
                </w:p>
              </w:tc>
            </w:tr>
            <w:tr w14:paraId="7A00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9" w:type="pct"/>
                  <w:vMerge w:val="continue"/>
                  <w:noWrap w:val="0"/>
                  <w:vAlign w:val="center"/>
                </w:tcPr>
                <w:p w14:paraId="07D458A0">
                  <w:pPr>
                    <w:adjustRightInd w:val="0"/>
                    <w:snapToGrid w:val="0"/>
                    <w:jc w:val="center"/>
                    <w:rPr>
                      <w:color w:val="auto"/>
                      <w:kern w:val="0"/>
                      <w:szCs w:val="21"/>
                    </w:rPr>
                  </w:pPr>
                </w:p>
              </w:tc>
              <w:tc>
                <w:tcPr>
                  <w:tcW w:w="795" w:type="pct"/>
                  <w:shd w:val="clear" w:color="auto" w:fill="auto"/>
                  <w:noWrap w:val="0"/>
                  <w:vAlign w:val="center"/>
                </w:tcPr>
                <w:p w14:paraId="38910E81">
                  <w:pPr>
                    <w:adjustRightInd w:val="0"/>
                    <w:snapToGrid w:val="0"/>
                    <w:jc w:val="center"/>
                    <w:rPr>
                      <w:rFonts w:hint="eastAsia" w:eastAsia="宋体"/>
                      <w:color w:val="auto"/>
                      <w:kern w:val="0"/>
                      <w:szCs w:val="21"/>
                      <w:lang w:val="en-US" w:eastAsia="zh-CN"/>
                    </w:rPr>
                  </w:pPr>
                  <w:r>
                    <w:rPr>
                      <w:rFonts w:hint="eastAsia"/>
                      <w:color w:val="auto"/>
                      <w:kern w:val="0"/>
                      <w:szCs w:val="21"/>
                      <w:lang w:val="en-US" w:eastAsia="zh-CN"/>
                    </w:rPr>
                    <w:t>二氧化硫</w:t>
                  </w:r>
                </w:p>
              </w:tc>
              <w:tc>
                <w:tcPr>
                  <w:tcW w:w="628" w:type="pct"/>
                  <w:shd w:val="clear" w:color="auto" w:fill="auto"/>
                  <w:noWrap w:val="0"/>
                  <w:vAlign w:val="center"/>
                </w:tcPr>
                <w:p w14:paraId="27FE6408">
                  <w:pPr>
                    <w:adjustRightInd w:val="0"/>
                    <w:snapToGrid w:val="0"/>
                    <w:jc w:val="center"/>
                    <w:rPr>
                      <w:rFonts w:hint="eastAsia"/>
                      <w:color w:val="auto"/>
                      <w:kern w:val="0"/>
                      <w:szCs w:val="21"/>
                      <w:lang w:val="en-US" w:eastAsia="zh-CN"/>
                    </w:rPr>
                  </w:pPr>
                  <w:r>
                    <w:rPr>
                      <w:rFonts w:hint="eastAsia"/>
                      <w:color w:val="auto"/>
                      <w:kern w:val="0"/>
                      <w:szCs w:val="21"/>
                      <w:lang w:val="en-US" w:eastAsia="zh-CN"/>
                    </w:rPr>
                    <w:t>15</w:t>
                  </w:r>
                </w:p>
              </w:tc>
              <w:tc>
                <w:tcPr>
                  <w:tcW w:w="964" w:type="pct"/>
                  <w:shd w:val="clear" w:color="auto" w:fill="auto"/>
                  <w:noWrap w:val="0"/>
                  <w:vAlign w:val="center"/>
                </w:tcPr>
                <w:p w14:paraId="51423A8F">
                  <w:pPr>
                    <w:adjustRightInd w:val="0"/>
                    <w:snapToGrid w:val="0"/>
                    <w:jc w:val="center"/>
                    <w:rPr>
                      <w:rFonts w:hint="default" w:eastAsia="宋体"/>
                      <w:snapToGrid w:val="0"/>
                      <w:color w:val="auto"/>
                      <w:szCs w:val="21"/>
                      <w:lang w:val="en-US" w:eastAsia="zh-CN"/>
                    </w:rPr>
                  </w:pPr>
                  <w:r>
                    <w:rPr>
                      <w:rFonts w:hint="eastAsia"/>
                      <w:snapToGrid w:val="0"/>
                      <w:color w:val="auto"/>
                      <w:szCs w:val="21"/>
                      <w:lang w:val="en-US" w:eastAsia="zh-CN"/>
                    </w:rPr>
                    <w:t>550</w:t>
                  </w:r>
                </w:p>
              </w:tc>
              <w:tc>
                <w:tcPr>
                  <w:tcW w:w="925" w:type="pct"/>
                  <w:shd w:val="clear" w:color="auto" w:fill="auto"/>
                  <w:noWrap w:val="0"/>
                  <w:vAlign w:val="center"/>
                </w:tcPr>
                <w:p w14:paraId="6C69E9B1">
                  <w:pPr>
                    <w:autoSpaceDE w:val="0"/>
                    <w:autoSpaceDN w:val="0"/>
                    <w:adjustRightInd w:val="0"/>
                    <w:snapToGrid w:val="0"/>
                    <w:jc w:val="center"/>
                    <w:rPr>
                      <w:rFonts w:hint="default"/>
                      <w:color w:val="auto"/>
                      <w:kern w:val="0"/>
                      <w:szCs w:val="21"/>
                      <w:lang w:val="en-US" w:eastAsia="zh-CN"/>
                    </w:rPr>
                  </w:pPr>
                  <w:r>
                    <w:rPr>
                      <w:rFonts w:hint="eastAsia"/>
                      <w:color w:val="auto"/>
                      <w:kern w:val="0"/>
                      <w:szCs w:val="21"/>
                      <w:lang w:val="en-US" w:eastAsia="zh-CN"/>
                    </w:rPr>
                    <w:t>1.3</w:t>
                  </w:r>
                </w:p>
              </w:tc>
              <w:tc>
                <w:tcPr>
                  <w:tcW w:w="1148" w:type="pct"/>
                  <w:shd w:val="clear" w:color="auto" w:fill="auto"/>
                  <w:noWrap w:val="0"/>
                  <w:vAlign w:val="center"/>
                </w:tcPr>
                <w:p w14:paraId="75E8A231">
                  <w:pPr>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0.4</w:t>
                  </w:r>
                </w:p>
              </w:tc>
            </w:tr>
            <w:tr w14:paraId="4B2B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9" w:type="pct"/>
                  <w:vMerge w:val="continue"/>
                  <w:noWrap w:val="0"/>
                  <w:vAlign w:val="center"/>
                </w:tcPr>
                <w:p w14:paraId="2A093199">
                  <w:pPr>
                    <w:adjustRightInd w:val="0"/>
                    <w:snapToGrid w:val="0"/>
                    <w:jc w:val="center"/>
                    <w:rPr>
                      <w:color w:val="auto"/>
                      <w:kern w:val="0"/>
                      <w:szCs w:val="21"/>
                    </w:rPr>
                  </w:pPr>
                </w:p>
              </w:tc>
              <w:tc>
                <w:tcPr>
                  <w:tcW w:w="795" w:type="pct"/>
                  <w:shd w:val="clear" w:color="auto" w:fill="auto"/>
                  <w:noWrap w:val="0"/>
                  <w:vAlign w:val="center"/>
                </w:tcPr>
                <w:p w14:paraId="7F719C97">
                  <w:pPr>
                    <w:adjustRightInd w:val="0"/>
                    <w:snapToGrid w:val="0"/>
                    <w:jc w:val="center"/>
                    <w:rPr>
                      <w:rFonts w:hint="default"/>
                      <w:color w:val="auto"/>
                      <w:kern w:val="0"/>
                      <w:szCs w:val="21"/>
                      <w:lang w:val="en-US" w:eastAsia="zh-CN"/>
                    </w:rPr>
                  </w:pPr>
                  <w:r>
                    <w:rPr>
                      <w:rFonts w:hint="eastAsia"/>
                      <w:color w:val="auto"/>
                      <w:kern w:val="0"/>
                      <w:szCs w:val="21"/>
                      <w:lang w:val="en-US" w:eastAsia="zh-CN"/>
                    </w:rPr>
                    <w:t>烟气黑度</w:t>
                  </w:r>
                </w:p>
              </w:tc>
              <w:tc>
                <w:tcPr>
                  <w:tcW w:w="628" w:type="pct"/>
                  <w:shd w:val="clear" w:color="auto" w:fill="auto"/>
                  <w:noWrap w:val="0"/>
                  <w:vAlign w:val="center"/>
                </w:tcPr>
                <w:p w14:paraId="49BC0C16">
                  <w:pPr>
                    <w:adjustRightInd w:val="0"/>
                    <w:snapToGrid w:val="0"/>
                    <w:jc w:val="center"/>
                    <w:rPr>
                      <w:rFonts w:hint="default"/>
                      <w:color w:val="auto"/>
                      <w:kern w:val="0"/>
                      <w:szCs w:val="21"/>
                      <w:lang w:val="en-US" w:eastAsia="zh-CN"/>
                    </w:rPr>
                  </w:pPr>
                  <w:r>
                    <w:rPr>
                      <w:rFonts w:hint="eastAsia"/>
                      <w:color w:val="auto"/>
                      <w:kern w:val="0"/>
                      <w:szCs w:val="21"/>
                      <w:lang w:val="en-US" w:eastAsia="zh-CN"/>
                    </w:rPr>
                    <w:t>/</w:t>
                  </w:r>
                </w:p>
              </w:tc>
              <w:tc>
                <w:tcPr>
                  <w:tcW w:w="964" w:type="pct"/>
                  <w:shd w:val="clear" w:color="auto" w:fill="auto"/>
                  <w:noWrap w:val="0"/>
                  <w:vAlign w:val="center"/>
                </w:tcPr>
                <w:p w14:paraId="2B58BE5B">
                  <w:pPr>
                    <w:adjustRightInd w:val="0"/>
                    <w:snapToGrid w:val="0"/>
                    <w:jc w:val="center"/>
                    <w:rPr>
                      <w:rFonts w:hint="default"/>
                      <w:snapToGrid w:val="0"/>
                      <w:color w:val="auto"/>
                      <w:szCs w:val="21"/>
                      <w:lang w:val="en-US" w:eastAsia="zh-CN"/>
                    </w:rPr>
                  </w:pPr>
                  <w:r>
                    <w:rPr>
                      <w:rFonts w:hint="eastAsia"/>
                      <w:color w:val="auto"/>
                      <w:kern w:val="0"/>
                      <w:szCs w:val="21"/>
                      <w:lang w:val="en-US" w:eastAsia="zh-CN"/>
                    </w:rPr>
                    <w:t>1.0</w:t>
                  </w:r>
                </w:p>
              </w:tc>
              <w:tc>
                <w:tcPr>
                  <w:tcW w:w="925" w:type="pct"/>
                  <w:shd w:val="clear" w:color="auto" w:fill="auto"/>
                  <w:noWrap w:val="0"/>
                  <w:vAlign w:val="center"/>
                </w:tcPr>
                <w:p w14:paraId="2682DE4F">
                  <w:pPr>
                    <w:autoSpaceDE w:val="0"/>
                    <w:autoSpaceDN w:val="0"/>
                    <w:adjustRightInd w:val="0"/>
                    <w:snapToGrid w:val="0"/>
                    <w:jc w:val="center"/>
                    <w:rPr>
                      <w:rFonts w:hint="default"/>
                      <w:color w:val="auto"/>
                      <w:kern w:val="0"/>
                      <w:szCs w:val="21"/>
                      <w:lang w:val="en-US" w:eastAsia="zh-CN"/>
                    </w:rPr>
                  </w:pPr>
                  <w:r>
                    <w:rPr>
                      <w:rFonts w:hint="eastAsia"/>
                      <w:color w:val="auto"/>
                      <w:kern w:val="0"/>
                      <w:szCs w:val="21"/>
                      <w:lang w:val="en-US" w:eastAsia="zh-CN"/>
                    </w:rPr>
                    <w:t>/</w:t>
                  </w:r>
                </w:p>
              </w:tc>
              <w:tc>
                <w:tcPr>
                  <w:tcW w:w="1148" w:type="pct"/>
                  <w:shd w:val="clear" w:color="auto" w:fill="auto"/>
                  <w:noWrap w:val="0"/>
                  <w:vAlign w:val="center"/>
                </w:tcPr>
                <w:p w14:paraId="2DD9FA7B">
                  <w:pPr>
                    <w:adjustRightInd w:val="0"/>
                    <w:snapToGrid w:val="0"/>
                    <w:jc w:val="center"/>
                    <w:rPr>
                      <w:rFonts w:hint="eastAsia"/>
                      <w:color w:val="auto"/>
                      <w:kern w:val="0"/>
                      <w:szCs w:val="21"/>
                      <w:lang w:val="en-US" w:eastAsia="zh-CN"/>
                    </w:rPr>
                  </w:pPr>
                  <w:r>
                    <w:rPr>
                      <w:rFonts w:hint="eastAsia"/>
                      <w:color w:val="auto"/>
                      <w:kern w:val="0"/>
                      <w:szCs w:val="21"/>
                      <w:lang w:val="en-US" w:eastAsia="zh-CN"/>
                    </w:rPr>
                    <w:t>/</w:t>
                  </w:r>
                </w:p>
              </w:tc>
            </w:tr>
            <w:tr w14:paraId="0759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9" w:type="pct"/>
                  <w:vMerge w:val="continue"/>
                  <w:noWrap w:val="0"/>
                  <w:vAlign w:val="center"/>
                </w:tcPr>
                <w:p w14:paraId="27D19E56">
                  <w:pPr>
                    <w:adjustRightInd w:val="0"/>
                    <w:snapToGrid w:val="0"/>
                    <w:jc w:val="center"/>
                    <w:rPr>
                      <w:color w:val="auto"/>
                      <w:kern w:val="0"/>
                      <w:szCs w:val="21"/>
                    </w:rPr>
                  </w:pPr>
                </w:p>
              </w:tc>
              <w:tc>
                <w:tcPr>
                  <w:tcW w:w="795" w:type="pct"/>
                  <w:shd w:val="clear" w:color="auto" w:fill="auto"/>
                  <w:noWrap w:val="0"/>
                  <w:vAlign w:val="center"/>
                </w:tcPr>
                <w:p w14:paraId="32641A08">
                  <w:pPr>
                    <w:adjustRightInd w:val="0"/>
                    <w:snapToGrid w:val="0"/>
                    <w:jc w:val="center"/>
                    <w:rPr>
                      <w:rFonts w:hint="eastAsia" w:eastAsia="宋体"/>
                      <w:color w:val="auto"/>
                      <w:kern w:val="0"/>
                      <w:szCs w:val="21"/>
                      <w:lang w:val="en-US" w:eastAsia="zh-CN"/>
                    </w:rPr>
                  </w:pPr>
                  <w:r>
                    <w:rPr>
                      <w:rFonts w:hint="eastAsia"/>
                      <w:color w:val="auto"/>
                      <w:kern w:val="0"/>
                      <w:szCs w:val="21"/>
                      <w:lang w:val="en-US" w:eastAsia="zh-CN"/>
                    </w:rPr>
                    <w:t>氮氧化物</w:t>
                  </w:r>
                </w:p>
              </w:tc>
              <w:tc>
                <w:tcPr>
                  <w:tcW w:w="628" w:type="pct"/>
                  <w:shd w:val="clear" w:color="auto" w:fill="auto"/>
                  <w:noWrap w:val="0"/>
                  <w:vAlign w:val="center"/>
                </w:tcPr>
                <w:p w14:paraId="19D94A1A">
                  <w:pPr>
                    <w:adjustRightInd w:val="0"/>
                    <w:snapToGrid w:val="0"/>
                    <w:jc w:val="center"/>
                    <w:rPr>
                      <w:rFonts w:hint="eastAsia"/>
                      <w:color w:val="auto"/>
                      <w:kern w:val="0"/>
                      <w:szCs w:val="21"/>
                      <w:lang w:val="en-US" w:eastAsia="zh-CN"/>
                    </w:rPr>
                  </w:pPr>
                  <w:r>
                    <w:rPr>
                      <w:rFonts w:hint="eastAsia"/>
                      <w:color w:val="auto"/>
                      <w:kern w:val="0"/>
                      <w:szCs w:val="21"/>
                      <w:lang w:val="en-US" w:eastAsia="zh-CN"/>
                    </w:rPr>
                    <w:t>15</w:t>
                  </w:r>
                </w:p>
              </w:tc>
              <w:tc>
                <w:tcPr>
                  <w:tcW w:w="964" w:type="pct"/>
                  <w:shd w:val="clear" w:color="auto" w:fill="auto"/>
                  <w:noWrap w:val="0"/>
                  <w:vAlign w:val="center"/>
                </w:tcPr>
                <w:p w14:paraId="2EC05A65">
                  <w:pPr>
                    <w:adjustRightInd w:val="0"/>
                    <w:snapToGrid w:val="0"/>
                    <w:jc w:val="center"/>
                    <w:rPr>
                      <w:rFonts w:hint="default" w:eastAsia="宋体"/>
                      <w:snapToGrid w:val="0"/>
                      <w:color w:val="auto"/>
                      <w:szCs w:val="21"/>
                      <w:lang w:val="en-US" w:eastAsia="zh-CN"/>
                    </w:rPr>
                  </w:pPr>
                  <w:r>
                    <w:rPr>
                      <w:rFonts w:hint="eastAsia"/>
                      <w:snapToGrid w:val="0"/>
                      <w:color w:val="auto"/>
                      <w:szCs w:val="21"/>
                      <w:lang w:val="en-US" w:eastAsia="zh-CN"/>
                    </w:rPr>
                    <w:t>240</w:t>
                  </w:r>
                </w:p>
              </w:tc>
              <w:tc>
                <w:tcPr>
                  <w:tcW w:w="925" w:type="pct"/>
                  <w:shd w:val="clear" w:color="auto" w:fill="auto"/>
                  <w:noWrap w:val="0"/>
                  <w:vAlign w:val="center"/>
                </w:tcPr>
                <w:p w14:paraId="639448B6">
                  <w:pPr>
                    <w:autoSpaceDE w:val="0"/>
                    <w:autoSpaceDN w:val="0"/>
                    <w:adjustRightInd w:val="0"/>
                    <w:snapToGrid w:val="0"/>
                    <w:jc w:val="center"/>
                    <w:rPr>
                      <w:rFonts w:hint="default"/>
                      <w:color w:val="auto"/>
                      <w:kern w:val="0"/>
                      <w:szCs w:val="21"/>
                      <w:lang w:val="en-US" w:eastAsia="zh-CN"/>
                    </w:rPr>
                  </w:pPr>
                  <w:r>
                    <w:rPr>
                      <w:rFonts w:hint="eastAsia"/>
                      <w:color w:val="auto"/>
                      <w:kern w:val="0"/>
                      <w:szCs w:val="21"/>
                      <w:lang w:val="en-US" w:eastAsia="zh-CN"/>
                    </w:rPr>
                    <w:t>0.39</w:t>
                  </w:r>
                </w:p>
              </w:tc>
              <w:tc>
                <w:tcPr>
                  <w:tcW w:w="1148" w:type="pct"/>
                  <w:shd w:val="clear" w:color="auto" w:fill="auto"/>
                  <w:noWrap w:val="0"/>
                  <w:vAlign w:val="center"/>
                </w:tcPr>
                <w:p w14:paraId="3D6DC961">
                  <w:pPr>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0.12</w:t>
                  </w:r>
                </w:p>
              </w:tc>
            </w:tr>
            <w:tr w14:paraId="23B4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000" w:type="pct"/>
                  <w:gridSpan w:val="6"/>
                  <w:noWrap w:val="0"/>
                  <w:vAlign w:val="center"/>
                </w:tcPr>
                <w:p w14:paraId="2ADAFEC3">
                  <w:pPr>
                    <w:tabs>
                      <w:tab w:val="left" w:pos="1203"/>
                    </w:tabs>
                    <w:adjustRightInd w:val="0"/>
                    <w:snapToGrid w:val="0"/>
                    <w:jc w:val="left"/>
                    <w:rPr>
                      <w:rFonts w:hint="default" w:eastAsia="宋体"/>
                      <w:color w:val="auto"/>
                      <w:kern w:val="0"/>
                      <w:sz w:val="20"/>
                      <w:szCs w:val="20"/>
                      <w:lang w:val="en-US" w:eastAsia="zh-CN"/>
                    </w:rPr>
                  </w:pPr>
                  <w:r>
                    <w:rPr>
                      <w:rFonts w:hint="eastAsia"/>
                      <w:color w:val="auto"/>
                      <w:kern w:val="0"/>
                      <w:sz w:val="20"/>
                      <w:szCs w:val="20"/>
                    </w:rPr>
                    <w:t>备注：</w:t>
                  </w:r>
                  <w:r>
                    <w:rPr>
                      <w:rFonts w:hint="eastAsia"/>
                      <w:color w:val="auto"/>
                      <w:kern w:val="0"/>
                      <w:sz w:val="20"/>
                      <w:szCs w:val="20"/>
                    </w:rPr>
                    <w:t>企业考虑在满足达标排放的前提下，15米排气筒在投资成本、施工安全性和后期运维便捷性上更优，能够确保项目长期稳定运行，因此选择建设15m排气筒</w:t>
                  </w:r>
                  <w:r>
                    <w:rPr>
                      <w:rFonts w:hint="eastAsia"/>
                      <w:color w:val="auto"/>
                      <w:kern w:val="0"/>
                      <w:sz w:val="20"/>
                      <w:szCs w:val="20"/>
                      <w:lang w:eastAsia="zh-CN"/>
                    </w:rPr>
                    <w:t>，</w:t>
                  </w:r>
                  <w:r>
                    <w:rPr>
                      <w:rFonts w:hint="eastAsia"/>
                      <w:color w:val="auto"/>
                      <w:kern w:val="0"/>
                      <w:sz w:val="20"/>
                      <w:szCs w:val="20"/>
                      <w:lang w:val="en-US" w:eastAsia="zh-CN"/>
                    </w:rPr>
                    <w:t>项目</w:t>
                  </w:r>
                  <w:r>
                    <w:rPr>
                      <w:rFonts w:hint="eastAsia"/>
                      <w:color w:val="auto"/>
                      <w:sz w:val="20"/>
                      <w:szCs w:val="20"/>
                      <w:lang w:val="en-US" w:eastAsia="zh-CN"/>
                    </w:rPr>
                    <w:t>DA001、DA002</w:t>
                  </w:r>
                  <w:r>
                    <w:rPr>
                      <w:rFonts w:hint="eastAsia"/>
                      <w:color w:val="auto"/>
                      <w:sz w:val="20"/>
                      <w:szCs w:val="20"/>
                    </w:rPr>
                    <w:t>排气筒200m范围内有</w:t>
                  </w:r>
                  <w:r>
                    <w:rPr>
                      <w:rFonts w:hint="eastAsia"/>
                      <w:color w:val="auto"/>
                      <w:sz w:val="20"/>
                      <w:szCs w:val="20"/>
                      <w:lang w:val="en-US" w:eastAsia="zh-CN"/>
                    </w:rPr>
                    <w:t>厂房</w:t>
                  </w:r>
                  <w:r>
                    <w:rPr>
                      <w:color w:val="auto"/>
                      <w:sz w:val="20"/>
                      <w:szCs w:val="20"/>
                    </w:rPr>
                    <w:t>高</w:t>
                  </w:r>
                  <w:r>
                    <w:rPr>
                      <w:rFonts w:hint="eastAsia"/>
                      <w:color w:val="auto"/>
                      <w:sz w:val="20"/>
                      <w:szCs w:val="20"/>
                    </w:rPr>
                    <w:t>1</w:t>
                  </w:r>
                  <w:r>
                    <w:rPr>
                      <w:rFonts w:hint="eastAsia"/>
                      <w:color w:val="auto"/>
                      <w:sz w:val="20"/>
                      <w:szCs w:val="20"/>
                      <w:lang w:val="en-US" w:eastAsia="zh-CN"/>
                    </w:rPr>
                    <w:t>2</w:t>
                  </w:r>
                  <w:r>
                    <w:rPr>
                      <w:color w:val="auto"/>
                      <w:sz w:val="20"/>
                      <w:szCs w:val="20"/>
                    </w:rPr>
                    <w:t>m</w:t>
                  </w:r>
                  <w:r>
                    <w:rPr>
                      <w:rFonts w:hint="eastAsia"/>
                      <w:color w:val="auto"/>
                      <w:sz w:val="20"/>
                      <w:szCs w:val="20"/>
                    </w:rPr>
                    <w:t>，拟建排气筒</w:t>
                  </w:r>
                  <w:r>
                    <w:rPr>
                      <w:color w:val="auto"/>
                      <w:sz w:val="20"/>
                      <w:szCs w:val="20"/>
                    </w:rPr>
                    <w:t>高度</w:t>
                  </w:r>
                  <w:r>
                    <w:rPr>
                      <w:rFonts w:hint="eastAsia"/>
                      <w:color w:val="auto"/>
                      <w:sz w:val="20"/>
                      <w:szCs w:val="20"/>
                      <w:lang w:val="en-US" w:eastAsia="zh-CN"/>
                    </w:rPr>
                    <w:t>未能</w:t>
                  </w:r>
                  <w:r>
                    <w:rPr>
                      <w:color w:val="auto"/>
                      <w:sz w:val="20"/>
                      <w:szCs w:val="20"/>
                    </w:rPr>
                    <w:t>高出周围200m半径范围的建筑5m以上</w:t>
                  </w:r>
                  <w:r>
                    <w:rPr>
                      <w:rFonts w:hint="eastAsia"/>
                      <w:color w:val="auto"/>
                      <w:sz w:val="20"/>
                      <w:szCs w:val="20"/>
                      <w:lang w:eastAsia="zh-CN"/>
                    </w:rPr>
                    <w:t>，</w:t>
                  </w:r>
                  <w:r>
                    <w:rPr>
                      <w:rFonts w:hint="eastAsia"/>
                      <w:color w:val="auto"/>
                      <w:sz w:val="20"/>
                      <w:szCs w:val="20"/>
                      <w:lang w:val="en-US" w:eastAsia="zh-CN"/>
                    </w:rPr>
                    <w:t>故排放速率需严格50%执行。</w:t>
                  </w:r>
                </w:p>
              </w:tc>
            </w:tr>
          </w:tbl>
          <w:p w14:paraId="7397509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运营期项目涉VOCs物料贮存、输送、工艺使用环节采取的无组织控制措施执行《挥发性有机物无组织排放控制标准》（GB37822-2019）。</w:t>
            </w:r>
          </w:p>
          <w:p w14:paraId="668E3DC0">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表</w:t>
            </w:r>
            <w:r>
              <w:rPr>
                <w:rFonts w:hint="eastAsia" w:ascii="Times New Roman" w:hAnsi="Times New Roman" w:eastAsia="宋体" w:cs="Times New Roman"/>
                <w:b/>
                <w:bCs/>
                <w:color w:val="auto"/>
                <w:sz w:val="24"/>
                <w:szCs w:val="24"/>
              </w:rPr>
              <w:t>3-</w:t>
            </w:r>
            <w:r>
              <w:rPr>
                <w:rFonts w:hint="eastAsia" w:cs="Times New Roman"/>
                <w:b/>
                <w:bCs/>
                <w:color w:val="auto"/>
                <w:sz w:val="24"/>
                <w:szCs w:val="24"/>
                <w:lang w:val="en-US" w:eastAsia="zh-CN"/>
              </w:rPr>
              <w:t>5</w:t>
            </w:r>
            <w:r>
              <w:rPr>
                <w:rFonts w:hint="eastAsia" w:ascii="Times New Roman" w:hAnsi="Times New Roman" w:eastAsia="宋体" w:cs="Times New Roman"/>
                <w:b/>
                <w:bCs/>
                <w:color w:val="auto"/>
                <w:sz w:val="24"/>
                <w:szCs w:val="24"/>
              </w:rPr>
              <w:t xml:space="preserve"> 《挥发性有机物无组织排放控制标准》（GB37822-2019）</w:t>
            </w:r>
          </w:p>
          <w:tbl>
            <w:tblPr>
              <w:tblStyle w:val="39"/>
              <w:tblW w:w="8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5"/>
              <w:gridCol w:w="1699"/>
              <w:gridCol w:w="2735"/>
              <w:gridCol w:w="2300"/>
            </w:tblGrid>
            <w:tr w14:paraId="63F0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285" w:type="dxa"/>
                  <w:noWrap w:val="0"/>
                  <w:vAlign w:val="center"/>
                </w:tcPr>
                <w:p w14:paraId="1148B8C5">
                  <w:pPr>
                    <w:adjustRightInd w:val="0"/>
                    <w:snapToGrid w:val="0"/>
                    <w:jc w:val="center"/>
                    <w:rPr>
                      <w:color w:val="auto"/>
                      <w:szCs w:val="21"/>
                      <w:highlight w:val="none"/>
                    </w:rPr>
                  </w:pPr>
                  <w:r>
                    <w:rPr>
                      <w:color w:val="auto"/>
                      <w:highlight w:val="none"/>
                    </w:rPr>
                    <w:t>污染物项目</w:t>
                  </w:r>
                </w:p>
              </w:tc>
              <w:tc>
                <w:tcPr>
                  <w:tcW w:w="1699" w:type="dxa"/>
                  <w:noWrap w:val="0"/>
                  <w:vAlign w:val="center"/>
                </w:tcPr>
                <w:p w14:paraId="6979A6AD">
                  <w:pPr>
                    <w:pStyle w:val="37"/>
                    <w:adjustRightInd w:val="0"/>
                    <w:snapToGrid w:val="0"/>
                    <w:spacing w:after="0"/>
                    <w:ind w:left="0" w:leftChars="0" w:firstLine="0" w:firstLineChars="0"/>
                    <w:jc w:val="center"/>
                    <w:rPr>
                      <w:rFonts w:hint="eastAsia"/>
                      <w:color w:val="auto"/>
                      <w:highlight w:val="none"/>
                    </w:rPr>
                  </w:pPr>
                  <w:r>
                    <w:rPr>
                      <w:rFonts w:hint="eastAsia"/>
                      <w:color w:val="auto"/>
                      <w:szCs w:val="22"/>
                      <w:highlight w:val="none"/>
                    </w:rPr>
                    <w:t>厂区内无组织</w:t>
                  </w:r>
                  <w:r>
                    <w:rPr>
                      <w:color w:val="auto"/>
                      <w:szCs w:val="22"/>
                      <w:highlight w:val="none"/>
                    </w:rPr>
                    <w:t>排放限值</w:t>
                  </w:r>
                  <w:r>
                    <w:rPr>
                      <w:color w:val="auto"/>
                      <w:szCs w:val="21"/>
                      <w:highlight w:val="none"/>
                    </w:rPr>
                    <w:t>（mg/m</w:t>
                  </w:r>
                  <w:r>
                    <w:rPr>
                      <w:color w:val="auto"/>
                      <w:szCs w:val="21"/>
                      <w:highlight w:val="none"/>
                      <w:vertAlign w:val="superscript"/>
                    </w:rPr>
                    <w:t>3</w:t>
                  </w:r>
                  <w:r>
                    <w:rPr>
                      <w:color w:val="auto"/>
                      <w:szCs w:val="21"/>
                      <w:highlight w:val="none"/>
                    </w:rPr>
                    <w:t>）</w:t>
                  </w:r>
                </w:p>
              </w:tc>
              <w:tc>
                <w:tcPr>
                  <w:tcW w:w="2735" w:type="dxa"/>
                  <w:noWrap w:val="0"/>
                  <w:vAlign w:val="center"/>
                </w:tcPr>
                <w:p w14:paraId="6125472D">
                  <w:pPr>
                    <w:pStyle w:val="37"/>
                    <w:adjustRightInd w:val="0"/>
                    <w:snapToGrid w:val="0"/>
                    <w:spacing w:after="0"/>
                    <w:ind w:left="0" w:leftChars="0" w:firstLine="0" w:firstLineChars="0"/>
                    <w:jc w:val="center"/>
                    <w:rPr>
                      <w:color w:val="auto"/>
                      <w:szCs w:val="21"/>
                      <w:highlight w:val="none"/>
                    </w:rPr>
                  </w:pPr>
                  <w:r>
                    <w:rPr>
                      <w:color w:val="auto"/>
                      <w:szCs w:val="22"/>
                      <w:highlight w:val="none"/>
                    </w:rPr>
                    <w:t>限值含义</w:t>
                  </w:r>
                </w:p>
              </w:tc>
              <w:tc>
                <w:tcPr>
                  <w:tcW w:w="2300" w:type="dxa"/>
                  <w:noWrap w:val="0"/>
                  <w:vAlign w:val="center"/>
                </w:tcPr>
                <w:p w14:paraId="1E4C3486">
                  <w:pPr>
                    <w:adjustRightInd w:val="0"/>
                    <w:snapToGrid w:val="0"/>
                    <w:jc w:val="center"/>
                    <w:rPr>
                      <w:color w:val="auto"/>
                      <w:szCs w:val="21"/>
                      <w:highlight w:val="none"/>
                    </w:rPr>
                  </w:pPr>
                  <w:r>
                    <w:rPr>
                      <w:color w:val="auto"/>
                      <w:szCs w:val="22"/>
                      <w:highlight w:val="none"/>
                    </w:rPr>
                    <w:t>无组织排放监控位置</w:t>
                  </w:r>
                </w:p>
              </w:tc>
            </w:tr>
            <w:tr w14:paraId="7A8A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5" w:type="dxa"/>
                  <w:vMerge w:val="restart"/>
                  <w:noWrap w:val="0"/>
                  <w:vAlign w:val="center"/>
                </w:tcPr>
                <w:p w14:paraId="784FE7EA">
                  <w:pPr>
                    <w:adjustRightInd w:val="0"/>
                    <w:snapToGrid w:val="0"/>
                    <w:jc w:val="center"/>
                    <w:rPr>
                      <w:rFonts w:hint="eastAsia"/>
                      <w:color w:val="auto"/>
                      <w:szCs w:val="21"/>
                      <w:highlight w:val="none"/>
                    </w:rPr>
                  </w:pPr>
                  <w:r>
                    <w:rPr>
                      <w:rFonts w:hint="eastAsia"/>
                      <w:color w:val="auto"/>
                      <w:szCs w:val="21"/>
                      <w:highlight w:val="none"/>
                    </w:rPr>
                    <w:t>非甲烷总烃</w:t>
                  </w:r>
                </w:p>
              </w:tc>
              <w:tc>
                <w:tcPr>
                  <w:tcW w:w="1699" w:type="dxa"/>
                  <w:noWrap w:val="0"/>
                  <w:vAlign w:val="center"/>
                </w:tcPr>
                <w:p w14:paraId="48D1FFAE">
                  <w:pPr>
                    <w:pStyle w:val="37"/>
                    <w:adjustRightInd w:val="0"/>
                    <w:snapToGrid w:val="0"/>
                    <w:spacing w:after="0"/>
                    <w:ind w:left="0" w:leftChars="0" w:firstLine="0" w:firstLineChars="0"/>
                    <w:jc w:val="center"/>
                    <w:rPr>
                      <w:color w:val="auto"/>
                      <w:szCs w:val="21"/>
                      <w:highlight w:val="none"/>
                    </w:rPr>
                  </w:pPr>
                  <w:r>
                    <w:rPr>
                      <w:color w:val="auto"/>
                      <w:szCs w:val="22"/>
                      <w:highlight w:val="none"/>
                    </w:rPr>
                    <w:t>10</w:t>
                  </w:r>
                </w:p>
              </w:tc>
              <w:tc>
                <w:tcPr>
                  <w:tcW w:w="2735" w:type="dxa"/>
                  <w:noWrap w:val="0"/>
                  <w:vAlign w:val="center"/>
                </w:tcPr>
                <w:p w14:paraId="691EB363">
                  <w:pPr>
                    <w:pStyle w:val="37"/>
                    <w:adjustRightInd w:val="0"/>
                    <w:snapToGrid w:val="0"/>
                    <w:spacing w:after="0"/>
                    <w:ind w:left="0" w:leftChars="0" w:firstLine="0" w:firstLineChars="0"/>
                    <w:jc w:val="center"/>
                    <w:rPr>
                      <w:rFonts w:hint="eastAsia"/>
                      <w:color w:val="auto"/>
                      <w:szCs w:val="21"/>
                      <w:highlight w:val="none"/>
                    </w:rPr>
                  </w:pPr>
                  <w:r>
                    <w:rPr>
                      <w:color w:val="auto"/>
                      <w:szCs w:val="22"/>
                      <w:highlight w:val="none"/>
                    </w:rPr>
                    <w:t>监控点处1h平均浓度值</w:t>
                  </w:r>
                </w:p>
              </w:tc>
              <w:tc>
                <w:tcPr>
                  <w:tcW w:w="2300" w:type="dxa"/>
                  <w:vMerge w:val="restart"/>
                  <w:noWrap w:val="0"/>
                  <w:vAlign w:val="center"/>
                </w:tcPr>
                <w:p w14:paraId="7C6A371C">
                  <w:pPr>
                    <w:adjustRightInd w:val="0"/>
                    <w:snapToGrid w:val="0"/>
                    <w:jc w:val="center"/>
                    <w:rPr>
                      <w:rFonts w:hint="eastAsia"/>
                      <w:color w:val="auto"/>
                      <w:szCs w:val="21"/>
                      <w:highlight w:val="none"/>
                    </w:rPr>
                  </w:pPr>
                  <w:r>
                    <w:rPr>
                      <w:color w:val="auto"/>
                      <w:szCs w:val="22"/>
                      <w:highlight w:val="none"/>
                    </w:rPr>
                    <w:t>在厂房外设置监控点</w:t>
                  </w:r>
                </w:p>
              </w:tc>
            </w:tr>
            <w:tr w14:paraId="10E0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285" w:type="dxa"/>
                  <w:vMerge w:val="continue"/>
                  <w:noWrap w:val="0"/>
                  <w:vAlign w:val="center"/>
                </w:tcPr>
                <w:p w14:paraId="77AB1A30">
                  <w:pPr>
                    <w:adjustRightInd w:val="0"/>
                    <w:snapToGrid w:val="0"/>
                    <w:jc w:val="center"/>
                    <w:rPr>
                      <w:rFonts w:hint="eastAsia"/>
                      <w:color w:val="auto"/>
                      <w:szCs w:val="21"/>
                    </w:rPr>
                  </w:pPr>
                </w:p>
              </w:tc>
              <w:tc>
                <w:tcPr>
                  <w:tcW w:w="1699" w:type="dxa"/>
                  <w:noWrap w:val="0"/>
                  <w:vAlign w:val="center"/>
                </w:tcPr>
                <w:p w14:paraId="70D32672">
                  <w:pPr>
                    <w:pStyle w:val="37"/>
                    <w:adjustRightInd w:val="0"/>
                    <w:snapToGrid w:val="0"/>
                    <w:spacing w:after="0"/>
                    <w:ind w:left="0" w:leftChars="0" w:firstLine="0" w:firstLineChars="0"/>
                    <w:jc w:val="center"/>
                    <w:rPr>
                      <w:rFonts w:hint="eastAsia"/>
                      <w:color w:val="auto"/>
                      <w:szCs w:val="21"/>
                    </w:rPr>
                  </w:pPr>
                  <w:r>
                    <w:rPr>
                      <w:color w:val="auto"/>
                      <w:szCs w:val="22"/>
                    </w:rPr>
                    <w:t>30</w:t>
                  </w:r>
                </w:p>
              </w:tc>
              <w:tc>
                <w:tcPr>
                  <w:tcW w:w="2735" w:type="dxa"/>
                  <w:noWrap w:val="0"/>
                  <w:vAlign w:val="center"/>
                </w:tcPr>
                <w:p w14:paraId="2EF32226">
                  <w:pPr>
                    <w:pStyle w:val="37"/>
                    <w:adjustRightInd w:val="0"/>
                    <w:snapToGrid w:val="0"/>
                    <w:spacing w:after="0"/>
                    <w:ind w:left="0" w:leftChars="0" w:firstLine="0" w:firstLineChars="0"/>
                    <w:jc w:val="center"/>
                    <w:rPr>
                      <w:color w:val="auto"/>
                      <w:szCs w:val="21"/>
                    </w:rPr>
                  </w:pPr>
                  <w:r>
                    <w:rPr>
                      <w:color w:val="auto"/>
                      <w:szCs w:val="22"/>
                    </w:rPr>
                    <w:t>监控点处任意一次浓度值</w:t>
                  </w:r>
                </w:p>
              </w:tc>
              <w:tc>
                <w:tcPr>
                  <w:tcW w:w="2300" w:type="dxa"/>
                  <w:vMerge w:val="continue"/>
                  <w:noWrap w:val="0"/>
                  <w:vAlign w:val="center"/>
                </w:tcPr>
                <w:p w14:paraId="3126782B">
                  <w:pPr>
                    <w:adjustRightInd w:val="0"/>
                    <w:snapToGrid w:val="0"/>
                    <w:jc w:val="center"/>
                    <w:rPr>
                      <w:color w:val="auto"/>
                      <w:szCs w:val="21"/>
                    </w:rPr>
                  </w:pPr>
                </w:p>
              </w:tc>
            </w:tr>
          </w:tbl>
          <w:p w14:paraId="62A55499">
            <w:pPr>
              <w:widowControl/>
              <w:spacing w:line="500" w:lineRule="exact"/>
              <w:ind w:firstLine="480" w:firstLineChars="200"/>
              <w:rPr>
                <w:rFonts w:hint="eastAsia" w:eastAsia="宋体"/>
                <w:b/>
                <w:bCs/>
                <w:color w:val="auto"/>
                <w:kern w:val="0"/>
                <w:sz w:val="24"/>
                <w:highlight w:val="none"/>
                <w:shd w:val="clear" w:color="auto" w:fill="auto"/>
                <w:lang w:val="en-US" w:eastAsia="zh-CN"/>
              </w:rPr>
            </w:pPr>
            <w:r>
              <w:rPr>
                <w:rFonts w:hint="eastAsia" w:cs="Times New Roman"/>
                <w:color w:val="auto"/>
                <w:sz w:val="24"/>
                <w:szCs w:val="24"/>
                <w:highlight w:val="none"/>
                <w:lang w:val="en-US" w:eastAsia="zh-CN"/>
              </w:rPr>
              <w:t>企业边界</w:t>
            </w:r>
            <w:r>
              <w:rPr>
                <w:rFonts w:hint="eastAsia" w:ascii="Times New Roman" w:hAnsi="Times New Roman" w:eastAsia="宋体"/>
                <w:b w:val="0"/>
                <w:bCs w:val="0"/>
                <w:caps w:val="0"/>
                <w:smallCaps w:val="0"/>
                <w:color w:val="auto"/>
                <w:sz w:val="24"/>
                <w:szCs w:val="22"/>
                <w:highlight w:val="none"/>
                <w:u w:val="none" w:color="auto"/>
                <w:lang w:val="en-US" w:eastAsia="zh-CN"/>
              </w:rPr>
              <w:t>臭气浓度执行</w:t>
            </w:r>
            <w:r>
              <w:rPr>
                <w:color w:val="auto"/>
                <w:sz w:val="24"/>
                <w:szCs w:val="24"/>
                <w:u w:val="none" w:color="auto"/>
              </w:rPr>
              <w:t>《恶臭污染物排放标准》（GB14554-93）</w:t>
            </w:r>
            <w:r>
              <w:rPr>
                <w:rFonts w:hint="eastAsia"/>
                <w:color w:val="auto"/>
                <w:sz w:val="24"/>
                <w:szCs w:val="18"/>
                <w:u w:val="none" w:color="auto"/>
              </w:rPr>
              <w:t>表1恶臭污染物厂界标准值（二级）</w:t>
            </w:r>
            <w:r>
              <w:rPr>
                <w:rFonts w:hint="eastAsia"/>
                <w:color w:val="auto"/>
                <w:sz w:val="24"/>
                <w:szCs w:val="18"/>
                <w:u w:val="none" w:color="auto"/>
                <w:lang w:eastAsia="zh-CN"/>
              </w:rPr>
              <w:t>。</w:t>
            </w:r>
          </w:p>
          <w:p w14:paraId="39D9BF36">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宋体" w:cs="Times New Roman"/>
                <w:b/>
                <w:bCs w:val="0"/>
                <w:caps w:val="0"/>
                <w:color w:val="auto"/>
                <w:spacing w:val="4"/>
                <w:sz w:val="24"/>
                <w:szCs w:val="24"/>
                <w:u w:val="none" w:color="auto"/>
                <w:lang w:val="en-US" w:eastAsia="zh-CN"/>
              </w:rPr>
            </w:pPr>
            <w:r>
              <w:rPr>
                <w:rFonts w:hint="eastAsia" w:ascii="Times New Roman" w:hAnsi="Times New Roman" w:eastAsia="宋体" w:cs="Times New Roman"/>
                <w:b/>
                <w:bCs w:val="0"/>
                <w:caps w:val="0"/>
                <w:color w:val="auto"/>
                <w:spacing w:val="4"/>
                <w:sz w:val="24"/>
                <w:szCs w:val="24"/>
                <w:u w:val="none" w:color="auto"/>
                <w:lang w:val="en-US" w:eastAsia="zh-CN"/>
              </w:rPr>
              <w:t>表3-</w:t>
            </w:r>
            <w:r>
              <w:rPr>
                <w:rFonts w:hint="eastAsia" w:cs="Times New Roman"/>
                <w:b/>
                <w:bCs w:val="0"/>
                <w:caps w:val="0"/>
                <w:color w:val="auto"/>
                <w:spacing w:val="4"/>
                <w:sz w:val="24"/>
                <w:szCs w:val="24"/>
                <w:u w:val="none" w:color="auto"/>
                <w:lang w:val="en-US" w:eastAsia="zh-CN"/>
              </w:rPr>
              <w:t>6</w:t>
            </w:r>
            <w:r>
              <w:rPr>
                <w:rFonts w:hint="eastAsia" w:ascii="Times New Roman" w:hAnsi="Times New Roman" w:eastAsia="宋体" w:cs="Times New Roman"/>
                <w:b/>
                <w:bCs w:val="0"/>
                <w:caps w:val="0"/>
                <w:color w:val="auto"/>
                <w:spacing w:val="4"/>
                <w:sz w:val="24"/>
                <w:szCs w:val="24"/>
                <w:u w:val="none" w:color="auto"/>
                <w:lang w:val="en-US" w:eastAsia="zh-CN"/>
              </w:rPr>
              <w:t xml:space="preserve">    《恶臭污染物排放标准》（GB14554-93）</w:t>
            </w:r>
          </w:p>
          <w:tbl>
            <w:tblPr>
              <w:tblStyle w:val="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5"/>
              <w:gridCol w:w="2247"/>
              <w:gridCol w:w="3469"/>
            </w:tblGrid>
            <w:tr w14:paraId="0FEF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0" w:type="pct"/>
                  <w:vMerge w:val="restart"/>
                  <w:noWrap w:val="0"/>
                  <w:vAlign w:val="center"/>
                </w:tcPr>
                <w:p w14:paraId="1C985B2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imes New Roman" w:hAnsi="Times New Roman" w:eastAsia="宋体"/>
                      <w:b w:val="0"/>
                      <w:color w:val="auto"/>
                      <w:sz w:val="21"/>
                      <w:szCs w:val="18"/>
                      <w:u w:val="none" w:color="auto"/>
                      <w:lang w:val="en-US" w:eastAsia="zh-CN"/>
                    </w:rPr>
                  </w:pPr>
                  <w:r>
                    <w:rPr>
                      <w:rFonts w:hint="eastAsia" w:ascii="Times New Roman" w:hAnsi="Times New Roman" w:eastAsia="宋体"/>
                      <w:b w:val="0"/>
                      <w:color w:val="auto"/>
                      <w:sz w:val="21"/>
                      <w:szCs w:val="18"/>
                      <w:u w:val="none" w:color="auto"/>
                      <w:lang w:val="en-US" w:eastAsia="zh-CN"/>
                    </w:rPr>
                    <w:t>序号</w:t>
                  </w:r>
                </w:p>
              </w:tc>
              <w:tc>
                <w:tcPr>
                  <w:tcW w:w="1410" w:type="pct"/>
                  <w:vMerge w:val="restart"/>
                  <w:noWrap w:val="0"/>
                  <w:vAlign w:val="center"/>
                </w:tcPr>
                <w:p w14:paraId="629E43E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b w:val="0"/>
                      <w:color w:val="auto"/>
                      <w:sz w:val="21"/>
                      <w:szCs w:val="18"/>
                      <w:u w:val="none" w:color="auto"/>
                      <w:vertAlign w:val="baseline"/>
                      <w:lang w:val="en-US" w:eastAsia="zh-CN"/>
                    </w:rPr>
                    <w:t>控制项目</w:t>
                  </w:r>
                </w:p>
              </w:tc>
              <w:tc>
                <w:tcPr>
                  <w:tcW w:w="1410" w:type="pct"/>
                  <w:vMerge w:val="restart"/>
                  <w:noWrap w:val="0"/>
                  <w:vAlign w:val="center"/>
                </w:tcPr>
                <w:p w14:paraId="2199214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imes New Roman" w:hAnsi="Times New Roman" w:eastAsia="宋体"/>
                      <w:b w:val="0"/>
                      <w:color w:val="auto"/>
                      <w:sz w:val="21"/>
                      <w:szCs w:val="18"/>
                      <w:u w:val="none" w:color="auto"/>
                      <w:vertAlign w:val="baseline"/>
                      <w:lang w:val="en-US" w:eastAsia="zh-CN"/>
                    </w:rPr>
                  </w:pPr>
                  <w:r>
                    <w:rPr>
                      <w:rFonts w:hint="eastAsia" w:ascii="Times New Roman" w:hAnsi="Times New Roman" w:eastAsia="宋体"/>
                      <w:b w:val="0"/>
                      <w:color w:val="auto"/>
                      <w:sz w:val="21"/>
                      <w:szCs w:val="18"/>
                      <w:u w:val="none" w:color="auto"/>
                      <w:vertAlign w:val="baseline"/>
                      <w:lang w:val="en-US" w:eastAsia="zh-CN"/>
                    </w:rPr>
                    <w:t>表1 恶臭污染物厂界标准值（二级）</w:t>
                  </w:r>
                </w:p>
              </w:tc>
            </w:tr>
            <w:tr w14:paraId="5F85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93" w:type="pct"/>
                  <w:vMerge w:val="continue"/>
                  <w:noWrap w:val="0"/>
                  <w:vAlign w:val="center"/>
                </w:tcPr>
                <w:p w14:paraId="52060C6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imes New Roman" w:hAnsi="Times New Roman" w:eastAsia="宋体"/>
                      <w:b w:val="0"/>
                      <w:color w:val="auto"/>
                      <w:sz w:val="21"/>
                      <w:szCs w:val="18"/>
                      <w:u w:val="none" w:color="auto"/>
                      <w:lang w:val="en-US" w:eastAsia="zh-CN"/>
                    </w:rPr>
                  </w:pPr>
                </w:p>
              </w:tc>
              <w:tc>
                <w:tcPr>
                  <w:tcW w:w="1411" w:type="pct"/>
                  <w:vMerge w:val="continue"/>
                  <w:noWrap w:val="0"/>
                  <w:vAlign w:val="center"/>
                </w:tcPr>
                <w:p w14:paraId="5B856D8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imes New Roman" w:hAnsi="Times New Roman" w:eastAsia="宋体"/>
                      <w:b w:val="0"/>
                      <w:color w:val="auto"/>
                      <w:sz w:val="21"/>
                      <w:szCs w:val="18"/>
                      <w:u w:val="none" w:color="auto"/>
                      <w:vertAlign w:val="baseline"/>
                      <w:lang w:val="en-US" w:eastAsia="zh-CN"/>
                    </w:rPr>
                  </w:pPr>
                </w:p>
              </w:tc>
              <w:tc>
                <w:tcPr>
                  <w:tcW w:w="2394" w:type="pct"/>
                  <w:vMerge w:val="continue"/>
                  <w:noWrap w:val="0"/>
                  <w:vAlign w:val="center"/>
                </w:tcPr>
                <w:p w14:paraId="1697AC5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imes New Roman" w:hAnsi="Times New Roman" w:eastAsia="宋体"/>
                      <w:b w:val="0"/>
                      <w:color w:val="auto"/>
                      <w:sz w:val="21"/>
                      <w:szCs w:val="18"/>
                      <w:u w:val="none" w:color="auto"/>
                      <w:vertAlign w:val="baseline"/>
                      <w:lang w:val="en-US" w:eastAsia="zh-CN"/>
                    </w:rPr>
                  </w:pPr>
                </w:p>
              </w:tc>
            </w:tr>
            <w:tr w14:paraId="579A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93" w:type="pct"/>
                  <w:vMerge w:val="continue"/>
                  <w:noWrap w:val="0"/>
                  <w:vAlign w:val="center"/>
                </w:tcPr>
                <w:p w14:paraId="79D624F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imes New Roman" w:hAnsi="Times New Roman" w:eastAsia="宋体"/>
                      <w:b w:val="0"/>
                      <w:color w:val="auto"/>
                      <w:sz w:val="21"/>
                      <w:szCs w:val="18"/>
                      <w:u w:val="none" w:color="auto"/>
                      <w:lang w:val="en-US" w:eastAsia="zh-CN"/>
                    </w:rPr>
                  </w:pPr>
                </w:p>
              </w:tc>
              <w:tc>
                <w:tcPr>
                  <w:tcW w:w="1411" w:type="pct"/>
                  <w:vMerge w:val="continue"/>
                  <w:noWrap w:val="0"/>
                  <w:vAlign w:val="center"/>
                </w:tcPr>
                <w:p w14:paraId="236D1D3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imes New Roman" w:hAnsi="Times New Roman" w:eastAsia="宋体"/>
                      <w:b w:val="0"/>
                      <w:color w:val="auto"/>
                      <w:sz w:val="21"/>
                      <w:szCs w:val="18"/>
                      <w:u w:val="none" w:color="auto"/>
                      <w:vertAlign w:val="baseline"/>
                      <w:lang w:val="en-US" w:eastAsia="zh-CN"/>
                    </w:rPr>
                  </w:pPr>
                </w:p>
              </w:tc>
              <w:tc>
                <w:tcPr>
                  <w:tcW w:w="2394" w:type="pct"/>
                  <w:vMerge w:val="continue"/>
                  <w:noWrap w:val="0"/>
                  <w:vAlign w:val="center"/>
                </w:tcPr>
                <w:p w14:paraId="0752DC6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imes New Roman" w:hAnsi="Times New Roman" w:eastAsia="宋体"/>
                      <w:b w:val="0"/>
                      <w:color w:val="auto"/>
                      <w:sz w:val="21"/>
                      <w:szCs w:val="18"/>
                      <w:u w:val="none" w:color="auto"/>
                      <w:vertAlign w:val="baseline"/>
                      <w:lang w:val="en-US" w:eastAsia="zh-CN"/>
                    </w:rPr>
                  </w:pPr>
                </w:p>
              </w:tc>
            </w:tr>
            <w:tr w14:paraId="360B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93" w:type="pct"/>
                  <w:noWrap w:val="0"/>
                  <w:vAlign w:val="center"/>
                </w:tcPr>
                <w:p w14:paraId="5FE7F12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default" w:ascii="Times New Roman" w:hAnsi="Times New Roman" w:eastAsia="宋体"/>
                      <w:b w:val="0"/>
                      <w:color w:val="auto"/>
                      <w:sz w:val="21"/>
                      <w:szCs w:val="18"/>
                      <w:u w:val="none" w:color="auto"/>
                      <w:vertAlign w:val="baseline"/>
                      <w:lang w:val="en-US" w:eastAsia="zh-CN"/>
                    </w:rPr>
                  </w:pPr>
                  <w:r>
                    <w:rPr>
                      <w:rFonts w:hint="eastAsia" w:ascii="Times New Roman" w:hAnsi="Times New Roman" w:eastAsia="宋体"/>
                      <w:b w:val="0"/>
                      <w:color w:val="auto"/>
                      <w:sz w:val="21"/>
                      <w:szCs w:val="18"/>
                      <w:u w:val="none" w:color="auto"/>
                      <w:vertAlign w:val="baseline"/>
                      <w:lang w:val="en-US" w:eastAsia="zh-CN"/>
                    </w:rPr>
                    <w:t>1</w:t>
                  </w:r>
                </w:p>
              </w:tc>
              <w:tc>
                <w:tcPr>
                  <w:tcW w:w="1411" w:type="pct"/>
                  <w:noWrap w:val="0"/>
                  <w:vAlign w:val="center"/>
                </w:tcPr>
                <w:p w14:paraId="711AFE3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imes New Roman" w:hAnsi="Times New Roman" w:eastAsia="宋体"/>
                      <w:b w:val="0"/>
                      <w:color w:val="auto"/>
                      <w:sz w:val="21"/>
                      <w:szCs w:val="18"/>
                      <w:u w:val="none" w:color="auto"/>
                      <w:vertAlign w:val="baseline"/>
                      <w:lang w:val="en-US" w:eastAsia="zh-CN"/>
                    </w:rPr>
                  </w:pPr>
                  <w:r>
                    <w:rPr>
                      <w:rFonts w:hint="eastAsia" w:ascii="Times New Roman" w:hAnsi="Times New Roman" w:eastAsia="宋体"/>
                      <w:b w:val="0"/>
                      <w:color w:val="auto"/>
                      <w:sz w:val="21"/>
                      <w:szCs w:val="18"/>
                      <w:u w:val="none" w:color="auto"/>
                      <w:vertAlign w:val="baseline"/>
                      <w:lang w:val="en-US" w:eastAsia="zh-CN"/>
                    </w:rPr>
                    <w:t>臭气浓度</w:t>
                  </w:r>
                </w:p>
              </w:tc>
              <w:tc>
                <w:tcPr>
                  <w:tcW w:w="2394" w:type="pct"/>
                  <w:noWrap w:val="0"/>
                  <w:vAlign w:val="center"/>
                </w:tcPr>
                <w:p w14:paraId="4C152A7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imes New Roman" w:hAnsi="Times New Roman" w:eastAsia="宋体"/>
                      <w:b w:val="0"/>
                      <w:color w:val="auto"/>
                      <w:sz w:val="21"/>
                      <w:szCs w:val="18"/>
                      <w:u w:val="none" w:color="auto"/>
                      <w:vertAlign w:val="baseline"/>
                      <w:lang w:val="en-US" w:eastAsia="zh-CN"/>
                    </w:rPr>
                  </w:pPr>
                  <w:r>
                    <w:rPr>
                      <w:rFonts w:hint="eastAsia" w:ascii="Times New Roman" w:hAnsi="Times New Roman" w:eastAsia="宋体"/>
                      <w:b w:val="0"/>
                      <w:color w:val="auto"/>
                      <w:sz w:val="21"/>
                      <w:szCs w:val="18"/>
                      <w:u w:val="none" w:color="auto"/>
                      <w:vertAlign w:val="baseline"/>
                      <w:lang w:val="en-US" w:eastAsia="zh-CN"/>
                    </w:rPr>
                    <w:t>10（无量纲）</w:t>
                  </w:r>
                </w:p>
              </w:tc>
            </w:tr>
          </w:tbl>
          <w:p w14:paraId="2F5B9A3E">
            <w:pPr>
              <w:widowControl/>
              <w:spacing w:line="500" w:lineRule="exact"/>
              <w:ind w:firstLine="482" w:firstLineChars="200"/>
              <w:rPr>
                <w:rFonts w:hint="default"/>
                <w:b/>
                <w:bCs/>
                <w:color w:val="auto"/>
                <w:kern w:val="0"/>
                <w:sz w:val="24"/>
                <w:highlight w:val="none"/>
                <w:shd w:val="clear" w:color="auto" w:fill="auto"/>
                <w:lang w:val="en-US"/>
              </w:rPr>
            </w:pPr>
            <w:r>
              <w:rPr>
                <w:rFonts w:hint="eastAsia"/>
                <w:b/>
                <w:bCs/>
                <w:color w:val="auto"/>
                <w:kern w:val="0"/>
                <w:sz w:val="24"/>
                <w:highlight w:val="none"/>
                <w:shd w:val="clear" w:color="auto" w:fill="auto"/>
                <w:lang w:val="en-US" w:eastAsia="zh-CN"/>
              </w:rPr>
              <w:t>2.废水</w:t>
            </w:r>
          </w:p>
          <w:p w14:paraId="50B4CC88">
            <w:pPr>
              <w:widowControl/>
              <w:spacing w:line="500" w:lineRule="exact"/>
              <w:ind w:firstLine="482"/>
              <w:rPr>
                <w:color w:val="auto"/>
                <w:kern w:val="0"/>
                <w:sz w:val="24"/>
                <w:highlight w:val="none"/>
              </w:rPr>
            </w:pPr>
            <w:r>
              <w:rPr>
                <w:color w:val="auto"/>
                <w:kern w:val="0"/>
                <w:sz w:val="24"/>
                <w:highlight w:val="none"/>
              </w:rPr>
              <w:t>营运期</w:t>
            </w:r>
            <w:r>
              <w:rPr>
                <w:rFonts w:hint="eastAsia"/>
                <w:color w:val="auto"/>
                <w:kern w:val="0"/>
                <w:sz w:val="24"/>
                <w:highlight w:val="none"/>
                <w:lang w:val="en-US" w:eastAsia="zh-CN"/>
              </w:rPr>
              <w:t>项目生产废水经厂内污水处理站处理、</w:t>
            </w:r>
            <w:r>
              <w:rPr>
                <w:rFonts w:hint="eastAsia"/>
                <w:color w:val="auto"/>
                <w:sz w:val="24"/>
                <w:szCs w:val="24"/>
              </w:rPr>
              <w:t>生活污水经化粪池处理</w:t>
            </w:r>
            <w:r>
              <w:rPr>
                <w:rFonts w:hint="eastAsia"/>
                <w:color w:val="auto"/>
                <w:sz w:val="24"/>
                <w:szCs w:val="24"/>
                <w:lang w:eastAsia="zh-CN"/>
              </w:rPr>
              <w:t>，</w:t>
            </w:r>
            <w:r>
              <w:rPr>
                <w:rFonts w:hint="eastAsia"/>
                <w:color w:val="auto"/>
                <w:sz w:val="24"/>
                <w:szCs w:val="24"/>
                <w:lang w:val="en-US" w:eastAsia="zh-CN"/>
              </w:rPr>
              <w:t>两股废水与纯水制备废水在厂界内汇聚一同经同一排污口排入</w:t>
            </w:r>
            <w:r>
              <w:rPr>
                <w:rFonts w:hint="eastAsia"/>
                <w:color w:val="auto"/>
                <w:sz w:val="24"/>
                <w:szCs w:val="24"/>
                <w:lang w:val="en-US" w:eastAsia="zh-CN"/>
              </w:rPr>
              <w:t>官塘</w:t>
            </w:r>
            <w:r>
              <w:rPr>
                <w:rFonts w:hint="eastAsia"/>
                <w:color w:val="auto"/>
                <w:sz w:val="24"/>
                <w:szCs w:val="24"/>
              </w:rPr>
              <w:t>污水处理厂处理</w:t>
            </w:r>
            <w:r>
              <w:rPr>
                <w:color w:val="auto"/>
                <w:kern w:val="0"/>
                <w:sz w:val="24"/>
                <w:szCs w:val="24"/>
                <w:highlight w:val="none"/>
              </w:rPr>
              <w:t>，</w:t>
            </w:r>
            <w:r>
              <w:rPr>
                <w:rFonts w:hint="eastAsia"/>
                <w:color w:val="auto"/>
                <w:kern w:val="0"/>
                <w:sz w:val="24"/>
                <w:highlight w:val="none"/>
                <w:lang w:eastAsia="zh-CN"/>
              </w:rPr>
              <w:t>污水排放浓度</w:t>
            </w:r>
            <w:r>
              <w:rPr>
                <w:rFonts w:hint="eastAsia"/>
                <w:color w:val="auto"/>
                <w:kern w:val="0"/>
                <w:sz w:val="24"/>
                <w:highlight w:val="none"/>
                <w:lang w:val="en-US" w:eastAsia="zh-CN"/>
              </w:rPr>
              <w:t>执行</w:t>
            </w:r>
            <w:r>
              <w:rPr>
                <w:color w:val="auto"/>
                <w:kern w:val="0"/>
                <w:sz w:val="24"/>
                <w:highlight w:val="none"/>
              </w:rPr>
              <w:t>《污水综合排放标准》</w:t>
            </w:r>
            <w:r>
              <w:rPr>
                <w:rFonts w:hint="eastAsia"/>
                <w:color w:val="auto"/>
                <w:kern w:val="0"/>
                <w:sz w:val="24"/>
                <w:highlight w:val="none"/>
                <w:lang w:eastAsia="zh-CN"/>
              </w:rPr>
              <w:t>（</w:t>
            </w:r>
            <w:r>
              <w:rPr>
                <w:color w:val="auto"/>
                <w:kern w:val="0"/>
                <w:sz w:val="24"/>
                <w:highlight w:val="none"/>
              </w:rPr>
              <w:t>GB8978-1996</w:t>
            </w:r>
            <w:r>
              <w:rPr>
                <w:rFonts w:hint="eastAsia"/>
                <w:color w:val="auto"/>
                <w:kern w:val="0"/>
                <w:sz w:val="24"/>
                <w:highlight w:val="none"/>
                <w:lang w:eastAsia="zh-CN"/>
              </w:rPr>
              <w:t>）</w:t>
            </w:r>
            <w:r>
              <w:rPr>
                <w:color w:val="auto"/>
                <w:kern w:val="0"/>
                <w:sz w:val="24"/>
                <w:highlight w:val="none"/>
              </w:rPr>
              <w:t>三级标准</w:t>
            </w:r>
            <w:r>
              <w:rPr>
                <w:rFonts w:hint="eastAsia"/>
                <w:color w:val="auto"/>
                <w:kern w:val="0"/>
                <w:sz w:val="24"/>
                <w:highlight w:val="none"/>
                <w:lang w:val="en-US" w:eastAsia="zh-CN"/>
              </w:rPr>
              <w:t>，</w:t>
            </w:r>
            <w:r>
              <w:rPr>
                <w:rFonts w:hint="eastAsia"/>
                <w:color w:val="auto"/>
                <w:kern w:val="0"/>
                <w:sz w:val="24"/>
                <w:highlight w:val="none"/>
                <w:lang w:val="en-US" w:eastAsia="zh-CN"/>
              </w:rPr>
              <w:t>由于官塘污水处理厂设计进水水质要求严于《污水综合排放标准》（GB8978-1996）三级标准，本项目外排废水最终按两者较严值执行</w:t>
            </w:r>
            <w:r>
              <w:rPr>
                <w:color w:val="auto"/>
                <w:kern w:val="0"/>
                <w:sz w:val="24"/>
                <w:highlight w:val="none"/>
              </w:rPr>
              <w:t>。项目</w:t>
            </w:r>
            <w:r>
              <w:rPr>
                <w:rFonts w:hint="eastAsia"/>
                <w:color w:val="auto"/>
                <w:kern w:val="0"/>
                <w:sz w:val="24"/>
                <w:highlight w:val="none"/>
                <w:lang w:val="en-US" w:eastAsia="zh-CN"/>
              </w:rPr>
              <w:t>综合废水</w:t>
            </w:r>
            <w:r>
              <w:rPr>
                <w:color w:val="auto"/>
                <w:kern w:val="0"/>
                <w:sz w:val="24"/>
                <w:highlight w:val="none"/>
              </w:rPr>
              <w:t>排放执行《污水综合排放标准》（GB8978-1996），具体见表3-</w:t>
            </w:r>
            <w:r>
              <w:rPr>
                <w:rFonts w:hint="eastAsia"/>
                <w:color w:val="auto"/>
                <w:kern w:val="0"/>
                <w:sz w:val="24"/>
                <w:highlight w:val="none"/>
                <w:lang w:val="en-US" w:eastAsia="zh-CN"/>
              </w:rPr>
              <w:t>7</w:t>
            </w:r>
            <w:r>
              <w:rPr>
                <w:rFonts w:hint="eastAsia"/>
                <w:color w:val="auto"/>
                <w:kern w:val="0"/>
                <w:sz w:val="24"/>
                <w:highlight w:val="none"/>
              </w:rPr>
              <w:t>。</w:t>
            </w:r>
          </w:p>
          <w:p w14:paraId="74A64EC9">
            <w:pPr>
              <w:pStyle w:val="102"/>
              <w:jc w:val="right"/>
              <w:rPr>
                <w:b w:val="0"/>
                <w:color w:val="auto"/>
                <w:kern w:val="2"/>
                <w:highlight w:val="none"/>
              </w:rPr>
            </w:pPr>
            <w:r>
              <w:rPr>
                <w:color w:val="auto"/>
                <w:kern w:val="2"/>
                <w:highlight w:val="none"/>
              </w:rPr>
              <w:t>表</w:t>
            </w:r>
            <w:r>
              <w:rPr>
                <w:rFonts w:hint="eastAsia"/>
                <w:color w:val="auto"/>
                <w:kern w:val="2"/>
                <w:highlight w:val="none"/>
              </w:rPr>
              <w:t>3-</w:t>
            </w:r>
            <w:r>
              <w:rPr>
                <w:rFonts w:hint="eastAsia"/>
                <w:color w:val="auto"/>
                <w:kern w:val="2"/>
                <w:highlight w:val="none"/>
                <w:lang w:val="en-US" w:eastAsia="zh-CN"/>
              </w:rPr>
              <w:t xml:space="preserve">7 </w:t>
            </w:r>
            <w:r>
              <w:rPr>
                <w:rFonts w:hint="eastAsia"/>
                <w:color w:val="auto"/>
                <w:kern w:val="2"/>
                <w:highlight w:val="none"/>
              </w:rPr>
              <w:t>《污水综合排放标准》（GB8978-1996）</w:t>
            </w:r>
            <w:r>
              <w:rPr>
                <w:rFonts w:hint="eastAsia"/>
                <w:color w:val="auto"/>
                <w:kern w:val="2"/>
                <w:highlight w:val="none"/>
                <w:lang w:val="en-US" w:eastAsia="zh-CN"/>
              </w:rPr>
              <w:t xml:space="preserve">       </w:t>
            </w:r>
            <w:r>
              <w:rPr>
                <w:rStyle w:val="103"/>
                <w:b w:val="0"/>
                <w:color w:val="auto"/>
                <w:highlight w:val="none"/>
              </w:rPr>
              <w:t>单位：mg/L（pH值除外）</w:t>
            </w:r>
          </w:p>
          <w:tbl>
            <w:tblPr>
              <w:tblStyle w:val="39"/>
              <w:tblpPr w:leftFromText="180" w:rightFromText="180" w:vertAnchor="text" w:horzAnchor="margin" w:tblpXSpec="center" w:tblpY="89"/>
              <w:tblOverlap w:val="never"/>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73"/>
              <w:gridCol w:w="1485"/>
              <w:gridCol w:w="2143"/>
              <w:gridCol w:w="2952"/>
            </w:tblGrid>
            <w:tr w14:paraId="178B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63" w:type="pct"/>
                  <w:tcBorders>
                    <w:tl2br w:val="nil"/>
                    <w:tr2bl w:val="nil"/>
                  </w:tcBorders>
                  <w:noWrap/>
                  <w:vAlign w:val="center"/>
                </w:tcPr>
                <w:p w14:paraId="70CC2E4C">
                  <w:pPr>
                    <w:pStyle w:val="100"/>
                    <w:rPr>
                      <w:color w:val="auto"/>
                      <w:highlight w:val="none"/>
                    </w:rPr>
                  </w:pPr>
                  <w:r>
                    <w:rPr>
                      <w:rFonts w:hint="eastAsia"/>
                      <w:color w:val="auto"/>
                      <w:highlight w:val="none"/>
                    </w:rPr>
                    <w:t>污染物项目</w:t>
                  </w:r>
                </w:p>
              </w:tc>
              <w:tc>
                <w:tcPr>
                  <w:tcW w:w="933" w:type="pct"/>
                  <w:tcBorders>
                    <w:tl2br w:val="nil"/>
                    <w:tr2bl w:val="nil"/>
                  </w:tcBorders>
                  <w:noWrap/>
                  <w:vAlign w:val="center"/>
                </w:tcPr>
                <w:p w14:paraId="30696638">
                  <w:pPr>
                    <w:pStyle w:val="100"/>
                    <w:rPr>
                      <w:color w:val="auto"/>
                      <w:highlight w:val="none"/>
                    </w:rPr>
                  </w:pPr>
                  <w:r>
                    <w:rPr>
                      <w:rFonts w:hint="eastAsia"/>
                      <w:color w:val="auto"/>
                      <w:highlight w:val="none"/>
                    </w:rPr>
                    <w:t>排放限值</w:t>
                  </w:r>
                </w:p>
              </w:tc>
              <w:tc>
                <w:tcPr>
                  <w:tcW w:w="1347" w:type="pct"/>
                  <w:tcBorders>
                    <w:tl2br w:val="nil"/>
                    <w:tr2bl w:val="nil"/>
                  </w:tcBorders>
                  <w:noWrap/>
                  <w:vAlign w:val="center"/>
                </w:tcPr>
                <w:p w14:paraId="77301855">
                  <w:pPr>
                    <w:pStyle w:val="100"/>
                    <w:rPr>
                      <w:color w:val="auto"/>
                      <w:highlight w:val="none"/>
                    </w:rPr>
                  </w:pPr>
                  <w:r>
                    <w:rPr>
                      <w:rFonts w:hint="eastAsia"/>
                      <w:color w:val="auto"/>
                      <w:highlight w:val="none"/>
                    </w:rPr>
                    <w:t>污染物排放监控位置</w:t>
                  </w:r>
                </w:p>
              </w:tc>
              <w:tc>
                <w:tcPr>
                  <w:tcW w:w="1855" w:type="pct"/>
                  <w:tcBorders>
                    <w:tl2br w:val="nil"/>
                    <w:tr2bl w:val="nil"/>
                  </w:tcBorders>
                  <w:noWrap/>
                  <w:vAlign w:val="center"/>
                </w:tcPr>
                <w:p w14:paraId="374E1570">
                  <w:pPr>
                    <w:pStyle w:val="100"/>
                    <w:rPr>
                      <w:color w:val="auto"/>
                      <w:highlight w:val="none"/>
                    </w:rPr>
                  </w:pPr>
                  <w:r>
                    <w:rPr>
                      <w:rFonts w:hint="eastAsia"/>
                      <w:color w:val="auto"/>
                      <w:highlight w:val="none"/>
                    </w:rPr>
                    <w:t>排放标准</w:t>
                  </w:r>
                </w:p>
              </w:tc>
            </w:tr>
            <w:tr w14:paraId="7C042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63" w:type="pct"/>
                  <w:tcBorders>
                    <w:tl2br w:val="nil"/>
                    <w:tr2bl w:val="nil"/>
                  </w:tcBorders>
                  <w:noWrap/>
                  <w:vAlign w:val="center"/>
                </w:tcPr>
                <w:p w14:paraId="53BB43B9">
                  <w:pPr>
                    <w:pStyle w:val="100"/>
                    <w:rPr>
                      <w:color w:val="auto"/>
                      <w:highlight w:val="none"/>
                    </w:rPr>
                  </w:pPr>
                  <w:r>
                    <w:rPr>
                      <w:rFonts w:hint="eastAsia"/>
                      <w:color w:val="auto"/>
                      <w:highlight w:val="none"/>
                    </w:rPr>
                    <w:t>pH值</w:t>
                  </w:r>
                </w:p>
              </w:tc>
              <w:tc>
                <w:tcPr>
                  <w:tcW w:w="933" w:type="pct"/>
                  <w:tcBorders>
                    <w:tl2br w:val="nil"/>
                    <w:tr2bl w:val="nil"/>
                  </w:tcBorders>
                  <w:noWrap/>
                  <w:vAlign w:val="center"/>
                </w:tcPr>
                <w:p w14:paraId="44B5E7A4">
                  <w:pPr>
                    <w:pStyle w:val="100"/>
                    <w:rPr>
                      <w:color w:val="auto"/>
                      <w:highlight w:val="none"/>
                    </w:rPr>
                  </w:pPr>
                  <w:r>
                    <w:rPr>
                      <w:rFonts w:hint="eastAsia"/>
                      <w:color w:val="auto"/>
                      <w:highlight w:val="none"/>
                    </w:rPr>
                    <w:t>6~9</w:t>
                  </w:r>
                </w:p>
              </w:tc>
              <w:tc>
                <w:tcPr>
                  <w:tcW w:w="1347" w:type="pct"/>
                  <w:vMerge w:val="restart"/>
                  <w:tcBorders>
                    <w:tl2br w:val="nil"/>
                    <w:tr2bl w:val="nil"/>
                  </w:tcBorders>
                  <w:noWrap/>
                  <w:vAlign w:val="center"/>
                </w:tcPr>
                <w:p w14:paraId="14B94D7E">
                  <w:pPr>
                    <w:pStyle w:val="100"/>
                    <w:rPr>
                      <w:color w:val="auto"/>
                      <w:highlight w:val="none"/>
                    </w:rPr>
                  </w:pPr>
                  <w:r>
                    <w:rPr>
                      <w:rFonts w:hint="eastAsia"/>
                      <w:color w:val="auto"/>
                      <w:highlight w:val="none"/>
                    </w:rPr>
                    <w:t>企业废水总排放口</w:t>
                  </w:r>
                </w:p>
              </w:tc>
              <w:tc>
                <w:tcPr>
                  <w:tcW w:w="1855" w:type="pct"/>
                  <w:vMerge w:val="restart"/>
                  <w:tcBorders>
                    <w:tl2br w:val="nil"/>
                    <w:tr2bl w:val="nil"/>
                  </w:tcBorders>
                  <w:noWrap/>
                  <w:vAlign w:val="center"/>
                </w:tcPr>
                <w:p w14:paraId="2C19A791">
                  <w:pPr>
                    <w:pStyle w:val="100"/>
                    <w:rPr>
                      <w:color w:val="auto"/>
                      <w:highlight w:val="none"/>
                    </w:rPr>
                  </w:pPr>
                  <w:r>
                    <w:rPr>
                      <w:rFonts w:hint="eastAsia"/>
                      <w:color w:val="auto"/>
                      <w:kern w:val="0"/>
                      <w:highlight w:val="none"/>
                    </w:rPr>
                    <w:t>《污水综合排放标准》</w:t>
                  </w:r>
                  <w:r>
                    <w:rPr>
                      <w:rFonts w:hint="eastAsia"/>
                      <w:color w:val="auto"/>
                      <w:kern w:val="0"/>
                      <w:highlight w:val="none"/>
                      <w:lang w:eastAsia="zh-CN"/>
                    </w:rPr>
                    <w:t>（</w:t>
                  </w:r>
                  <w:r>
                    <w:rPr>
                      <w:rFonts w:hint="eastAsia"/>
                      <w:color w:val="auto"/>
                      <w:kern w:val="0"/>
                      <w:highlight w:val="none"/>
                    </w:rPr>
                    <w:t>GB8978-1996</w:t>
                  </w:r>
                  <w:r>
                    <w:rPr>
                      <w:rFonts w:hint="eastAsia"/>
                      <w:color w:val="auto"/>
                      <w:kern w:val="0"/>
                      <w:highlight w:val="none"/>
                      <w:lang w:eastAsia="zh-CN"/>
                    </w:rPr>
                    <w:t>）</w:t>
                  </w:r>
                  <w:r>
                    <w:rPr>
                      <w:rFonts w:hint="eastAsia"/>
                      <w:color w:val="auto"/>
                      <w:kern w:val="0"/>
                      <w:highlight w:val="none"/>
                    </w:rPr>
                    <w:t>三级标准</w:t>
                  </w:r>
                </w:p>
              </w:tc>
            </w:tr>
            <w:tr w14:paraId="4E7E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63" w:type="pct"/>
                  <w:tcBorders>
                    <w:tl2br w:val="nil"/>
                    <w:tr2bl w:val="nil"/>
                  </w:tcBorders>
                  <w:shd w:val="clear" w:color="auto" w:fill="auto"/>
                  <w:noWrap/>
                  <w:vAlign w:val="center"/>
                </w:tcPr>
                <w:p w14:paraId="027E99EC">
                  <w:pPr>
                    <w:pStyle w:val="100"/>
                    <w:rPr>
                      <w:rFonts w:ascii="Times New Roman" w:hAnsi="Times New Roman" w:eastAsia="宋体" w:cs="Times New Roman"/>
                      <w:iCs/>
                      <w:color w:val="auto"/>
                      <w:kern w:val="2"/>
                      <w:sz w:val="21"/>
                      <w:szCs w:val="24"/>
                      <w:highlight w:val="none"/>
                      <w:vertAlign w:val="subscript"/>
                      <w:lang w:val="en-US" w:eastAsia="zh-CN" w:bidi="ar-SA"/>
                    </w:rPr>
                  </w:pPr>
                  <w:r>
                    <w:rPr>
                      <w:rFonts w:hint="eastAsia"/>
                      <w:color w:val="auto"/>
                      <w:highlight w:val="none"/>
                    </w:rPr>
                    <w:t>COD</w:t>
                  </w:r>
                  <w:r>
                    <w:rPr>
                      <w:rFonts w:hint="eastAsia"/>
                      <w:color w:val="auto"/>
                      <w:highlight w:val="none"/>
                      <w:vertAlign w:val="subscript"/>
                    </w:rPr>
                    <w:t>Cr</w:t>
                  </w:r>
                </w:p>
              </w:tc>
              <w:tc>
                <w:tcPr>
                  <w:tcW w:w="933" w:type="pct"/>
                  <w:tcBorders>
                    <w:tl2br w:val="nil"/>
                    <w:tr2bl w:val="nil"/>
                  </w:tcBorders>
                  <w:shd w:val="clear" w:color="auto" w:fill="auto"/>
                  <w:noWrap/>
                  <w:vAlign w:val="center"/>
                </w:tcPr>
                <w:p w14:paraId="62FA4E97">
                  <w:pPr>
                    <w:pStyle w:val="100"/>
                    <w:rPr>
                      <w:rFonts w:ascii="Times New Roman" w:hAnsi="Times New Roman" w:eastAsia="宋体" w:cs="Times New Roman"/>
                      <w:iCs/>
                      <w:color w:val="auto"/>
                      <w:kern w:val="2"/>
                      <w:sz w:val="21"/>
                      <w:szCs w:val="24"/>
                      <w:highlight w:val="none"/>
                      <w:lang w:val="en-US" w:eastAsia="zh-CN" w:bidi="ar-SA"/>
                    </w:rPr>
                  </w:pPr>
                  <w:r>
                    <w:rPr>
                      <w:rFonts w:hint="eastAsia"/>
                      <w:color w:val="auto"/>
                      <w:highlight w:val="none"/>
                    </w:rPr>
                    <w:t>500</w:t>
                  </w:r>
                </w:p>
              </w:tc>
              <w:tc>
                <w:tcPr>
                  <w:tcW w:w="1347" w:type="pct"/>
                  <w:vMerge w:val="continue"/>
                  <w:tcBorders>
                    <w:tl2br w:val="nil"/>
                    <w:tr2bl w:val="nil"/>
                  </w:tcBorders>
                  <w:noWrap/>
                  <w:vAlign w:val="center"/>
                </w:tcPr>
                <w:p w14:paraId="31767627">
                  <w:pPr>
                    <w:pStyle w:val="100"/>
                    <w:rPr>
                      <w:color w:val="auto"/>
                      <w:highlight w:val="none"/>
                    </w:rPr>
                  </w:pPr>
                </w:p>
              </w:tc>
              <w:tc>
                <w:tcPr>
                  <w:tcW w:w="1855" w:type="pct"/>
                  <w:vMerge w:val="continue"/>
                  <w:tcBorders>
                    <w:tl2br w:val="nil"/>
                    <w:tr2bl w:val="nil"/>
                  </w:tcBorders>
                  <w:noWrap/>
                  <w:vAlign w:val="center"/>
                </w:tcPr>
                <w:p w14:paraId="6D5A67A1">
                  <w:pPr>
                    <w:pStyle w:val="100"/>
                    <w:rPr>
                      <w:color w:val="auto"/>
                      <w:highlight w:val="none"/>
                    </w:rPr>
                  </w:pPr>
                </w:p>
              </w:tc>
            </w:tr>
            <w:tr w14:paraId="15898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63" w:type="pct"/>
                  <w:tcBorders>
                    <w:tl2br w:val="nil"/>
                    <w:tr2bl w:val="nil"/>
                  </w:tcBorders>
                  <w:shd w:val="clear" w:color="auto" w:fill="auto"/>
                  <w:noWrap/>
                  <w:vAlign w:val="center"/>
                </w:tcPr>
                <w:p w14:paraId="583300D4">
                  <w:pPr>
                    <w:pStyle w:val="100"/>
                    <w:rPr>
                      <w:rFonts w:ascii="Times New Roman" w:hAnsi="Times New Roman" w:eastAsia="宋体" w:cs="Times New Roman"/>
                      <w:iCs/>
                      <w:color w:val="auto"/>
                      <w:kern w:val="2"/>
                      <w:sz w:val="21"/>
                      <w:szCs w:val="24"/>
                      <w:highlight w:val="none"/>
                      <w:lang w:val="en-US" w:eastAsia="zh-CN" w:bidi="ar-SA"/>
                    </w:rPr>
                  </w:pPr>
                  <w:r>
                    <w:rPr>
                      <w:rFonts w:hint="eastAsia"/>
                      <w:color w:val="auto"/>
                      <w:szCs w:val="21"/>
                      <w:highlight w:val="none"/>
                    </w:rPr>
                    <w:t>BOD</w:t>
                  </w:r>
                  <w:r>
                    <w:rPr>
                      <w:rFonts w:hint="eastAsia"/>
                      <w:color w:val="auto"/>
                      <w:szCs w:val="21"/>
                      <w:highlight w:val="none"/>
                      <w:vertAlign w:val="subscript"/>
                    </w:rPr>
                    <w:t>5</w:t>
                  </w:r>
                </w:p>
              </w:tc>
              <w:tc>
                <w:tcPr>
                  <w:tcW w:w="933" w:type="pct"/>
                  <w:tcBorders>
                    <w:tl2br w:val="nil"/>
                    <w:tr2bl w:val="nil"/>
                  </w:tcBorders>
                  <w:shd w:val="clear" w:color="auto" w:fill="auto"/>
                  <w:noWrap/>
                  <w:vAlign w:val="center"/>
                </w:tcPr>
                <w:p w14:paraId="0B6E75D9">
                  <w:pPr>
                    <w:pStyle w:val="100"/>
                    <w:rPr>
                      <w:rFonts w:ascii="Times New Roman" w:hAnsi="Times New Roman" w:eastAsia="宋体" w:cs="Times New Roman"/>
                      <w:iCs/>
                      <w:color w:val="auto"/>
                      <w:kern w:val="2"/>
                      <w:sz w:val="21"/>
                      <w:szCs w:val="24"/>
                      <w:highlight w:val="none"/>
                      <w:lang w:val="en-US" w:eastAsia="zh-CN" w:bidi="ar-SA"/>
                    </w:rPr>
                  </w:pPr>
                  <w:r>
                    <w:rPr>
                      <w:rFonts w:hint="eastAsia"/>
                      <w:color w:val="auto"/>
                      <w:highlight w:val="none"/>
                    </w:rPr>
                    <w:t>300</w:t>
                  </w:r>
                </w:p>
              </w:tc>
              <w:tc>
                <w:tcPr>
                  <w:tcW w:w="1347" w:type="pct"/>
                  <w:vMerge w:val="continue"/>
                  <w:tcBorders>
                    <w:tl2br w:val="nil"/>
                    <w:tr2bl w:val="nil"/>
                  </w:tcBorders>
                  <w:noWrap/>
                  <w:vAlign w:val="center"/>
                </w:tcPr>
                <w:p w14:paraId="36D00215">
                  <w:pPr>
                    <w:pStyle w:val="100"/>
                    <w:rPr>
                      <w:color w:val="auto"/>
                      <w:highlight w:val="none"/>
                    </w:rPr>
                  </w:pPr>
                </w:p>
              </w:tc>
              <w:tc>
                <w:tcPr>
                  <w:tcW w:w="1855" w:type="pct"/>
                  <w:vMerge w:val="continue"/>
                  <w:tcBorders>
                    <w:tl2br w:val="nil"/>
                    <w:tr2bl w:val="nil"/>
                  </w:tcBorders>
                  <w:noWrap/>
                  <w:vAlign w:val="center"/>
                </w:tcPr>
                <w:p w14:paraId="7DB4CF35">
                  <w:pPr>
                    <w:pStyle w:val="100"/>
                    <w:rPr>
                      <w:color w:val="auto"/>
                      <w:highlight w:val="none"/>
                    </w:rPr>
                  </w:pPr>
                </w:p>
              </w:tc>
            </w:tr>
            <w:tr w14:paraId="56E3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63" w:type="pct"/>
                  <w:tcBorders>
                    <w:tl2br w:val="nil"/>
                    <w:tr2bl w:val="nil"/>
                  </w:tcBorders>
                  <w:shd w:val="clear" w:color="auto" w:fill="auto"/>
                  <w:noWrap/>
                  <w:vAlign w:val="center"/>
                </w:tcPr>
                <w:p w14:paraId="60CBC5F3">
                  <w:pPr>
                    <w:pStyle w:val="100"/>
                    <w:rPr>
                      <w:rFonts w:hint="default" w:eastAsia="宋体"/>
                      <w:color w:val="auto"/>
                      <w:szCs w:val="21"/>
                      <w:highlight w:val="none"/>
                      <w:lang w:val="en-US" w:eastAsia="zh-CN"/>
                    </w:rPr>
                  </w:pPr>
                  <w:r>
                    <w:rPr>
                      <w:rFonts w:hint="eastAsia"/>
                      <w:color w:val="auto"/>
                      <w:szCs w:val="21"/>
                      <w:highlight w:val="none"/>
                      <w:lang w:val="en-US" w:eastAsia="zh-CN"/>
                    </w:rPr>
                    <w:t>SS</w:t>
                  </w:r>
                </w:p>
              </w:tc>
              <w:tc>
                <w:tcPr>
                  <w:tcW w:w="933" w:type="pct"/>
                  <w:tcBorders>
                    <w:tl2br w:val="nil"/>
                    <w:tr2bl w:val="nil"/>
                  </w:tcBorders>
                  <w:shd w:val="clear" w:color="auto" w:fill="auto"/>
                  <w:noWrap/>
                  <w:vAlign w:val="center"/>
                </w:tcPr>
                <w:p w14:paraId="2A412E36">
                  <w:pPr>
                    <w:pStyle w:val="100"/>
                    <w:rPr>
                      <w:rFonts w:hint="default" w:eastAsia="宋体"/>
                      <w:color w:val="auto"/>
                      <w:highlight w:val="none"/>
                      <w:lang w:val="en-US" w:eastAsia="zh-CN"/>
                    </w:rPr>
                  </w:pPr>
                  <w:r>
                    <w:rPr>
                      <w:rFonts w:hint="eastAsia"/>
                      <w:color w:val="auto"/>
                      <w:highlight w:val="none"/>
                      <w:lang w:val="en-US" w:eastAsia="zh-CN"/>
                    </w:rPr>
                    <w:t>400</w:t>
                  </w:r>
                </w:p>
              </w:tc>
              <w:tc>
                <w:tcPr>
                  <w:tcW w:w="1347" w:type="pct"/>
                  <w:vMerge w:val="continue"/>
                  <w:tcBorders>
                    <w:tl2br w:val="nil"/>
                    <w:tr2bl w:val="nil"/>
                  </w:tcBorders>
                  <w:noWrap/>
                  <w:vAlign w:val="center"/>
                </w:tcPr>
                <w:p w14:paraId="76B1148A">
                  <w:pPr>
                    <w:pStyle w:val="100"/>
                    <w:rPr>
                      <w:color w:val="auto"/>
                      <w:highlight w:val="none"/>
                    </w:rPr>
                  </w:pPr>
                </w:p>
              </w:tc>
              <w:tc>
                <w:tcPr>
                  <w:tcW w:w="1855" w:type="pct"/>
                  <w:vMerge w:val="continue"/>
                  <w:tcBorders>
                    <w:tl2br w:val="nil"/>
                    <w:tr2bl w:val="nil"/>
                  </w:tcBorders>
                  <w:noWrap/>
                  <w:vAlign w:val="center"/>
                </w:tcPr>
                <w:p w14:paraId="27E514D7">
                  <w:pPr>
                    <w:pStyle w:val="100"/>
                    <w:rPr>
                      <w:color w:val="auto"/>
                      <w:highlight w:val="none"/>
                    </w:rPr>
                  </w:pPr>
                </w:p>
              </w:tc>
            </w:tr>
            <w:tr w14:paraId="20C3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63" w:type="pct"/>
                  <w:tcBorders>
                    <w:tl2br w:val="nil"/>
                    <w:tr2bl w:val="nil"/>
                  </w:tcBorders>
                  <w:shd w:val="clear" w:color="auto" w:fill="auto"/>
                  <w:noWrap/>
                  <w:vAlign w:val="center"/>
                </w:tcPr>
                <w:p w14:paraId="61A1E405">
                  <w:pPr>
                    <w:pStyle w:val="100"/>
                    <w:rPr>
                      <w:rFonts w:ascii="Times New Roman" w:hAnsi="Times New Roman" w:eastAsia="宋体" w:cs="Times New Roman"/>
                      <w:iCs/>
                      <w:color w:val="auto"/>
                      <w:kern w:val="2"/>
                      <w:sz w:val="21"/>
                      <w:szCs w:val="21"/>
                      <w:highlight w:val="none"/>
                      <w:lang w:val="en-US" w:eastAsia="zh-CN" w:bidi="ar-SA"/>
                    </w:rPr>
                  </w:pPr>
                  <w:r>
                    <w:rPr>
                      <w:rFonts w:hint="eastAsia"/>
                      <w:color w:val="auto"/>
                      <w:szCs w:val="21"/>
                      <w:highlight w:val="none"/>
                    </w:rPr>
                    <w:t>NH</w:t>
                  </w:r>
                  <w:r>
                    <w:rPr>
                      <w:rFonts w:hint="eastAsia"/>
                      <w:color w:val="auto"/>
                      <w:szCs w:val="21"/>
                      <w:highlight w:val="none"/>
                      <w:vertAlign w:val="subscript"/>
                    </w:rPr>
                    <w:t>3</w:t>
                  </w:r>
                  <w:r>
                    <w:rPr>
                      <w:rFonts w:hint="eastAsia"/>
                      <w:color w:val="auto"/>
                      <w:szCs w:val="21"/>
                      <w:highlight w:val="none"/>
                    </w:rPr>
                    <w:t>-N</w:t>
                  </w:r>
                </w:p>
              </w:tc>
              <w:tc>
                <w:tcPr>
                  <w:tcW w:w="933" w:type="pct"/>
                  <w:tcBorders>
                    <w:tl2br w:val="nil"/>
                    <w:tr2bl w:val="nil"/>
                  </w:tcBorders>
                  <w:shd w:val="clear" w:color="auto" w:fill="auto"/>
                  <w:noWrap/>
                  <w:vAlign w:val="center"/>
                </w:tcPr>
                <w:p w14:paraId="426D85EB">
                  <w:pPr>
                    <w:pStyle w:val="100"/>
                    <w:rPr>
                      <w:rFonts w:hint="eastAsia" w:ascii="Times New Roman" w:hAnsi="Times New Roman" w:eastAsia="宋体" w:cs="Times New Roman"/>
                      <w:iCs/>
                      <w:color w:val="auto"/>
                      <w:kern w:val="2"/>
                      <w:sz w:val="21"/>
                      <w:szCs w:val="24"/>
                      <w:highlight w:val="none"/>
                      <w:lang w:val="en-US" w:eastAsia="zh-CN" w:bidi="ar-SA"/>
                    </w:rPr>
                  </w:pPr>
                  <w:r>
                    <w:rPr>
                      <w:rFonts w:hint="eastAsia"/>
                      <w:color w:val="auto"/>
                      <w:szCs w:val="21"/>
                      <w:highlight w:val="none"/>
                      <w:lang w:val="en-US" w:eastAsia="zh-CN"/>
                    </w:rPr>
                    <w:t>/</w:t>
                  </w:r>
                </w:p>
              </w:tc>
              <w:tc>
                <w:tcPr>
                  <w:tcW w:w="1347" w:type="pct"/>
                  <w:vMerge w:val="continue"/>
                  <w:tcBorders>
                    <w:tl2br w:val="nil"/>
                    <w:tr2bl w:val="nil"/>
                  </w:tcBorders>
                  <w:noWrap/>
                  <w:vAlign w:val="center"/>
                </w:tcPr>
                <w:p w14:paraId="3CCF60FC">
                  <w:pPr>
                    <w:pStyle w:val="100"/>
                    <w:rPr>
                      <w:color w:val="auto"/>
                      <w:highlight w:val="none"/>
                    </w:rPr>
                  </w:pPr>
                </w:p>
              </w:tc>
              <w:tc>
                <w:tcPr>
                  <w:tcW w:w="1855" w:type="pct"/>
                  <w:vMerge w:val="continue"/>
                  <w:tcBorders>
                    <w:tl2br w:val="nil"/>
                    <w:tr2bl w:val="nil"/>
                  </w:tcBorders>
                  <w:noWrap/>
                  <w:vAlign w:val="center"/>
                </w:tcPr>
                <w:p w14:paraId="619D764A">
                  <w:pPr>
                    <w:pStyle w:val="100"/>
                    <w:rPr>
                      <w:color w:val="auto"/>
                      <w:highlight w:val="none"/>
                    </w:rPr>
                  </w:pPr>
                </w:p>
              </w:tc>
            </w:tr>
            <w:tr w14:paraId="22D30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9" w:hRule="atLeast"/>
                <w:jc w:val="center"/>
              </w:trPr>
              <w:tc>
                <w:tcPr>
                  <w:tcW w:w="863" w:type="pct"/>
                  <w:tcBorders>
                    <w:tl2br w:val="nil"/>
                    <w:tr2bl w:val="nil"/>
                  </w:tcBorders>
                  <w:shd w:val="clear" w:color="auto" w:fill="auto"/>
                  <w:noWrap/>
                  <w:vAlign w:val="center"/>
                </w:tcPr>
                <w:p w14:paraId="066AFD97">
                  <w:pPr>
                    <w:pStyle w:val="100"/>
                    <w:rPr>
                      <w:rFonts w:hint="default" w:eastAsia="宋体"/>
                      <w:color w:val="auto"/>
                      <w:szCs w:val="21"/>
                      <w:highlight w:val="none"/>
                      <w:lang w:val="en-US" w:eastAsia="zh-CN"/>
                    </w:rPr>
                  </w:pPr>
                  <w:r>
                    <w:rPr>
                      <w:rFonts w:hint="eastAsia"/>
                      <w:color w:val="auto"/>
                      <w:szCs w:val="21"/>
                      <w:highlight w:val="none"/>
                      <w:lang w:val="en-US" w:eastAsia="zh-CN"/>
                    </w:rPr>
                    <w:t>石油类</w:t>
                  </w:r>
                </w:p>
              </w:tc>
              <w:tc>
                <w:tcPr>
                  <w:tcW w:w="933" w:type="pct"/>
                  <w:tcBorders>
                    <w:tl2br w:val="nil"/>
                    <w:tr2bl w:val="nil"/>
                  </w:tcBorders>
                  <w:shd w:val="clear" w:color="auto" w:fill="auto"/>
                  <w:noWrap/>
                  <w:vAlign w:val="center"/>
                </w:tcPr>
                <w:p w14:paraId="07E82B3A">
                  <w:pPr>
                    <w:jc w:val="center"/>
                    <w:rPr>
                      <w:rFonts w:hint="default"/>
                      <w:color w:val="auto"/>
                      <w:szCs w:val="21"/>
                      <w:highlight w:val="none"/>
                      <w:lang w:val="en-US" w:eastAsia="zh-CN"/>
                    </w:rPr>
                  </w:pPr>
                  <w:r>
                    <w:rPr>
                      <w:rFonts w:hint="eastAsia"/>
                      <w:color w:val="auto"/>
                      <w:szCs w:val="21"/>
                      <w:highlight w:val="none"/>
                      <w:lang w:val="en-US" w:eastAsia="zh-CN"/>
                    </w:rPr>
                    <w:t>20</w:t>
                  </w:r>
                </w:p>
              </w:tc>
              <w:tc>
                <w:tcPr>
                  <w:tcW w:w="1347" w:type="pct"/>
                  <w:vMerge w:val="continue"/>
                  <w:tcBorders>
                    <w:tl2br w:val="nil"/>
                    <w:tr2bl w:val="nil"/>
                  </w:tcBorders>
                  <w:noWrap/>
                  <w:vAlign w:val="center"/>
                </w:tcPr>
                <w:p w14:paraId="3C9FCC3D">
                  <w:pPr>
                    <w:pStyle w:val="100"/>
                    <w:rPr>
                      <w:color w:val="auto"/>
                      <w:highlight w:val="none"/>
                    </w:rPr>
                  </w:pPr>
                </w:p>
              </w:tc>
              <w:tc>
                <w:tcPr>
                  <w:tcW w:w="1855" w:type="pct"/>
                  <w:vMerge w:val="continue"/>
                  <w:tcBorders>
                    <w:tl2br w:val="nil"/>
                    <w:tr2bl w:val="nil"/>
                  </w:tcBorders>
                  <w:noWrap/>
                  <w:vAlign w:val="center"/>
                </w:tcPr>
                <w:p w14:paraId="1C89D77C">
                  <w:pPr>
                    <w:pStyle w:val="100"/>
                    <w:rPr>
                      <w:color w:val="auto"/>
                      <w:highlight w:val="none"/>
                    </w:rPr>
                  </w:pPr>
                </w:p>
              </w:tc>
            </w:tr>
            <w:tr w14:paraId="1EDF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63" w:type="pct"/>
                  <w:tcBorders>
                    <w:tl2br w:val="nil"/>
                    <w:tr2bl w:val="nil"/>
                  </w:tcBorders>
                  <w:shd w:val="clear" w:color="auto" w:fill="auto"/>
                  <w:noWrap/>
                  <w:vAlign w:val="center"/>
                </w:tcPr>
                <w:p w14:paraId="25587BD9">
                  <w:pPr>
                    <w:pStyle w:val="100"/>
                    <w:rPr>
                      <w:rFonts w:hint="default"/>
                      <w:color w:val="auto"/>
                      <w:szCs w:val="21"/>
                      <w:highlight w:val="none"/>
                      <w:lang w:val="en-US" w:eastAsia="zh-CN"/>
                    </w:rPr>
                  </w:pPr>
                  <w:r>
                    <w:rPr>
                      <w:rFonts w:hint="eastAsia"/>
                      <w:color w:val="auto"/>
                      <w:szCs w:val="21"/>
                      <w:highlight w:val="none"/>
                      <w:lang w:val="en-US" w:eastAsia="zh-CN"/>
                    </w:rPr>
                    <w:t>磷酸盐</w:t>
                  </w:r>
                </w:p>
              </w:tc>
              <w:tc>
                <w:tcPr>
                  <w:tcW w:w="933" w:type="pct"/>
                  <w:tcBorders>
                    <w:tl2br w:val="nil"/>
                    <w:tr2bl w:val="nil"/>
                  </w:tcBorders>
                  <w:shd w:val="clear" w:color="auto" w:fill="auto"/>
                  <w:noWrap/>
                  <w:vAlign w:val="center"/>
                </w:tcPr>
                <w:p w14:paraId="64B75263">
                  <w:pPr>
                    <w:jc w:val="center"/>
                    <w:rPr>
                      <w:rFonts w:hint="default"/>
                      <w:color w:val="auto"/>
                      <w:szCs w:val="21"/>
                      <w:highlight w:val="none"/>
                      <w:lang w:val="en-US" w:eastAsia="zh-CN"/>
                    </w:rPr>
                  </w:pPr>
                  <w:r>
                    <w:rPr>
                      <w:rFonts w:hint="eastAsia"/>
                      <w:color w:val="auto"/>
                      <w:szCs w:val="21"/>
                      <w:highlight w:val="none"/>
                      <w:lang w:val="en-US" w:eastAsia="zh-CN"/>
                    </w:rPr>
                    <w:t>/</w:t>
                  </w:r>
                </w:p>
              </w:tc>
              <w:tc>
                <w:tcPr>
                  <w:tcW w:w="1347" w:type="pct"/>
                  <w:vMerge w:val="continue"/>
                  <w:tcBorders>
                    <w:tl2br w:val="nil"/>
                    <w:tr2bl w:val="nil"/>
                  </w:tcBorders>
                  <w:noWrap/>
                  <w:vAlign w:val="center"/>
                </w:tcPr>
                <w:p w14:paraId="6478B2F6">
                  <w:pPr>
                    <w:pStyle w:val="100"/>
                    <w:rPr>
                      <w:color w:val="auto"/>
                      <w:highlight w:val="none"/>
                    </w:rPr>
                  </w:pPr>
                </w:p>
              </w:tc>
              <w:tc>
                <w:tcPr>
                  <w:tcW w:w="1855" w:type="pct"/>
                  <w:vMerge w:val="continue"/>
                  <w:tcBorders>
                    <w:tl2br w:val="nil"/>
                    <w:tr2bl w:val="nil"/>
                  </w:tcBorders>
                  <w:noWrap/>
                  <w:vAlign w:val="center"/>
                </w:tcPr>
                <w:p w14:paraId="1C494009">
                  <w:pPr>
                    <w:pStyle w:val="100"/>
                    <w:rPr>
                      <w:color w:val="auto"/>
                      <w:highlight w:val="none"/>
                    </w:rPr>
                  </w:pPr>
                </w:p>
              </w:tc>
            </w:tr>
            <w:tr w14:paraId="0ACC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63" w:type="pct"/>
                  <w:tcBorders>
                    <w:tl2br w:val="nil"/>
                    <w:tr2bl w:val="nil"/>
                  </w:tcBorders>
                  <w:shd w:val="clear" w:color="auto" w:fill="auto"/>
                  <w:noWrap/>
                  <w:vAlign w:val="center"/>
                </w:tcPr>
                <w:p w14:paraId="08B970AC">
                  <w:pPr>
                    <w:pStyle w:val="100"/>
                    <w:rPr>
                      <w:rFonts w:hint="default"/>
                      <w:color w:val="auto"/>
                      <w:szCs w:val="21"/>
                      <w:highlight w:val="none"/>
                      <w:lang w:val="en-US" w:eastAsia="zh-CN"/>
                    </w:rPr>
                  </w:pPr>
                  <w:r>
                    <w:rPr>
                      <w:rFonts w:hint="eastAsia"/>
                      <w:color w:val="auto"/>
                      <w:szCs w:val="21"/>
                      <w:highlight w:val="none"/>
                      <w:lang w:val="en-US" w:eastAsia="zh-CN"/>
                    </w:rPr>
                    <w:t>总锌</w:t>
                  </w:r>
                </w:p>
              </w:tc>
              <w:tc>
                <w:tcPr>
                  <w:tcW w:w="933" w:type="pct"/>
                  <w:tcBorders>
                    <w:tl2br w:val="nil"/>
                    <w:tr2bl w:val="nil"/>
                  </w:tcBorders>
                  <w:shd w:val="clear" w:color="auto" w:fill="auto"/>
                  <w:noWrap/>
                  <w:vAlign w:val="center"/>
                </w:tcPr>
                <w:p w14:paraId="04DB4A02">
                  <w:pPr>
                    <w:jc w:val="center"/>
                    <w:rPr>
                      <w:rFonts w:hint="default"/>
                      <w:color w:val="auto"/>
                      <w:szCs w:val="21"/>
                      <w:highlight w:val="none"/>
                      <w:lang w:val="en-US" w:eastAsia="zh-CN"/>
                    </w:rPr>
                  </w:pPr>
                  <w:r>
                    <w:rPr>
                      <w:rFonts w:hint="eastAsia"/>
                      <w:color w:val="auto"/>
                      <w:szCs w:val="21"/>
                      <w:highlight w:val="none"/>
                      <w:lang w:val="en-US" w:eastAsia="zh-CN"/>
                    </w:rPr>
                    <w:t>5</w:t>
                  </w:r>
                </w:p>
              </w:tc>
              <w:tc>
                <w:tcPr>
                  <w:tcW w:w="1347" w:type="pct"/>
                  <w:vMerge w:val="continue"/>
                  <w:tcBorders>
                    <w:tl2br w:val="nil"/>
                    <w:tr2bl w:val="nil"/>
                  </w:tcBorders>
                  <w:noWrap/>
                  <w:vAlign w:val="center"/>
                </w:tcPr>
                <w:p w14:paraId="077C222C">
                  <w:pPr>
                    <w:pStyle w:val="100"/>
                    <w:rPr>
                      <w:color w:val="auto"/>
                      <w:highlight w:val="none"/>
                    </w:rPr>
                  </w:pPr>
                </w:p>
              </w:tc>
              <w:tc>
                <w:tcPr>
                  <w:tcW w:w="1855" w:type="pct"/>
                  <w:vMerge w:val="continue"/>
                  <w:tcBorders>
                    <w:tl2br w:val="nil"/>
                    <w:tr2bl w:val="nil"/>
                  </w:tcBorders>
                  <w:noWrap/>
                  <w:vAlign w:val="center"/>
                </w:tcPr>
                <w:p w14:paraId="4905AAEC">
                  <w:pPr>
                    <w:pStyle w:val="100"/>
                    <w:rPr>
                      <w:color w:val="auto"/>
                      <w:highlight w:val="none"/>
                    </w:rPr>
                  </w:pPr>
                </w:p>
              </w:tc>
            </w:tr>
          </w:tbl>
          <w:p w14:paraId="655C072E">
            <w:pPr>
              <w:pStyle w:val="102"/>
              <w:keepNext w:val="0"/>
              <w:keepLines w:val="0"/>
              <w:pageBreakBefore w:val="0"/>
              <w:widowControl/>
              <w:kinsoku/>
              <w:wordWrap/>
              <w:overflowPunct/>
              <w:topLinePunct w:val="0"/>
              <w:autoSpaceDE/>
              <w:autoSpaceDN/>
              <w:bidi w:val="0"/>
              <w:adjustRightInd/>
              <w:snapToGrid/>
              <w:ind w:firstLine="482" w:firstLineChars="200"/>
              <w:jc w:val="center"/>
              <w:textAlignment w:val="auto"/>
              <w:rPr>
                <w:rFonts w:hint="eastAsia" w:ascii="Times New Roman" w:hAnsi="Times New Roman" w:eastAsia="宋体" w:cs="Times New Roman"/>
                <w:color w:val="auto"/>
                <w:kern w:val="2"/>
                <w:highlight w:val="none"/>
                <w:lang w:val="en-US" w:eastAsia="zh-CN"/>
              </w:rPr>
            </w:pPr>
            <w:r>
              <w:rPr>
                <w:rFonts w:hint="eastAsia" w:ascii="Times New Roman" w:hAnsi="Times New Roman" w:eastAsia="宋体" w:cs="Times New Roman"/>
                <w:color w:val="auto"/>
                <w:kern w:val="2"/>
                <w:highlight w:val="none"/>
              </w:rPr>
              <w:t>表3-</w:t>
            </w:r>
            <w:r>
              <w:rPr>
                <w:rFonts w:hint="eastAsia" w:ascii="Times New Roman" w:hAnsi="Times New Roman" w:eastAsia="宋体" w:cs="Times New Roman"/>
                <w:color w:val="auto"/>
                <w:kern w:val="2"/>
                <w:highlight w:val="none"/>
                <w:lang w:val="en-US" w:eastAsia="zh-CN"/>
              </w:rPr>
              <w:t xml:space="preserve">8 </w:t>
            </w:r>
            <w:r>
              <w:rPr>
                <w:rFonts w:hint="eastAsia" w:ascii="Times New Roman" w:hAnsi="Times New Roman" w:eastAsia="宋体" w:cs="Times New Roman"/>
                <w:color w:val="auto"/>
                <w:kern w:val="2"/>
                <w:highlight w:val="none"/>
              </w:rPr>
              <w:t xml:space="preserve"> 官塘污水处理厂设计进</w:t>
            </w:r>
            <w:r>
              <w:rPr>
                <w:rFonts w:hint="eastAsia" w:ascii="Times New Roman" w:hAnsi="Times New Roman" w:eastAsia="宋体" w:cs="Times New Roman"/>
                <w:color w:val="auto"/>
                <w:kern w:val="2"/>
                <w:highlight w:val="none"/>
                <w:lang w:val="en-US" w:eastAsia="zh-CN"/>
              </w:rPr>
              <w:t>水</w:t>
            </w:r>
            <w:r>
              <w:rPr>
                <w:rFonts w:hint="eastAsia" w:ascii="Times New Roman" w:hAnsi="Times New Roman" w:eastAsia="宋体" w:cs="Times New Roman"/>
                <w:color w:val="auto"/>
                <w:kern w:val="2"/>
                <w:highlight w:val="none"/>
              </w:rPr>
              <w:t>水质</w:t>
            </w:r>
            <w:r>
              <w:rPr>
                <w:rFonts w:hint="eastAsia" w:ascii="Times New Roman" w:hAnsi="Times New Roman" w:eastAsia="宋体" w:cs="Times New Roman"/>
                <w:color w:val="auto"/>
                <w:kern w:val="2"/>
                <w:highlight w:val="none"/>
                <w:lang w:val="en-US" w:eastAsia="zh-CN"/>
              </w:rPr>
              <w:t>要求</w:t>
            </w:r>
          </w:p>
          <w:tbl>
            <w:tblPr>
              <w:tblStyle w:val="3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7"/>
              <w:gridCol w:w="1298"/>
              <w:gridCol w:w="1298"/>
              <w:gridCol w:w="1298"/>
              <w:gridCol w:w="1299"/>
              <w:gridCol w:w="1299"/>
            </w:tblGrid>
            <w:tr w14:paraId="10208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921" w:type="pct"/>
                  <w:tcBorders>
                    <w:tl2br w:val="nil"/>
                    <w:tr2bl w:val="nil"/>
                  </w:tcBorders>
                  <w:noWrap/>
                  <w:vAlign w:val="center"/>
                </w:tcPr>
                <w:p w14:paraId="66F62AA7">
                  <w:pPr>
                    <w:widowControl/>
                    <w:spacing w:line="240" w:lineRule="auto"/>
                    <w:jc w:val="center"/>
                    <w:textAlignment w:val="center"/>
                    <w:rPr>
                      <w:color w:val="auto"/>
                      <w:sz w:val="21"/>
                      <w:szCs w:val="21"/>
                      <w:highlight w:val="none"/>
                    </w:rPr>
                  </w:pPr>
                  <w:r>
                    <w:rPr>
                      <w:color w:val="auto"/>
                      <w:kern w:val="0"/>
                      <w:sz w:val="21"/>
                      <w:szCs w:val="21"/>
                      <w:highlight w:val="none"/>
                    </w:rPr>
                    <w:t>项 目</w:t>
                  </w:r>
                </w:p>
              </w:tc>
              <w:tc>
                <w:tcPr>
                  <w:tcW w:w="815" w:type="pct"/>
                  <w:tcBorders>
                    <w:tl2br w:val="nil"/>
                    <w:tr2bl w:val="nil"/>
                  </w:tcBorders>
                  <w:noWrap/>
                  <w:vAlign w:val="center"/>
                </w:tcPr>
                <w:p w14:paraId="62A1CF1F">
                  <w:pPr>
                    <w:widowControl/>
                    <w:spacing w:line="240" w:lineRule="auto"/>
                    <w:jc w:val="center"/>
                    <w:textAlignment w:val="center"/>
                    <w:rPr>
                      <w:color w:val="auto"/>
                      <w:sz w:val="21"/>
                      <w:szCs w:val="21"/>
                      <w:highlight w:val="none"/>
                    </w:rPr>
                  </w:pPr>
                  <w:r>
                    <w:rPr>
                      <w:color w:val="auto"/>
                      <w:kern w:val="0"/>
                      <w:sz w:val="21"/>
                      <w:szCs w:val="21"/>
                      <w:highlight w:val="none"/>
                    </w:rPr>
                    <w:t>CODcr</w:t>
                  </w:r>
                </w:p>
              </w:tc>
              <w:tc>
                <w:tcPr>
                  <w:tcW w:w="815" w:type="pct"/>
                  <w:tcBorders>
                    <w:tl2br w:val="nil"/>
                    <w:tr2bl w:val="nil"/>
                  </w:tcBorders>
                  <w:noWrap/>
                  <w:vAlign w:val="center"/>
                </w:tcPr>
                <w:p w14:paraId="2C54C11C">
                  <w:pPr>
                    <w:widowControl/>
                    <w:spacing w:line="240" w:lineRule="auto"/>
                    <w:jc w:val="center"/>
                    <w:textAlignment w:val="center"/>
                    <w:rPr>
                      <w:color w:val="auto"/>
                      <w:sz w:val="21"/>
                      <w:szCs w:val="21"/>
                      <w:highlight w:val="none"/>
                    </w:rPr>
                  </w:pPr>
                  <w:r>
                    <w:rPr>
                      <w:color w:val="auto"/>
                      <w:kern w:val="0"/>
                      <w:sz w:val="21"/>
                      <w:szCs w:val="21"/>
                      <w:highlight w:val="none"/>
                    </w:rPr>
                    <w:t>BOD</w:t>
                  </w:r>
                  <w:r>
                    <w:rPr>
                      <w:color w:val="auto"/>
                      <w:kern w:val="0"/>
                      <w:sz w:val="21"/>
                      <w:szCs w:val="21"/>
                      <w:highlight w:val="none"/>
                      <w:vertAlign w:val="subscript"/>
                    </w:rPr>
                    <w:t>5</w:t>
                  </w:r>
                </w:p>
              </w:tc>
              <w:tc>
                <w:tcPr>
                  <w:tcW w:w="815" w:type="pct"/>
                  <w:tcBorders>
                    <w:tl2br w:val="nil"/>
                    <w:tr2bl w:val="nil"/>
                  </w:tcBorders>
                  <w:noWrap/>
                  <w:vAlign w:val="center"/>
                </w:tcPr>
                <w:p w14:paraId="3982D412">
                  <w:pPr>
                    <w:widowControl/>
                    <w:spacing w:line="240" w:lineRule="auto"/>
                    <w:jc w:val="center"/>
                    <w:textAlignment w:val="center"/>
                    <w:rPr>
                      <w:color w:val="auto"/>
                      <w:sz w:val="21"/>
                      <w:szCs w:val="21"/>
                      <w:highlight w:val="none"/>
                    </w:rPr>
                  </w:pPr>
                  <w:r>
                    <w:rPr>
                      <w:color w:val="auto"/>
                      <w:kern w:val="0"/>
                      <w:sz w:val="21"/>
                      <w:szCs w:val="21"/>
                      <w:highlight w:val="none"/>
                    </w:rPr>
                    <w:t>SS</w:t>
                  </w:r>
                </w:p>
              </w:tc>
              <w:tc>
                <w:tcPr>
                  <w:tcW w:w="816" w:type="pct"/>
                  <w:tcBorders>
                    <w:tl2br w:val="nil"/>
                    <w:tr2bl w:val="nil"/>
                  </w:tcBorders>
                  <w:noWrap/>
                  <w:vAlign w:val="center"/>
                </w:tcPr>
                <w:p w14:paraId="4AAB5593">
                  <w:pPr>
                    <w:pStyle w:val="107"/>
                    <w:rPr>
                      <w:rFonts w:cs="Times New Roman"/>
                      <w:b w:val="0"/>
                      <w:color w:val="auto"/>
                      <w:szCs w:val="21"/>
                      <w:highlight w:val="none"/>
                    </w:rPr>
                  </w:pPr>
                  <w:r>
                    <w:rPr>
                      <w:rFonts w:cs="Times New Roman"/>
                      <w:b w:val="0"/>
                      <w:color w:val="auto"/>
                      <w:szCs w:val="21"/>
                      <w:highlight w:val="none"/>
                    </w:rPr>
                    <w:t>NH</w:t>
                  </w:r>
                  <w:r>
                    <w:rPr>
                      <w:rFonts w:cs="Times New Roman"/>
                      <w:b w:val="0"/>
                      <w:color w:val="auto"/>
                      <w:szCs w:val="21"/>
                      <w:highlight w:val="none"/>
                      <w:vertAlign w:val="subscript"/>
                    </w:rPr>
                    <w:t>3</w:t>
                  </w:r>
                  <w:r>
                    <w:rPr>
                      <w:rFonts w:cs="Times New Roman"/>
                      <w:b w:val="0"/>
                      <w:color w:val="auto"/>
                      <w:szCs w:val="21"/>
                      <w:highlight w:val="none"/>
                    </w:rPr>
                    <w:t>-N</w:t>
                  </w:r>
                </w:p>
              </w:tc>
              <w:tc>
                <w:tcPr>
                  <w:tcW w:w="816" w:type="pct"/>
                  <w:tcBorders>
                    <w:tl2br w:val="nil"/>
                    <w:tr2bl w:val="nil"/>
                  </w:tcBorders>
                  <w:noWrap/>
                  <w:vAlign w:val="center"/>
                </w:tcPr>
                <w:p w14:paraId="5651B1DB">
                  <w:pPr>
                    <w:widowControl/>
                    <w:spacing w:line="240" w:lineRule="auto"/>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磷酸盐</w:t>
                  </w:r>
                </w:p>
              </w:tc>
            </w:tr>
            <w:tr w14:paraId="4E4F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921" w:type="pct"/>
                  <w:tcBorders>
                    <w:tl2br w:val="nil"/>
                    <w:tr2bl w:val="nil"/>
                  </w:tcBorders>
                  <w:noWrap/>
                  <w:vAlign w:val="center"/>
                </w:tcPr>
                <w:p w14:paraId="7316012B">
                  <w:pPr>
                    <w:widowControl/>
                    <w:spacing w:line="240" w:lineRule="auto"/>
                    <w:jc w:val="center"/>
                    <w:textAlignment w:val="center"/>
                    <w:rPr>
                      <w:color w:val="auto"/>
                      <w:sz w:val="21"/>
                      <w:szCs w:val="21"/>
                      <w:highlight w:val="none"/>
                    </w:rPr>
                  </w:pPr>
                  <w:r>
                    <w:rPr>
                      <w:color w:val="auto"/>
                      <w:kern w:val="0"/>
                      <w:sz w:val="21"/>
                      <w:szCs w:val="21"/>
                      <w:highlight w:val="none"/>
                    </w:rPr>
                    <w:t>进水(mg/L)</w:t>
                  </w:r>
                </w:p>
              </w:tc>
              <w:tc>
                <w:tcPr>
                  <w:tcW w:w="815" w:type="pct"/>
                  <w:tcBorders>
                    <w:tl2br w:val="nil"/>
                    <w:tr2bl w:val="nil"/>
                  </w:tcBorders>
                  <w:noWrap/>
                  <w:vAlign w:val="center"/>
                </w:tcPr>
                <w:p w14:paraId="3897D7FF">
                  <w:pPr>
                    <w:pStyle w:val="107"/>
                    <w:rPr>
                      <w:rFonts w:hint="default" w:eastAsia="黑体" w:cs="Times New Roman"/>
                      <w:b w:val="0"/>
                      <w:color w:val="auto"/>
                      <w:szCs w:val="21"/>
                      <w:highlight w:val="none"/>
                      <w:lang w:val="en-US" w:eastAsia="zh-CN"/>
                    </w:rPr>
                  </w:pPr>
                  <w:r>
                    <w:rPr>
                      <w:rFonts w:cs="Times New Roman"/>
                      <w:b w:val="0"/>
                      <w:color w:val="auto"/>
                      <w:szCs w:val="21"/>
                      <w:highlight w:val="none"/>
                    </w:rPr>
                    <w:t>≤</w:t>
                  </w:r>
                  <w:r>
                    <w:rPr>
                      <w:rFonts w:hint="eastAsia" w:cs="Times New Roman"/>
                      <w:b w:val="0"/>
                      <w:color w:val="auto"/>
                      <w:szCs w:val="21"/>
                      <w:highlight w:val="none"/>
                      <w:lang w:val="en-US" w:eastAsia="zh-CN"/>
                    </w:rPr>
                    <w:t>220</w:t>
                  </w:r>
                </w:p>
              </w:tc>
              <w:tc>
                <w:tcPr>
                  <w:tcW w:w="815" w:type="pct"/>
                  <w:tcBorders>
                    <w:tl2br w:val="nil"/>
                    <w:tr2bl w:val="nil"/>
                  </w:tcBorders>
                  <w:noWrap/>
                  <w:vAlign w:val="center"/>
                </w:tcPr>
                <w:p w14:paraId="06358157">
                  <w:pPr>
                    <w:pStyle w:val="107"/>
                    <w:rPr>
                      <w:rFonts w:hint="default" w:eastAsia="黑体" w:cs="Times New Roman"/>
                      <w:b w:val="0"/>
                      <w:color w:val="auto"/>
                      <w:szCs w:val="21"/>
                      <w:highlight w:val="none"/>
                      <w:lang w:val="en-US" w:eastAsia="zh-CN"/>
                    </w:rPr>
                  </w:pPr>
                  <w:r>
                    <w:rPr>
                      <w:rFonts w:cs="Times New Roman"/>
                      <w:b w:val="0"/>
                      <w:color w:val="auto"/>
                      <w:szCs w:val="21"/>
                      <w:highlight w:val="none"/>
                    </w:rPr>
                    <w:t>≤</w:t>
                  </w:r>
                  <w:r>
                    <w:rPr>
                      <w:rFonts w:hint="eastAsia" w:cs="Times New Roman"/>
                      <w:b w:val="0"/>
                      <w:color w:val="auto"/>
                      <w:szCs w:val="21"/>
                      <w:highlight w:val="none"/>
                      <w:lang w:val="en-US" w:eastAsia="zh-CN"/>
                    </w:rPr>
                    <w:t>120</w:t>
                  </w:r>
                </w:p>
              </w:tc>
              <w:tc>
                <w:tcPr>
                  <w:tcW w:w="815" w:type="pct"/>
                  <w:tcBorders>
                    <w:tl2br w:val="nil"/>
                    <w:tr2bl w:val="nil"/>
                  </w:tcBorders>
                  <w:noWrap/>
                  <w:vAlign w:val="center"/>
                </w:tcPr>
                <w:p w14:paraId="1FDA080F">
                  <w:pPr>
                    <w:pStyle w:val="107"/>
                    <w:rPr>
                      <w:rFonts w:hint="default" w:eastAsia="宋体" w:cs="Times New Roman"/>
                      <w:b w:val="0"/>
                      <w:color w:val="auto"/>
                      <w:szCs w:val="21"/>
                      <w:highlight w:val="none"/>
                      <w:lang w:val="en-US" w:eastAsia="zh-CN"/>
                    </w:rPr>
                  </w:pPr>
                  <w:r>
                    <w:rPr>
                      <w:rFonts w:cs="Times New Roman"/>
                      <w:b w:val="0"/>
                      <w:color w:val="auto"/>
                      <w:szCs w:val="21"/>
                      <w:highlight w:val="none"/>
                    </w:rPr>
                    <w:t>≤</w:t>
                  </w:r>
                  <w:r>
                    <w:rPr>
                      <w:rFonts w:hint="eastAsia" w:cs="Times New Roman"/>
                      <w:b w:val="0"/>
                      <w:color w:val="auto"/>
                      <w:szCs w:val="21"/>
                      <w:highlight w:val="none"/>
                      <w:lang w:val="en-US" w:eastAsia="zh-CN"/>
                    </w:rPr>
                    <w:t>200</w:t>
                  </w:r>
                </w:p>
              </w:tc>
              <w:tc>
                <w:tcPr>
                  <w:tcW w:w="816" w:type="pct"/>
                  <w:tcBorders>
                    <w:tl2br w:val="nil"/>
                    <w:tr2bl w:val="nil"/>
                  </w:tcBorders>
                  <w:noWrap/>
                  <w:vAlign w:val="center"/>
                </w:tcPr>
                <w:p w14:paraId="6089E648">
                  <w:pPr>
                    <w:pStyle w:val="107"/>
                    <w:rPr>
                      <w:rFonts w:hint="default" w:eastAsia="黑体" w:cs="Times New Roman"/>
                      <w:b w:val="0"/>
                      <w:color w:val="auto"/>
                      <w:szCs w:val="21"/>
                      <w:highlight w:val="none"/>
                      <w:lang w:val="en-US" w:eastAsia="zh-CN"/>
                    </w:rPr>
                  </w:pPr>
                  <w:r>
                    <w:rPr>
                      <w:rFonts w:cs="Times New Roman"/>
                      <w:b w:val="0"/>
                      <w:color w:val="auto"/>
                      <w:szCs w:val="21"/>
                      <w:highlight w:val="none"/>
                    </w:rPr>
                    <w:t>≤</w:t>
                  </w:r>
                  <w:r>
                    <w:rPr>
                      <w:rFonts w:hint="eastAsia" w:cs="Times New Roman"/>
                      <w:b w:val="0"/>
                      <w:color w:val="auto"/>
                      <w:szCs w:val="21"/>
                      <w:highlight w:val="none"/>
                      <w:lang w:val="en-US" w:eastAsia="zh-CN"/>
                    </w:rPr>
                    <w:t>25</w:t>
                  </w:r>
                </w:p>
              </w:tc>
              <w:tc>
                <w:tcPr>
                  <w:tcW w:w="816" w:type="pct"/>
                  <w:tcBorders>
                    <w:tl2br w:val="nil"/>
                    <w:tr2bl w:val="nil"/>
                  </w:tcBorders>
                  <w:noWrap/>
                  <w:vAlign w:val="center"/>
                </w:tcPr>
                <w:p w14:paraId="4EB631A5">
                  <w:pPr>
                    <w:widowControl/>
                    <w:spacing w:line="240" w:lineRule="auto"/>
                    <w:jc w:val="center"/>
                    <w:textAlignment w:val="center"/>
                    <w:rPr>
                      <w:rFonts w:hint="eastAsia" w:ascii="Times New Roman" w:hAnsi="Times New Roman" w:eastAsia="宋体" w:cs="Times New Roman"/>
                      <w:color w:val="auto"/>
                      <w:sz w:val="21"/>
                      <w:szCs w:val="21"/>
                      <w:highlight w:val="none"/>
                      <w:lang w:val="en-US" w:eastAsia="zh-CN"/>
                    </w:rPr>
                  </w:pPr>
                  <w:r>
                    <w:rPr>
                      <w:rFonts w:cs="Times New Roman"/>
                      <w:b w:val="0"/>
                      <w:color w:val="auto"/>
                      <w:szCs w:val="21"/>
                      <w:highlight w:val="none"/>
                    </w:rPr>
                    <w:t>≤</w:t>
                  </w:r>
                  <w:r>
                    <w:rPr>
                      <w:rFonts w:hint="eastAsia" w:cs="Times New Roman"/>
                      <w:b w:val="0"/>
                      <w:color w:val="auto"/>
                      <w:szCs w:val="21"/>
                      <w:highlight w:val="none"/>
                      <w:lang w:val="en-US" w:eastAsia="zh-CN"/>
                    </w:rPr>
                    <w:t>3</w:t>
                  </w:r>
                </w:p>
              </w:tc>
            </w:tr>
          </w:tbl>
          <w:p w14:paraId="6A7B4C62">
            <w:pPr>
              <w:pStyle w:val="102"/>
              <w:jc w:val="right"/>
              <w:rPr>
                <w:b w:val="0"/>
                <w:color w:val="auto"/>
                <w:kern w:val="2"/>
                <w:highlight w:val="none"/>
              </w:rPr>
            </w:pPr>
            <w:r>
              <w:rPr>
                <w:color w:val="auto"/>
                <w:kern w:val="2"/>
                <w:highlight w:val="none"/>
              </w:rPr>
              <w:t>表</w:t>
            </w:r>
            <w:r>
              <w:rPr>
                <w:rFonts w:hint="eastAsia"/>
                <w:color w:val="auto"/>
                <w:kern w:val="2"/>
                <w:highlight w:val="none"/>
              </w:rPr>
              <w:t>3-</w:t>
            </w:r>
            <w:r>
              <w:rPr>
                <w:rFonts w:hint="eastAsia"/>
                <w:color w:val="auto"/>
                <w:kern w:val="2"/>
                <w:highlight w:val="none"/>
                <w:lang w:val="en-US" w:eastAsia="zh-CN"/>
              </w:rPr>
              <w:t xml:space="preserve">9 本项目废水排放标准       </w:t>
            </w:r>
            <w:r>
              <w:rPr>
                <w:rStyle w:val="103"/>
                <w:b w:val="0"/>
                <w:color w:val="auto"/>
                <w:highlight w:val="none"/>
              </w:rPr>
              <w:t>单位：mg/L（pH值除外）</w:t>
            </w:r>
          </w:p>
          <w:tbl>
            <w:tblPr>
              <w:tblStyle w:val="39"/>
              <w:tblpPr w:leftFromText="180" w:rightFromText="180" w:vertAnchor="text" w:horzAnchor="margin" w:tblpXSpec="center" w:tblpY="89"/>
              <w:tblOverlap w:val="never"/>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73"/>
              <w:gridCol w:w="1485"/>
              <w:gridCol w:w="2143"/>
              <w:gridCol w:w="2952"/>
            </w:tblGrid>
            <w:tr w14:paraId="526B0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63" w:type="pct"/>
                  <w:tcBorders>
                    <w:tl2br w:val="nil"/>
                    <w:tr2bl w:val="nil"/>
                  </w:tcBorders>
                  <w:noWrap/>
                  <w:vAlign w:val="center"/>
                </w:tcPr>
                <w:p w14:paraId="42DAA6DF">
                  <w:pPr>
                    <w:pStyle w:val="100"/>
                    <w:rPr>
                      <w:color w:val="auto"/>
                      <w:highlight w:val="none"/>
                    </w:rPr>
                  </w:pPr>
                  <w:r>
                    <w:rPr>
                      <w:rFonts w:hint="eastAsia"/>
                      <w:color w:val="auto"/>
                      <w:highlight w:val="none"/>
                    </w:rPr>
                    <w:t>污染物项目</w:t>
                  </w:r>
                </w:p>
              </w:tc>
              <w:tc>
                <w:tcPr>
                  <w:tcW w:w="933" w:type="pct"/>
                  <w:tcBorders>
                    <w:tl2br w:val="nil"/>
                    <w:tr2bl w:val="nil"/>
                  </w:tcBorders>
                  <w:noWrap/>
                  <w:vAlign w:val="center"/>
                </w:tcPr>
                <w:p w14:paraId="5CAB03FC">
                  <w:pPr>
                    <w:pStyle w:val="100"/>
                    <w:rPr>
                      <w:color w:val="auto"/>
                      <w:highlight w:val="none"/>
                    </w:rPr>
                  </w:pPr>
                  <w:r>
                    <w:rPr>
                      <w:rFonts w:hint="eastAsia"/>
                      <w:color w:val="auto"/>
                      <w:highlight w:val="none"/>
                    </w:rPr>
                    <w:t>排放限值</w:t>
                  </w:r>
                </w:p>
              </w:tc>
              <w:tc>
                <w:tcPr>
                  <w:tcW w:w="1347" w:type="pct"/>
                  <w:tcBorders>
                    <w:tl2br w:val="nil"/>
                    <w:tr2bl w:val="nil"/>
                  </w:tcBorders>
                  <w:noWrap/>
                  <w:vAlign w:val="center"/>
                </w:tcPr>
                <w:p w14:paraId="5BE3AFA3">
                  <w:pPr>
                    <w:pStyle w:val="100"/>
                    <w:rPr>
                      <w:color w:val="auto"/>
                      <w:highlight w:val="none"/>
                    </w:rPr>
                  </w:pPr>
                  <w:r>
                    <w:rPr>
                      <w:rFonts w:hint="eastAsia"/>
                      <w:color w:val="auto"/>
                      <w:highlight w:val="none"/>
                    </w:rPr>
                    <w:t>污染物排放监控位置</w:t>
                  </w:r>
                </w:p>
              </w:tc>
              <w:tc>
                <w:tcPr>
                  <w:tcW w:w="1855" w:type="pct"/>
                  <w:tcBorders>
                    <w:tl2br w:val="nil"/>
                    <w:tr2bl w:val="nil"/>
                  </w:tcBorders>
                  <w:noWrap/>
                  <w:vAlign w:val="center"/>
                </w:tcPr>
                <w:p w14:paraId="1676C1D0">
                  <w:pPr>
                    <w:pStyle w:val="100"/>
                    <w:rPr>
                      <w:color w:val="auto"/>
                      <w:highlight w:val="none"/>
                    </w:rPr>
                  </w:pPr>
                  <w:r>
                    <w:rPr>
                      <w:rFonts w:hint="eastAsia"/>
                      <w:color w:val="auto"/>
                      <w:highlight w:val="none"/>
                    </w:rPr>
                    <w:t>排放标准</w:t>
                  </w:r>
                </w:p>
              </w:tc>
            </w:tr>
            <w:tr w14:paraId="799FF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63" w:type="pct"/>
                  <w:tcBorders>
                    <w:tl2br w:val="nil"/>
                    <w:tr2bl w:val="nil"/>
                  </w:tcBorders>
                  <w:noWrap/>
                  <w:vAlign w:val="center"/>
                </w:tcPr>
                <w:p w14:paraId="72539D34">
                  <w:pPr>
                    <w:pStyle w:val="100"/>
                    <w:rPr>
                      <w:color w:val="auto"/>
                      <w:highlight w:val="none"/>
                    </w:rPr>
                  </w:pPr>
                  <w:r>
                    <w:rPr>
                      <w:rFonts w:hint="eastAsia"/>
                      <w:color w:val="auto"/>
                      <w:highlight w:val="none"/>
                    </w:rPr>
                    <w:t>pH值</w:t>
                  </w:r>
                </w:p>
              </w:tc>
              <w:tc>
                <w:tcPr>
                  <w:tcW w:w="933" w:type="pct"/>
                  <w:tcBorders>
                    <w:tl2br w:val="nil"/>
                    <w:tr2bl w:val="nil"/>
                  </w:tcBorders>
                  <w:noWrap/>
                  <w:vAlign w:val="center"/>
                </w:tcPr>
                <w:p w14:paraId="6D3C227D">
                  <w:pPr>
                    <w:pStyle w:val="100"/>
                    <w:rPr>
                      <w:color w:val="auto"/>
                      <w:highlight w:val="none"/>
                    </w:rPr>
                  </w:pPr>
                  <w:r>
                    <w:rPr>
                      <w:rFonts w:hint="eastAsia"/>
                      <w:color w:val="auto"/>
                      <w:highlight w:val="none"/>
                    </w:rPr>
                    <w:t>6~9</w:t>
                  </w:r>
                </w:p>
              </w:tc>
              <w:tc>
                <w:tcPr>
                  <w:tcW w:w="1347" w:type="pct"/>
                  <w:vMerge w:val="restart"/>
                  <w:tcBorders>
                    <w:tl2br w:val="nil"/>
                    <w:tr2bl w:val="nil"/>
                  </w:tcBorders>
                  <w:noWrap/>
                  <w:vAlign w:val="center"/>
                </w:tcPr>
                <w:p w14:paraId="19B87E87">
                  <w:pPr>
                    <w:pStyle w:val="100"/>
                    <w:rPr>
                      <w:color w:val="auto"/>
                      <w:highlight w:val="none"/>
                    </w:rPr>
                  </w:pPr>
                  <w:r>
                    <w:rPr>
                      <w:rFonts w:hint="eastAsia"/>
                      <w:color w:val="auto"/>
                      <w:highlight w:val="none"/>
                    </w:rPr>
                    <w:t>企业废水总排放口</w:t>
                  </w:r>
                </w:p>
              </w:tc>
              <w:tc>
                <w:tcPr>
                  <w:tcW w:w="1855" w:type="pct"/>
                  <w:vMerge w:val="restart"/>
                  <w:tcBorders>
                    <w:tl2br w:val="nil"/>
                    <w:tr2bl w:val="nil"/>
                  </w:tcBorders>
                  <w:noWrap/>
                  <w:vAlign w:val="center"/>
                </w:tcPr>
                <w:p w14:paraId="61D8EABB">
                  <w:pPr>
                    <w:pStyle w:val="100"/>
                    <w:rPr>
                      <w:rFonts w:hint="eastAsia" w:eastAsia="宋体"/>
                      <w:color w:val="auto"/>
                      <w:highlight w:val="none"/>
                      <w:lang w:val="en-US" w:eastAsia="zh-CN"/>
                    </w:rPr>
                  </w:pPr>
                  <w:r>
                    <w:rPr>
                      <w:rFonts w:hint="eastAsia"/>
                      <w:color w:val="auto"/>
                      <w:kern w:val="0"/>
                      <w:highlight w:val="none"/>
                    </w:rPr>
                    <w:t>《污水综合排放标准》</w:t>
                  </w:r>
                  <w:r>
                    <w:rPr>
                      <w:rFonts w:hint="eastAsia"/>
                      <w:color w:val="auto"/>
                      <w:kern w:val="0"/>
                      <w:highlight w:val="none"/>
                      <w:lang w:eastAsia="zh-CN"/>
                    </w:rPr>
                    <w:t>（</w:t>
                  </w:r>
                  <w:r>
                    <w:rPr>
                      <w:rFonts w:hint="eastAsia"/>
                      <w:color w:val="auto"/>
                      <w:kern w:val="0"/>
                      <w:highlight w:val="none"/>
                    </w:rPr>
                    <w:t>GB8978-1996</w:t>
                  </w:r>
                  <w:r>
                    <w:rPr>
                      <w:rFonts w:hint="eastAsia"/>
                      <w:color w:val="auto"/>
                      <w:kern w:val="0"/>
                      <w:highlight w:val="none"/>
                      <w:lang w:eastAsia="zh-CN"/>
                    </w:rPr>
                    <w:t>）</w:t>
                  </w:r>
                  <w:r>
                    <w:rPr>
                      <w:rFonts w:hint="eastAsia"/>
                      <w:color w:val="auto"/>
                      <w:kern w:val="0"/>
                      <w:highlight w:val="none"/>
                    </w:rPr>
                    <w:t>三级标准</w:t>
                  </w:r>
                  <w:r>
                    <w:rPr>
                      <w:rFonts w:hint="eastAsia"/>
                      <w:color w:val="auto"/>
                      <w:kern w:val="0"/>
                      <w:highlight w:val="none"/>
                      <w:lang w:val="en-US" w:eastAsia="zh-CN"/>
                    </w:rPr>
                    <w:t>及官塘污水处理厂设计进水水质要求</w:t>
                  </w:r>
                </w:p>
              </w:tc>
            </w:tr>
            <w:tr w14:paraId="7CD9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63" w:type="pct"/>
                  <w:tcBorders>
                    <w:tl2br w:val="nil"/>
                    <w:tr2bl w:val="nil"/>
                  </w:tcBorders>
                  <w:shd w:val="clear" w:color="auto" w:fill="auto"/>
                  <w:noWrap/>
                  <w:vAlign w:val="center"/>
                </w:tcPr>
                <w:p w14:paraId="5205F5F9">
                  <w:pPr>
                    <w:pStyle w:val="100"/>
                    <w:rPr>
                      <w:rFonts w:ascii="Times New Roman" w:hAnsi="Times New Roman" w:eastAsia="宋体" w:cs="Times New Roman"/>
                      <w:iCs/>
                      <w:color w:val="auto"/>
                      <w:kern w:val="2"/>
                      <w:sz w:val="21"/>
                      <w:szCs w:val="24"/>
                      <w:highlight w:val="none"/>
                      <w:vertAlign w:val="subscript"/>
                      <w:lang w:val="en-US" w:eastAsia="zh-CN" w:bidi="ar-SA"/>
                    </w:rPr>
                  </w:pPr>
                  <w:r>
                    <w:rPr>
                      <w:rFonts w:hint="eastAsia"/>
                      <w:color w:val="auto"/>
                      <w:highlight w:val="none"/>
                    </w:rPr>
                    <w:t>COD</w:t>
                  </w:r>
                  <w:r>
                    <w:rPr>
                      <w:rFonts w:hint="eastAsia"/>
                      <w:color w:val="auto"/>
                      <w:highlight w:val="none"/>
                      <w:vertAlign w:val="subscript"/>
                    </w:rPr>
                    <w:t>Cr</w:t>
                  </w:r>
                </w:p>
              </w:tc>
              <w:tc>
                <w:tcPr>
                  <w:tcW w:w="933" w:type="pct"/>
                  <w:tcBorders>
                    <w:tl2br w:val="nil"/>
                    <w:tr2bl w:val="nil"/>
                  </w:tcBorders>
                  <w:shd w:val="clear" w:color="auto" w:fill="auto"/>
                  <w:noWrap/>
                  <w:vAlign w:val="center"/>
                </w:tcPr>
                <w:p w14:paraId="2FBD13ED">
                  <w:pPr>
                    <w:pStyle w:val="100"/>
                    <w:rPr>
                      <w:rFonts w:hint="default" w:ascii="Times New Roman" w:hAnsi="Times New Roman" w:eastAsia="宋体" w:cs="Times New Roman"/>
                      <w:iCs/>
                      <w:color w:val="auto"/>
                      <w:kern w:val="2"/>
                      <w:sz w:val="21"/>
                      <w:szCs w:val="24"/>
                      <w:highlight w:val="none"/>
                      <w:lang w:val="en-US" w:eastAsia="zh-CN" w:bidi="ar-SA"/>
                    </w:rPr>
                  </w:pPr>
                  <w:r>
                    <w:rPr>
                      <w:rFonts w:hint="eastAsia"/>
                      <w:color w:val="auto"/>
                      <w:highlight w:val="none"/>
                      <w:lang w:val="en-US" w:eastAsia="zh-CN"/>
                    </w:rPr>
                    <w:t>220</w:t>
                  </w:r>
                </w:p>
              </w:tc>
              <w:tc>
                <w:tcPr>
                  <w:tcW w:w="1347" w:type="pct"/>
                  <w:vMerge w:val="continue"/>
                  <w:tcBorders>
                    <w:tl2br w:val="nil"/>
                    <w:tr2bl w:val="nil"/>
                  </w:tcBorders>
                  <w:noWrap/>
                  <w:vAlign w:val="center"/>
                </w:tcPr>
                <w:p w14:paraId="6EFB3BC0">
                  <w:pPr>
                    <w:pStyle w:val="100"/>
                    <w:rPr>
                      <w:color w:val="auto"/>
                      <w:highlight w:val="none"/>
                    </w:rPr>
                  </w:pPr>
                </w:p>
              </w:tc>
              <w:tc>
                <w:tcPr>
                  <w:tcW w:w="1855" w:type="pct"/>
                  <w:vMerge w:val="continue"/>
                  <w:tcBorders>
                    <w:tl2br w:val="nil"/>
                    <w:tr2bl w:val="nil"/>
                  </w:tcBorders>
                  <w:noWrap/>
                  <w:vAlign w:val="center"/>
                </w:tcPr>
                <w:p w14:paraId="2FCEB656">
                  <w:pPr>
                    <w:pStyle w:val="100"/>
                    <w:rPr>
                      <w:color w:val="auto"/>
                      <w:highlight w:val="none"/>
                    </w:rPr>
                  </w:pPr>
                </w:p>
              </w:tc>
            </w:tr>
            <w:tr w14:paraId="554B0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63" w:type="pct"/>
                  <w:tcBorders>
                    <w:tl2br w:val="nil"/>
                    <w:tr2bl w:val="nil"/>
                  </w:tcBorders>
                  <w:shd w:val="clear" w:color="auto" w:fill="auto"/>
                  <w:noWrap/>
                  <w:vAlign w:val="center"/>
                </w:tcPr>
                <w:p w14:paraId="4E6A06FA">
                  <w:pPr>
                    <w:pStyle w:val="100"/>
                    <w:rPr>
                      <w:rFonts w:ascii="Times New Roman" w:hAnsi="Times New Roman" w:eastAsia="宋体" w:cs="Times New Roman"/>
                      <w:iCs/>
                      <w:color w:val="auto"/>
                      <w:kern w:val="2"/>
                      <w:sz w:val="21"/>
                      <w:szCs w:val="24"/>
                      <w:highlight w:val="none"/>
                      <w:lang w:val="en-US" w:eastAsia="zh-CN" w:bidi="ar-SA"/>
                    </w:rPr>
                  </w:pPr>
                  <w:r>
                    <w:rPr>
                      <w:rFonts w:hint="eastAsia"/>
                      <w:color w:val="auto"/>
                      <w:szCs w:val="21"/>
                      <w:highlight w:val="none"/>
                    </w:rPr>
                    <w:t>BOD</w:t>
                  </w:r>
                  <w:r>
                    <w:rPr>
                      <w:rFonts w:hint="eastAsia"/>
                      <w:color w:val="auto"/>
                      <w:szCs w:val="21"/>
                      <w:highlight w:val="none"/>
                      <w:vertAlign w:val="subscript"/>
                    </w:rPr>
                    <w:t>5</w:t>
                  </w:r>
                </w:p>
              </w:tc>
              <w:tc>
                <w:tcPr>
                  <w:tcW w:w="933" w:type="pct"/>
                  <w:tcBorders>
                    <w:tl2br w:val="nil"/>
                    <w:tr2bl w:val="nil"/>
                  </w:tcBorders>
                  <w:shd w:val="clear" w:color="auto" w:fill="auto"/>
                  <w:noWrap/>
                  <w:vAlign w:val="center"/>
                </w:tcPr>
                <w:p w14:paraId="57901A84">
                  <w:pPr>
                    <w:pStyle w:val="100"/>
                    <w:rPr>
                      <w:rFonts w:hint="default" w:ascii="Times New Roman" w:hAnsi="Times New Roman" w:eastAsia="宋体" w:cs="Times New Roman"/>
                      <w:iCs/>
                      <w:color w:val="auto"/>
                      <w:kern w:val="2"/>
                      <w:sz w:val="21"/>
                      <w:szCs w:val="24"/>
                      <w:highlight w:val="none"/>
                      <w:lang w:val="en-US" w:eastAsia="zh-CN" w:bidi="ar-SA"/>
                    </w:rPr>
                  </w:pPr>
                  <w:r>
                    <w:rPr>
                      <w:rFonts w:hint="eastAsia" w:cs="Times New Roman"/>
                      <w:iCs/>
                      <w:color w:val="auto"/>
                      <w:kern w:val="2"/>
                      <w:sz w:val="21"/>
                      <w:szCs w:val="24"/>
                      <w:highlight w:val="none"/>
                      <w:lang w:val="en-US" w:eastAsia="zh-CN" w:bidi="ar-SA"/>
                    </w:rPr>
                    <w:t>120</w:t>
                  </w:r>
                </w:p>
              </w:tc>
              <w:tc>
                <w:tcPr>
                  <w:tcW w:w="1347" w:type="pct"/>
                  <w:vMerge w:val="continue"/>
                  <w:tcBorders>
                    <w:tl2br w:val="nil"/>
                    <w:tr2bl w:val="nil"/>
                  </w:tcBorders>
                  <w:noWrap/>
                  <w:vAlign w:val="center"/>
                </w:tcPr>
                <w:p w14:paraId="72BBF4A6">
                  <w:pPr>
                    <w:pStyle w:val="100"/>
                    <w:rPr>
                      <w:color w:val="auto"/>
                      <w:highlight w:val="none"/>
                    </w:rPr>
                  </w:pPr>
                </w:p>
              </w:tc>
              <w:tc>
                <w:tcPr>
                  <w:tcW w:w="1855" w:type="pct"/>
                  <w:vMerge w:val="continue"/>
                  <w:tcBorders>
                    <w:tl2br w:val="nil"/>
                    <w:tr2bl w:val="nil"/>
                  </w:tcBorders>
                  <w:noWrap/>
                  <w:vAlign w:val="center"/>
                </w:tcPr>
                <w:p w14:paraId="692AFE6E">
                  <w:pPr>
                    <w:pStyle w:val="100"/>
                    <w:rPr>
                      <w:color w:val="auto"/>
                      <w:highlight w:val="none"/>
                    </w:rPr>
                  </w:pPr>
                </w:p>
              </w:tc>
            </w:tr>
            <w:tr w14:paraId="1567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63" w:type="pct"/>
                  <w:tcBorders>
                    <w:tl2br w:val="nil"/>
                    <w:tr2bl w:val="nil"/>
                  </w:tcBorders>
                  <w:shd w:val="clear" w:color="auto" w:fill="auto"/>
                  <w:noWrap/>
                  <w:vAlign w:val="center"/>
                </w:tcPr>
                <w:p w14:paraId="2A375671">
                  <w:pPr>
                    <w:pStyle w:val="100"/>
                    <w:rPr>
                      <w:rFonts w:hint="default" w:eastAsia="宋体"/>
                      <w:color w:val="auto"/>
                      <w:szCs w:val="21"/>
                      <w:highlight w:val="none"/>
                      <w:lang w:val="en-US" w:eastAsia="zh-CN"/>
                    </w:rPr>
                  </w:pPr>
                  <w:r>
                    <w:rPr>
                      <w:rFonts w:hint="eastAsia"/>
                      <w:color w:val="auto"/>
                      <w:szCs w:val="21"/>
                      <w:highlight w:val="none"/>
                      <w:lang w:val="en-US" w:eastAsia="zh-CN"/>
                    </w:rPr>
                    <w:t>SS</w:t>
                  </w:r>
                </w:p>
              </w:tc>
              <w:tc>
                <w:tcPr>
                  <w:tcW w:w="933" w:type="pct"/>
                  <w:tcBorders>
                    <w:tl2br w:val="nil"/>
                    <w:tr2bl w:val="nil"/>
                  </w:tcBorders>
                  <w:shd w:val="clear" w:color="auto" w:fill="auto"/>
                  <w:noWrap/>
                  <w:vAlign w:val="center"/>
                </w:tcPr>
                <w:p w14:paraId="186D3DF3">
                  <w:pPr>
                    <w:pStyle w:val="100"/>
                    <w:rPr>
                      <w:rFonts w:hint="default" w:eastAsia="宋体"/>
                      <w:color w:val="auto"/>
                      <w:highlight w:val="none"/>
                      <w:lang w:val="en-US" w:eastAsia="zh-CN"/>
                    </w:rPr>
                  </w:pPr>
                  <w:r>
                    <w:rPr>
                      <w:rFonts w:hint="eastAsia"/>
                      <w:color w:val="auto"/>
                      <w:highlight w:val="none"/>
                      <w:lang w:val="en-US" w:eastAsia="zh-CN"/>
                    </w:rPr>
                    <w:t>200</w:t>
                  </w:r>
                </w:p>
              </w:tc>
              <w:tc>
                <w:tcPr>
                  <w:tcW w:w="1347" w:type="pct"/>
                  <w:vMerge w:val="continue"/>
                  <w:tcBorders>
                    <w:tl2br w:val="nil"/>
                    <w:tr2bl w:val="nil"/>
                  </w:tcBorders>
                  <w:noWrap/>
                  <w:vAlign w:val="center"/>
                </w:tcPr>
                <w:p w14:paraId="15631728">
                  <w:pPr>
                    <w:pStyle w:val="100"/>
                    <w:rPr>
                      <w:color w:val="auto"/>
                      <w:highlight w:val="none"/>
                    </w:rPr>
                  </w:pPr>
                </w:p>
              </w:tc>
              <w:tc>
                <w:tcPr>
                  <w:tcW w:w="1855" w:type="pct"/>
                  <w:vMerge w:val="continue"/>
                  <w:tcBorders>
                    <w:tl2br w:val="nil"/>
                    <w:tr2bl w:val="nil"/>
                  </w:tcBorders>
                  <w:noWrap/>
                  <w:vAlign w:val="center"/>
                </w:tcPr>
                <w:p w14:paraId="284D38D6">
                  <w:pPr>
                    <w:pStyle w:val="100"/>
                    <w:rPr>
                      <w:color w:val="auto"/>
                      <w:highlight w:val="none"/>
                    </w:rPr>
                  </w:pPr>
                </w:p>
              </w:tc>
            </w:tr>
            <w:tr w14:paraId="72E8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63" w:type="pct"/>
                  <w:tcBorders>
                    <w:tl2br w:val="nil"/>
                    <w:tr2bl w:val="nil"/>
                  </w:tcBorders>
                  <w:shd w:val="clear" w:color="auto" w:fill="auto"/>
                  <w:noWrap/>
                  <w:vAlign w:val="center"/>
                </w:tcPr>
                <w:p w14:paraId="64E7059E">
                  <w:pPr>
                    <w:pStyle w:val="100"/>
                    <w:rPr>
                      <w:rFonts w:ascii="Times New Roman" w:hAnsi="Times New Roman" w:eastAsia="宋体" w:cs="Times New Roman"/>
                      <w:iCs/>
                      <w:color w:val="auto"/>
                      <w:kern w:val="2"/>
                      <w:sz w:val="21"/>
                      <w:szCs w:val="21"/>
                      <w:highlight w:val="none"/>
                      <w:lang w:val="en-US" w:eastAsia="zh-CN" w:bidi="ar-SA"/>
                    </w:rPr>
                  </w:pPr>
                  <w:r>
                    <w:rPr>
                      <w:rFonts w:hint="eastAsia"/>
                      <w:color w:val="auto"/>
                      <w:szCs w:val="21"/>
                      <w:highlight w:val="none"/>
                    </w:rPr>
                    <w:t>NH</w:t>
                  </w:r>
                  <w:r>
                    <w:rPr>
                      <w:rFonts w:hint="eastAsia"/>
                      <w:color w:val="auto"/>
                      <w:szCs w:val="21"/>
                      <w:highlight w:val="none"/>
                      <w:vertAlign w:val="subscript"/>
                    </w:rPr>
                    <w:t>3</w:t>
                  </w:r>
                  <w:r>
                    <w:rPr>
                      <w:rFonts w:hint="eastAsia"/>
                      <w:color w:val="auto"/>
                      <w:szCs w:val="21"/>
                      <w:highlight w:val="none"/>
                    </w:rPr>
                    <w:t>-N</w:t>
                  </w:r>
                </w:p>
              </w:tc>
              <w:tc>
                <w:tcPr>
                  <w:tcW w:w="933" w:type="pct"/>
                  <w:tcBorders>
                    <w:tl2br w:val="nil"/>
                    <w:tr2bl w:val="nil"/>
                  </w:tcBorders>
                  <w:shd w:val="clear" w:color="auto" w:fill="auto"/>
                  <w:noWrap/>
                  <w:vAlign w:val="center"/>
                </w:tcPr>
                <w:p w14:paraId="1CA3E37B">
                  <w:pPr>
                    <w:pStyle w:val="100"/>
                    <w:rPr>
                      <w:rFonts w:hint="default" w:ascii="Times New Roman" w:hAnsi="Times New Roman" w:eastAsia="宋体" w:cs="Times New Roman"/>
                      <w:iCs/>
                      <w:color w:val="auto"/>
                      <w:kern w:val="2"/>
                      <w:sz w:val="21"/>
                      <w:szCs w:val="24"/>
                      <w:highlight w:val="none"/>
                      <w:lang w:val="en-US" w:eastAsia="zh-CN" w:bidi="ar-SA"/>
                    </w:rPr>
                  </w:pPr>
                  <w:r>
                    <w:rPr>
                      <w:rFonts w:hint="eastAsia" w:cs="Times New Roman"/>
                      <w:iCs/>
                      <w:color w:val="auto"/>
                      <w:kern w:val="2"/>
                      <w:sz w:val="21"/>
                      <w:szCs w:val="24"/>
                      <w:highlight w:val="none"/>
                      <w:lang w:val="en-US" w:eastAsia="zh-CN" w:bidi="ar-SA"/>
                    </w:rPr>
                    <w:t>25</w:t>
                  </w:r>
                </w:p>
              </w:tc>
              <w:tc>
                <w:tcPr>
                  <w:tcW w:w="1347" w:type="pct"/>
                  <w:vMerge w:val="continue"/>
                  <w:tcBorders>
                    <w:tl2br w:val="nil"/>
                    <w:tr2bl w:val="nil"/>
                  </w:tcBorders>
                  <w:noWrap/>
                  <w:vAlign w:val="center"/>
                </w:tcPr>
                <w:p w14:paraId="1D739D97">
                  <w:pPr>
                    <w:pStyle w:val="100"/>
                    <w:rPr>
                      <w:color w:val="auto"/>
                      <w:highlight w:val="none"/>
                    </w:rPr>
                  </w:pPr>
                </w:p>
              </w:tc>
              <w:tc>
                <w:tcPr>
                  <w:tcW w:w="1855" w:type="pct"/>
                  <w:vMerge w:val="continue"/>
                  <w:tcBorders>
                    <w:tl2br w:val="nil"/>
                    <w:tr2bl w:val="nil"/>
                  </w:tcBorders>
                  <w:noWrap/>
                  <w:vAlign w:val="center"/>
                </w:tcPr>
                <w:p w14:paraId="05CF2E0B">
                  <w:pPr>
                    <w:pStyle w:val="100"/>
                    <w:rPr>
                      <w:color w:val="auto"/>
                      <w:highlight w:val="none"/>
                    </w:rPr>
                  </w:pPr>
                </w:p>
              </w:tc>
            </w:tr>
            <w:tr w14:paraId="0AF2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9" w:hRule="atLeast"/>
                <w:jc w:val="center"/>
              </w:trPr>
              <w:tc>
                <w:tcPr>
                  <w:tcW w:w="863" w:type="pct"/>
                  <w:tcBorders>
                    <w:tl2br w:val="nil"/>
                    <w:tr2bl w:val="nil"/>
                  </w:tcBorders>
                  <w:shd w:val="clear" w:color="auto" w:fill="auto"/>
                  <w:noWrap/>
                  <w:vAlign w:val="center"/>
                </w:tcPr>
                <w:p w14:paraId="4E0C8452">
                  <w:pPr>
                    <w:pStyle w:val="100"/>
                    <w:rPr>
                      <w:rFonts w:hint="default" w:eastAsia="宋体"/>
                      <w:color w:val="auto"/>
                      <w:szCs w:val="21"/>
                      <w:highlight w:val="none"/>
                      <w:lang w:val="en-US" w:eastAsia="zh-CN"/>
                    </w:rPr>
                  </w:pPr>
                  <w:r>
                    <w:rPr>
                      <w:rFonts w:hint="eastAsia"/>
                      <w:color w:val="auto"/>
                      <w:szCs w:val="21"/>
                      <w:highlight w:val="none"/>
                      <w:lang w:val="en-US" w:eastAsia="zh-CN"/>
                    </w:rPr>
                    <w:t>石油类</w:t>
                  </w:r>
                </w:p>
              </w:tc>
              <w:tc>
                <w:tcPr>
                  <w:tcW w:w="933" w:type="pct"/>
                  <w:tcBorders>
                    <w:tl2br w:val="nil"/>
                    <w:tr2bl w:val="nil"/>
                  </w:tcBorders>
                  <w:shd w:val="clear" w:color="auto" w:fill="auto"/>
                  <w:noWrap/>
                  <w:vAlign w:val="center"/>
                </w:tcPr>
                <w:p w14:paraId="6F054D1E">
                  <w:pPr>
                    <w:jc w:val="center"/>
                    <w:rPr>
                      <w:rFonts w:hint="default"/>
                      <w:color w:val="auto"/>
                      <w:szCs w:val="21"/>
                      <w:highlight w:val="none"/>
                      <w:lang w:val="en-US" w:eastAsia="zh-CN"/>
                    </w:rPr>
                  </w:pPr>
                  <w:r>
                    <w:rPr>
                      <w:rFonts w:hint="eastAsia"/>
                      <w:color w:val="auto"/>
                      <w:szCs w:val="21"/>
                      <w:highlight w:val="none"/>
                      <w:lang w:val="en-US" w:eastAsia="zh-CN"/>
                    </w:rPr>
                    <w:t>20</w:t>
                  </w:r>
                </w:p>
              </w:tc>
              <w:tc>
                <w:tcPr>
                  <w:tcW w:w="1347" w:type="pct"/>
                  <w:vMerge w:val="continue"/>
                  <w:tcBorders>
                    <w:tl2br w:val="nil"/>
                    <w:tr2bl w:val="nil"/>
                  </w:tcBorders>
                  <w:noWrap/>
                  <w:vAlign w:val="center"/>
                </w:tcPr>
                <w:p w14:paraId="291A8374">
                  <w:pPr>
                    <w:pStyle w:val="100"/>
                    <w:rPr>
                      <w:color w:val="auto"/>
                      <w:highlight w:val="none"/>
                    </w:rPr>
                  </w:pPr>
                </w:p>
              </w:tc>
              <w:tc>
                <w:tcPr>
                  <w:tcW w:w="1855" w:type="pct"/>
                  <w:vMerge w:val="continue"/>
                  <w:tcBorders>
                    <w:tl2br w:val="nil"/>
                    <w:tr2bl w:val="nil"/>
                  </w:tcBorders>
                  <w:noWrap/>
                  <w:vAlign w:val="center"/>
                </w:tcPr>
                <w:p w14:paraId="7E7572B8">
                  <w:pPr>
                    <w:pStyle w:val="100"/>
                    <w:rPr>
                      <w:color w:val="auto"/>
                      <w:highlight w:val="none"/>
                    </w:rPr>
                  </w:pPr>
                </w:p>
              </w:tc>
            </w:tr>
            <w:tr w14:paraId="3000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63" w:type="pct"/>
                  <w:tcBorders>
                    <w:tl2br w:val="nil"/>
                    <w:tr2bl w:val="nil"/>
                  </w:tcBorders>
                  <w:shd w:val="clear" w:color="auto" w:fill="auto"/>
                  <w:noWrap/>
                  <w:vAlign w:val="center"/>
                </w:tcPr>
                <w:p w14:paraId="47F6A84C">
                  <w:pPr>
                    <w:pStyle w:val="100"/>
                    <w:rPr>
                      <w:rFonts w:hint="default"/>
                      <w:color w:val="auto"/>
                      <w:szCs w:val="21"/>
                      <w:highlight w:val="none"/>
                      <w:lang w:val="en-US" w:eastAsia="zh-CN"/>
                    </w:rPr>
                  </w:pPr>
                  <w:r>
                    <w:rPr>
                      <w:rFonts w:hint="eastAsia"/>
                      <w:color w:val="auto"/>
                      <w:szCs w:val="21"/>
                      <w:highlight w:val="none"/>
                      <w:lang w:val="en-US" w:eastAsia="zh-CN"/>
                    </w:rPr>
                    <w:t>磷酸盐</w:t>
                  </w:r>
                </w:p>
              </w:tc>
              <w:tc>
                <w:tcPr>
                  <w:tcW w:w="933" w:type="pct"/>
                  <w:tcBorders>
                    <w:tl2br w:val="nil"/>
                    <w:tr2bl w:val="nil"/>
                  </w:tcBorders>
                  <w:shd w:val="clear" w:color="auto" w:fill="auto"/>
                  <w:noWrap/>
                  <w:vAlign w:val="center"/>
                </w:tcPr>
                <w:p w14:paraId="13BCBA19">
                  <w:pPr>
                    <w:jc w:val="center"/>
                    <w:rPr>
                      <w:rFonts w:hint="default"/>
                      <w:color w:val="auto"/>
                      <w:szCs w:val="21"/>
                      <w:highlight w:val="none"/>
                      <w:lang w:val="en-US" w:eastAsia="zh-CN"/>
                    </w:rPr>
                  </w:pPr>
                  <w:r>
                    <w:rPr>
                      <w:rFonts w:hint="eastAsia"/>
                      <w:color w:val="auto"/>
                      <w:szCs w:val="21"/>
                      <w:highlight w:val="none"/>
                      <w:lang w:val="en-US" w:eastAsia="zh-CN"/>
                    </w:rPr>
                    <w:t>3</w:t>
                  </w:r>
                </w:p>
              </w:tc>
              <w:tc>
                <w:tcPr>
                  <w:tcW w:w="1347" w:type="pct"/>
                  <w:vMerge w:val="continue"/>
                  <w:tcBorders>
                    <w:tl2br w:val="nil"/>
                    <w:tr2bl w:val="nil"/>
                  </w:tcBorders>
                  <w:noWrap/>
                  <w:vAlign w:val="center"/>
                </w:tcPr>
                <w:p w14:paraId="72419326">
                  <w:pPr>
                    <w:pStyle w:val="100"/>
                    <w:rPr>
                      <w:color w:val="auto"/>
                      <w:highlight w:val="none"/>
                    </w:rPr>
                  </w:pPr>
                </w:p>
              </w:tc>
              <w:tc>
                <w:tcPr>
                  <w:tcW w:w="1855" w:type="pct"/>
                  <w:vMerge w:val="continue"/>
                  <w:tcBorders>
                    <w:tl2br w:val="nil"/>
                    <w:tr2bl w:val="nil"/>
                  </w:tcBorders>
                  <w:noWrap/>
                  <w:vAlign w:val="center"/>
                </w:tcPr>
                <w:p w14:paraId="4A5BE676">
                  <w:pPr>
                    <w:pStyle w:val="100"/>
                    <w:rPr>
                      <w:color w:val="auto"/>
                      <w:highlight w:val="none"/>
                    </w:rPr>
                  </w:pPr>
                </w:p>
              </w:tc>
            </w:tr>
            <w:tr w14:paraId="7B4B2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63" w:type="pct"/>
                  <w:tcBorders>
                    <w:tl2br w:val="nil"/>
                    <w:tr2bl w:val="nil"/>
                  </w:tcBorders>
                  <w:shd w:val="clear" w:color="auto" w:fill="auto"/>
                  <w:noWrap/>
                  <w:vAlign w:val="center"/>
                </w:tcPr>
                <w:p w14:paraId="08DEEB55">
                  <w:pPr>
                    <w:pStyle w:val="100"/>
                    <w:rPr>
                      <w:rFonts w:hint="default"/>
                      <w:color w:val="auto"/>
                      <w:szCs w:val="21"/>
                      <w:highlight w:val="none"/>
                      <w:lang w:val="en-US" w:eastAsia="zh-CN"/>
                    </w:rPr>
                  </w:pPr>
                  <w:r>
                    <w:rPr>
                      <w:rFonts w:hint="eastAsia"/>
                      <w:color w:val="auto"/>
                      <w:szCs w:val="21"/>
                      <w:highlight w:val="none"/>
                      <w:lang w:val="en-US" w:eastAsia="zh-CN"/>
                    </w:rPr>
                    <w:t>总锌</w:t>
                  </w:r>
                </w:p>
              </w:tc>
              <w:tc>
                <w:tcPr>
                  <w:tcW w:w="933" w:type="pct"/>
                  <w:tcBorders>
                    <w:tl2br w:val="nil"/>
                    <w:tr2bl w:val="nil"/>
                  </w:tcBorders>
                  <w:shd w:val="clear" w:color="auto" w:fill="auto"/>
                  <w:noWrap/>
                  <w:vAlign w:val="center"/>
                </w:tcPr>
                <w:p w14:paraId="29D79479">
                  <w:pPr>
                    <w:jc w:val="center"/>
                    <w:rPr>
                      <w:rFonts w:hint="default"/>
                      <w:color w:val="auto"/>
                      <w:szCs w:val="21"/>
                      <w:highlight w:val="none"/>
                      <w:lang w:val="en-US" w:eastAsia="zh-CN"/>
                    </w:rPr>
                  </w:pPr>
                  <w:r>
                    <w:rPr>
                      <w:rFonts w:hint="eastAsia"/>
                      <w:color w:val="auto"/>
                      <w:szCs w:val="21"/>
                      <w:highlight w:val="none"/>
                      <w:lang w:val="en-US" w:eastAsia="zh-CN"/>
                    </w:rPr>
                    <w:t>5</w:t>
                  </w:r>
                </w:p>
              </w:tc>
              <w:tc>
                <w:tcPr>
                  <w:tcW w:w="1347" w:type="pct"/>
                  <w:vMerge w:val="continue"/>
                  <w:tcBorders>
                    <w:tl2br w:val="nil"/>
                    <w:tr2bl w:val="nil"/>
                  </w:tcBorders>
                  <w:noWrap/>
                  <w:vAlign w:val="center"/>
                </w:tcPr>
                <w:p w14:paraId="1FB45A87">
                  <w:pPr>
                    <w:pStyle w:val="100"/>
                    <w:rPr>
                      <w:color w:val="auto"/>
                      <w:highlight w:val="none"/>
                    </w:rPr>
                  </w:pPr>
                </w:p>
              </w:tc>
              <w:tc>
                <w:tcPr>
                  <w:tcW w:w="1855" w:type="pct"/>
                  <w:vMerge w:val="continue"/>
                  <w:tcBorders>
                    <w:tl2br w:val="nil"/>
                    <w:tr2bl w:val="nil"/>
                  </w:tcBorders>
                  <w:noWrap/>
                  <w:vAlign w:val="center"/>
                </w:tcPr>
                <w:p w14:paraId="06EF4668">
                  <w:pPr>
                    <w:pStyle w:val="100"/>
                    <w:rPr>
                      <w:color w:val="auto"/>
                      <w:highlight w:val="none"/>
                    </w:rPr>
                  </w:pPr>
                </w:p>
              </w:tc>
            </w:tr>
          </w:tbl>
          <w:p w14:paraId="2AD05370">
            <w:pPr>
              <w:keepNext w:val="0"/>
              <w:keepLines w:val="0"/>
              <w:pageBreakBefore w:val="0"/>
              <w:widowControl/>
              <w:kinsoku/>
              <w:wordWrap/>
              <w:overflowPunct/>
              <w:topLinePunct w:val="0"/>
              <w:autoSpaceDE/>
              <w:autoSpaceDN/>
              <w:bidi w:val="0"/>
              <w:adjustRightInd/>
              <w:snapToGrid/>
              <w:spacing w:line="500" w:lineRule="exact"/>
              <w:ind w:firstLine="482" w:firstLineChars="200"/>
              <w:textAlignment w:val="auto"/>
              <w:rPr>
                <w:rFonts w:hint="eastAsia" w:ascii="Times New Roman" w:hAnsi="Times New Roman" w:eastAsia="宋体" w:cs="Times New Roman"/>
                <w:b/>
                <w:bCs/>
                <w:color w:val="auto"/>
                <w:kern w:val="0"/>
                <w:sz w:val="24"/>
                <w:highlight w:val="none"/>
                <w:shd w:val="clear" w:color="auto" w:fill="auto"/>
                <w:lang w:val="en-US" w:eastAsia="zh-CN"/>
              </w:rPr>
            </w:pPr>
            <w:r>
              <w:rPr>
                <w:rFonts w:hint="eastAsia" w:cs="Times New Roman"/>
                <w:b/>
                <w:bCs/>
                <w:color w:val="auto"/>
                <w:kern w:val="0"/>
                <w:sz w:val="24"/>
                <w:highlight w:val="none"/>
                <w:shd w:val="clear" w:color="auto" w:fill="auto"/>
                <w:lang w:val="en-US" w:eastAsia="zh-CN"/>
              </w:rPr>
              <w:t>3.</w:t>
            </w:r>
            <w:r>
              <w:rPr>
                <w:rFonts w:hint="eastAsia" w:ascii="Times New Roman" w:hAnsi="Times New Roman" w:eastAsia="宋体" w:cs="Times New Roman"/>
                <w:b/>
                <w:bCs/>
                <w:color w:val="auto"/>
                <w:kern w:val="0"/>
                <w:sz w:val="24"/>
                <w:highlight w:val="none"/>
                <w:shd w:val="clear" w:color="auto" w:fill="auto"/>
                <w:lang w:val="en-US" w:eastAsia="zh-CN"/>
              </w:rPr>
              <w:t>噪声</w:t>
            </w:r>
          </w:p>
          <w:p w14:paraId="32F613F9">
            <w:pPr>
              <w:keepNext w:val="0"/>
              <w:keepLines w:val="0"/>
              <w:pageBreakBefore w:val="0"/>
              <w:widowControl/>
              <w:kinsoku/>
              <w:wordWrap/>
              <w:overflowPunct/>
              <w:topLinePunct w:val="0"/>
              <w:autoSpaceDE/>
              <w:autoSpaceDN/>
              <w:bidi w:val="0"/>
              <w:adjustRightInd/>
              <w:snapToGrid/>
              <w:spacing w:line="500" w:lineRule="exact"/>
              <w:ind w:firstLine="482"/>
              <w:textAlignment w:val="auto"/>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val="en-US" w:eastAsia="zh-CN"/>
              </w:rPr>
              <w:t>1</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施工期噪声执行《建筑施工场界环境噪声排放标准》</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GB12523-20</w:t>
            </w:r>
            <w:r>
              <w:rPr>
                <w:rFonts w:hint="eastAsia" w:cs="Times New Roman"/>
                <w:color w:val="auto"/>
                <w:kern w:val="0"/>
                <w:sz w:val="24"/>
                <w:highlight w:val="none"/>
                <w:lang w:val="en-US" w:eastAsia="zh-CN"/>
              </w:rPr>
              <w:t>25</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相关规定，详见表</w:t>
            </w:r>
            <w:r>
              <w:rPr>
                <w:rFonts w:hint="default" w:ascii="Times New Roman" w:hAnsi="Times New Roman" w:eastAsia="宋体" w:cs="Times New Roman"/>
                <w:color w:val="auto"/>
                <w:kern w:val="0"/>
                <w:sz w:val="24"/>
                <w:highlight w:val="none"/>
                <w:lang w:val="en-US" w:eastAsia="zh-CN"/>
              </w:rPr>
              <w:t>3-</w:t>
            </w:r>
            <w:r>
              <w:rPr>
                <w:rFonts w:hint="eastAsia" w:cs="Times New Roman"/>
                <w:color w:val="auto"/>
                <w:kern w:val="0"/>
                <w:sz w:val="24"/>
                <w:highlight w:val="none"/>
                <w:lang w:val="en-US" w:eastAsia="zh-CN"/>
              </w:rPr>
              <w:t>10</w:t>
            </w:r>
            <w:r>
              <w:rPr>
                <w:rFonts w:hint="default" w:ascii="Times New Roman" w:hAnsi="Times New Roman" w:eastAsia="宋体" w:cs="Times New Roman"/>
                <w:color w:val="auto"/>
                <w:kern w:val="0"/>
                <w:sz w:val="24"/>
                <w:highlight w:val="none"/>
              </w:rPr>
              <w:t>。</w:t>
            </w:r>
          </w:p>
          <w:p w14:paraId="140FEE6C">
            <w:pPr>
              <w:keepNext w:val="0"/>
              <w:keepLines w:val="0"/>
              <w:pageBreakBefore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4"/>
                <w:szCs w:val="24"/>
                <w:highlight w:val="none"/>
                <w:u w:val="none" w:color="auto"/>
              </w:rPr>
            </w:pPr>
            <w:r>
              <w:rPr>
                <w:rFonts w:hint="default" w:ascii="Times New Roman" w:hAnsi="Times New Roman" w:eastAsia="宋体" w:cs="Times New Roman"/>
                <w:b/>
                <w:bCs/>
                <w:color w:val="auto"/>
                <w:sz w:val="24"/>
                <w:szCs w:val="24"/>
                <w:highlight w:val="none"/>
                <w:u w:val="none" w:color="auto"/>
              </w:rPr>
              <w:t>表</w:t>
            </w:r>
            <w:r>
              <w:rPr>
                <w:rFonts w:hint="default" w:ascii="Times New Roman" w:hAnsi="Times New Roman" w:eastAsia="宋体" w:cs="Times New Roman"/>
                <w:b/>
                <w:bCs/>
                <w:color w:val="auto"/>
                <w:sz w:val="24"/>
                <w:szCs w:val="24"/>
                <w:highlight w:val="none"/>
                <w:u w:val="none" w:color="auto"/>
                <w:lang w:val="en-US" w:eastAsia="zh-CN"/>
              </w:rPr>
              <w:t>3</w:t>
            </w:r>
            <w:r>
              <w:rPr>
                <w:rFonts w:hint="eastAsia" w:cs="Times New Roman"/>
                <w:b/>
                <w:bCs/>
                <w:color w:val="auto"/>
                <w:sz w:val="24"/>
                <w:szCs w:val="24"/>
                <w:highlight w:val="none"/>
                <w:u w:val="none" w:color="auto"/>
                <w:lang w:val="en-US" w:eastAsia="zh-CN"/>
              </w:rPr>
              <w:t>-10</w:t>
            </w:r>
            <w:r>
              <w:rPr>
                <w:rFonts w:hint="default" w:ascii="Times New Roman" w:hAnsi="Times New Roman" w:eastAsia="宋体" w:cs="Times New Roman"/>
                <w:b/>
                <w:bCs/>
                <w:color w:val="auto"/>
                <w:sz w:val="24"/>
                <w:szCs w:val="24"/>
                <w:highlight w:val="none"/>
                <w:u w:val="none" w:color="auto"/>
                <w:lang w:val="en-US" w:eastAsia="zh-CN"/>
              </w:rPr>
              <w:t>《建筑施工场界环境噪声排放标准》（GB12523-20</w:t>
            </w:r>
            <w:r>
              <w:rPr>
                <w:rFonts w:hint="eastAsia" w:cs="Times New Roman"/>
                <w:b/>
                <w:bCs/>
                <w:color w:val="auto"/>
                <w:sz w:val="24"/>
                <w:szCs w:val="24"/>
                <w:highlight w:val="none"/>
                <w:u w:val="none" w:color="auto"/>
                <w:lang w:val="en-US" w:eastAsia="zh-CN"/>
              </w:rPr>
              <w:t>25</w:t>
            </w:r>
            <w:r>
              <w:rPr>
                <w:rFonts w:hint="default" w:ascii="Times New Roman" w:hAnsi="Times New Roman" w:eastAsia="宋体" w:cs="Times New Roman"/>
                <w:b/>
                <w:bCs/>
                <w:color w:val="auto"/>
                <w:sz w:val="24"/>
                <w:szCs w:val="24"/>
                <w:highlight w:val="none"/>
                <w:u w:val="none" w:color="auto"/>
                <w:lang w:val="en-US" w:eastAsia="zh-CN"/>
              </w:rPr>
              <w:t>）</w:t>
            </w:r>
          </w:p>
          <w:tbl>
            <w:tblPr>
              <w:tblStyle w:val="3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7"/>
              <w:gridCol w:w="2727"/>
              <w:gridCol w:w="2508"/>
            </w:tblGrid>
            <w:tr w14:paraId="5D37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12" w:type="pct"/>
                  <w:tcBorders>
                    <w:top w:val="single" w:color="auto" w:sz="4" w:space="0"/>
                    <w:left w:val="single" w:color="auto" w:sz="4" w:space="0"/>
                    <w:bottom w:val="single" w:color="auto" w:sz="4" w:space="0"/>
                    <w:right w:val="single" w:color="auto" w:sz="4" w:space="0"/>
                  </w:tcBorders>
                  <w:noWrap w:val="0"/>
                  <w:vAlign w:val="center"/>
                </w:tcPr>
                <w:p w14:paraId="21DBD81D">
                  <w:pPr>
                    <w:spacing w:line="240" w:lineRule="auto"/>
                    <w:jc w:val="center"/>
                    <w:rPr>
                      <w:rFonts w:hint="default" w:ascii="Times New Roman" w:hAnsi="Times New Roman" w:eastAsia="宋体" w:cs="Times New Roman"/>
                      <w:b/>
                      <w:bCs/>
                      <w:color w:val="auto"/>
                      <w:highlight w:val="none"/>
                      <w:u w:val="none" w:color="auto"/>
                      <w:lang w:val="en-US" w:eastAsia="zh-CN"/>
                    </w:rPr>
                  </w:pPr>
                  <w:r>
                    <w:rPr>
                      <w:rFonts w:hint="default" w:ascii="Times New Roman" w:hAnsi="Times New Roman" w:eastAsia="宋体" w:cs="Times New Roman"/>
                      <w:b/>
                      <w:bCs/>
                      <w:color w:val="auto"/>
                      <w:highlight w:val="none"/>
                      <w:u w:val="none" w:color="auto"/>
                      <w:lang w:val="en-US" w:eastAsia="zh-CN"/>
                    </w:rPr>
                    <w:t>区域</w:t>
                  </w:r>
                </w:p>
              </w:tc>
              <w:tc>
                <w:tcPr>
                  <w:tcW w:w="1712" w:type="pct"/>
                  <w:tcBorders>
                    <w:top w:val="single" w:color="auto" w:sz="4" w:space="0"/>
                    <w:left w:val="single" w:color="auto" w:sz="4" w:space="0"/>
                    <w:bottom w:val="single" w:color="auto" w:sz="4" w:space="0"/>
                    <w:right w:val="single" w:color="auto" w:sz="4" w:space="0"/>
                  </w:tcBorders>
                  <w:noWrap w:val="0"/>
                  <w:vAlign w:val="center"/>
                </w:tcPr>
                <w:p w14:paraId="0D739C86">
                  <w:pPr>
                    <w:spacing w:line="240" w:lineRule="auto"/>
                    <w:jc w:val="center"/>
                    <w:rPr>
                      <w:rFonts w:hint="default" w:ascii="Times New Roman" w:hAnsi="Times New Roman" w:eastAsia="宋体" w:cs="Times New Roman"/>
                      <w:b/>
                      <w:bCs/>
                      <w:color w:val="auto"/>
                      <w:highlight w:val="none"/>
                      <w:u w:val="none" w:color="auto"/>
                    </w:rPr>
                  </w:pPr>
                  <w:r>
                    <w:rPr>
                      <w:rFonts w:hint="default" w:ascii="Times New Roman" w:hAnsi="Times New Roman" w:eastAsia="宋体" w:cs="Times New Roman"/>
                      <w:b/>
                      <w:bCs/>
                      <w:color w:val="auto"/>
                      <w:highlight w:val="none"/>
                      <w:u w:val="none" w:color="auto"/>
                      <w:lang w:eastAsia="zh-CN"/>
                    </w:rPr>
                    <w:t>昼间</w:t>
                  </w:r>
                </w:p>
              </w:tc>
              <w:tc>
                <w:tcPr>
                  <w:tcW w:w="1574" w:type="pct"/>
                  <w:tcBorders>
                    <w:top w:val="single" w:color="auto" w:sz="4" w:space="0"/>
                    <w:left w:val="single" w:color="auto" w:sz="4" w:space="0"/>
                    <w:bottom w:val="single" w:color="auto" w:sz="4" w:space="0"/>
                    <w:right w:val="single" w:color="auto" w:sz="4" w:space="0"/>
                  </w:tcBorders>
                  <w:noWrap w:val="0"/>
                  <w:vAlign w:val="center"/>
                </w:tcPr>
                <w:p w14:paraId="2BB01A0F">
                  <w:pPr>
                    <w:spacing w:line="240" w:lineRule="auto"/>
                    <w:jc w:val="center"/>
                    <w:rPr>
                      <w:rFonts w:hint="default" w:ascii="Times New Roman" w:hAnsi="Times New Roman" w:eastAsia="宋体" w:cs="Times New Roman"/>
                      <w:b/>
                      <w:bCs/>
                      <w:color w:val="auto"/>
                      <w:highlight w:val="none"/>
                      <w:u w:val="none" w:color="auto"/>
                      <w:lang w:eastAsia="zh-CN"/>
                    </w:rPr>
                  </w:pPr>
                  <w:r>
                    <w:rPr>
                      <w:rFonts w:hint="default" w:ascii="Times New Roman" w:hAnsi="Times New Roman" w:eastAsia="宋体" w:cs="Times New Roman"/>
                      <w:b/>
                      <w:bCs/>
                      <w:color w:val="auto"/>
                      <w:highlight w:val="none"/>
                      <w:u w:val="none" w:color="auto"/>
                      <w:lang w:eastAsia="zh-CN"/>
                    </w:rPr>
                    <w:t>夜间</w:t>
                  </w:r>
                </w:p>
              </w:tc>
            </w:tr>
            <w:tr w14:paraId="51E26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12" w:type="pct"/>
                  <w:tcBorders>
                    <w:top w:val="single" w:color="auto" w:sz="4" w:space="0"/>
                    <w:left w:val="single" w:color="auto" w:sz="4" w:space="0"/>
                    <w:bottom w:val="single" w:color="auto" w:sz="4" w:space="0"/>
                    <w:right w:val="single" w:color="auto" w:sz="4" w:space="0"/>
                  </w:tcBorders>
                  <w:noWrap w:val="0"/>
                  <w:vAlign w:val="center"/>
                </w:tcPr>
                <w:p w14:paraId="046C1EB0">
                  <w:pPr>
                    <w:spacing w:line="240" w:lineRule="auto"/>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厂界</w:t>
                  </w:r>
                </w:p>
              </w:tc>
              <w:tc>
                <w:tcPr>
                  <w:tcW w:w="1712" w:type="pct"/>
                  <w:tcBorders>
                    <w:top w:val="single" w:color="auto" w:sz="4" w:space="0"/>
                    <w:left w:val="single" w:color="auto" w:sz="4" w:space="0"/>
                    <w:bottom w:val="single" w:color="auto" w:sz="4" w:space="0"/>
                    <w:right w:val="single" w:color="auto" w:sz="4" w:space="0"/>
                  </w:tcBorders>
                  <w:noWrap w:val="0"/>
                  <w:vAlign w:val="center"/>
                </w:tcPr>
                <w:p w14:paraId="73A8995D">
                  <w:pPr>
                    <w:spacing w:line="240" w:lineRule="auto"/>
                    <w:jc w:val="center"/>
                    <w:rPr>
                      <w:rFonts w:hint="default" w:ascii="Times New Roman" w:hAnsi="Times New Roman" w:eastAsia="宋体" w:cs="Times New Roman"/>
                      <w:color w:val="auto"/>
                      <w:highlight w:val="none"/>
                      <w:u w:val="none" w:color="auto"/>
                      <w:lang w:eastAsia="zh-CN"/>
                    </w:rPr>
                  </w:pPr>
                  <w:r>
                    <w:rPr>
                      <w:rFonts w:hint="default" w:ascii="Times New Roman" w:hAnsi="Times New Roman" w:eastAsia="宋体" w:cs="Times New Roman"/>
                      <w:color w:val="auto"/>
                      <w:highlight w:val="none"/>
                      <w:u w:val="none" w:color="auto"/>
                      <w:lang w:val="en-US" w:eastAsia="zh-CN"/>
                    </w:rPr>
                    <w:t>70</w:t>
                  </w:r>
                  <w:r>
                    <w:rPr>
                      <w:rFonts w:hint="default" w:ascii="Times New Roman" w:hAnsi="Times New Roman" w:eastAsia="宋体" w:cs="Times New Roman"/>
                      <w:color w:val="auto"/>
                      <w:sz w:val="21"/>
                      <w:szCs w:val="21"/>
                      <w:highlight w:val="none"/>
                      <w:u w:val="none" w:color="auto"/>
                    </w:rPr>
                    <w:t>dB</w:t>
                  </w:r>
                  <w:r>
                    <w:rPr>
                      <w:rFonts w:hint="eastAsia" w:cs="Times New Roman"/>
                      <w:color w:val="auto"/>
                      <w:sz w:val="21"/>
                      <w:szCs w:val="21"/>
                      <w:highlight w:val="none"/>
                      <w:u w:val="none" w:color="auto"/>
                      <w:lang w:eastAsia="zh-CN"/>
                    </w:rPr>
                    <w:t>(</w:t>
                  </w:r>
                  <w:r>
                    <w:rPr>
                      <w:rFonts w:hint="default" w:ascii="Times New Roman" w:hAnsi="Times New Roman" w:eastAsia="宋体" w:cs="Times New Roman"/>
                      <w:color w:val="auto"/>
                      <w:sz w:val="21"/>
                      <w:szCs w:val="21"/>
                      <w:highlight w:val="none"/>
                      <w:u w:val="none" w:color="auto"/>
                    </w:rPr>
                    <w:t>A</w:t>
                  </w:r>
                  <w:r>
                    <w:rPr>
                      <w:rFonts w:hint="eastAsia" w:cs="Times New Roman"/>
                      <w:color w:val="auto"/>
                      <w:sz w:val="21"/>
                      <w:szCs w:val="21"/>
                      <w:highlight w:val="none"/>
                      <w:u w:val="none" w:color="auto"/>
                      <w:lang w:eastAsia="zh-CN"/>
                    </w:rPr>
                    <w:t>)</w:t>
                  </w:r>
                </w:p>
              </w:tc>
              <w:tc>
                <w:tcPr>
                  <w:tcW w:w="1574" w:type="pct"/>
                  <w:tcBorders>
                    <w:top w:val="single" w:color="auto" w:sz="4" w:space="0"/>
                    <w:left w:val="single" w:color="auto" w:sz="4" w:space="0"/>
                    <w:bottom w:val="single" w:color="auto" w:sz="4" w:space="0"/>
                    <w:right w:val="single" w:color="auto" w:sz="4" w:space="0"/>
                  </w:tcBorders>
                  <w:noWrap w:val="0"/>
                  <w:vAlign w:val="center"/>
                </w:tcPr>
                <w:p w14:paraId="648101AF">
                  <w:pPr>
                    <w:spacing w:line="240" w:lineRule="auto"/>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lang w:val="en-US" w:eastAsia="zh-CN"/>
                    </w:rPr>
                    <w:t>5</w:t>
                  </w:r>
                  <w:r>
                    <w:rPr>
                      <w:rFonts w:hint="default" w:ascii="Times New Roman" w:hAnsi="Times New Roman" w:eastAsia="宋体" w:cs="Times New Roman"/>
                      <w:color w:val="auto"/>
                      <w:highlight w:val="none"/>
                      <w:u w:val="none" w:color="auto"/>
                    </w:rPr>
                    <w:t>5</w:t>
                  </w:r>
                  <w:r>
                    <w:rPr>
                      <w:rFonts w:hint="default" w:ascii="Times New Roman" w:hAnsi="Times New Roman" w:eastAsia="宋体" w:cs="Times New Roman"/>
                      <w:color w:val="auto"/>
                      <w:sz w:val="21"/>
                      <w:szCs w:val="21"/>
                      <w:highlight w:val="none"/>
                      <w:u w:val="none" w:color="auto"/>
                    </w:rPr>
                    <w:t>dB</w:t>
                  </w:r>
                  <w:r>
                    <w:rPr>
                      <w:rFonts w:hint="eastAsia" w:cs="Times New Roman"/>
                      <w:color w:val="auto"/>
                      <w:sz w:val="21"/>
                      <w:szCs w:val="21"/>
                      <w:highlight w:val="none"/>
                      <w:u w:val="none" w:color="auto"/>
                      <w:lang w:eastAsia="zh-CN"/>
                    </w:rPr>
                    <w:t>(</w:t>
                  </w:r>
                  <w:r>
                    <w:rPr>
                      <w:rFonts w:hint="default" w:ascii="Times New Roman" w:hAnsi="Times New Roman" w:eastAsia="宋体" w:cs="Times New Roman"/>
                      <w:color w:val="auto"/>
                      <w:sz w:val="21"/>
                      <w:szCs w:val="21"/>
                      <w:highlight w:val="none"/>
                      <w:u w:val="none" w:color="auto"/>
                    </w:rPr>
                    <w:t>A</w:t>
                  </w:r>
                  <w:r>
                    <w:rPr>
                      <w:rFonts w:hint="eastAsia" w:cs="Times New Roman"/>
                      <w:color w:val="auto"/>
                      <w:sz w:val="21"/>
                      <w:szCs w:val="21"/>
                      <w:highlight w:val="none"/>
                      <w:u w:val="none" w:color="auto"/>
                      <w:lang w:eastAsia="zh-CN"/>
                    </w:rPr>
                    <w:t>)</w:t>
                  </w:r>
                </w:p>
              </w:tc>
            </w:tr>
          </w:tbl>
          <w:p w14:paraId="47E6D731">
            <w:pPr>
              <w:keepNext w:val="0"/>
              <w:keepLines w:val="0"/>
              <w:pageBreakBefore w:val="0"/>
              <w:widowControl w:val="0"/>
              <w:kinsoku/>
              <w:wordWrap/>
              <w:overflowPunct/>
              <w:topLinePunct w:val="0"/>
              <w:autoSpaceDE/>
              <w:autoSpaceDN/>
              <w:bidi w:val="0"/>
              <w:adjustRightInd/>
              <w:snapToGrid/>
              <w:spacing w:before="120" w:beforeLines="50" w:line="500" w:lineRule="exact"/>
              <w:ind w:firstLine="480" w:firstLineChars="200"/>
              <w:jc w:val="both"/>
              <w:textAlignment w:val="auto"/>
              <w:rPr>
                <w:rFonts w:hint="eastAsia" w:eastAsia="宋体"/>
                <w:b/>
                <w:color w:val="auto"/>
                <w:szCs w:val="21"/>
                <w:lang w:eastAsia="zh-CN"/>
              </w:rPr>
            </w:pPr>
            <w:r>
              <w:rPr>
                <w:rFonts w:hint="default" w:ascii="Times New Roman" w:hAnsi="Times New Roman" w:eastAsia="宋体" w:cs="Times New Roman"/>
                <w:color w:val="auto"/>
                <w:sz w:val="24"/>
                <w:szCs w:val="24"/>
                <w:highlight w:val="none"/>
                <w:u w:val="none" w:color="auto"/>
                <w:lang w:eastAsia="zh-CN"/>
              </w:rPr>
              <w:t>（</w:t>
            </w:r>
            <w:r>
              <w:rPr>
                <w:rFonts w:hint="default" w:ascii="Times New Roman" w:hAnsi="Times New Roman" w:eastAsia="宋体" w:cs="Times New Roman"/>
                <w:color w:val="auto"/>
                <w:kern w:val="0"/>
                <w:sz w:val="24"/>
                <w:highlight w:val="none"/>
                <w:lang w:val="en-US" w:eastAsia="zh-CN"/>
              </w:rPr>
              <w:t>2</w:t>
            </w:r>
            <w:r>
              <w:rPr>
                <w:rFonts w:hint="default" w:ascii="Times New Roman" w:hAnsi="Times New Roman" w:eastAsia="宋体" w:cs="Times New Roman"/>
                <w:color w:val="auto"/>
                <w:kern w:val="0"/>
                <w:sz w:val="24"/>
                <w:highlight w:val="none"/>
                <w:lang w:eastAsia="zh-CN"/>
              </w:rPr>
              <w:t>）</w:t>
            </w:r>
            <w:r>
              <w:rPr>
                <w:rFonts w:hint="eastAsia" w:cs="Times New Roman"/>
                <w:color w:val="auto"/>
                <w:kern w:val="0"/>
                <w:sz w:val="24"/>
                <w:highlight w:val="none"/>
                <w:lang w:val="en-US" w:eastAsia="zh-CN"/>
              </w:rPr>
              <w:t>项目东面厂界距离秀水三路57m，南面厂界距离G78高速45m，</w:t>
            </w:r>
            <w:r>
              <w:rPr>
                <w:rFonts w:hint="default" w:ascii="Times New Roman" w:hAnsi="Times New Roman" w:eastAsia="宋体" w:cs="Times New Roman"/>
                <w:color w:val="auto"/>
                <w:kern w:val="0"/>
                <w:sz w:val="24"/>
                <w:highlight w:val="none"/>
              </w:rPr>
              <w:t>运营期</w:t>
            </w:r>
            <w:r>
              <w:rPr>
                <w:rFonts w:hint="eastAsia" w:ascii="Times New Roman" w:hAnsi="Times New Roman" w:eastAsia="宋体" w:cs="Times New Roman"/>
                <w:color w:val="auto"/>
                <w:kern w:val="0"/>
                <w:sz w:val="24"/>
                <w:highlight w:val="none"/>
                <w:lang w:val="en-US" w:eastAsia="zh-CN"/>
              </w:rPr>
              <w:t>项目</w:t>
            </w:r>
            <w:r>
              <w:rPr>
                <w:rFonts w:hint="eastAsia" w:cs="Times New Roman"/>
                <w:color w:val="auto"/>
                <w:kern w:val="0"/>
                <w:sz w:val="24"/>
                <w:highlight w:val="none"/>
                <w:lang w:val="en-US" w:eastAsia="zh-CN"/>
              </w:rPr>
              <w:t>厂</w:t>
            </w:r>
            <w:r>
              <w:rPr>
                <w:rFonts w:hint="eastAsia" w:ascii="Times New Roman" w:hAnsi="Times New Roman" w:eastAsia="宋体" w:cs="Times New Roman"/>
                <w:color w:val="auto"/>
                <w:kern w:val="0"/>
                <w:sz w:val="24"/>
                <w:highlight w:val="none"/>
                <w:lang w:val="en-US" w:eastAsia="zh-CN"/>
              </w:rPr>
              <w:t>界执行《工业企业厂界环境噪声排放标准》（GB12348-2008）</w:t>
            </w:r>
            <w:r>
              <w:rPr>
                <w:rFonts w:hint="eastAsia" w:cs="Times New Roman"/>
                <w:color w:val="auto"/>
                <w:kern w:val="0"/>
                <w:sz w:val="24"/>
                <w:highlight w:val="none"/>
                <w:lang w:val="en-US" w:eastAsia="zh-CN"/>
              </w:rPr>
              <w:t>3</w:t>
            </w:r>
            <w:r>
              <w:rPr>
                <w:rFonts w:hint="eastAsia" w:ascii="Times New Roman" w:hAnsi="Times New Roman" w:eastAsia="宋体" w:cs="Times New Roman"/>
                <w:color w:val="auto"/>
                <w:kern w:val="0"/>
                <w:sz w:val="24"/>
                <w:highlight w:val="none"/>
                <w:lang w:val="en-US" w:eastAsia="zh-CN"/>
              </w:rPr>
              <w:t>类标准</w:t>
            </w:r>
            <w:r>
              <w:rPr>
                <w:rFonts w:hint="eastAsia" w:ascii="Times New Roman" w:hAnsi="Times New Roman" w:eastAsia="宋体" w:cs="Times New Roman"/>
                <w:color w:val="auto"/>
                <w:kern w:val="0"/>
                <w:sz w:val="24"/>
                <w:highlight w:val="none"/>
                <w:lang w:eastAsia="zh-CN"/>
              </w:rPr>
              <w:t>。</w:t>
            </w:r>
          </w:p>
          <w:p w14:paraId="0509FFBF">
            <w:pPr>
              <w:keepNext w:val="0"/>
              <w:keepLines w:val="0"/>
              <w:pageBreakBefore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4"/>
                <w:szCs w:val="24"/>
                <w:highlight w:val="none"/>
                <w:u w:val="none" w:color="auto"/>
                <w:lang w:val="en-US" w:eastAsia="zh-CN"/>
              </w:rPr>
            </w:pPr>
            <w:r>
              <w:rPr>
                <w:rFonts w:hint="default" w:ascii="Times New Roman" w:hAnsi="Times New Roman" w:eastAsia="宋体" w:cs="Times New Roman"/>
                <w:b/>
                <w:bCs/>
                <w:color w:val="auto"/>
                <w:sz w:val="24"/>
                <w:szCs w:val="24"/>
                <w:highlight w:val="none"/>
                <w:u w:val="none" w:color="auto"/>
                <w:lang w:val="en-US" w:eastAsia="zh-CN"/>
              </w:rPr>
              <w:t>表</w:t>
            </w:r>
            <w:r>
              <w:rPr>
                <w:rFonts w:hint="eastAsia" w:ascii="Times New Roman" w:hAnsi="Times New Roman" w:eastAsia="宋体" w:cs="Times New Roman"/>
                <w:b/>
                <w:bCs/>
                <w:color w:val="auto"/>
                <w:sz w:val="24"/>
                <w:szCs w:val="24"/>
                <w:highlight w:val="none"/>
                <w:u w:val="none" w:color="auto"/>
                <w:lang w:val="en-US" w:eastAsia="zh-CN"/>
              </w:rPr>
              <w:t>3-</w:t>
            </w:r>
            <w:r>
              <w:rPr>
                <w:rFonts w:hint="eastAsia" w:cs="Times New Roman"/>
                <w:b/>
                <w:bCs/>
                <w:color w:val="auto"/>
                <w:sz w:val="24"/>
                <w:szCs w:val="24"/>
                <w:highlight w:val="none"/>
                <w:u w:val="none" w:color="auto"/>
                <w:lang w:val="en-US" w:eastAsia="zh-CN"/>
              </w:rPr>
              <w:t>11</w:t>
            </w:r>
            <w:r>
              <w:rPr>
                <w:rFonts w:hint="eastAsia" w:ascii="Times New Roman" w:hAnsi="Times New Roman" w:eastAsia="宋体" w:cs="Times New Roman"/>
                <w:b/>
                <w:bCs/>
                <w:color w:val="auto"/>
                <w:sz w:val="24"/>
                <w:szCs w:val="24"/>
                <w:highlight w:val="none"/>
                <w:u w:val="none" w:color="auto"/>
                <w:lang w:val="en-US" w:eastAsia="zh-CN"/>
              </w:rPr>
              <w:t xml:space="preserve">  《工业企业厂界环境噪声排放标准》（GB12348-2008）</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62"/>
              <w:gridCol w:w="1881"/>
              <w:gridCol w:w="2518"/>
            </w:tblGrid>
            <w:tr w14:paraId="19184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237" w:type="pct"/>
                  <w:vMerge w:val="restart"/>
                  <w:noWrap w:val="0"/>
                  <w:vAlign w:val="center"/>
                </w:tcPr>
                <w:p w14:paraId="42007B50">
                  <w:pPr>
                    <w:adjustRightInd w:val="0"/>
                    <w:snapToGrid w:val="0"/>
                    <w:jc w:val="center"/>
                    <w:rPr>
                      <w:color w:val="auto"/>
                      <w:szCs w:val="21"/>
                    </w:rPr>
                  </w:pPr>
                  <w:r>
                    <w:rPr>
                      <w:color w:val="auto"/>
                    </w:rPr>
                    <w:t>污染物项目</w:t>
                  </w:r>
                </w:p>
              </w:tc>
              <w:tc>
                <w:tcPr>
                  <w:tcW w:w="1181" w:type="pct"/>
                  <w:vMerge w:val="restart"/>
                  <w:noWrap w:val="0"/>
                  <w:vAlign w:val="center"/>
                </w:tcPr>
                <w:p w14:paraId="7E51A135">
                  <w:pPr>
                    <w:adjustRightInd w:val="0"/>
                    <w:snapToGrid w:val="0"/>
                    <w:jc w:val="center"/>
                    <w:rPr>
                      <w:color w:val="auto"/>
                      <w:szCs w:val="21"/>
                    </w:rPr>
                  </w:pPr>
                  <w:r>
                    <w:rPr>
                      <w:color w:val="auto"/>
                      <w:szCs w:val="21"/>
                    </w:rPr>
                    <w:t>功能区类别</w:t>
                  </w:r>
                </w:p>
              </w:tc>
              <w:tc>
                <w:tcPr>
                  <w:tcW w:w="1581" w:type="pct"/>
                  <w:noWrap w:val="0"/>
                  <w:vAlign w:val="center"/>
                </w:tcPr>
                <w:p w14:paraId="26BF830C">
                  <w:pPr>
                    <w:adjustRightInd w:val="0"/>
                    <w:snapToGrid w:val="0"/>
                    <w:jc w:val="center"/>
                    <w:rPr>
                      <w:rFonts w:hint="eastAsia"/>
                      <w:color w:val="auto"/>
                      <w:szCs w:val="21"/>
                    </w:rPr>
                  </w:pPr>
                  <w:r>
                    <w:rPr>
                      <w:color w:val="auto"/>
                      <w:szCs w:val="21"/>
                    </w:rPr>
                    <w:t>标准值</w:t>
                  </w:r>
                  <w:r>
                    <w:rPr>
                      <w:rFonts w:hint="eastAsia"/>
                      <w:color w:val="auto"/>
                      <w:szCs w:val="21"/>
                    </w:rPr>
                    <w:t>（</w:t>
                  </w:r>
                  <w:r>
                    <w:rPr>
                      <w:color w:val="auto"/>
                      <w:szCs w:val="21"/>
                    </w:rPr>
                    <w:t>dB（A）</w:t>
                  </w:r>
                  <w:r>
                    <w:rPr>
                      <w:rFonts w:hint="eastAsia"/>
                      <w:color w:val="auto"/>
                      <w:szCs w:val="21"/>
                    </w:rPr>
                    <w:t>）</w:t>
                  </w:r>
                </w:p>
              </w:tc>
            </w:tr>
            <w:tr w14:paraId="3BA0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37" w:type="pct"/>
                  <w:vMerge w:val="continue"/>
                  <w:noWrap w:val="0"/>
                  <w:vAlign w:val="center"/>
                </w:tcPr>
                <w:p w14:paraId="33C32AD9">
                  <w:pPr>
                    <w:adjustRightInd w:val="0"/>
                    <w:snapToGrid w:val="0"/>
                    <w:jc w:val="center"/>
                    <w:rPr>
                      <w:rFonts w:hint="eastAsia"/>
                      <w:color w:val="auto"/>
                      <w:szCs w:val="21"/>
                    </w:rPr>
                  </w:pPr>
                </w:p>
              </w:tc>
              <w:tc>
                <w:tcPr>
                  <w:tcW w:w="1181" w:type="pct"/>
                  <w:vMerge w:val="continue"/>
                  <w:noWrap w:val="0"/>
                  <w:vAlign w:val="center"/>
                </w:tcPr>
                <w:p w14:paraId="50F6787D">
                  <w:pPr>
                    <w:adjustRightInd w:val="0"/>
                    <w:snapToGrid w:val="0"/>
                    <w:jc w:val="center"/>
                    <w:rPr>
                      <w:color w:val="auto"/>
                      <w:szCs w:val="21"/>
                    </w:rPr>
                  </w:pPr>
                </w:p>
              </w:tc>
              <w:tc>
                <w:tcPr>
                  <w:tcW w:w="1581" w:type="pct"/>
                  <w:noWrap w:val="0"/>
                  <w:vAlign w:val="center"/>
                </w:tcPr>
                <w:p w14:paraId="64C5365A">
                  <w:pPr>
                    <w:adjustRightInd w:val="0"/>
                    <w:snapToGrid w:val="0"/>
                    <w:jc w:val="center"/>
                    <w:rPr>
                      <w:color w:val="auto"/>
                      <w:szCs w:val="21"/>
                    </w:rPr>
                  </w:pPr>
                  <w:r>
                    <w:rPr>
                      <w:color w:val="auto"/>
                      <w:szCs w:val="21"/>
                    </w:rPr>
                    <w:t>昼间</w:t>
                  </w:r>
                </w:p>
              </w:tc>
            </w:tr>
            <w:tr w14:paraId="5C333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37" w:type="pct"/>
                  <w:noWrap w:val="0"/>
                  <w:vAlign w:val="center"/>
                </w:tcPr>
                <w:p w14:paraId="038A9F29">
                  <w:pPr>
                    <w:adjustRightInd w:val="0"/>
                    <w:snapToGrid w:val="0"/>
                    <w:jc w:val="center"/>
                    <w:rPr>
                      <w:color w:val="auto"/>
                      <w:szCs w:val="21"/>
                    </w:rPr>
                  </w:pPr>
                  <w:r>
                    <w:rPr>
                      <w:rFonts w:hint="eastAsia"/>
                      <w:color w:val="auto"/>
                      <w:szCs w:val="21"/>
                    </w:rPr>
                    <w:t>厂界噪声</w:t>
                  </w:r>
                </w:p>
              </w:tc>
              <w:tc>
                <w:tcPr>
                  <w:tcW w:w="1181" w:type="pct"/>
                  <w:noWrap w:val="0"/>
                  <w:vAlign w:val="center"/>
                </w:tcPr>
                <w:p w14:paraId="0E2C2C6A">
                  <w:pPr>
                    <w:adjustRightInd w:val="0"/>
                    <w:snapToGrid w:val="0"/>
                    <w:jc w:val="center"/>
                    <w:rPr>
                      <w:rFonts w:hint="eastAsia"/>
                      <w:color w:val="auto"/>
                      <w:szCs w:val="21"/>
                    </w:rPr>
                  </w:pPr>
                  <w:r>
                    <w:rPr>
                      <w:rFonts w:hint="eastAsia"/>
                      <w:color w:val="auto"/>
                      <w:szCs w:val="21"/>
                      <w:lang w:val="en-US" w:eastAsia="zh-CN"/>
                    </w:rPr>
                    <w:t>3</w:t>
                  </w:r>
                  <w:r>
                    <w:rPr>
                      <w:rFonts w:hint="eastAsia"/>
                      <w:color w:val="auto"/>
                      <w:szCs w:val="21"/>
                    </w:rPr>
                    <w:t>类</w:t>
                  </w:r>
                </w:p>
              </w:tc>
              <w:tc>
                <w:tcPr>
                  <w:tcW w:w="1581" w:type="pct"/>
                  <w:noWrap w:val="0"/>
                  <w:vAlign w:val="center"/>
                </w:tcPr>
                <w:p w14:paraId="36108C6F">
                  <w:pPr>
                    <w:adjustRightInd w:val="0"/>
                    <w:snapToGrid w:val="0"/>
                    <w:jc w:val="center"/>
                    <w:rPr>
                      <w:rFonts w:hint="default" w:eastAsia="宋体"/>
                      <w:color w:val="auto"/>
                      <w:szCs w:val="21"/>
                      <w:lang w:val="en-US" w:eastAsia="zh-CN"/>
                    </w:rPr>
                  </w:pPr>
                  <w:r>
                    <w:rPr>
                      <w:rFonts w:hint="eastAsia"/>
                      <w:color w:val="auto"/>
                      <w:szCs w:val="21"/>
                      <w:lang w:val="en-US" w:eastAsia="zh-CN"/>
                    </w:rPr>
                    <w:t>65</w:t>
                  </w:r>
                </w:p>
              </w:tc>
            </w:tr>
          </w:tbl>
          <w:p w14:paraId="7B1075B8">
            <w:pPr>
              <w:keepNext w:val="0"/>
              <w:keepLines w:val="0"/>
              <w:pageBreakBefore w:val="0"/>
              <w:widowControl/>
              <w:kinsoku/>
              <w:wordWrap/>
              <w:overflowPunct/>
              <w:topLinePunct w:val="0"/>
              <w:autoSpaceDE/>
              <w:autoSpaceDN/>
              <w:bidi w:val="0"/>
              <w:adjustRightInd/>
              <w:snapToGrid/>
              <w:spacing w:line="500" w:lineRule="exact"/>
              <w:ind w:firstLine="482" w:firstLineChars="200"/>
              <w:textAlignment w:val="auto"/>
              <w:rPr>
                <w:rFonts w:hint="eastAsia" w:ascii="Times New Roman" w:hAnsi="Times New Roman" w:eastAsia="宋体" w:cs="Times New Roman"/>
                <w:b/>
                <w:bCs/>
                <w:color w:val="auto"/>
                <w:kern w:val="0"/>
                <w:sz w:val="24"/>
                <w:highlight w:val="none"/>
                <w:shd w:val="clear" w:color="auto" w:fill="auto"/>
                <w:lang w:val="en-US" w:eastAsia="zh-CN"/>
              </w:rPr>
            </w:pPr>
            <w:r>
              <w:rPr>
                <w:rFonts w:hint="eastAsia" w:cs="Times New Roman"/>
                <w:b/>
                <w:bCs/>
                <w:color w:val="auto"/>
                <w:kern w:val="0"/>
                <w:sz w:val="24"/>
                <w:highlight w:val="none"/>
                <w:shd w:val="clear" w:color="auto" w:fill="auto"/>
                <w:lang w:val="en-US" w:eastAsia="zh-CN"/>
              </w:rPr>
              <w:t>4.</w:t>
            </w:r>
            <w:r>
              <w:rPr>
                <w:rFonts w:hint="eastAsia" w:ascii="Times New Roman" w:hAnsi="Times New Roman" w:eastAsia="宋体" w:cs="Times New Roman"/>
                <w:b/>
                <w:bCs/>
                <w:color w:val="auto"/>
                <w:kern w:val="0"/>
                <w:sz w:val="24"/>
                <w:highlight w:val="none"/>
                <w:shd w:val="clear" w:color="auto" w:fill="auto"/>
                <w:lang w:val="en-US" w:eastAsia="zh-CN"/>
              </w:rPr>
              <w:t>固体废物</w:t>
            </w:r>
          </w:p>
          <w:p w14:paraId="76C2710A">
            <w:pPr>
              <w:keepNext w:val="0"/>
              <w:keepLines w:val="0"/>
              <w:pageBreakBefore w:val="0"/>
              <w:widowControl/>
              <w:kinsoku/>
              <w:wordWrap/>
              <w:overflowPunct/>
              <w:topLinePunct w:val="0"/>
              <w:autoSpaceDE/>
              <w:autoSpaceDN/>
              <w:bidi w:val="0"/>
              <w:adjustRightInd/>
              <w:snapToGrid/>
              <w:spacing w:line="500" w:lineRule="exact"/>
              <w:ind w:firstLine="482"/>
              <w:textAlignment w:val="auto"/>
              <w:rPr>
                <w:rFonts w:hint="eastAsia" w:ascii="宋体" w:hAnsi="宋体" w:eastAsia="宋体" w:cs="宋体"/>
                <w:color w:val="auto"/>
                <w:kern w:val="0"/>
                <w:szCs w:val="21"/>
                <w:lang w:val="en-US" w:eastAsia="zh-CN"/>
              </w:rPr>
            </w:pPr>
            <w:r>
              <w:rPr>
                <w:rFonts w:hint="eastAsia"/>
                <w:color w:val="auto"/>
                <w:kern w:val="0"/>
                <w:sz w:val="24"/>
                <w:highlight w:val="none"/>
              </w:rPr>
              <w:t>项目一般工业固体废物执行《一般工业固体废物贮存和填埋污染控制标准》（GB18599-2020）的相关要求</w:t>
            </w:r>
            <w:r>
              <w:rPr>
                <w:rFonts w:hint="eastAsia"/>
                <w:color w:val="auto"/>
                <w:kern w:val="0"/>
                <w:sz w:val="24"/>
                <w:highlight w:val="none"/>
                <w:lang w:eastAsia="zh-CN"/>
              </w:rPr>
              <w:t>；</w:t>
            </w:r>
            <w:r>
              <w:rPr>
                <w:rFonts w:hint="default" w:ascii="Times New Roman" w:hAnsi="Times New Roman" w:cs="Times New Roman"/>
                <w:color w:val="auto"/>
                <w:sz w:val="24"/>
                <w:highlight w:val="none"/>
                <w:shd w:val="clear" w:color="auto" w:fill="auto"/>
              </w:rPr>
              <w:t>项目产生的危险废物执行《危险废物贮存污染控制标准》（GB18597-2023）的有关规定</w:t>
            </w:r>
            <w:r>
              <w:rPr>
                <w:rFonts w:hint="default" w:ascii="Times New Roman" w:hAnsi="Times New Roman" w:eastAsia="宋体" w:cs="Times New Roman"/>
                <w:color w:val="auto"/>
                <w:kern w:val="0"/>
                <w:sz w:val="24"/>
                <w:highlight w:val="none"/>
              </w:rPr>
              <w:t>。</w:t>
            </w:r>
          </w:p>
        </w:tc>
      </w:tr>
      <w:tr w14:paraId="733279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4" w:hRule="atLeast"/>
          <w:jc w:val="center"/>
        </w:trPr>
        <w:tc>
          <w:tcPr>
            <w:tcW w:w="800" w:type="dxa"/>
            <w:noWrap w:val="0"/>
            <w:vAlign w:val="center"/>
          </w:tcPr>
          <w:p w14:paraId="0618C855">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总量</w:t>
            </w:r>
          </w:p>
          <w:p w14:paraId="253AE8CE">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控制</w:t>
            </w:r>
          </w:p>
          <w:p w14:paraId="116AFC02">
            <w:pPr>
              <w:adjustRightInd w:val="0"/>
              <w:snapToGrid w:val="0"/>
              <w:jc w:val="center"/>
              <w:rPr>
                <w:rFonts w:ascii="宋体" w:hAnsi="宋体" w:cs="宋体"/>
                <w:color w:val="auto"/>
                <w:kern w:val="0"/>
                <w:szCs w:val="21"/>
              </w:rPr>
            </w:pPr>
            <w:r>
              <w:rPr>
                <w:rFonts w:hint="eastAsia" w:ascii="宋体" w:hAnsi="宋体" w:cs="宋体"/>
                <w:color w:val="auto"/>
                <w:kern w:val="0"/>
                <w:szCs w:val="21"/>
              </w:rPr>
              <w:t>指标</w:t>
            </w:r>
          </w:p>
        </w:tc>
        <w:tc>
          <w:tcPr>
            <w:tcW w:w="8190" w:type="dxa"/>
            <w:noWrap w:val="0"/>
            <w:vAlign w:val="center"/>
          </w:tcPr>
          <w:p w14:paraId="3089BDF7">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szCs w:val="24"/>
                <w:shd w:val="clear" w:color="auto" w:fill="auto"/>
                <w:lang w:val="en-US" w:eastAsia="zh-CN"/>
              </w:rPr>
            </w:pPr>
            <w:r>
              <w:rPr>
                <w:rFonts w:hint="eastAsia"/>
                <w:color w:val="auto"/>
                <w:sz w:val="24"/>
                <w:szCs w:val="24"/>
                <w:shd w:val="clear" w:color="auto" w:fill="auto"/>
                <w:lang w:val="en-US" w:eastAsia="zh-CN"/>
              </w:rPr>
              <w:t>根据国家“‘十四五’节能减排综合工作方案”，“十四五”期间国家对化学需氧量氨氮、氮氧化物、挥发性有机物等四种主要污染物实行排放总量控制管理。</w:t>
            </w:r>
          </w:p>
          <w:p w14:paraId="36B4A930">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szCs w:val="24"/>
                <w:shd w:val="clear" w:color="auto" w:fill="auto"/>
                <w:lang w:val="en-US" w:eastAsia="zh-CN"/>
              </w:rPr>
            </w:pPr>
            <w:r>
              <w:rPr>
                <w:rFonts w:hint="eastAsia"/>
                <w:color w:val="auto"/>
                <w:sz w:val="24"/>
                <w:szCs w:val="24"/>
                <w:shd w:val="clear" w:color="auto" w:fill="auto"/>
                <w:lang w:val="en-US" w:eastAsia="zh-CN"/>
              </w:rPr>
              <w:t>（1）废气污染物控制指标</w:t>
            </w:r>
          </w:p>
          <w:p w14:paraId="64F0DC0B">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szCs w:val="24"/>
                <w:shd w:val="clear" w:color="auto" w:fill="auto"/>
                <w:lang w:val="en-US" w:eastAsia="zh-CN"/>
              </w:rPr>
            </w:pPr>
            <w:r>
              <w:rPr>
                <w:rFonts w:hint="eastAsia"/>
                <w:color w:val="auto"/>
                <w:sz w:val="24"/>
                <w:szCs w:val="24"/>
                <w:shd w:val="clear" w:color="auto" w:fill="auto"/>
                <w:lang w:val="en-US" w:eastAsia="zh-CN"/>
              </w:rPr>
              <w:t>根据《排污许可证申请与核发技术规范 铁路、船舶、航空航天和其他运输设备制造业》（HJ 1124—2020），本项目废气排放口均为一般排放口，不许可污染物排放量，因此本项目废气污染物无需申请总量控制指标。</w:t>
            </w:r>
          </w:p>
          <w:p w14:paraId="1BF4EE4A">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szCs w:val="24"/>
                <w:shd w:val="clear" w:color="auto" w:fill="auto"/>
                <w:lang w:val="en-US" w:eastAsia="zh-CN"/>
              </w:rPr>
            </w:pPr>
            <w:r>
              <w:rPr>
                <w:rFonts w:hint="eastAsia"/>
                <w:color w:val="auto"/>
                <w:sz w:val="24"/>
                <w:szCs w:val="24"/>
                <w:shd w:val="clear" w:color="auto" w:fill="auto"/>
                <w:lang w:val="en-US" w:eastAsia="zh-CN"/>
              </w:rPr>
              <w:t>（2）废水污染物控制指标</w:t>
            </w:r>
          </w:p>
          <w:p w14:paraId="18E72036">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default"/>
                <w:color w:val="auto"/>
                <w:sz w:val="24"/>
                <w:lang w:val="en-US" w:eastAsia="zh-CN"/>
              </w:rPr>
            </w:pPr>
            <w:r>
              <w:rPr>
                <w:rFonts w:hint="eastAsia"/>
                <w:color w:val="auto"/>
                <w:kern w:val="0"/>
                <w:sz w:val="24"/>
                <w:highlight w:val="none"/>
                <w:lang w:val="en-US" w:eastAsia="zh-CN"/>
              </w:rPr>
              <w:t>项目生产废水经厂内污水处理站处理、</w:t>
            </w:r>
            <w:r>
              <w:rPr>
                <w:rFonts w:hint="eastAsia"/>
                <w:color w:val="auto"/>
                <w:sz w:val="24"/>
                <w:szCs w:val="24"/>
              </w:rPr>
              <w:t>生活污水经化粪池处理</w:t>
            </w:r>
            <w:r>
              <w:rPr>
                <w:rFonts w:hint="eastAsia"/>
                <w:color w:val="auto"/>
                <w:sz w:val="24"/>
                <w:szCs w:val="24"/>
                <w:lang w:eastAsia="zh-CN"/>
              </w:rPr>
              <w:t>，</w:t>
            </w:r>
            <w:r>
              <w:rPr>
                <w:rFonts w:hint="eastAsia"/>
                <w:color w:val="auto"/>
                <w:sz w:val="24"/>
                <w:szCs w:val="24"/>
                <w:lang w:val="en-US" w:eastAsia="zh-CN"/>
              </w:rPr>
              <w:t>废水</w:t>
            </w:r>
            <w:r>
              <w:rPr>
                <w:rFonts w:hint="eastAsia"/>
                <w:color w:val="auto"/>
                <w:sz w:val="24"/>
                <w:szCs w:val="24"/>
                <w:shd w:val="clear" w:color="auto" w:fill="auto"/>
                <w:lang w:val="en-US" w:eastAsia="zh-CN"/>
              </w:rPr>
              <w:t>处理达到《污水综合排放标准》（GB8978-1996）三级标准及官塘污水处理厂设计进水水质要求后</w:t>
            </w:r>
            <w:r>
              <w:rPr>
                <w:rFonts w:hint="eastAsia"/>
                <w:color w:val="auto"/>
                <w:sz w:val="24"/>
                <w:szCs w:val="24"/>
                <w:shd w:val="clear" w:color="auto" w:fill="auto"/>
                <w:lang w:val="en-US" w:eastAsia="zh-CN"/>
              </w:rPr>
              <w:t>，两股处理废水与纯水制备废水一起通过</w:t>
            </w:r>
            <w:r>
              <w:rPr>
                <w:rFonts w:hint="eastAsia"/>
                <w:color w:val="auto"/>
                <w:sz w:val="24"/>
                <w:szCs w:val="24"/>
                <w:shd w:val="clear" w:color="auto" w:fill="auto"/>
                <w:lang w:val="en-US" w:eastAsia="zh-CN"/>
              </w:rPr>
              <w:t>市政</w:t>
            </w:r>
            <w:r>
              <w:rPr>
                <w:rFonts w:hint="eastAsia"/>
                <w:color w:val="auto"/>
                <w:sz w:val="24"/>
                <w:szCs w:val="24"/>
                <w:lang w:val="en-US" w:eastAsia="zh-CN"/>
              </w:rPr>
              <w:t>管网</w:t>
            </w:r>
            <w:r>
              <w:rPr>
                <w:rFonts w:hint="eastAsia"/>
                <w:color w:val="auto"/>
                <w:sz w:val="24"/>
                <w:szCs w:val="24"/>
                <w:shd w:val="clear" w:color="auto" w:fill="auto"/>
                <w:lang w:val="en-US" w:eastAsia="zh-CN"/>
              </w:rPr>
              <w:t>排入官塘污水处理厂，经处理达标后排放。废水排放总量纳入官塘污水处理厂排放总量指标内，故项目无需单独申请化学需氧量和氨氮总量指标。</w:t>
            </w:r>
          </w:p>
        </w:tc>
      </w:tr>
    </w:tbl>
    <w:p w14:paraId="53955310">
      <w:pPr>
        <w:pStyle w:val="34"/>
        <w:jc w:val="center"/>
        <w:outlineLvl w:val="0"/>
        <w:rPr>
          <w:rFonts w:ascii="黑体" w:hAnsi="黑体" w:eastAsia="黑体"/>
          <w:snapToGrid w:val="0"/>
          <w:color w:val="auto"/>
          <w:sz w:val="30"/>
          <w:szCs w:val="30"/>
        </w:rPr>
      </w:pPr>
      <w:r>
        <w:rPr>
          <w:rFonts w:ascii="黑体" w:hAnsi="黑体" w:eastAsia="黑体"/>
          <w:snapToGrid w:val="0"/>
          <w:color w:val="auto"/>
          <w:sz w:val="36"/>
          <w:szCs w:val="36"/>
        </w:rPr>
        <w:br w:type="page"/>
      </w:r>
      <w:bookmarkStart w:id="8" w:name="_Toc24607"/>
      <w:r>
        <w:rPr>
          <w:rFonts w:hint="eastAsia" w:ascii="黑体" w:hAnsi="黑体" w:eastAsia="黑体"/>
          <w:snapToGrid w:val="0"/>
          <w:color w:val="auto"/>
          <w:sz w:val="30"/>
          <w:szCs w:val="30"/>
        </w:rPr>
        <w:t>四、主要环境影响和保护措施</w:t>
      </w:r>
      <w:bookmarkEnd w:id="8"/>
    </w:p>
    <w:tbl>
      <w:tblPr>
        <w:tblStyle w:val="3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480949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9" w:hRule="atLeast"/>
          <w:jc w:val="center"/>
        </w:trPr>
        <w:tc>
          <w:tcPr>
            <w:tcW w:w="746" w:type="dxa"/>
            <w:noWrap w:val="0"/>
            <w:tcMar>
              <w:left w:w="28" w:type="dxa"/>
              <w:right w:w="28" w:type="dxa"/>
            </w:tcMar>
            <w:vAlign w:val="center"/>
          </w:tcPr>
          <w:p w14:paraId="75E8A401">
            <w:pPr>
              <w:pStyle w:val="34"/>
              <w:adjustRightInd w:val="0"/>
              <w:snapToGrid w:val="0"/>
              <w:spacing w:before="0" w:beforeAutospacing="0" w:after="0" w:afterAutospacing="0"/>
              <w:jc w:val="center"/>
              <w:rPr>
                <w:rFonts w:hint="eastAsia" w:cs="宋体"/>
                <w:color w:val="auto"/>
                <w:kern w:val="2"/>
                <w:sz w:val="21"/>
                <w:szCs w:val="21"/>
              </w:rPr>
            </w:pPr>
            <w:r>
              <w:rPr>
                <w:rFonts w:hint="eastAsia" w:cs="宋体"/>
                <w:color w:val="auto"/>
                <w:kern w:val="2"/>
                <w:sz w:val="21"/>
                <w:szCs w:val="21"/>
              </w:rPr>
              <w:t>施工</w:t>
            </w:r>
          </w:p>
          <w:p w14:paraId="5986E30C">
            <w:pPr>
              <w:pStyle w:val="34"/>
              <w:adjustRightInd w:val="0"/>
              <w:snapToGrid w:val="0"/>
              <w:spacing w:before="0" w:beforeAutospacing="0" w:after="0" w:afterAutospacing="0"/>
              <w:jc w:val="center"/>
              <w:rPr>
                <w:rFonts w:hint="eastAsia" w:cs="宋体"/>
                <w:color w:val="auto"/>
                <w:kern w:val="2"/>
                <w:sz w:val="21"/>
                <w:szCs w:val="21"/>
              </w:rPr>
            </w:pPr>
            <w:r>
              <w:rPr>
                <w:rFonts w:hint="eastAsia" w:cs="宋体"/>
                <w:color w:val="auto"/>
                <w:kern w:val="2"/>
                <w:sz w:val="21"/>
                <w:szCs w:val="21"/>
              </w:rPr>
              <w:t>期环</w:t>
            </w:r>
          </w:p>
          <w:p w14:paraId="7D8CD5E3">
            <w:pPr>
              <w:pStyle w:val="34"/>
              <w:adjustRightInd w:val="0"/>
              <w:snapToGrid w:val="0"/>
              <w:spacing w:before="0" w:beforeAutospacing="0" w:after="0" w:afterAutospacing="0"/>
              <w:jc w:val="center"/>
              <w:rPr>
                <w:rFonts w:hint="eastAsia" w:cs="宋体"/>
                <w:color w:val="auto"/>
                <w:kern w:val="2"/>
                <w:sz w:val="21"/>
                <w:szCs w:val="21"/>
              </w:rPr>
            </w:pPr>
            <w:r>
              <w:rPr>
                <w:rFonts w:hint="eastAsia" w:cs="宋体"/>
                <w:color w:val="auto"/>
                <w:kern w:val="2"/>
                <w:sz w:val="21"/>
                <w:szCs w:val="21"/>
              </w:rPr>
              <w:t>境保</w:t>
            </w:r>
          </w:p>
          <w:p w14:paraId="24DB88FE">
            <w:pPr>
              <w:pStyle w:val="34"/>
              <w:adjustRightInd w:val="0"/>
              <w:snapToGrid w:val="0"/>
              <w:spacing w:before="0" w:beforeAutospacing="0" w:after="0" w:afterAutospacing="0"/>
              <w:jc w:val="center"/>
              <w:rPr>
                <w:rFonts w:hint="eastAsia" w:cs="宋体"/>
                <w:color w:val="auto"/>
                <w:kern w:val="2"/>
                <w:sz w:val="21"/>
                <w:szCs w:val="21"/>
              </w:rPr>
            </w:pPr>
            <w:r>
              <w:rPr>
                <w:rFonts w:hint="eastAsia" w:cs="宋体"/>
                <w:color w:val="auto"/>
                <w:kern w:val="2"/>
                <w:sz w:val="21"/>
                <w:szCs w:val="21"/>
              </w:rPr>
              <w:t>护措</w:t>
            </w:r>
          </w:p>
          <w:p w14:paraId="0FB3921A">
            <w:pPr>
              <w:pStyle w:val="34"/>
              <w:adjustRightInd w:val="0"/>
              <w:snapToGrid w:val="0"/>
              <w:spacing w:before="0" w:beforeAutospacing="0" w:after="0" w:afterAutospacing="0"/>
              <w:jc w:val="center"/>
              <w:rPr>
                <w:rFonts w:hint="eastAsia" w:cs="宋体"/>
                <w:bCs/>
                <w:color w:val="auto"/>
                <w:kern w:val="2"/>
                <w:sz w:val="21"/>
                <w:szCs w:val="21"/>
              </w:rPr>
            </w:pPr>
            <w:r>
              <w:rPr>
                <w:rFonts w:hint="eastAsia" w:cs="宋体"/>
                <w:color w:val="auto"/>
                <w:kern w:val="2"/>
                <w:sz w:val="21"/>
                <w:szCs w:val="21"/>
              </w:rPr>
              <w:t>施</w:t>
            </w:r>
          </w:p>
        </w:tc>
        <w:tc>
          <w:tcPr>
            <w:tcW w:w="8162" w:type="dxa"/>
            <w:noWrap w:val="0"/>
            <w:vAlign w:val="center"/>
          </w:tcPr>
          <w:p w14:paraId="6B85B62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auto"/>
                <w:sz w:val="24"/>
                <w:szCs w:val="24"/>
                <w:lang w:val="en-US" w:eastAsia="zh-CN"/>
              </w:rPr>
            </w:pPr>
            <w:r>
              <w:rPr>
                <w:rFonts w:hint="eastAsia"/>
                <w:color w:val="auto"/>
                <w:sz w:val="24"/>
                <w:highlight w:val="none"/>
              </w:rPr>
              <w:t>项目租赁厂房已建成，施工期只进行厂房装修</w:t>
            </w:r>
            <w:r>
              <w:rPr>
                <w:rFonts w:hint="eastAsia"/>
                <w:color w:val="auto"/>
                <w:sz w:val="24"/>
                <w:highlight w:val="none"/>
                <w:lang w:val="en-US" w:eastAsia="zh-CN"/>
              </w:rPr>
              <w:t>施工</w:t>
            </w:r>
            <w:r>
              <w:rPr>
                <w:rFonts w:hint="eastAsia"/>
                <w:color w:val="auto"/>
                <w:sz w:val="24"/>
                <w:highlight w:val="none"/>
              </w:rPr>
              <w:t>和设备安装调试即可投入使用，主要环境影响为施工噪声和施工固废。施工场地噪声源通常主要为设备安装或物料装卸时使用的高噪声施工机械，单体噪声源强通常在80dB</w:t>
            </w:r>
            <w:r>
              <w:rPr>
                <w:rFonts w:hint="eastAsia"/>
                <w:color w:val="auto"/>
                <w:sz w:val="24"/>
                <w:highlight w:val="none"/>
                <w:lang w:eastAsia="zh-CN"/>
              </w:rPr>
              <w:t>（</w:t>
            </w:r>
            <w:r>
              <w:rPr>
                <w:rFonts w:hint="eastAsia"/>
                <w:color w:val="auto"/>
                <w:sz w:val="24"/>
                <w:highlight w:val="none"/>
              </w:rPr>
              <w:t>A）以上。本项目施工阶段均为室内作业，经过墙体隔声等防治措施，噪声传播一般可控制在50m范围内，受影响范围较小。施工期间产生的固体废物包括设备的废弃包装材料和施工人员生活垃圾。废弃包装材料经收集后及时清运，可外售给物资回收部门；生活垃圾主要为施工人员废弃物品，产生量较少，交由环卫部门统一清运。总体而言，项目施工污染物产生量较小，</w:t>
            </w:r>
            <w:r>
              <w:rPr>
                <w:color w:val="auto"/>
                <w:sz w:val="24"/>
                <w:highlight w:val="none"/>
              </w:rPr>
              <w:t>项目施工期产生的环境影响随着施工期结束而结束</w:t>
            </w:r>
            <w:r>
              <w:rPr>
                <w:rFonts w:hint="eastAsia"/>
                <w:color w:val="auto"/>
                <w:sz w:val="24"/>
                <w:highlight w:val="none"/>
                <w:lang w:eastAsia="zh-CN"/>
              </w:rPr>
              <w:t>，</w:t>
            </w:r>
            <w:r>
              <w:rPr>
                <w:rFonts w:hint="eastAsia"/>
                <w:color w:val="auto"/>
                <w:sz w:val="24"/>
                <w:highlight w:val="none"/>
              </w:rPr>
              <w:t>通过合理安排施工作业时间，加强施工管理等措施后，项目施工期污染物不会对周围环境产生明显影响</w:t>
            </w:r>
            <w:r>
              <w:rPr>
                <w:rFonts w:hint="eastAsia"/>
                <w:color w:val="auto"/>
                <w:sz w:val="24"/>
                <w:highlight w:val="none"/>
                <w:lang w:val="en-US" w:eastAsia="zh-CN"/>
              </w:rPr>
              <w:t>。</w:t>
            </w:r>
          </w:p>
          <w:p w14:paraId="423966F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auto"/>
                <w:sz w:val="24"/>
                <w:szCs w:val="24"/>
                <w:lang w:val="en-US" w:eastAsia="zh-CN"/>
              </w:rPr>
            </w:pPr>
          </w:p>
          <w:p w14:paraId="5EB396E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auto"/>
                <w:sz w:val="24"/>
                <w:szCs w:val="24"/>
                <w:lang w:val="en-US" w:eastAsia="zh-CN"/>
              </w:rPr>
            </w:pPr>
          </w:p>
          <w:p w14:paraId="25D72CF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auto"/>
                <w:sz w:val="24"/>
                <w:szCs w:val="24"/>
                <w:lang w:val="en-US" w:eastAsia="zh-CN"/>
              </w:rPr>
            </w:pPr>
          </w:p>
          <w:p w14:paraId="6E1C7A8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auto"/>
                <w:sz w:val="24"/>
                <w:szCs w:val="24"/>
                <w:lang w:val="en-US" w:eastAsia="zh-CN"/>
              </w:rPr>
            </w:pPr>
          </w:p>
          <w:p w14:paraId="744F73A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auto"/>
                <w:sz w:val="24"/>
                <w:szCs w:val="24"/>
                <w:lang w:val="en-US" w:eastAsia="zh-CN"/>
              </w:rPr>
            </w:pPr>
          </w:p>
          <w:p w14:paraId="63B2407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auto"/>
                <w:sz w:val="24"/>
                <w:szCs w:val="24"/>
                <w:lang w:val="en-US" w:eastAsia="zh-CN"/>
              </w:rPr>
            </w:pPr>
          </w:p>
          <w:p w14:paraId="15FCFF3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auto"/>
                <w:sz w:val="24"/>
                <w:szCs w:val="24"/>
                <w:lang w:val="en-US" w:eastAsia="zh-CN"/>
              </w:rPr>
            </w:pPr>
          </w:p>
          <w:p w14:paraId="718153B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auto"/>
                <w:sz w:val="24"/>
                <w:szCs w:val="24"/>
                <w:lang w:val="en-US" w:eastAsia="zh-CN"/>
              </w:rPr>
            </w:pPr>
          </w:p>
          <w:p w14:paraId="43EE002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auto"/>
                <w:sz w:val="24"/>
                <w:szCs w:val="24"/>
                <w:lang w:val="en-US" w:eastAsia="zh-CN"/>
              </w:rPr>
            </w:pPr>
          </w:p>
          <w:p w14:paraId="507E610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auto"/>
                <w:sz w:val="24"/>
                <w:szCs w:val="24"/>
                <w:lang w:val="en-US" w:eastAsia="zh-CN"/>
              </w:rPr>
            </w:pPr>
          </w:p>
          <w:p w14:paraId="7D9A4F3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auto"/>
                <w:sz w:val="24"/>
                <w:szCs w:val="24"/>
                <w:lang w:val="en-US" w:eastAsia="zh-CN"/>
              </w:rPr>
            </w:pPr>
          </w:p>
          <w:p w14:paraId="1E51453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auto"/>
                <w:sz w:val="24"/>
                <w:szCs w:val="24"/>
                <w:lang w:val="en-US" w:eastAsia="zh-CN"/>
              </w:rPr>
            </w:pPr>
          </w:p>
          <w:p w14:paraId="389DA280">
            <w:pPr>
              <w:keepNext w:val="0"/>
              <w:keepLines w:val="0"/>
              <w:pageBreakBefore w:val="0"/>
              <w:widowControl w:val="0"/>
              <w:kinsoku/>
              <w:wordWrap/>
              <w:overflowPunct/>
              <w:topLinePunct w:val="0"/>
              <w:autoSpaceDE/>
              <w:autoSpaceDN/>
              <w:bidi w:val="0"/>
              <w:adjustRightInd w:val="0"/>
              <w:snapToGrid w:val="0"/>
              <w:spacing w:line="500" w:lineRule="exact"/>
              <w:ind w:firstLine="380" w:firstLineChars="200"/>
              <w:textAlignment w:val="auto"/>
              <w:rPr>
                <w:rFonts w:ascii="宋体" w:hAnsi="宋体" w:cs="宋体"/>
                <w:bCs/>
                <w:color w:val="auto"/>
                <w:spacing w:val="-10"/>
                <w:szCs w:val="21"/>
              </w:rPr>
            </w:pPr>
          </w:p>
        </w:tc>
      </w:tr>
      <w:tr w14:paraId="7D9E1E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4" w:hRule="atLeast"/>
          <w:jc w:val="center"/>
        </w:trPr>
        <w:tc>
          <w:tcPr>
            <w:tcW w:w="746" w:type="dxa"/>
            <w:noWrap w:val="0"/>
            <w:tcMar>
              <w:left w:w="28" w:type="dxa"/>
              <w:right w:w="28" w:type="dxa"/>
            </w:tcMar>
            <w:vAlign w:val="center"/>
          </w:tcPr>
          <w:p w14:paraId="265FE9C0">
            <w:pPr>
              <w:adjustRightInd w:val="0"/>
              <w:snapToGrid w:val="0"/>
              <w:jc w:val="center"/>
              <w:rPr>
                <w:rFonts w:hint="eastAsia" w:ascii="宋体" w:hAnsi="宋体" w:cs="宋体"/>
                <w:bCs/>
                <w:color w:val="auto"/>
                <w:szCs w:val="21"/>
              </w:rPr>
            </w:pPr>
            <w:r>
              <w:rPr>
                <w:rFonts w:hint="eastAsia" w:ascii="宋体" w:hAnsi="宋体" w:cs="宋体"/>
                <w:bCs/>
                <w:color w:val="auto"/>
                <w:szCs w:val="21"/>
              </w:rPr>
              <w:t>运营</w:t>
            </w:r>
          </w:p>
          <w:p w14:paraId="1A5B6AE3">
            <w:pPr>
              <w:adjustRightInd w:val="0"/>
              <w:snapToGrid w:val="0"/>
              <w:jc w:val="center"/>
              <w:rPr>
                <w:rFonts w:hint="eastAsia" w:ascii="宋体" w:hAnsi="宋体" w:cs="宋体"/>
                <w:bCs/>
                <w:color w:val="auto"/>
                <w:szCs w:val="21"/>
              </w:rPr>
            </w:pPr>
            <w:r>
              <w:rPr>
                <w:rFonts w:hint="eastAsia" w:ascii="宋体" w:hAnsi="宋体" w:cs="宋体"/>
                <w:bCs/>
                <w:color w:val="auto"/>
                <w:szCs w:val="21"/>
              </w:rPr>
              <w:t>期环</w:t>
            </w:r>
          </w:p>
          <w:p w14:paraId="162DCE3F">
            <w:pPr>
              <w:adjustRightInd w:val="0"/>
              <w:snapToGrid w:val="0"/>
              <w:jc w:val="center"/>
              <w:rPr>
                <w:rFonts w:hint="eastAsia" w:ascii="宋体" w:hAnsi="宋体" w:cs="宋体"/>
                <w:bCs/>
                <w:color w:val="auto"/>
                <w:szCs w:val="21"/>
              </w:rPr>
            </w:pPr>
            <w:r>
              <w:rPr>
                <w:rFonts w:hint="eastAsia" w:ascii="宋体" w:hAnsi="宋体" w:cs="宋体"/>
                <w:bCs/>
                <w:color w:val="auto"/>
                <w:szCs w:val="21"/>
              </w:rPr>
              <w:t>境影</w:t>
            </w:r>
          </w:p>
          <w:p w14:paraId="1DD915A4">
            <w:pPr>
              <w:adjustRightInd w:val="0"/>
              <w:snapToGrid w:val="0"/>
              <w:jc w:val="center"/>
              <w:rPr>
                <w:rFonts w:hint="eastAsia" w:ascii="宋体" w:hAnsi="宋体" w:cs="宋体"/>
                <w:bCs/>
                <w:color w:val="auto"/>
                <w:szCs w:val="21"/>
              </w:rPr>
            </w:pPr>
            <w:r>
              <w:rPr>
                <w:rFonts w:hint="eastAsia" w:ascii="宋体" w:hAnsi="宋体" w:cs="宋体"/>
                <w:bCs/>
                <w:color w:val="auto"/>
                <w:szCs w:val="21"/>
              </w:rPr>
              <w:t>响和</w:t>
            </w:r>
          </w:p>
          <w:p w14:paraId="6F0681AB">
            <w:pPr>
              <w:adjustRightInd w:val="0"/>
              <w:snapToGrid w:val="0"/>
              <w:jc w:val="center"/>
              <w:rPr>
                <w:rFonts w:hint="eastAsia" w:ascii="宋体" w:hAnsi="宋体" w:cs="宋体"/>
                <w:bCs/>
                <w:color w:val="auto"/>
                <w:szCs w:val="21"/>
              </w:rPr>
            </w:pPr>
            <w:r>
              <w:rPr>
                <w:rFonts w:hint="eastAsia" w:ascii="宋体" w:hAnsi="宋体" w:cs="宋体"/>
                <w:bCs/>
                <w:color w:val="auto"/>
                <w:szCs w:val="21"/>
              </w:rPr>
              <w:t>保护</w:t>
            </w:r>
          </w:p>
          <w:p w14:paraId="64CACF4D">
            <w:pPr>
              <w:adjustRightInd w:val="0"/>
              <w:snapToGrid w:val="0"/>
              <w:jc w:val="center"/>
              <w:rPr>
                <w:rFonts w:ascii="宋体" w:hAnsi="宋体" w:cs="宋体"/>
                <w:bCs/>
                <w:color w:val="auto"/>
                <w:szCs w:val="21"/>
              </w:rPr>
            </w:pPr>
            <w:r>
              <w:rPr>
                <w:rFonts w:hint="eastAsia" w:ascii="宋体" w:hAnsi="宋体" w:cs="宋体"/>
                <w:bCs/>
                <w:color w:val="auto"/>
                <w:szCs w:val="21"/>
              </w:rPr>
              <w:t>措施</w:t>
            </w:r>
          </w:p>
        </w:tc>
        <w:tc>
          <w:tcPr>
            <w:tcW w:w="8162" w:type="dxa"/>
            <w:noWrap w:val="0"/>
            <w:vAlign w:val="center"/>
          </w:tcPr>
          <w:p w14:paraId="134D0A42">
            <w:pPr>
              <w:keepNext w:val="0"/>
              <w:keepLines w:val="0"/>
              <w:pageBreakBefore w:val="0"/>
              <w:widowControl/>
              <w:kinsoku/>
              <w:wordWrap/>
              <w:overflowPunct/>
              <w:topLinePunct w:val="0"/>
              <w:autoSpaceDE/>
              <w:autoSpaceDN/>
              <w:bidi w:val="0"/>
              <w:adjustRightInd w:val="0"/>
              <w:snapToGrid w:val="0"/>
              <w:spacing w:line="500" w:lineRule="exact"/>
              <w:ind w:firstLine="482" w:firstLineChars="200"/>
              <w:textAlignment w:val="auto"/>
              <w:rPr>
                <w:rFonts w:ascii="Times New Roman" w:hAnsi="Times New Roman" w:eastAsia="宋体" w:cs="宋体"/>
                <w:b/>
                <w:bCs/>
                <w:color w:val="auto"/>
                <w:sz w:val="24"/>
                <w:szCs w:val="24"/>
              </w:rPr>
            </w:pPr>
            <w:r>
              <w:rPr>
                <w:rFonts w:hint="eastAsia" w:cs="宋体"/>
                <w:b/>
                <w:bCs/>
                <w:color w:val="auto"/>
                <w:sz w:val="24"/>
                <w:szCs w:val="24"/>
                <w:lang w:val="en-US" w:eastAsia="zh-CN"/>
              </w:rPr>
              <w:t>一、</w:t>
            </w:r>
            <w:r>
              <w:rPr>
                <w:rFonts w:ascii="Times New Roman" w:hAnsi="Times New Roman" w:eastAsia="宋体" w:cs="宋体"/>
                <w:b/>
                <w:bCs/>
                <w:color w:val="auto"/>
                <w:sz w:val="24"/>
                <w:szCs w:val="24"/>
              </w:rPr>
              <w:t>废气</w:t>
            </w:r>
          </w:p>
          <w:p w14:paraId="71BC8236">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cs="宋体"/>
                <w:b/>
                <w:bCs/>
                <w:snapToGrid w:val="0"/>
                <w:color w:val="auto"/>
                <w:kern w:val="0"/>
                <w:sz w:val="24"/>
                <w:szCs w:val="24"/>
                <w:highlight w:val="none"/>
                <w:shd w:val="clear" w:color="auto" w:fill="auto"/>
              </w:rPr>
            </w:pPr>
            <w:bookmarkStart w:id="9" w:name="OLE_LINK112"/>
            <w:r>
              <w:rPr>
                <w:rFonts w:hint="eastAsia"/>
                <w:color w:val="auto"/>
                <w:sz w:val="24"/>
                <w:szCs w:val="24"/>
                <w:lang w:val="en-US" w:eastAsia="zh-CN"/>
              </w:rPr>
              <w:t>1、</w:t>
            </w:r>
            <w:r>
              <w:rPr>
                <w:rFonts w:hint="eastAsia" w:cs="宋体"/>
                <w:b/>
                <w:bCs/>
                <w:snapToGrid w:val="0"/>
                <w:color w:val="auto"/>
                <w:kern w:val="0"/>
                <w:sz w:val="24"/>
                <w:szCs w:val="24"/>
                <w:highlight w:val="none"/>
                <w:shd w:val="clear" w:color="auto" w:fill="auto"/>
              </w:rPr>
              <w:t>源强核算过程</w:t>
            </w:r>
          </w:p>
          <w:p w14:paraId="4D0D65F3">
            <w:pPr>
              <w:pStyle w:val="36"/>
              <w:keepNext w:val="0"/>
              <w:keepLines w:val="0"/>
              <w:pageBreakBefore w:val="0"/>
              <w:kinsoku/>
              <w:wordWrap/>
              <w:overflowPunct/>
              <w:topLinePunct w:val="0"/>
              <w:autoSpaceDE/>
              <w:autoSpaceDN/>
              <w:bidi w:val="0"/>
              <w:snapToGrid/>
              <w:spacing w:before="0" w:after="0" w:line="500" w:lineRule="exact"/>
              <w:ind w:right="0" w:firstLine="480" w:firstLineChars="200"/>
              <w:textAlignment w:val="auto"/>
              <w:rPr>
                <w:b w:val="0"/>
                <w:bCs w:val="0"/>
                <w:color w:val="auto"/>
                <w:sz w:val="24"/>
                <w:szCs w:val="24"/>
                <w:lang w:val="en-US" w:eastAsia="zh-CN"/>
              </w:rPr>
            </w:pPr>
            <w:r>
              <w:rPr>
                <w:rFonts w:hint="eastAsia"/>
                <w:b w:val="0"/>
                <w:bCs w:val="0"/>
                <w:color w:val="auto"/>
                <w:sz w:val="24"/>
                <w:szCs w:val="24"/>
                <w:lang w:val="en-US" w:eastAsia="zh-CN"/>
              </w:rPr>
              <w:t>（1）液化石油气燃烧</w:t>
            </w:r>
            <w:r>
              <w:rPr>
                <w:b w:val="0"/>
                <w:bCs w:val="0"/>
                <w:color w:val="auto"/>
                <w:sz w:val="24"/>
                <w:szCs w:val="24"/>
                <w:lang w:val="en-US" w:eastAsia="zh-CN"/>
              </w:rPr>
              <w:t>废气</w:t>
            </w:r>
          </w:p>
          <w:p w14:paraId="6AAF939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bCs/>
                <w:color w:val="auto"/>
                <w:sz w:val="24"/>
                <w:szCs w:val="24"/>
                <w:highlight w:val="none"/>
                <w:vertAlign w:val="baseline"/>
                <w:lang w:val="en-US" w:eastAsia="zh-CN" w:bidi="ar"/>
              </w:rPr>
            </w:pPr>
            <w:r>
              <w:rPr>
                <w:rFonts w:hint="eastAsia"/>
                <w:color w:val="auto"/>
                <w:kern w:val="0"/>
                <w:sz w:val="24"/>
                <w:szCs w:val="24"/>
                <w:highlight w:val="none"/>
                <w:lang w:val="en-US" w:eastAsia="zh-CN"/>
              </w:rPr>
              <w:t>项目在电泳烘干室工序使用液化石油气进行加热，根据建设单位提供资料，项目电泳烘干室液化石油气使用量为10万m</w:t>
            </w:r>
            <w:r>
              <w:rPr>
                <w:rFonts w:hint="eastAsia"/>
                <w:color w:val="auto"/>
                <w:kern w:val="0"/>
                <w:sz w:val="24"/>
                <w:szCs w:val="24"/>
                <w:highlight w:val="none"/>
                <w:vertAlign w:val="superscript"/>
                <w:lang w:val="en-US" w:eastAsia="zh-CN"/>
              </w:rPr>
              <w:t>3</w:t>
            </w:r>
            <w:r>
              <w:rPr>
                <w:rFonts w:hint="eastAsia"/>
                <w:color w:val="auto"/>
                <w:kern w:val="0"/>
                <w:sz w:val="24"/>
                <w:szCs w:val="24"/>
                <w:highlight w:val="none"/>
                <w:lang w:val="en-US" w:eastAsia="zh-CN"/>
              </w:rPr>
              <w:t>/a，</w:t>
            </w:r>
            <w:r>
              <w:rPr>
                <w:color w:val="auto"/>
                <w:kern w:val="0"/>
                <w:sz w:val="24"/>
                <w:szCs w:val="24"/>
                <w:highlight w:val="none"/>
              </w:rPr>
              <w:t>根据《排放源统计调查产排污核算方法和系数手册》</w:t>
            </w:r>
            <w:r>
              <w:rPr>
                <w:rFonts w:hint="eastAsia"/>
                <w:bCs/>
                <w:color w:val="auto"/>
                <w:sz w:val="24"/>
                <w:szCs w:val="24"/>
                <w:highlight w:val="none"/>
                <w:lang w:val="en-US" w:eastAsia="zh-CN" w:bidi="ar"/>
              </w:rPr>
              <w:t>机械行业：“液化石油气工业炉窑燃烧产生</w:t>
            </w:r>
            <w:r>
              <w:rPr>
                <w:bCs/>
                <w:color w:val="auto"/>
                <w:sz w:val="24"/>
                <w:szCs w:val="24"/>
                <w:highlight w:val="none"/>
                <w:lang w:bidi="ar"/>
              </w:rPr>
              <w:t>的</w:t>
            </w:r>
            <w:r>
              <w:rPr>
                <w:rFonts w:hint="eastAsia"/>
                <w:bCs/>
                <w:color w:val="auto"/>
                <w:sz w:val="24"/>
                <w:szCs w:val="24"/>
                <w:highlight w:val="none"/>
                <w:lang w:val="en-US" w:eastAsia="zh-CN" w:bidi="ar"/>
              </w:rPr>
              <w:t>烟气量为33.4</w:t>
            </w:r>
            <w:r>
              <w:rPr>
                <w:bCs/>
                <w:color w:val="auto"/>
                <w:sz w:val="24"/>
                <w:szCs w:val="24"/>
                <w:highlight w:val="none"/>
                <w:lang w:bidi="ar"/>
              </w:rPr>
              <w:t>m</w:t>
            </w:r>
            <w:r>
              <w:rPr>
                <w:bCs/>
                <w:color w:val="auto"/>
                <w:sz w:val="24"/>
                <w:szCs w:val="24"/>
                <w:highlight w:val="none"/>
                <w:vertAlign w:val="superscript"/>
                <w:lang w:bidi="ar"/>
              </w:rPr>
              <w:t>3</w:t>
            </w:r>
            <w:r>
              <w:rPr>
                <w:bCs/>
                <w:color w:val="auto"/>
                <w:sz w:val="24"/>
                <w:szCs w:val="24"/>
                <w:highlight w:val="none"/>
                <w:lang w:bidi="ar"/>
              </w:rPr>
              <w:t>/m</w:t>
            </w:r>
            <w:r>
              <w:rPr>
                <w:bCs/>
                <w:color w:val="auto"/>
                <w:sz w:val="24"/>
                <w:szCs w:val="24"/>
                <w:highlight w:val="none"/>
                <w:vertAlign w:val="superscript"/>
                <w:lang w:bidi="ar"/>
              </w:rPr>
              <w:t>3</w:t>
            </w:r>
            <w:r>
              <w:rPr>
                <w:rFonts w:hint="eastAsia"/>
                <w:bCs/>
                <w:color w:val="auto"/>
                <w:sz w:val="24"/>
                <w:szCs w:val="24"/>
                <w:highlight w:val="none"/>
                <w:vertAlign w:val="baseline"/>
                <w:lang w:eastAsia="zh-CN" w:bidi="ar"/>
              </w:rPr>
              <w:t>－</w:t>
            </w:r>
            <w:r>
              <w:rPr>
                <w:rFonts w:hint="eastAsia"/>
                <w:bCs/>
                <w:color w:val="auto"/>
                <w:sz w:val="24"/>
                <w:szCs w:val="24"/>
                <w:highlight w:val="none"/>
                <w:vertAlign w:val="baseline"/>
                <w:lang w:val="en-US" w:eastAsia="zh-CN" w:bidi="ar"/>
              </w:rPr>
              <w:t>原料、</w:t>
            </w:r>
            <w:r>
              <w:rPr>
                <w:bCs/>
                <w:color w:val="auto"/>
                <w:sz w:val="24"/>
                <w:szCs w:val="24"/>
                <w:highlight w:val="none"/>
                <w:lang w:bidi="ar"/>
              </w:rPr>
              <w:t>颗粒物</w:t>
            </w:r>
            <w:r>
              <w:rPr>
                <w:rFonts w:hint="eastAsia"/>
                <w:bCs/>
                <w:color w:val="auto"/>
                <w:sz w:val="24"/>
                <w:szCs w:val="24"/>
                <w:highlight w:val="none"/>
                <w:lang w:val="en-US" w:eastAsia="zh-CN" w:bidi="ar"/>
              </w:rPr>
              <w:t>产生</w:t>
            </w:r>
            <w:r>
              <w:rPr>
                <w:bCs/>
                <w:color w:val="auto"/>
                <w:sz w:val="24"/>
                <w:szCs w:val="24"/>
                <w:highlight w:val="none"/>
                <w:lang w:bidi="ar"/>
              </w:rPr>
              <w:t>系数为</w:t>
            </w:r>
            <w:r>
              <w:rPr>
                <w:rFonts w:hint="eastAsia"/>
                <w:bCs/>
                <w:color w:val="auto"/>
                <w:sz w:val="24"/>
                <w:szCs w:val="24"/>
                <w:highlight w:val="none"/>
                <w:lang w:val="en-US" w:eastAsia="zh-CN" w:bidi="ar"/>
              </w:rPr>
              <w:t>0.00022</w:t>
            </w:r>
            <w:r>
              <w:rPr>
                <w:bCs/>
                <w:color w:val="auto"/>
                <w:sz w:val="24"/>
                <w:szCs w:val="24"/>
                <w:highlight w:val="none"/>
                <w:lang w:bidi="ar"/>
              </w:rPr>
              <w:t>kg/m</w:t>
            </w:r>
            <w:r>
              <w:rPr>
                <w:bCs/>
                <w:color w:val="auto"/>
                <w:sz w:val="24"/>
                <w:szCs w:val="24"/>
                <w:highlight w:val="none"/>
                <w:vertAlign w:val="superscript"/>
                <w:lang w:bidi="ar"/>
              </w:rPr>
              <w:t>3</w:t>
            </w:r>
            <w:r>
              <w:rPr>
                <w:rFonts w:hint="eastAsia"/>
                <w:bCs/>
                <w:color w:val="auto"/>
                <w:sz w:val="24"/>
                <w:szCs w:val="24"/>
                <w:highlight w:val="none"/>
                <w:vertAlign w:val="baseline"/>
                <w:lang w:eastAsia="zh-CN" w:bidi="ar"/>
              </w:rPr>
              <w:t>－</w:t>
            </w:r>
            <w:r>
              <w:rPr>
                <w:rFonts w:hint="eastAsia"/>
                <w:bCs/>
                <w:color w:val="auto"/>
                <w:sz w:val="24"/>
                <w:szCs w:val="24"/>
                <w:highlight w:val="none"/>
                <w:vertAlign w:val="baseline"/>
                <w:lang w:val="en-US" w:eastAsia="zh-CN" w:bidi="ar"/>
              </w:rPr>
              <w:t>原料、二氧化硫</w:t>
            </w:r>
            <w:r>
              <w:rPr>
                <w:rFonts w:hint="eastAsia"/>
                <w:bCs/>
                <w:color w:val="auto"/>
                <w:sz w:val="24"/>
                <w:szCs w:val="24"/>
                <w:highlight w:val="none"/>
                <w:lang w:val="en-US" w:eastAsia="zh-CN" w:bidi="ar"/>
              </w:rPr>
              <w:t>产生</w:t>
            </w:r>
            <w:r>
              <w:rPr>
                <w:bCs/>
                <w:color w:val="auto"/>
                <w:sz w:val="24"/>
                <w:szCs w:val="24"/>
                <w:highlight w:val="none"/>
                <w:lang w:bidi="ar"/>
              </w:rPr>
              <w:t>系数为</w:t>
            </w:r>
            <w:r>
              <w:rPr>
                <w:rFonts w:hint="eastAsia"/>
                <w:bCs/>
                <w:color w:val="auto"/>
                <w:sz w:val="24"/>
                <w:szCs w:val="24"/>
                <w:highlight w:val="none"/>
                <w:lang w:val="en-US" w:eastAsia="zh-CN" w:bidi="ar"/>
              </w:rPr>
              <w:t>0.000002S</w:t>
            </w:r>
            <w:r>
              <w:rPr>
                <w:bCs/>
                <w:color w:val="auto"/>
                <w:sz w:val="24"/>
                <w:szCs w:val="24"/>
                <w:highlight w:val="none"/>
                <w:lang w:bidi="ar"/>
              </w:rPr>
              <w:t>kg/m</w:t>
            </w:r>
            <w:r>
              <w:rPr>
                <w:bCs/>
                <w:color w:val="auto"/>
                <w:sz w:val="24"/>
                <w:szCs w:val="24"/>
                <w:highlight w:val="none"/>
                <w:vertAlign w:val="superscript"/>
                <w:lang w:bidi="ar"/>
              </w:rPr>
              <w:t>3</w:t>
            </w:r>
            <w:r>
              <w:rPr>
                <w:rFonts w:hint="eastAsia"/>
                <w:bCs/>
                <w:color w:val="auto"/>
                <w:sz w:val="24"/>
                <w:szCs w:val="24"/>
                <w:highlight w:val="none"/>
                <w:vertAlign w:val="baseline"/>
                <w:lang w:eastAsia="zh-CN" w:bidi="ar"/>
              </w:rPr>
              <w:t>－</w:t>
            </w:r>
            <w:r>
              <w:rPr>
                <w:rFonts w:hint="eastAsia"/>
                <w:bCs/>
                <w:color w:val="auto"/>
                <w:sz w:val="24"/>
                <w:szCs w:val="24"/>
                <w:highlight w:val="none"/>
                <w:vertAlign w:val="baseline"/>
                <w:lang w:val="en-US" w:eastAsia="zh-CN" w:bidi="ar"/>
              </w:rPr>
              <w:t>原料（S—收到基硫分（取值范围0-100）本项目S取值100）、氮氧化物产生系数为0.00596</w:t>
            </w:r>
            <w:r>
              <w:rPr>
                <w:bCs/>
                <w:color w:val="auto"/>
                <w:sz w:val="24"/>
                <w:szCs w:val="24"/>
                <w:highlight w:val="none"/>
                <w:lang w:bidi="ar"/>
              </w:rPr>
              <w:t>kg/m</w:t>
            </w:r>
            <w:r>
              <w:rPr>
                <w:bCs/>
                <w:color w:val="auto"/>
                <w:sz w:val="24"/>
                <w:szCs w:val="24"/>
                <w:highlight w:val="none"/>
                <w:vertAlign w:val="superscript"/>
                <w:lang w:bidi="ar"/>
              </w:rPr>
              <w:t>3</w:t>
            </w:r>
            <w:r>
              <w:rPr>
                <w:rFonts w:hint="eastAsia"/>
                <w:bCs/>
                <w:color w:val="auto"/>
                <w:sz w:val="24"/>
                <w:szCs w:val="24"/>
                <w:highlight w:val="none"/>
                <w:vertAlign w:val="baseline"/>
                <w:lang w:eastAsia="zh-CN" w:bidi="ar"/>
              </w:rPr>
              <w:t>－</w:t>
            </w:r>
            <w:r>
              <w:rPr>
                <w:rFonts w:hint="eastAsia"/>
                <w:bCs/>
                <w:color w:val="auto"/>
                <w:sz w:val="24"/>
                <w:szCs w:val="24"/>
                <w:highlight w:val="none"/>
                <w:vertAlign w:val="baseline"/>
                <w:lang w:val="en-US" w:eastAsia="zh-CN" w:bidi="ar"/>
              </w:rPr>
              <w:t>原料</w:t>
            </w:r>
            <w:r>
              <w:rPr>
                <w:rFonts w:hint="eastAsia"/>
                <w:bCs/>
                <w:color w:val="auto"/>
                <w:sz w:val="24"/>
                <w:szCs w:val="24"/>
                <w:highlight w:val="none"/>
                <w:lang w:val="en-US" w:eastAsia="zh-CN" w:bidi="ar"/>
              </w:rPr>
              <w:t>”</w:t>
            </w:r>
            <w:r>
              <w:rPr>
                <w:rFonts w:hint="eastAsia"/>
                <w:bCs/>
                <w:color w:val="auto"/>
                <w:sz w:val="24"/>
                <w:szCs w:val="24"/>
                <w:highlight w:val="none"/>
                <w:vertAlign w:val="baseline"/>
                <w:lang w:val="en-US" w:eastAsia="zh-CN" w:bidi="ar"/>
              </w:rPr>
              <w:t>。</w:t>
            </w:r>
          </w:p>
          <w:p w14:paraId="36FD7435">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default"/>
                <w:color w:val="auto"/>
                <w:sz w:val="24"/>
                <w:szCs w:val="24"/>
                <w:highlight w:val="none"/>
                <w:lang w:val="en-US" w:eastAsia="zh-CN"/>
              </w:rPr>
            </w:pPr>
            <w:r>
              <w:rPr>
                <w:rFonts w:hint="eastAsia"/>
                <w:color w:val="auto"/>
                <w:sz w:val="24"/>
                <w:szCs w:val="24"/>
                <w:highlight w:val="none"/>
                <w:lang w:val="en-US" w:eastAsia="zh-CN"/>
              </w:rPr>
              <w:t>根据计算，本项目液化石油气燃烧颗粒物产生量为0.022t/a、二氧化硫产生量为0.02t/a、氮氧化物产生量为0.6t/a。</w:t>
            </w:r>
          </w:p>
          <w:p w14:paraId="3378F0F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color w:val="auto"/>
                <w:kern w:val="0"/>
                <w:sz w:val="24"/>
                <w:szCs w:val="24"/>
                <w:highlight w:val="none"/>
              </w:rPr>
            </w:pPr>
            <w:r>
              <w:rPr>
                <w:rFonts w:hint="eastAsia"/>
                <w:color w:val="auto"/>
                <w:sz w:val="24"/>
                <w:szCs w:val="24"/>
                <w:highlight w:val="none"/>
                <w:lang w:val="zh-CN"/>
              </w:rPr>
              <w:t>本项目</w:t>
            </w:r>
            <w:r>
              <w:rPr>
                <w:rFonts w:hint="eastAsia"/>
                <w:color w:val="auto"/>
                <w:kern w:val="0"/>
                <w:sz w:val="24"/>
                <w:szCs w:val="24"/>
                <w:highlight w:val="none"/>
                <w:lang w:val="en-US" w:eastAsia="zh-CN"/>
              </w:rPr>
              <w:t>液化石油气燃烧废气</w:t>
            </w:r>
            <w:r>
              <w:rPr>
                <w:rFonts w:hint="eastAsia"/>
                <w:color w:val="auto"/>
                <w:sz w:val="24"/>
                <w:szCs w:val="24"/>
                <w:highlight w:val="none"/>
                <w:lang w:val="en-US" w:eastAsia="zh-CN"/>
              </w:rPr>
              <w:t>为密闭收集，</w:t>
            </w:r>
            <w:r>
              <w:rPr>
                <w:rFonts w:hint="eastAsia"/>
                <w:color w:val="auto"/>
                <w:kern w:val="0"/>
                <w:sz w:val="24"/>
                <w:szCs w:val="24"/>
                <w:highlight w:val="none"/>
                <w:lang w:val="en-US" w:eastAsia="zh-CN"/>
              </w:rPr>
              <w:t>液化石油气燃烧废气收集直接通过</w:t>
            </w:r>
            <w:r>
              <w:rPr>
                <w:color w:val="auto"/>
                <w:kern w:val="0"/>
                <w:sz w:val="24"/>
                <w:szCs w:val="24"/>
                <w:highlight w:val="none"/>
              </w:rPr>
              <w:t>15m高DA00</w:t>
            </w:r>
            <w:r>
              <w:rPr>
                <w:rFonts w:hint="eastAsia"/>
                <w:color w:val="auto"/>
                <w:kern w:val="0"/>
                <w:sz w:val="24"/>
                <w:szCs w:val="24"/>
                <w:highlight w:val="none"/>
                <w:lang w:val="en-US" w:eastAsia="zh-CN"/>
              </w:rPr>
              <w:t>2</w:t>
            </w:r>
            <w:r>
              <w:rPr>
                <w:color w:val="auto"/>
                <w:kern w:val="0"/>
                <w:sz w:val="24"/>
                <w:szCs w:val="24"/>
                <w:highlight w:val="none"/>
              </w:rPr>
              <w:t>排气筒排放</w:t>
            </w:r>
            <w:r>
              <w:rPr>
                <w:rFonts w:hint="eastAsia"/>
                <w:color w:val="auto"/>
                <w:kern w:val="0"/>
                <w:sz w:val="24"/>
                <w:szCs w:val="24"/>
                <w:highlight w:val="none"/>
                <w:lang w:eastAsia="zh-CN"/>
              </w:rPr>
              <w:t>。</w:t>
            </w:r>
            <w:r>
              <w:rPr>
                <w:rFonts w:hint="eastAsia"/>
                <w:color w:val="auto"/>
                <w:kern w:val="0"/>
                <w:sz w:val="24"/>
                <w:szCs w:val="24"/>
                <w:highlight w:val="none"/>
                <w:lang w:val="en-US" w:eastAsia="zh-CN"/>
              </w:rPr>
              <w:t>项目液化石油气燃烧烟气量约</w:t>
            </w:r>
            <w:r>
              <w:rPr>
                <w:color w:val="auto"/>
                <w:kern w:val="0"/>
                <w:sz w:val="24"/>
                <w:szCs w:val="24"/>
                <w:highlight w:val="none"/>
              </w:rPr>
              <w:t>为</w:t>
            </w:r>
            <w:r>
              <w:rPr>
                <w:rFonts w:hint="eastAsia"/>
                <w:color w:val="auto"/>
                <w:kern w:val="0"/>
                <w:sz w:val="24"/>
                <w:szCs w:val="24"/>
                <w:highlight w:val="none"/>
                <w:lang w:val="en-US" w:eastAsia="zh-CN"/>
              </w:rPr>
              <w:t>1392</w:t>
            </w:r>
            <w:r>
              <w:rPr>
                <w:color w:val="auto"/>
                <w:kern w:val="0"/>
                <w:sz w:val="24"/>
                <w:szCs w:val="24"/>
                <w:highlight w:val="none"/>
              </w:rPr>
              <w:t>m</w:t>
            </w:r>
            <w:r>
              <w:rPr>
                <w:color w:val="auto"/>
                <w:kern w:val="0"/>
                <w:sz w:val="24"/>
                <w:szCs w:val="24"/>
                <w:highlight w:val="none"/>
                <w:vertAlign w:val="superscript"/>
              </w:rPr>
              <w:t>3</w:t>
            </w:r>
            <w:r>
              <w:rPr>
                <w:color w:val="auto"/>
                <w:kern w:val="0"/>
                <w:sz w:val="24"/>
                <w:szCs w:val="24"/>
                <w:highlight w:val="none"/>
              </w:rPr>
              <w:t>/h</w:t>
            </w:r>
            <w:r>
              <w:rPr>
                <w:color w:val="auto"/>
                <w:kern w:val="0"/>
                <w:sz w:val="24"/>
                <w:szCs w:val="24"/>
                <w:highlight w:val="none"/>
              </w:rPr>
              <w:t>，则本项目</w:t>
            </w:r>
            <w:r>
              <w:rPr>
                <w:rFonts w:hint="eastAsia"/>
                <w:color w:val="auto"/>
                <w:kern w:val="0"/>
                <w:sz w:val="24"/>
                <w:szCs w:val="24"/>
                <w:highlight w:val="none"/>
                <w:lang w:val="en-US" w:eastAsia="zh-CN"/>
              </w:rPr>
              <w:t>液化石油气燃烧废气</w:t>
            </w:r>
            <w:r>
              <w:rPr>
                <w:rFonts w:hint="eastAsia"/>
                <w:color w:val="auto"/>
                <w:kern w:val="0"/>
                <w:sz w:val="24"/>
                <w:szCs w:val="24"/>
                <w:highlight w:val="none"/>
              </w:rPr>
              <w:t>产排情况</w:t>
            </w:r>
            <w:r>
              <w:rPr>
                <w:color w:val="auto"/>
                <w:kern w:val="0"/>
                <w:sz w:val="24"/>
                <w:szCs w:val="24"/>
                <w:highlight w:val="none"/>
              </w:rPr>
              <w:t>见表</w:t>
            </w:r>
            <w:r>
              <w:rPr>
                <w:rFonts w:hint="eastAsia"/>
                <w:color w:val="auto"/>
                <w:kern w:val="0"/>
                <w:sz w:val="24"/>
                <w:szCs w:val="24"/>
                <w:highlight w:val="none"/>
                <w:lang w:val="en-US" w:eastAsia="zh-CN"/>
              </w:rPr>
              <w:t>4-1</w:t>
            </w:r>
            <w:r>
              <w:rPr>
                <w:color w:val="auto"/>
                <w:kern w:val="0"/>
                <w:sz w:val="24"/>
                <w:szCs w:val="24"/>
                <w:highlight w:val="none"/>
              </w:rPr>
              <w:t>。</w:t>
            </w:r>
          </w:p>
          <w:p w14:paraId="26C603F2">
            <w:pPr>
              <w:tabs>
                <w:tab w:val="left" w:pos="624"/>
              </w:tabs>
              <w:snapToGrid w:val="0"/>
              <w:ind w:firstLine="482"/>
              <w:jc w:val="center"/>
              <w:rPr>
                <w:b/>
                <w:bCs/>
                <w:color w:val="auto"/>
                <w:sz w:val="24"/>
                <w:szCs w:val="24"/>
                <w:highlight w:val="none"/>
              </w:rPr>
            </w:pPr>
            <w:r>
              <w:rPr>
                <w:b/>
                <w:color w:val="auto"/>
                <w:kern w:val="0"/>
                <w:sz w:val="24"/>
                <w:szCs w:val="24"/>
                <w:highlight w:val="none"/>
              </w:rPr>
              <w:t>表</w:t>
            </w:r>
            <w:r>
              <w:rPr>
                <w:rFonts w:hint="eastAsia"/>
                <w:b/>
                <w:color w:val="auto"/>
                <w:kern w:val="0"/>
                <w:sz w:val="24"/>
                <w:szCs w:val="24"/>
                <w:highlight w:val="none"/>
                <w:lang w:val="en-US" w:eastAsia="zh-CN"/>
              </w:rPr>
              <w:t>4-1</w:t>
            </w:r>
            <w:r>
              <w:rPr>
                <w:b/>
                <w:color w:val="auto"/>
                <w:kern w:val="0"/>
                <w:sz w:val="24"/>
                <w:szCs w:val="24"/>
                <w:highlight w:val="none"/>
              </w:rPr>
              <w:t xml:space="preserve"> </w:t>
            </w:r>
            <w:r>
              <w:rPr>
                <w:rFonts w:hint="eastAsia"/>
                <w:b/>
                <w:color w:val="auto"/>
                <w:kern w:val="0"/>
                <w:sz w:val="24"/>
                <w:szCs w:val="24"/>
                <w:highlight w:val="none"/>
                <w:lang w:val="en-US" w:eastAsia="zh-CN"/>
              </w:rPr>
              <w:t>液化石油气燃烧废气</w:t>
            </w:r>
            <w:r>
              <w:rPr>
                <w:rFonts w:hint="eastAsia"/>
                <w:b/>
                <w:color w:val="auto"/>
                <w:kern w:val="0"/>
                <w:sz w:val="24"/>
                <w:szCs w:val="24"/>
                <w:highlight w:val="none"/>
              </w:rPr>
              <w:t>产排</w:t>
            </w:r>
            <w:r>
              <w:rPr>
                <w:b/>
                <w:color w:val="auto"/>
                <w:kern w:val="0"/>
                <w:sz w:val="24"/>
                <w:szCs w:val="24"/>
                <w:highlight w:val="none"/>
              </w:rPr>
              <w:t>情</w:t>
            </w:r>
            <w:r>
              <w:rPr>
                <w:rFonts w:hint="default" w:ascii="Times New Roman" w:hAnsi="Times New Roman" w:cs="Times New Roman"/>
                <w:b/>
                <w:color w:val="auto"/>
                <w:kern w:val="0"/>
                <w:sz w:val="24"/>
                <w:szCs w:val="24"/>
                <w:highlight w:val="none"/>
              </w:rPr>
              <w:t>况</w:t>
            </w:r>
          </w:p>
          <w:tbl>
            <w:tblPr>
              <w:tblStyle w:val="3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Layout w:type="fixed"/>
              <w:tblCellMar>
                <w:top w:w="0" w:type="dxa"/>
                <w:left w:w="108" w:type="dxa"/>
                <w:bottom w:w="0" w:type="dxa"/>
                <w:right w:w="108" w:type="dxa"/>
              </w:tblCellMar>
            </w:tblPr>
            <w:tblGrid>
              <w:gridCol w:w="1052"/>
              <w:gridCol w:w="551"/>
              <w:gridCol w:w="843"/>
              <w:gridCol w:w="926"/>
              <w:gridCol w:w="861"/>
              <w:gridCol w:w="983"/>
              <w:gridCol w:w="1107"/>
              <w:gridCol w:w="751"/>
              <w:gridCol w:w="859"/>
            </w:tblGrid>
            <w:tr w14:paraId="48FBA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340" w:hRule="atLeast"/>
              </w:trPr>
              <w:tc>
                <w:tcPr>
                  <w:tcW w:w="663" w:type="pct"/>
                  <w:vMerge w:val="restart"/>
                  <w:tcBorders>
                    <w:tl2br w:val="nil"/>
                    <w:tr2bl w:val="nil"/>
                  </w:tcBorders>
                  <w:shd w:val="clear" w:color="auto" w:fill="auto"/>
                  <w:vAlign w:val="center"/>
                </w:tcPr>
                <w:p w14:paraId="42C601B2">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污染源</w:t>
                  </w:r>
                </w:p>
              </w:tc>
              <w:tc>
                <w:tcPr>
                  <w:tcW w:w="347" w:type="pct"/>
                  <w:vMerge w:val="restart"/>
                  <w:tcBorders>
                    <w:tl2br w:val="nil"/>
                    <w:tr2bl w:val="nil"/>
                  </w:tcBorders>
                  <w:shd w:val="clear" w:color="auto" w:fill="auto"/>
                  <w:vAlign w:val="center"/>
                </w:tcPr>
                <w:p w14:paraId="7C18C5E2">
                  <w:pPr>
                    <w:adjustRightInd w:val="0"/>
                    <w:snapToGrid w:val="0"/>
                    <w:spacing w:line="240" w:lineRule="auto"/>
                    <w:jc w:val="center"/>
                    <w:rPr>
                      <w:b/>
                      <w:bCs/>
                      <w:color w:val="auto"/>
                      <w:kern w:val="0"/>
                      <w:sz w:val="21"/>
                      <w:szCs w:val="21"/>
                      <w:highlight w:val="none"/>
                      <w:lang w:eastAsia="en-US" w:bidi="en-US"/>
                    </w:rPr>
                  </w:pPr>
                  <w:r>
                    <w:rPr>
                      <w:b/>
                      <w:bCs/>
                      <w:color w:val="auto"/>
                      <w:kern w:val="0"/>
                      <w:sz w:val="21"/>
                      <w:szCs w:val="21"/>
                      <w:highlight w:val="none"/>
                      <w:lang w:eastAsia="en-US" w:bidi="en-US"/>
                    </w:rPr>
                    <w:t>污染物</w:t>
                  </w:r>
                </w:p>
              </w:tc>
              <w:tc>
                <w:tcPr>
                  <w:tcW w:w="1114" w:type="pct"/>
                  <w:gridSpan w:val="2"/>
                  <w:tcBorders>
                    <w:tl2br w:val="nil"/>
                    <w:tr2bl w:val="nil"/>
                  </w:tcBorders>
                  <w:shd w:val="clear" w:color="auto" w:fill="auto"/>
                  <w:vAlign w:val="center"/>
                </w:tcPr>
                <w:p w14:paraId="4E2CC058">
                  <w:pPr>
                    <w:adjustRightInd w:val="0"/>
                    <w:snapToGrid w:val="0"/>
                    <w:spacing w:line="240" w:lineRule="auto"/>
                    <w:jc w:val="center"/>
                    <w:rPr>
                      <w:rFonts w:hint="eastAsia"/>
                      <w:b/>
                      <w:bCs/>
                      <w:color w:val="auto"/>
                      <w:kern w:val="0"/>
                      <w:sz w:val="21"/>
                      <w:szCs w:val="21"/>
                      <w:highlight w:val="none"/>
                      <w:lang w:bidi="en-US"/>
                    </w:rPr>
                  </w:pPr>
                  <w:r>
                    <w:rPr>
                      <w:rFonts w:hint="eastAsia"/>
                      <w:b/>
                      <w:bCs/>
                      <w:color w:val="auto"/>
                      <w:kern w:val="0"/>
                      <w:sz w:val="21"/>
                      <w:szCs w:val="21"/>
                      <w:highlight w:val="none"/>
                      <w:lang w:bidi="en-US"/>
                    </w:rPr>
                    <w:t>产生情况</w:t>
                  </w:r>
                </w:p>
              </w:tc>
              <w:tc>
                <w:tcPr>
                  <w:tcW w:w="542" w:type="pct"/>
                  <w:vMerge w:val="restart"/>
                  <w:tcBorders>
                    <w:tl2br w:val="nil"/>
                    <w:tr2bl w:val="nil"/>
                  </w:tcBorders>
                  <w:shd w:val="clear" w:color="auto" w:fill="auto"/>
                  <w:vAlign w:val="center"/>
                </w:tcPr>
                <w:p w14:paraId="6A5DA49A">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处理</w:t>
                  </w:r>
                </w:p>
                <w:p w14:paraId="15CE372C">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效率%</w:t>
                  </w:r>
                </w:p>
              </w:tc>
              <w:tc>
                <w:tcPr>
                  <w:tcW w:w="619" w:type="pct"/>
                  <w:vMerge w:val="restart"/>
                  <w:tcBorders>
                    <w:tl2br w:val="nil"/>
                    <w:tr2bl w:val="nil"/>
                  </w:tcBorders>
                  <w:shd w:val="clear" w:color="auto" w:fill="auto"/>
                  <w:vAlign w:val="center"/>
                </w:tcPr>
                <w:p w14:paraId="6B5E32E5">
                  <w:pPr>
                    <w:adjustRightInd w:val="0"/>
                    <w:snapToGrid w:val="0"/>
                    <w:spacing w:line="240" w:lineRule="auto"/>
                    <w:jc w:val="center"/>
                    <w:rPr>
                      <w:rFonts w:hint="eastAsia" w:eastAsia="宋体"/>
                      <w:b/>
                      <w:bCs/>
                      <w:color w:val="auto"/>
                      <w:kern w:val="0"/>
                      <w:sz w:val="21"/>
                      <w:szCs w:val="21"/>
                      <w:highlight w:val="none"/>
                      <w:lang w:val="en-US" w:eastAsia="zh-CN" w:bidi="en-US"/>
                    </w:rPr>
                  </w:pPr>
                  <w:r>
                    <w:rPr>
                      <w:rFonts w:hint="eastAsia"/>
                      <w:b/>
                      <w:bCs/>
                      <w:color w:val="auto"/>
                      <w:kern w:val="0"/>
                      <w:sz w:val="21"/>
                      <w:szCs w:val="21"/>
                      <w:highlight w:val="none"/>
                      <w:lang w:val="en-US" w:eastAsia="zh-CN" w:bidi="en-US"/>
                    </w:rPr>
                    <w:t>处理措施</w:t>
                  </w:r>
                </w:p>
              </w:tc>
              <w:tc>
                <w:tcPr>
                  <w:tcW w:w="697" w:type="pct"/>
                  <w:vMerge w:val="restart"/>
                  <w:tcBorders>
                    <w:tl2br w:val="nil"/>
                    <w:tr2bl w:val="nil"/>
                  </w:tcBorders>
                  <w:shd w:val="clear" w:color="auto" w:fill="auto"/>
                  <w:vAlign w:val="center"/>
                </w:tcPr>
                <w:p w14:paraId="68851F52">
                  <w:pPr>
                    <w:adjustRightInd w:val="0"/>
                    <w:snapToGrid w:val="0"/>
                    <w:spacing w:line="240" w:lineRule="auto"/>
                    <w:jc w:val="center"/>
                    <w:rPr>
                      <w:rFonts w:hint="default" w:eastAsia="宋体"/>
                      <w:b/>
                      <w:bCs/>
                      <w:color w:val="auto"/>
                      <w:kern w:val="0"/>
                      <w:sz w:val="21"/>
                      <w:szCs w:val="21"/>
                      <w:highlight w:val="none"/>
                      <w:lang w:val="en-US" w:eastAsia="zh-CN" w:bidi="en-US"/>
                    </w:rPr>
                  </w:pPr>
                  <w:r>
                    <w:rPr>
                      <w:rFonts w:hint="eastAsia"/>
                      <w:b/>
                      <w:bCs/>
                      <w:color w:val="auto"/>
                      <w:kern w:val="0"/>
                      <w:sz w:val="21"/>
                      <w:szCs w:val="21"/>
                      <w:highlight w:val="none"/>
                      <w:lang w:val="zh-CN"/>
                    </w:rPr>
                    <w:t>设计液化石油气燃烧废气处理量</w:t>
                  </w:r>
                  <w:r>
                    <w:rPr>
                      <w:b/>
                      <w:bCs/>
                      <w:color w:val="auto"/>
                      <w:kern w:val="0"/>
                      <w:sz w:val="21"/>
                      <w:szCs w:val="21"/>
                      <w:highlight w:val="none"/>
                      <w:lang w:val="zh-CN"/>
                    </w:rPr>
                    <w:t>m</w:t>
                  </w:r>
                  <w:r>
                    <w:rPr>
                      <w:b/>
                      <w:bCs/>
                      <w:color w:val="auto"/>
                      <w:kern w:val="0"/>
                      <w:sz w:val="21"/>
                      <w:szCs w:val="21"/>
                      <w:highlight w:val="none"/>
                      <w:vertAlign w:val="superscript"/>
                    </w:rPr>
                    <w:t>3</w:t>
                  </w:r>
                  <w:r>
                    <w:rPr>
                      <w:b/>
                      <w:bCs/>
                      <w:color w:val="auto"/>
                      <w:kern w:val="0"/>
                      <w:sz w:val="21"/>
                      <w:szCs w:val="21"/>
                      <w:highlight w:val="none"/>
                      <w:lang w:val="zh-CN"/>
                    </w:rPr>
                    <w:t>/h</w:t>
                  </w:r>
                </w:p>
              </w:tc>
              <w:tc>
                <w:tcPr>
                  <w:tcW w:w="1014" w:type="pct"/>
                  <w:gridSpan w:val="2"/>
                  <w:tcBorders>
                    <w:tl2br w:val="nil"/>
                    <w:tr2bl w:val="nil"/>
                  </w:tcBorders>
                  <w:shd w:val="clear" w:color="auto" w:fill="auto"/>
                  <w:vAlign w:val="center"/>
                </w:tcPr>
                <w:p w14:paraId="28BD9EDC">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排放情况</w:t>
                  </w:r>
                </w:p>
              </w:tc>
            </w:tr>
            <w:tr w14:paraId="6711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3" w:type="pct"/>
                  <w:vMerge w:val="continue"/>
                  <w:tcBorders>
                    <w:tl2br w:val="nil"/>
                    <w:tr2bl w:val="nil"/>
                  </w:tcBorders>
                  <w:shd w:val="clear" w:color="auto" w:fill="auto"/>
                  <w:vAlign w:val="center"/>
                </w:tcPr>
                <w:p w14:paraId="567DA43F">
                  <w:pPr>
                    <w:adjustRightInd w:val="0"/>
                    <w:snapToGrid w:val="0"/>
                    <w:spacing w:line="240" w:lineRule="auto"/>
                    <w:jc w:val="center"/>
                    <w:rPr>
                      <w:b/>
                      <w:bCs/>
                      <w:color w:val="auto"/>
                      <w:kern w:val="0"/>
                      <w:sz w:val="21"/>
                      <w:szCs w:val="21"/>
                      <w:highlight w:val="none"/>
                      <w:lang w:bidi="en-US"/>
                    </w:rPr>
                  </w:pPr>
                </w:p>
              </w:tc>
              <w:tc>
                <w:tcPr>
                  <w:tcW w:w="347" w:type="pct"/>
                  <w:vMerge w:val="continue"/>
                  <w:tcBorders>
                    <w:tl2br w:val="nil"/>
                    <w:tr2bl w:val="nil"/>
                  </w:tcBorders>
                  <w:shd w:val="clear" w:color="auto" w:fill="auto"/>
                  <w:vAlign w:val="center"/>
                </w:tcPr>
                <w:p w14:paraId="51EBC0DB">
                  <w:pPr>
                    <w:adjustRightInd w:val="0"/>
                    <w:snapToGrid w:val="0"/>
                    <w:spacing w:line="240" w:lineRule="auto"/>
                    <w:jc w:val="center"/>
                    <w:rPr>
                      <w:b/>
                      <w:bCs/>
                      <w:color w:val="auto"/>
                      <w:kern w:val="0"/>
                      <w:sz w:val="21"/>
                      <w:szCs w:val="21"/>
                      <w:highlight w:val="none"/>
                      <w:lang w:bidi="en-US"/>
                    </w:rPr>
                  </w:pPr>
                </w:p>
              </w:tc>
              <w:tc>
                <w:tcPr>
                  <w:tcW w:w="531" w:type="pct"/>
                  <w:tcBorders>
                    <w:tl2br w:val="nil"/>
                    <w:tr2bl w:val="nil"/>
                  </w:tcBorders>
                  <w:shd w:val="clear" w:color="auto" w:fill="auto"/>
                  <w:vAlign w:val="center"/>
                </w:tcPr>
                <w:p w14:paraId="141E7B2D">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产生量t/a</w:t>
                  </w:r>
                </w:p>
              </w:tc>
              <w:tc>
                <w:tcPr>
                  <w:tcW w:w="583" w:type="pct"/>
                  <w:tcBorders>
                    <w:tl2br w:val="nil"/>
                    <w:tr2bl w:val="nil"/>
                  </w:tcBorders>
                  <w:shd w:val="clear" w:color="auto" w:fill="auto"/>
                  <w:vAlign w:val="center"/>
                </w:tcPr>
                <w:p w14:paraId="11A20ACD">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产生速率kg/h</w:t>
                  </w:r>
                </w:p>
              </w:tc>
              <w:tc>
                <w:tcPr>
                  <w:tcW w:w="542" w:type="pct"/>
                  <w:vMerge w:val="continue"/>
                  <w:tcBorders>
                    <w:tl2br w:val="nil"/>
                    <w:tr2bl w:val="nil"/>
                  </w:tcBorders>
                  <w:shd w:val="clear" w:color="auto" w:fill="auto"/>
                  <w:vAlign w:val="center"/>
                </w:tcPr>
                <w:p w14:paraId="2832FA75">
                  <w:pPr>
                    <w:adjustRightInd w:val="0"/>
                    <w:snapToGrid w:val="0"/>
                    <w:spacing w:line="240" w:lineRule="auto"/>
                    <w:jc w:val="center"/>
                    <w:rPr>
                      <w:b/>
                      <w:bCs/>
                      <w:color w:val="auto"/>
                      <w:kern w:val="0"/>
                      <w:sz w:val="21"/>
                      <w:szCs w:val="21"/>
                      <w:highlight w:val="none"/>
                      <w:lang w:bidi="en-US"/>
                    </w:rPr>
                  </w:pPr>
                </w:p>
              </w:tc>
              <w:tc>
                <w:tcPr>
                  <w:tcW w:w="619" w:type="pct"/>
                  <w:vMerge w:val="continue"/>
                  <w:tcBorders>
                    <w:tl2br w:val="nil"/>
                    <w:tr2bl w:val="nil"/>
                  </w:tcBorders>
                  <w:shd w:val="clear" w:color="auto" w:fill="auto"/>
                  <w:vAlign w:val="center"/>
                </w:tcPr>
                <w:p w14:paraId="4F67020F">
                  <w:pPr>
                    <w:adjustRightInd w:val="0"/>
                    <w:snapToGrid w:val="0"/>
                    <w:spacing w:line="240" w:lineRule="auto"/>
                    <w:jc w:val="center"/>
                    <w:rPr>
                      <w:b/>
                      <w:bCs/>
                      <w:color w:val="auto"/>
                      <w:kern w:val="0"/>
                      <w:sz w:val="21"/>
                      <w:szCs w:val="21"/>
                      <w:highlight w:val="none"/>
                      <w:lang w:bidi="en-US"/>
                    </w:rPr>
                  </w:pPr>
                </w:p>
              </w:tc>
              <w:tc>
                <w:tcPr>
                  <w:tcW w:w="697" w:type="pct"/>
                  <w:vMerge w:val="continue"/>
                  <w:tcBorders>
                    <w:tl2br w:val="nil"/>
                    <w:tr2bl w:val="nil"/>
                  </w:tcBorders>
                  <w:shd w:val="clear" w:color="auto" w:fill="auto"/>
                  <w:vAlign w:val="center"/>
                </w:tcPr>
                <w:p w14:paraId="5E0C308A">
                  <w:pPr>
                    <w:adjustRightInd w:val="0"/>
                    <w:snapToGrid w:val="0"/>
                    <w:spacing w:line="240" w:lineRule="auto"/>
                    <w:jc w:val="center"/>
                    <w:rPr>
                      <w:b/>
                      <w:bCs/>
                      <w:color w:val="auto"/>
                      <w:kern w:val="0"/>
                      <w:sz w:val="21"/>
                      <w:szCs w:val="21"/>
                      <w:highlight w:val="none"/>
                      <w:lang w:bidi="en-US"/>
                    </w:rPr>
                  </w:pPr>
                </w:p>
              </w:tc>
              <w:tc>
                <w:tcPr>
                  <w:tcW w:w="473" w:type="pct"/>
                  <w:tcBorders>
                    <w:tl2br w:val="nil"/>
                    <w:tr2bl w:val="nil"/>
                  </w:tcBorders>
                  <w:shd w:val="clear" w:color="auto" w:fill="auto"/>
                  <w:vAlign w:val="center"/>
                </w:tcPr>
                <w:p w14:paraId="5FF40CEF">
                  <w:pPr>
                    <w:adjustRightInd w:val="0"/>
                    <w:snapToGrid w:val="0"/>
                    <w:spacing w:line="240" w:lineRule="auto"/>
                    <w:jc w:val="center"/>
                    <w:rPr>
                      <w:b/>
                      <w:bCs/>
                      <w:color w:val="auto"/>
                      <w:kern w:val="0"/>
                      <w:sz w:val="21"/>
                      <w:szCs w:val="21"/>
                      <w:highlight w:val="none"/>
                      <w:vertAlign w:val="superscript"/>
                      <w:lang w:bidi="en-US"/>
                    </w:rPr>
                  </w:pPr>
                  <w:r>
                    <w:rPr>
                      <w:b/>
                      <w:bCs/>
                      <w:color w:val="auto"/>
                      <w:kern w:val="0"/>
                      <w:sz w:val="21"/>
                      <w:szCs w:val="21"/>
                      <w:highlight w:val="none"/>
                      <w:lang w:bidi="en-US"/>
                    </w:rPr>
                    <w:t>排放量t/a</w:t>
                  </w:r>
                </w:p>
              </w:tc>
              <w:tc>
                <w:tcPr>
                  <w:tcW w:w="541" w:type="pct"/>
                  <w:tcBorders>
                    <w:tl2br w:val="nil"/>
                    <w:tr2bl w:val="nil"/>
                  </w:tcBorders>
                  <w:shd w:val="clear" w:color="auto" w:fill="auto"/>
                  <w:vAlign w:val="center"/>
                </w:tcPr>
                <w:p w14:paraId="0B1AA93F">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排放速率kg/h</w:t>
                  </w:r>
                </w:p>
              </w:tc>
            </w:tr>
            <w:tr w14:paraId="10BA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63" w:type="pct"/>
                  <w:vMerge w:val="restart"/>
                  <w:tcBorders>
                    <w:tl2br w:val="nil"/>
                    <w:tr2bl w:val="nil"/>
                  </w:tcBorders>
                  <w:shd w:val="clear" w:color="auto" w:fill="auto"/>
                  <w:vAlign w:val="center"/>
                </w:tcPr>
                <w:p w14:paraId="0A2EB65B">
                  <w:pPr>
                    <w:adjustRightInd w:val="0"/>
                    <w:snapToGrid w:val="0"/>
                    <w:spacing w:line="240" w:lineRule="auto"/>
                    <w:jc w:val="center"/>
                    <w:rPr>
                      <w:rFonts w:hint="eastAsia" w:ascii="Times New Roman" w:hAnsi="Times New Roman" w:eastAsia="宋体" w:cs="Times New Roman"/>
                      <w:color w:val="auto"/>
                      <w:kern w:val="0"/>
                      <w:sz w:val="21"/>
                      <w:szCs w:val="21"/>
                      <w:highlight w:val="none"/>
                      <w:lang w:val="en-US" w:eastAsia="zh-CN" w:bidi="en-US"/>
                    </w:rPr>
                  </w:pPr>
                  <w:r>
                    <w:rPr>
                      <w:rFonts w:hint="eastAsia"/>
                      <w:color w:val="auto"/>
                      <w:kern w:val="0"/>
                      <w:sz w:val="21"/>
                      <w:szCs w:val="21"/>
                      <w:highlight w:val="none"/>
                      <w:lang w:val="en-US" w:eastAsia="zh-CN" w:bidi="en-US"/>
                    </w:rPr>
                    <w:t>DA002排气筒</w:t>
                  </w:r>
                </w:p>
              </w:tc>
              <w:tc>
                <w:tcPr>
                  <w:tcW w:w="347" w:type="pct"/>
                  <w:tcBorders>
                    <w:tl2br w:val="nil"/>
                    <w:tr2bl w:val="nil"/>
                  </w:tcBorders>
                  <w:shd w:val="clear" w:color="auto" w:fill="auto"/>
                  <w:vAlign w:val="center"/>
                </w:tcPr>
                <w:p w14:paraId="5386B16E">
                  <w:pPr>
                    <w:adjustRightInd w:val="0"/>
                    <w:snapToGrid w:val="0"/>
                    <w:spacing w:line="240" w:lineRule="auto"/>
                    <w:jc w:val="center"/>
                    <w:rPr>
                      <w:rFonts w:hint="eastAsia" w:ascii="Times New Roman" w:hAnsi="Times New Roman" w:eastAsia="宋体" w:cs="Times New Roman"/>
                      <w:color w:val="auto"/>
                      <w:kern w:val="0"/>
                      <w:sz w:val="21"/>
                      <w:szCs w:val="21"/>
                      <w:highlight w:val="none"/>
                      <w:lang w:val="en-US" w:eastAsia="zh-CN" w:bidi="en-US"/>
                    </w:rPr>
                  </w:pPr>
                  <w:r>
                    <w:rPr>
                      <w:rFonts w:hint="eastAsia"/>
                      <w:color w:val="auto"/>
                      <w:kern w:val="0"/>
                      <w:sz w:val="21"/>
                      <w:szCs w:val="21"/>
                      <w:highlight w:val="none"/>
                      <w:lang w:val="en-US" w:eastAsia="zh-CN" w:bidi="en-US"/>
                    </w:rPr>
                    <w:t>颗粒物</w:t>
                  </w:r>
                </w:p>
              </w:tc>
              <w:tc>
                <w:tcPr>
                  <w:tcW w:w="531" w:type="pct"/>
                  <w:tcBorders>
                    <w:tl2br w:val="nil"/>
                    <w:tr2bl w:val="nil"/>
                  </w:tcBorders>
                  <w:shd w:val="clear" w:color="auto" w:fill="auto"/>
                  <w:vAlign w:val="center"/>
                </w:tcPr>
                <w:p w14:paraId="4F341DF6">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0.022</w:t>
                  </w:r>
                </w:p>
              </w:tc>
              <w:tc>
                <w:tcPr>
                  <w:tcW w:w="583" w:type="pct"/>
                  <w:tcBorders>
                    <w:tl2br w:val="nil"/>
                    <w:tr2bl w:val="nil"/>
                  </w:tcBorders>
                  <w:shd w:val="clear" w:color="auto" w:fill="auto"/>
                  <w:vAlign w:val="center"/>
                </w:tcPr>
                <w:p w14:paraId="1DB724EF">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0.0092</w:t>
                  </w:r>
                </w:p>
              </w:tc>
              <w:tc>
                <w:tcPr>
                  <w:tcW w:w="542" w:type="pct"/>
                  <w:tcBorders>
                    <w:tl2br w:val="nil"/>
                    <w:tr2bl w:val="nil"/>
                  </w:tcBorders>
                  <w:shd w:val="clear" w:color="auto" w:fill="auto"/>
                  <w:vAlign w:val="center"/>
                </w:tcPr>
                <w:p w14:paraId="0D30538C">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619" w:type="pct"/>
                  <w:vMerge w:val="restart"/>
                  <w:tcBorders>
                    <w:tl2br w:val="nil"/>
                    <w:tr2bl w:val="nil"/>
                  </w:tcBorders>
                  <w:shd w:val="clear" w:color="auto" w:fill="auto"/>
                  <w:vAlign w:val="center"/>
                </w:tcPr>
                <w:p w14:paraId="53C62BD7">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697" w:type="pct"/>
                  <w:vMerge w:val="restart"/>
                  <w:tcBorders>
                    <w:tl2br w:val="nil"/>
                    <w:tr2bl w:val="nil"/>
                  </w:tcBorders>
                  <w:shd w:val="clear" w:color="auto" w:fill="auto"/>
                  <w:vAlign w:val="center"/>
                </w:tcPr>
                <w:p w14:paraId="73988995">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1392</w:t>
                  </w:r>
                </w:p>
              </w:tc>
              <w:tc>
                <w:tcPr>
                  <w:tcW w:w="473" w:type="pct"/>
                  <w:tcBorders>
                    <w:tl2br w:val="nil"/>
                    <w:tr2bl w:val="nil"/>
                  </w:tcBorders>
                  <w:shd w:val="clear" w:color="auto" w:fill="auto"/>
                  <w:vAlign w:val="center"/>
                </w:tcPr>
                <w:p w14:paraId="37B0AAA1">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0.022</w:t>
                  </w:r>
                </w:p>
              </w:tc>
              <w:tc>
                <w:tcPr>
                  <w:tcW w:w="541" w:type="pct"/>
                  <w:tcBorders>
                    <w:tl2br w:val="nil"/>
                    <w:tr2bl w:val="nil"/>
                  </w:tcBorders>
                  <w:shd w:val="clear" w:color="auto" w:fill="auto"/>
                  <w:vAlign w:val="center"/>
                </w:tcPr>
                <w:p w14:paraId="06C101A6">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0.0092</w:t>
                  </w:r>
                </w:p>
              </w:tc>
            </w:tr>
            <w:tr w14:paraId="176F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3" w:type="pct"/>
                  <w:vMerge w:val="continue"/>
                  <w:tcBorders>
                    <w:tl2br w:val="nil"/>
                    <w:tr2bl w:val="nil"/>
                  </w:tcBorders>
                  <w:shd w:val="clear" w:color="auto" w:fill="auto"/>
                  <w:vAlign w:val="center"/>
                </w:tcPr>
                <w:p w14:paraId="60571265">
                  <w:pPr>
                    <w:adjustRightInd w:val="0"/>
                    <w:snapToGrid w:val="0"/>
                    <w:spacing w:line="240" w:lineRule="auto"/>
                    <w:jc w:val="center"/>
                    <w:rPr>
                      <w:rFonts w:hint="eastAsia" w:ascii="Times New Roman" w:hAnsi="Times New Roman" w:eastAsia="宋体" w:cs="Times New Roman"/>
                      <w:color w:val="auto"/>
                      <w:kern w:val="0"/>
                      <w:sz w:val="21"/>
                      <w:szCs w:val="21"/>
                      <w:highlight w:val="none"/>
                      <w:lang w:val="en-US" w:eastAsia="zh-CN" w:bidi="en-US"/>
                    </w:rPr>
                  </w:pPr>
                </w:p>
              </w:tc>
              <w:tc>
                <w:tcPr>
                  <w:tcW w:w="347" w:type="pct"/>
                  <w:tcBorders>
                    <w:tl2br w:val="nil"/>
                    <w:tr2bl w:val="nil"/>
                  </w:tcBorders>
                  <w:shd w:val="clear" w:color="auto" w:fill="auto"/>
                  <w:vAlign w:val="center"/>
                </w:tcPr>
                <w:p w14:paraId="44E3B98D">
                  <w:pPr>
                    <w:adjustRightInd w:val="0"/>
                    <w:snapToGrid w:val="0"/>
                    <w:spacing w:line="240" w:lineRule="auto"/>
                    <w:jc w:val="center"/>
                    <w:rPr>
                      <w:rFonts w:hint="eastAsia" w:ascii="Times New Roman" w:hAnsi="Times New Roman" w:eastAsia="宋体" w:cs="Times New Roman"/>
                      <w:color w:val="auto"/>
                      <w:kern w:val="0"/>
                      <w:sz w:val="21"/>
                      <w:szCs w:val="21"/>
                      <w:highlight w:val="none"/>
                      <w:lang w:val="en-US" w:eastAsia="zh-CN" w:bidi="en-US"/>
                    </w:rPr>
                  </w:pPr>
                  <w:r>
                    <w:rPr>
                      <w:rFonts w:hint="eastAsia"/>
                      <w:color w:val="auto"/>
                      <w:kern w:val="0"/>
                      <w:sz w:val="21"/>
                      <w:szCs w:val="21"/>
                      <w:highlight w:val="none"/>
                      <w:lang w:val="en-US" w:eastAsia="zh-CN" w:bidi="en-US"/>
                    </w:rPr>
                    <w:t>二氧化硫</w:t>
                  </w:r>
                </w:p>
              </w:tc>
              <w:tc>
                <w:tcPr>
                  <w:tcW w:w="531" w:type="pct"/>
                  <w:tcBorders>
                    <w:tl2br w:val="nil"/>
                    <w:tr2bl w:val="nil"/>
                  </w:tcBorders>
                  <w:shd w:val="clear" w:color="auto" w:fill="auto"/>
                  <w:vAlign w:val="center"/>
                </w:tcPr>
                <w:p w14:paraId="791F1B3B">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0.02</w:t>
                  </w:r>
                </w:p>
              </w:tc>
              <w:tc>
                <w:tcPr>
                  <w:tcW w:w="583" w:type="pct"/>
                  <w:tcBorders>
                    <w:tl2br w:val="nil"/>
                    <w:tr2bl w:val="nil"/>
                  </w:tcBorders>
                  <w:shd w:val="clear" w:color="auto" w:fill="auto"/>
                  <w:vAlign w:val="center"/>
                </w:tcPr>
                <w:p w14:paraId="45A5B72D">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0.0083</w:t>
                  </w:r>
                </w:p>
              </w:tc>
              <w:tc>
                <w:tcPr>
                  <w:tcW w:w="542" w:type="pct"/>
                  <w:tcBorders>
                    <w:tl2br w:val="nil"/>
                    <w:tr2bl w:val="nil"/>
                  </w:tcBorders>
                  <w:shd w:val="clear" w:color="auto" w:fill="auto"/>
                  <w:vAlign w:val="center"/>
                </w:tcPr>
                <w:p w14:paraId="7D5C0CB9">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619" w:type="pct"/>
                  <w:vMerge w:val="continue"/>
                  <w:tcBorders>
                    <w:tl2br w:val="nil"/>
                    <w:tr2bl w:val="nil"/>
                  </w:tcBorders>
                  <w:shd w:val="clear" w:color="auto" w:fill="auto"/>
                  <w:vAlign w:val="center"/>
                </w:tcPr>
                <w:p w14:paraId="49986939">
                  <w:pPr>
                    <w:widowControl/>
                    <w:snapToGrid w:val="0"/>
                    <w:jc w:val="center"/>
                    <w:textAlignment w:val="center"/>
                    <w:rPr>
                      <w:rFonts w:hint="eastAsia"/>
                      <w:color w:val="auto"/>
                      <w:kern w:val="0"/>
                      <w:sz w:val="21"/>
                      <w:szCs w:val="21"/>
                      <w:highlight w:val="none"/>
                      <w:lang w:val="en-US" w:eastAsia="zh-CN" w:bidi="ar"/>
                    </w:rPr>
                  </w:pPr>
                </w:p>
              </w:tc>
              <w:tc>
                <w:tcPr>
                  <w:tcW w:w="697" w:type="pct"/>
                  <w:vMerge w:val="continue"/>
                  <w:tcBorders>
                    <w:tl2br w:val="nil"/>
                    <w:tr2bl w:val="nil"/>
                  </w:tcBorders>
                  <w:shd w:val="clear" w:color="auto" w:fill="auto"/>
                  <w:vAlign w:val="center"/>
                </w:tcPr>
                <w:p w14:paraId="38E32C8F">
                  <w:pPr>
                    <w:widowControl/>
                    <w:snapToGrid w:val="0"/>
                    <w:jc w:val="center"/>
                    <w:textAlignment w:val="center"/>
                    <w:rPr>
                      <w:rFonts w:hint="default"/>
                      <w:color w:val="auto"/>
                      <w:kern w:val="0"/>
                      <w:sz w:val="21"/>
                      <w:szCs w:val="21"/>
                      <w:highlight w:val="none"/>
                      <w:lang w:val="en-US" w:eastAsia="zh-CN" w:bidi="ar"/>
                    </w:rPr>
                  </w:pPr>
                </w:p>
              </w:tc>
              <w:tc>
                <w:tcPr>
                  <w:tcW w:w="473" w:type="pct"/>
                  <w:tcBorders>
                    <w:tl2br w:val="nil"/>
                    <w:tr2bl w:val="nil"/>
                  </w:tcBorders>
                  <w:shd w:val="clear" w:color="auto" w:fill="auto"/>
                  <w:vAlign w:val="center"/>
                </w:tcPr>
                <w:p w14:paraId="0511E152">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0.02</w:t>
                  </w:r>
                </w:p>
              </w:tc>
              <w:tc>
                <w:tcPr>
                  <w:tcW w:w="541" w:type="pct"/>
                  <w:tcBorders>
                    <w:tl2br w:val="nil"/>
                    <w:tr2bl w:val="nil"/>
                  </w:tcBorders>
                  <w:shd w:val="clear" w:color="auto" w:fill="auto"/>
                  <w:vAlign w:val="center"/>
                </w:tcPr>
                <w:p w14:paraId="1DAB4132">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0.0083</w:t>
                  </w:r>
                </w:p>
              </w:tc>
            </w:tr>
            <w:tr w14:paraId="182C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340" w:hRule="atLeast"/>
              </w:trPr>
              <w:tc>
                <w:tcPr>
                  <w:tcW w:w="663" w:type="pct"/>
                  <w:vMerge w:val="continue"/>
                  <w:tcBorders>
                    <w:tl2br w:val="nil"/>
                    <w:tr2bl w:val="nil"/>
                  </w:tcBorders>
                  <w:shd w:val="clear" w:color="auto" w:fill="auto"/>
                  <w:vAlign w:val="center"/>
                </w:tcPr>
                <w:p w14:paraId="6C0C210D">
                  <w:pPr>
                    <w:adjustRightInd w:val="0"/>
                    <w:snapToGrid w:val="0"/>
                    <w:spacing w:line="240" w:lineRule="auto"/>
                    <w:jc w:val="center"/>
                    <w:rPr>
                      <w:rFonts w:hint="eastAsia"/>
                      <w:color w:val="auto"/>
                      <w:kern w:val="0"/>
                      <w:sz w:val="21"/>
                      <w:szCs w:val="21"/>
                      <w:highlight w:val="none"/>
                      <w:lang w:bidi="en-US"/>
                    </w:rPr>
                  </w:pPr>
                </w:p>
              </w:tc>
              <w:tc>
                <w:tcPr>
                  <w:tcW w:w="347" w:type="pct"/>
                  <w:tcBorders>
                    <w:tl2br w:val="nil"/>
                    <w:tr2bl w:val="nil"/>
                  </w:tcBorders>
                  <w:shd w:val="clear" w:color="auto" w:fill="auto"/>
                  <w:vAlign w:val="center"/>
                </w:tcPr>
                <w:p w14:paraId="31B3805D">
                  <w:pPr>
                    <w:adjustRightInd w:val="0"/>
                    <w:snapToGrid w:val="0"/>
                    <w:spacing w:line="240" w:lineRule="auto"/>
                    <w:jc w:val="center"/>
                    <w:rPr>
                      <w:rFonts w:hint="default"/>
                      <w:color w:val="auto"/>
                      <w:kern w:val="0"/>
                      <w:sz w:val="21"/>
                      <w:szCs w:val="21"/>
                      <w:highlight w:val="none"/>
                      <w:lang w:val="en-US" w:eastAsia="zh-CN" w:bidi="en-US"/>
                    </w:rPr>
                  </w:pPr>
                  <w:r>
                    <w:rPr>
                      <w:rFonts w:hint="eastAsia"/>
                      <w:color w:val="auto"/>
                      <w:kern w:val="0"/>
                      <w:sz w:val="21"/>
                      <w:szCs w:val="21"/>
                      <w:highlight w:val="none"/>
                      <w:lang w:val="en-US" w:eastAsia="zh-CN" w:bidi="en-US"/>
                    </w:rPr>
                    <w:t>氮氧化物</w:t>
                  </w:r>
                </w:p>
              </w:tc>
              <w:tc>
                <w:tcPr>
                  <w:tcW w:w="531" w:type="pct"/>
                  <w:tcBorders>
                    <w:tl2br w:val="nil"/>
                    <w:tr2bl w:val="nil"/>
                  </w:tcBorders>
                  <w:shd w:val="clear" w:color="auto" w:fill="auto"/>
                  <w:vAlign w:val="center"/>
                </w:tcPr>
                <w:p w14:paraId="2513DFC5">
                  <w:pPr>
                    <w:widowControl/>
                    <w:snapToGrid w:val="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0.6</w:t>
                  </w:r>
                </w:p>
              </w:tc>
              <w:tc>
                <w:tcPr>
                  <w:tcW w:w="583" w:type="pct"/>
                  <w:tcBorders>
                    <w:tl2br w:val="nil"/>
                    <w:tr2bl w:val="nil"/>
                  </w:tcBorders>
                  <w:shd w:val="clear" w:color="auto" w:fill="auto"/>
                  <w:vAlign w:val="center"/>
                </w:tcPr>
                <w:p w14:paraId="0C1E4AF3">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0.25</w:t>
                  </w:r>
                </w:p>
              </w:tc>
              <w:tc>
                <w:tcPr>
                  <w:tcW w:w="542" w:type="pct"/>
                  <w:tcBorders>
                    <w:tl2br w:val="nil"/>
                    <w:tr2bl w:val="nil"/>
                  </w:tcBorders>
                  <w:shd w:val="clear" w:color="auto" w:fill="auto"/>
                  <w:vAlign w:val="center"/>
                </w:tcPr>
                <w:p w14:paraId="26619B8D">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619" w:type="pct"/>
                  <w:vMerge w:val="continue"/>
                  <w:tcBorders>
                    <w:tl2br w:val="nil"/>
                    <w:tr2bl w:val="nil"/>
                  </w:tcBorders>
                  <w:shd w:val="clear" w:color="auto" w:fill="auto"/>
                  <w:vAlign w:val="center"/>
                </w:tcPr>
                <w:p w14:paraId="60B8A15C">
                  <w:pPr>
                    <w:widowControl/>
                    <w:snapToGrid w:val="0"/>
                    <w:jc w:val="center"/>
                    <w:textAlignment w:val="center"/>
                    <w:rPr>
                      <w:rFonts w:hint="eastAsia"/>
                      <w:color w:val="auto"/>
                      <w:kern w:val="0"/>
                      <w:sz w:val="21"/>
                      <w:szCs w:val="21"/>
                      <w:highlight w:val="none"/>
                      <w:lang w:val="en-US" w:eastAsia="zh-CN" w:bidi="ar"/>
                    </w:rPr>
                  </w:pPr>
                </w:p>
              </w:tc>
              <w:tc>
                <w:tcPr>
                  <w:tcW w:w="697" w:type="pct"/>
                  <w:vMerge w:val="continue"/>
                  <w:tcBorders>
                    <w:tl2br w:val="nil"/>
                    <w:tr2bl w:val="nil"/>
                  </w:tcBorders>
                  <w:shd w:val="clear" w:color="auto" w:fill="auto"/>
                  <w:vAlign w:val="center"/>
                </w:tcPr>
                <w:p w14:paraId="119D619F">
                  <w:pPr>
                    <w:widowControl/>
                    <w:snapToGrid w:val="0"/>
                    <w:jc w:val="center"/>
                    <w:textAlignment w:val="center"/>
                    <w:rPr>
                      <w:rFonts w:hint="eastAsia"/>
                      <w:color w:val="auto"/>
                      <w:kern w:val="0"/>
                      <w:sz w:val="21"/>
                      <w:szCs w:val="21"/>
                      <w:highlight w:val="none"/>
                      <w:lang w:val="en-US" w:eastAsia="zh-CN" w:bidi="ar"/>
                    </w:rPr>
                  </w:pPr>
                </w:p>
              </w:tc>
              <w:tc>
                <w:tcPr>
                  <w:tcW w:w="473" w:type="pct"/>
                  <w:tcBorders>
                    <w:tl2br w:val="nil"/>
                    <w:tr2bl w:val="nil"/>
                  </w:tcBorders>
                  <w:shd w:val="clear" w:color="auto" w:fill="auto"/>
                  <w:vAlign w:val="center"/>
                </w:tcPr>
                <w:p w14:paraId="0E6A808C">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0.6</w:t>
                  </w:r>
                </w:p>
              </w:tc>
              <w:tc>
                <w:tcPr>
                  <w:tcW w:w="541" w:type="pct"/>
                  <w:tcBorders>
                    <w:tl2br w:val="nil"/>
                    <w:tr2bl w:val="nil"/>
                  </w:tcBorders>
                  <w:shd w:val="clear" w:color="auto" w:fill="auto"/>
                  <w:vAlign w:val="center"/>
                </w:tcPr>
                <w:p w14:paraId="447CE942">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0.25</w:t>
                  </w:r>
                </w:p>
              </w:tc>
            </w:tr>
          </w:tbl>
          <w:p w14:paraId="7C581C3D">
            <w:pPr>
              <w:pageBreakBefore w:val="0"/>
              <w:widowControl w:val="0"/>
              <w:tabs>
                <w:tab w:val="left" w:pos="624"/>
              </w:tabs>
              <w:kinsoku/>
              <w:wordWrap/>
              <w:overflowPunct/>
              <w:topLinePunct w:val="0"/>
              <w:autoSpaceDE/>
              <w:autoSpaceDN/>
              <w:bidi w:val="0"/>
              <w:adjustRightInd/>
              <w:snapToGrid w:val="0"/>
              <w:spacing w:line="500" w:lineRule="exact"/>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lang w:eastAsia="zh-CN"/>
              </w:rPr>
              <w:t>（</w:t>
            </w:r>
            <w:r>
              <w:rPr>
                <w:rFonts w:hint="eastAsia" w:cs="Times New Roman"/>
                <w:color w:val="auto"/>
                <w:sz w:val="24"/>
                <w:szCs w:val="24"/>
                <w:lang w:val="en-US" w:eastAsia="zh-CN"/>
              </w:rPr>
              <w:t>2</w:t>
            </w:r>
            <w:r>
              <w:rPr>
                <w:rFonts w:hint="eastAsia" w:cs="Times New Roman"/>
                <w:color w:val="auto"/>
                <w:sz w:val="24"/>
                <w:szCs w:val="24"/>
                <w:lang w:eastAsia="zh-CN"/>
              </w:rPr>
              <w:t>）</w:t>
            </w:r>
            <w:r>
              <w:rPr>
                <w:rFonts w:hint="eastAsia" w:cs="Times New Roman"/>
                <w:color w:val="auto"/>
                <w:sz w:val="24"/>
                <w:szCs w:val="24"/>
                <w:highlight w:val="none"/>
                <w:lang w:val="en-US" w:eastAsia="zh-CN"/>
              </w:rPr>
              <w:t>焊接</w:t>
            </w:r>
          </w:p>
          <w:p w14:paraId="5A58B688">
            <w:pPr>
              <w:tabs>
                <w:tab w:val="left" w:pos="5940"/>
              </w:tabs>
              <w:spacing w:line="500" w:lineRule="exact"/>
              <w:ind w:firstLine="480" w:firstLineChars="200"/>
              <w:rPr>
                <w:rFonts w:hint="default"/>
                <w:bCs/>
                <w:color w:val="auto"/>
                <w:sz w:val="24"/>
                <w:highlight w:val="none"/>
                <w:u w:val="none"/>
                <w:lang w:val="en-US" w:eastAsia="zh-CN"/>
              </w:rPr>
            </w:pPr>
            <w:r>
              <w:rPr>
                <w:rFonts w:hint="eastAsia"/>
                <w:bCs/>
                <w:color w:val="auto"/>
                <w:sz w:val="24"/>
                <w:highlight w:val="none"/>
                <w:u w:val="none"/>
                <w:lang w:val="en-US" w:eastAsia="zh-CN"/>
              </w:rPr>
              <w:t>本项目生产过程使用二氧化碳保护焊、氩弧焊，项目焊丝使用</w:t>
            </w:r>
            <w:r>
              <w:rPr>
                <w:rFonts w:hint="eastAsia"/>
                <w:bCs/>
                <w:color w:val="auto"/>
                <w:sz w:val="24"/>
                <w:szCs w:val="24"/>
                <w:highlight w:val="none"/>
                <w:u w:val="none"/>
                <w:lang w:val="en-US" w:eastAsia="zh-CN"/>
              </w:rPr>
              <w:t>量为175.62t/</w:t>
            </w:r>
            <w:r>
              <w:rPr>
                <w:rFonts w:hint="eastAsia"/>
                <w:bCs/>
                <w:color w:val="auto"/>
                <w:sz w:val="24"/>
                <w:highlight w:val="none"/>
                <w:u w:val="none"/>
                <w:lang w:val="en-US" w:eastAsia="zh-CN"/>
              </w:rPr>
              <w:t>a。</w:t>
            </w:r>
            <w:r>
              <w:rPr>
                <w:rFonts w:hint="default" w:ascii="Times New Roman" w:hAnsi="Times New Roman" w:eastAsia="宋体" w:cs="Times New Roman"/>
                <w:b w:val="0"/>
                <w:bCs w:val="0"/>
                <w:color w:val="auto"/>
                <w:kern w:val="2"/>
                <w:sz w:val="24"/>
                <w:szCs w:val="24"/>
                <w:highlight w:val="none"/>
                <w:lang w:val="en-US" w:eastAsia="zh-CN" w:bidi="ar"/>
              </w:rPr>
              <w:t>根据《排放源统计调查产排污核算方法和系数手册》</w:t>
            </w:r>
            <w:r>
              <w:rPr>
                <w:rFonts w:hint="eastAsia"/>
                <w:bCs/>
                <w:color w:val="auto"/>
                <w:sz w:val="24"/>
                <w:szCs w:val="24"/>
                <w:highlight w:val="none"/>
                <w:lang w:val="en-US" w:eastAsia="zh-CN" w:bidi="ar"/>
              </w:rPr>
              <w:t>机械行业</w:t>
            </w:r>
            <w:r>
              <w:rPr>
                <w:rFonts w:hint="default" w:ascii="Times New Roman" w:hAnsi="Times New Roman" w:eastAsia="宋体" w:cs="Times New Roman"/>
                <w:b w:val="0"/>
                <w:bCs w:val="0"/>
                <w:color w:val="auto"/>
                <w:kern w:val="2"/>
                <w:sz w:val="24"/>
                <w:szCs w:val="24"/>
                <w:highlight w:val="none"/>
                <w:lang w:val="en-US" w:eastAsia="zh-CN" w:bidi="ar"/>
              </w:rPr>
              <w:t>：</w:t>
            </w:r>
            <w:r>
              <w:rPr>
                <w:rFonts w:hint="eastAsia" w:cs="Times New Roman"/>
                <w:b w:val="0"/>
                <w:bCs w:val="0"/>
                <w:color w:val="auto"/>
                <w:kern w:val="2"/>
                <w:sz w:val="24"/>
                <w:szCs w:val="24"/>
                <w:highlight w:val="none"/>
                <w:lang w:val="en-US" w:eastAsia="zh-CN" w:bidi="ar"/>
              </w:rPr>
              <w:t>“药芯焊丝焊接件颗粒物产尘系数为20.5kg/t-原料；</w:t>
            </w:r>
            <w:r>
              <w:rPr>
                <w:rFonts w:hint="eastAsia" w:cs="Times New Roman"/>
                <w:b w:val="0"/>
                <w:bCs w:val="0"/>
                <w:color w:val="auto"/>
                <w:kern w:val="2"/>
                <w:sz w:val="24"/>
                <w:szCs w:val="24"/>
                <w:highlight w:val="none"/>
                <w:lang w:val="en-US" w:eastAsia="zh-CN" w:bidi="ar"/>
              </w:rPr>
              <w:t>移动式烟尘净化器除尘效率95%</w:t>
            </w:r>
            <w:r>
              <w:rPr>
                <w:rFonts w:hint="eastAsia"/>
                <w:color w:val="auto"/>
                <w:sz w:val="24"/>
                <w:highlight w:val="none"/>
                <w:lang w:eastAsia="zh-CN"/>
              </w:rPr>
              <w:t>。</w:t>
            </w:r>
            <w:r>
              <w:rPr>
                <w:rFonts w:hint="eastAsia" w:cs="Times New Roman"/>
                <w:b w:val="0"/>
                <w:bCs w:val="0"/>
                <w:color w:val="auto"/>
                <w:kern w:val="2"/>
                <w:sz w:val="24"/>
                <w:szCs w:val="24"/>
                <w:highlight w:val="none"/>
                <w:lang w:val="en-US" w:eastAsia="zh-CN" w:bidi="ar"/>
              </w:rPr>
              <w:t>”焊接废气经集气罩收集后</w:t>
            </w:r>
            <w:r>
              <w:rPr>
                <w:rFonts w:hint="eastAsia" w:cs="Times New Roman"/>
                <w:b w:val="0"/>
                <w:bCs w:val="0"/>
                <w:color w:val="auto"/>
                <w:kern w:val="2"/>
                <w:sz w:val="24"/>
                <w:szCs w:val="24"/>
                <w:highlight w:val="none"/>
                <w:lang w:val="en-US" w:eastAsia="zh-CN" w:bidi="ar"/>
              </w:rPr>
              <w:t>（本项目焊接工序采用上吸式集气罩抽风且两面围挡，参考《袋式除尘工程通用技术规范》（HJ2020-2012）吹吸罩集尘效率为90%，项目上吸式集气罩抽风且两面围挡工作原理类似吹吸罩，因此焊接烟尘收集效率为90%）通过移动式烟尘净化器处理后由DA001排气筒排放，焊接工段风机风量为2000</w:t>
            </w:r>
            <w:r>
              <w:rPr>
                <w:color w:val="auto"/>
                <w:kern w:val="0"/>
                <w:sz w:val="24"/>
                <w:szCs w:val="24"/>
                <w:highlight w:val="none"/>
              </w:rPr>
              <w:t>m</w:t>
            </w:r>
            <w:r>
              <w:rPr>
                <w:color w:val="auto"/>
                <w:kern w:val="0"/>
                <w:sz w:val="24"/>
                <w:szCs w:val="24"/>
                <w:highlight w:val="none"/>
                <w:vertAlign w:val="superscript"/>
              </w:rPr>
              <w:t>3</w:t>
            </w:r>
            <w:r>
              <w:rPr>
                <w:color w:val="auto"/>
                <w:kern w:val="0"/>
                <w:sz w:val="24"/>
                <w:szCs w:val="24"/>
                <w:highlight w:val="none"/>
              </w:rPr>
              <w:t>/h</w:t>
            </w:r>
            <w:r>
              <w:rPr>
                <w:rFonts w:hint="eastAsia" w:cs="Times New Roman"/>
                <w:b w:val="0"/>
                <w:bCs w:val="0"/>
                <w:color w:val="auto"/>
                <w:kern w:val="2"/>
                <w:sz w:val="24"/>
                <w:szCs w:val="24"/>
                <w:highlight w:val="none"/>
                <w:lang w:val="en-US" w:eastAsia="zh-CN" w:bidi="ar"/>
              </w:rPr>
              <w:t>，未收集的粉尘无组织</w:t>
            </w:r>
            <w:r>
              <w:rPr>
                <w:rFonts w:hint="eastAsia" w:cs="Times New Roman"/>
                <w:color w:val="auto"/>
                <w:sz w:val="24"/>
                <w:szCs w:val="24"/>
                <w:highlight w:val="none"/>
                <w:lang w:val="en-US" w:eastAsia="zh-CN"/>
              </w:rPr>
              <w:t>排放。</w:t>
            </w:r>
          </w:p>
          <w:p w14:paraId="5FB5B750">
            <w:pPr>
              <w:tabs>
                <w:tab w:val="left" w:pos="624"/>
              </w:tabs>
              <w:snapToGrid w:val="0"/>
              <w:ind w:firstLine="482"/>
              <w:jc w:val="center"/>
              <w:rPr>
                <w:b/>
                <w:bCs/>
                <w:color w:val="auto"/>
                <w:sz w:val="24"/>
                <w:szCs w:val="24"/>
                <w:highlight w:val="none"/>
              </w:rPr>
            </w:pPr>
            <w:r>
              <w:rPr>
                <w:b/>
                <w:color w:val="auto"/>
                <w:kern w:val="0"/>
                <w:sz w:val="24"/>
                <w:szCs w:val="24"/>
                <w:highlight w:val="none"/>
              </w:rPr>
              <w:t>表</w:t>
            </w:r>
            <w:r>
              <w:rPr>
                <w:rFonts w:hint="eastAsia"/>
                <w:b/>
                <w:color w:val="auto"/>
                <w:kern w:val="0"/>
                <w:sz w:val="24"/>
                <w:szCs w:val="24"/>
                <w:highlight w:val="none"/>
                <w:lang w:val="en-US" w:eastAsia="zh-CN"/>
              </w:rPr>
              <w:t>4-2</w:t>
            </w:r>
            <w:r>
              <w:rPr>
                <w:b/>
                <w:color w:val="auto"/>
                <w:kern w:val="0"/>
                <w:sz w:val="24"/>
                <w:szCs w:val="24"/>
                <w:highlight w:val="none"/>
              </w:rPr>
              <w:t xml:space="preserve"> </w:t>
            </w:r>
            <w:r>
              <w:rPr>
                <w:rFonts w:hint="eastAsia"/>
                <w:b/>
                <w:color w:val="auto"/>
                <w:kern w:val="0"/>
                <w:sz w:val="24"/>
                <w:szCs w:val="24"/>
                <w:highlight w:val="none"/>
                <w:lang w:val="en-US" w:eastAsia="zh-CN"/>
              </w:rPr>
              <w:t>焊接烟尘</w:t>
            </w:r>
            <w:r>
              <w:rPr>
                <w:rFonts w:hint="eastAsia"/>
                <w:b/>
                <w:color w:val="auto"/>
                <w:kern w:val="0"/>
                <w:sz w:val="24"/>
                <w:szCs w:val="24"/>
                <w:highlight w:val="none"/>
              </w:rPr>
              <w:t>产排</w:t>
            </w:r>
            <w:r>
              <w:rPr>
                <w:b/>
                <w:color w:val="auto"/>
                <w:kern w:val="0"/>
                <w:sz w:val="24"/>
                <w:szCs w:val="24"/>
                <w:highlight w:val="none"/>
              </w:rPr>
              <w:t>情</w:t>
            </w:r>
            <w:r>
              <w:rPr>
                <w:rFonts w:hint="default" w:ascii="Times New Roman" w:hAnsi="Times New Roman" w:cs="Times New Roman"/>
                <w:b/>
                <w:color w:val="auto"/>
                <w:kern w:val="0"/>
                <w:sz w:val="24"/>
                <w:szCs w:val="24"/>
                <w:highlight w:val="none"/>
              </w:rPr>
              <w:t>况</w:t>
            </w:r>
          </w:p>
          <w:tbl>
            <w:tblPr>
              <w:tblStyle w:val="3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Layout w:type="fixed"/>
              <w:tblCellMar>
                <w:top w:w="0" w:type="dxa"/>
                <w:left w:w="108" w:type="dxa"/>
                <w:bottom w:w="0" w:type="dxa"/>
                <w:right w:w="108" w:type="dxa"/>
              </w:tblCellMar>
            </w:tblPr>
            <w:tblGrid>
              <w:gridCol w:w="948"/>
              <w:gridCol w:w="497"/>
              <w:gridCol w:w="760"/>
              <w:gridCol w:w="836"/>
              <w:gridCol w:w="776"/>
              <w:gridCol w:w="776"/>
              <w:gridCol w:w="887"/>
              <w:gridCol w:w="998"/>
              <w:gridCol w:w="676"/>
              <w:gridCol w:w="776"/>
            </w:tblGrid>
            <w:tr w14:paraId="7E5F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340" w:hRule="atLeast"/>
              </w:trPr>
              <w:tc>
                <w:tcPr>
                  <w:tcW w:w="598" w:type="pct"/>
                  <w:vMerge w:val="restart"/>
                  <w:tcBorders>
                    <w:tl2br w:val="nil"/>
                    <w:tr2bl w:val="nil"/>
                  </w:tcBorders>
                  <w:shd w:val="clear" w:color="auto" w:fill="auto"/>
                  <w:vAlign w:val="center"/>
                </w:tcPr>
                <w:p w14:paraId="739C1DF4">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污染源</w:t>
                  </w:r>
                </w:p>
              </w:tc>
              <w:tc>
                <w:tcPr>
                  <w:tcW w:w="313" w:type="pct"/>
                  <w:vMerge w:val="restart"/>
                  <w:tcBorders>
                    <w:tl2br w:val="nil"/>
                    <w:tr2bl w:val="nil"/>
                  </w:tcBorders>
                  <w:shd w:val="clear" w:color="auto" w:fill="auto"/>
                  <w:vAlign w:val="center"/>
                </w:tcPr>
                <w:p w14:paraId="3B189536">
                  <w:pPr>
                    <w:adjustRightInd w:val="0"/>
                    <w:snapToGrid w:val="0"/>
                    <w:spacing w:line="240" w:lineRule="auto"/>
                    <w:jc w:val="center"/>
                    <w:rPr>
                      <w:b/>
                      <w:bCs/>
                      <w:color w:val="auto"/>
                      <w:kern w:val="0"/>
                      <w:sz w:val="21"/>
                      <w:szCs w:val="21"/>
                      <w:highlight w:val="none"/>
                      <w:lang w:eastAsia="en-US" w:bidi="en-US"/>
                    </w:rPr>
                  </w:pPr>
                  <w:r>
                    <w:rPr>
                      <w:b/>
                      <w:bCs/>
                      <w:color w:val="auto"/>
                      <w:kern w:val="0"/>
                      <w:sz w:val="21"/>
                      <w:szCs w:val="21"/>
                      <w:highlight w:val="none"/>
                      <w:lang w:eastAsia="en-US" w:bidi="en-US"/>
                    </w:rPr>
                    <w:t>污染物</w:t>
                  </w:r>
                </w:p>
              </w:tc>
              <w:tc>
                <w:tcPr>
                  <w:tcW w:w="1006" w:type="pct"/>
                  <w:gridSpan w:val="2"/>
                  <w:tcBorders>
                    <w:tl2br w:val="nil"/>
                    <w:tr2bl w:val="nil"/>
                  </w:tcBorders>
                  <w:shd w:val="clear" w:color="auto" w:fill="auto"/>
                  <w:vAlign w:val="center"/>
                </w:tcPr>
                <w:p w14:paraId="49A7C208">
                  <w:pPr>
                    <w:adjustRightInd w:val="0"/>
                    <w:snapToGrid w:val="0"/>
                    <w:spacing w:line="240" w:lineRule="auto"/>
                    <w:jc w:val="center"/>
                    <w:rPr>
                      <w:rFonts w:hint="eastAsia"/>
                      <w:b/>
                      <w:bCs/>
                      <w:color w:val="auto"/>
                      <w:kern w:val="0"/>
                      <w:sz w:val="21"/>
                      <w:szCs w:val="21"/>
                      <w:highlight w:val="none"/>
                      <w:lang w:bidi="en-US"/>
                    </w:rPr>
                  </w:pPr>
                  <w:r>
                    <w:rPr>
                      <w:rFonts w:hint="eastAsia"/>
                      <w:b/>
                      <w:bCs/>
                      <w:color w:val="auto"/>
                      <w:kern w:val="0"/>
                      <w:sz w:val="21"/>
                      <w:szCs w:val="21"/>
                      <w:highlight w:val="none"/>
                      <w:lang w:bidi="en-US"/>
                    </w:rPr>
                    <w:t>产生情况</w:t>
                  </w:r>
                </w:p>
              </w:tc>
              <w:tc>
                <w:tcPr>
                  <w:tcW w:w="489" w:type="pct"/>
                  <w:vMerge w:val="restart"/>
                  <w:tcBorders>
                    <w:tl2br w:val="nil"/>
                    <w:tr2bl w:val="nil"/>
                  </w:tcBorders>
                  <w:shd w:val="clear" w:color="auto" w:fill="auto"/>
                  <w:vAlign w:val="center"/>
                </w:tcPr>
                <w:p w14:paraId="6C9A3DBA">
                  <w:pPr>
                    <w:adjustRightInd w:val="0"/>
                    <w:snapToGrid w:val="0"/>
                    <w:spacing w:line="240" w:lineRule="auto"/>
                    <w:jc w:val="center"/>
                    <w:rPr>
                      <w:rFonts w:hint="default" w:eastAsia="宋体"/>
                      <w:b/>
                      <w:bCs/>
                      <w:color w:val="auto"/>
                      <w:kern w:val="0"/>
                      <w:sz w:val="21"/>
                      <w:szCs w:val="21"/>
                      <w:highlight w:val="none"/>
                      <w:lang w:val="en-US" w:eastAsia="zh-CN" w:bidi="en-US"/>
                    </w:rPr>
                  </w:pPr>
                  <w:r>
                    <w:rPr>
                      <w:rFonts w:hint="eastAsia"/>
                      <w:b/>
                      <w:bCs/>
                      <w:color w:val="auto"/>
                      <w:kern w:val="0"/>
                      <w:sz w:val="21"/>
                      <w:szCs w:val="21"/>
                      <w:highlight w:val="none"/>
                      <w:lang w:val="en-US" w:eastAsia="zh-CN" w:bidi="en-US"/>
                    </w:rPr>
                    <w:t>收集效率%</w:t>
                  </w:r>
                </w:p>
              </w:tc>
              <w:tc>
                <w:tcPr>
                  <w:tcW w:w="489" w:type="pct"/>
                  <w:vMerge w:val="restart"/>
                  <w:tcBorders>
                    <w:tl2br w:val="nil"/>
                    <w:tr2bl w:val="nil"/>
                  </w:tcBorders>
                  <w:shd w:val="clear" w:color="auto" w:fill="auto"/>
                  <w:vAlign w:val="center"/>
                </w:tcPr>
                <w:p w14:paraId="5A09D92A">
                  <w:pPr>
                    <w:adjustRightInd w:val="0"/>
                    <w:snapToGrid w:val="0"/>
                    <w:spacing w:line="240" w:lineRule="auto"/>
                    <w:jc w:val="center"/>
                    <w:rPr>
                      <w:b/>
                      <w:bCs/>
                      <w:color w:val="auto"/>
                      <w:kern w:val="0"/>
                      <w:sz w:val="21"/>
                      <w:szCs w:val="21"/>
                      <w:highlight w:val="none"/>
                      <w:lang w:bidi="en-US"/>
                    </w:rPr>
                  </w:pPr>
                  <w:r>
                    <w:rPr>
                      <w:rFonts w:hint="eastAsia"/>
                      <w:b/>
                      <w:bCs/>
                      <w:color w:val="auto"/>
                      <w:kern w:val="0"/>
                      <w:sz w:val="21"/>
                      <w:szCs w:val="21"/>
                      <w:highlight w:val="none"/>
                      <w:lang w:val="en-US" w:eastAsia="zh-CN" w:bidi="en-US"/>
                    </w:rPr>
                    <w:t>治理工艺</w:t>
                  </w:r>
                  <w:r>
                    <w:rPr>
                      <w:b/>
                      <w:bCs/>
                      <w:color w:val="auto"/>
                      <w:kern w:val="0"/>
                      <w:sz w:val="21"/>
                      <w:szCs w:val="21"/>
                      <w:highlight w:val="none"/>
                      <w:lang w:bidi="en-US"/>
                    </w:rPr>
                    <w:t>处理</w:t>
                  </w:r>
                </w:p>
                <w:p w14:paraId="117FFDF3">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效率%</w:t>
                  </w:r>
                </w:p>
              </w:tc>
              <w:tc>
                <w:tcPr>
                  <w:tcW w:w="559" w:type="pct"/>
                  <w:vMerge w:val="restart"/>
                  <w:tcBorders>
                    <w:tl2br w:val="nil"/>
                    <w:tr2bl w:val="nil"/>
                  </w:tcBorders>
                  <w:shd w:val="clear" w:color="auto" w:fill="auto"/>
                  <w:vAlign w:val="center"/>
                </w:tcPr>
                <w:p w14:paraId="2BA7CC37">
                  <w:pPr>
                    <w:adjustRightInd w:val="0"/>
                    <w:snapToGrid w:val="0"/>
                    <w:spacing w:line="240" w:lineRule="auto"/>
                    <w:jc w:val="center"/>
                    <w:rPr>
                      <w:rFonts w:hint="eastAsia" w:eastAsia="宋体"/>
                      <w:b/>
                      <w:bCs/>
                      <w:color w:val="auto"/>
                      <w:kern w:val="0"/>
                      <w:sz w:val="21"/>
                      <w:szCs w:val="21"/>
                      <w:highlight w:val="none"/>
                      <w:lang w:val="en-US" w:eastAsia="zh-CN" w:bidi="en-US"/>
                    </w:rPr>
                  </w:pPr>
                  <w:r>
                    <w:rPr>
                      <w:rFonts w:hint="eastAsia"/>
                      <w:b/>
                      <w:bCs/>
                      <w:color w:val="auto"/>
                      <w:kern w:val="0"/>
                      <w:sz w:val="21"/>
                      <w:szCs w:val="21"/>
                      <w:highlight w:val="none"/>
                      <w:lang w:val="en-US" w:eastAsia="zh-CN" w:bidi="en-US"/>
                    </w:rPr>
                    <w:t>处理措施</w:t>
                  </w:r>
                </w:p>
              </w:tc>
              <w:tc>
                <w:tcPr>
                  <w:tcW w:w="629" w:type="pct"/>
                  <w:vMerge w:val="restart"/>
                  <w:tcBorders>
                    <w:tl2br w:val="nil"/>
                    <w:tr2bl w:val="nil"/>
                  </w:tcBorders>
                  <w:shd w:val="clear" w:color="auto" w:fill="auto"/>
                  <w:vAlign w:val="center"/>
                </w:tcPr>
                <w:p w14:paraId="0462F91A">
                  <w:pPr>
                    <w:adjustRightInd w:val="0"/>
                    <w:snapToGrid w:val="0"/>
                    <w:spacing w:line="240" w:lineRule="auto"/>
                    <w:jc w:val="center"/>
                    <w:rPr>
                      <w:rFonts w:hint="default" w:eastAsia="宋体"/>
                      <w:b/>
                      <w:bCs/>
                      <w:color w:val="auto"/>
                      <w:kern w:val="0"/>
                      <w:sz w:val="21"/>
                      <w:szCs w:val="21"/>
                      <w:highlight w:val="none"/>
                      <w:lang w:val="en-US" w:eastAsia="zh-CN" w:bidi="en-US"/>
                    </w:rPr>
                  </w:pPr>
                  <w:r>
                    <w:rPr>
                      <w:rFonts w:hint="eastAsia"/>
                      <w:b/>
                      <w:bCs/>
                      <w:color w:val="auto"/>
                      <w:kern w:val="0"/>
                      <w:sz w:val="21"/>
                      <w:szCs w:val="21"/>
                      <w:highlight w:val="none"/>
                      <w:lang w:val="zh-CN"/>
                    </w:rPr>
                    <w:t>设计</w:t>
                  </w:r>
                  <w:r>
                    <w:rPr>
                      <w:rFonts w:hint="eastAsia"/>
                      <w:b/>
                      <w:bCs/>
                      <w:color w:val="auto"/>
                      <w:kern w:val="0"/>
                      <w:sz w:val="21"/>
                      <w:szCs w:val="21"/>
                      <w:highlight w:val="none"/>
                      <w:lang w:val="en-US" w:eastAsia="zh-CN"/>
                    </w:rPr>
                    <w:t>焊接</w:t>
                  </w:r>
                  <w:r>
                    <w:rPr>
                      <w:rFonts w:hint="eastAsia"/>
                      <w:b/>
                      <w:bCs/>
                      <w:color w:val="auto"/>
                      <w:kern w:val="0"/>
                      <w:sz w:val="21"/>
                      <w:szCs w:val="21"/>
                      <w:highlight w:val="none"/>
                      <w:lang w:val="zh-CN"/>
                    </w:rPr>
                    <w:t>废气处理量</w:t>
                  </w:r>
                  <w:r>
                    <w:rPr>
                      <w:b/>
                      <w:bCs/>
                      <w:color w:val="auto"/>
                      <w:kern w:val="0"/>
                      <w:sz w:val="21"/>
                      <w:szCs w:val="21"/>
                      <w:highlight w:val="none"/>
                      <w:lang w:val="zh-CN"/>
                    </w:rPr>
                    <w:t>m</w:t>
                  </w:r>
                  <w:r>
                    <w:rPr>
                      <w:b/>
                      <w:bCs/>
                      <w:color w:val="auto"/>
                      <w:kern w:val="0"/>
                      <w:sz w:val="21"/>
                      <w:szCs w:val="21"/>
                      <w:highlight w:val="none"/>
                      <w:vertAlign w:val="superscript"/>
                    </w:rPr>
                    <w:t>3</w:t>
                  </w:r>
                  <w:r>
                    <w:rPr>
                      <w:b/>
                      <w:bCs/>
                      <w:color w:val="auto"/>
                      <w:kern w:val="0"/>
                      <w:sz w:val="21"/>
                      <w:szCs w:val="21"/>
                      <w:highlight w:val="none"/>
                      <w:lang w:val="zh-CN"/>
                    </w:rPr>
                    <w:t>/h</w:t>
                  </w:r>
                </w:p>
              </w:tc>
              <w:tc>
                <w:tcPr>
                  <w:tcW w:w="915" w:type="pct"/>
                  <w:gridSpan w:val="2"/>
                  <w:tcBorders>
                    <w:tl2br w:val="nil"/>
                    <w:tr2bl w:val="nil"/>
                  </w:tcBorders>
                  <w:shd w:val="clear" w:color="auto" w:fill="auto"/>
                  <w:vAlign w:val="center"/>
                </w:tcPr>
                <w:p w14:paraId="7427909F">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排放情况</w:t>
                  </w:r>
                </w:p>
              </w:tc>
            </w:tr>
            <w:tr w14:paraId="0F36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8" w:type="pct"/>
                  <w:vMerge w:val="continue"/>
                  <w:tcBorders>
                    <w:tl2br w:val="nil"/>
                    <w:tr2bl w:val="nil"/>
                  </w:tcBorders>
                  <w:shd w:val="clear" w:color="auto" w:fill="auto"/>
                  <w:vAlign w:val="center"/>
                </w:tcPr>
                <w:p w14:paraId="28DF49AE">
                  <w:pPr>
                    <w:adjustRightInd w:val="0"/>
                    <w:snapToGrid w:val="0"/>
                    <w:spacing w:line="240" w:lineRule="auto"/>
                    <w:jc w:val="center"/>
                    <w:rPr>
                      <w:b/>
                      <w:bCs/>
                      <w:color w:val="auto"/>
                      <w:kern w:val="0"/>
                      <w:sz w:val="21"/>
                      <w:szCs w:val="21"/>
                      <w:highlight w:val="none"/>
                      <w:lang w:bidi="en-US"/>
                    </w:rPr>
                  </w:pPr>
                </w:p>
              </w:tc>
              <w:tc>
                <w:tcPr>
                  <w:tcW w:w="313" w:type="pct"/>
                  <w:vMerge w:val="continue"/>
                  <w:tcBorders>
                    <w:tl2br w:val="nil"/>
                    <w:tr2bl w:val="nil"/>
                  </w:tcBorders>
                  <w:shd w:val="clear" w:color="auto" w:fill="auto"/>
                  <w:vAlign w:val="center"/>
                </w:tcPr>
                <w:p w14:paraId="445C58D8">
                  <w:pPr>
                    <w:adjustRightInd w:val="0"/>
                    <w:snapToGrid w:val="0"/>
                    <w:spacing w:line="240" w:lineRule="auto"/>
                    <w:jc w:val="center"/>
                    <w:rPr>
                      <w:b/>
                      <w:bCs/>
                      <w:color w:val="auto"/>
                      <w:kern w:val="0"/>
                      <w:sz w:val="21"/>
                      <w:szCs w:val="21"/>
                      <w:highlight w:val="none"/>
                      <w:lang w:bidi="en-US"/>
                    </w:rPr>
                  </w:pPr>
                </w:p>
              </w:tc>
              <w:tc>
                <w:tcPr>
                  <w:tcW w:w="479" w:type="pct"/>
                  <w:tcBorders>
                    <w:tl2br w:val="nil"/>
                    <w:tr2bl w:val="nil"/>
                  </w:tcBorders>
                  <w:shd w:val="clear" w:color="auto" w:fill="auto"/>
                  <w:vAlign w:val="center"/>
                </w:tcPr>
                <w:p w14:paraId="68171276">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产生量t/a</w:t>
                  </w:r>
                </w:p>
              </w:tc>
              <w:tc>
                <w:tcPr>
                  <w:tcW w:w="527" w:type="pct"/>
                  <w:tcBorders>
                    <w:tl2br w:val="nil"/>
                    <w:tr2bl w:val="nil"/>
                  </w:tcBorders>
                  <w:shd w:val="clear" w:color="auto" w:fill="auto"/>
                  <w:vAlign w:val="center"/>
                </w:tcPr>
                <w:p w14:paraId="4973F0A1">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产生速率kg/h</w:t>
                  </w:r>
                </w:p>
              </w:tc>
              <w:tc>
                <w:tcPr>
                  <w:tcW w:w="489" w:type="pct"/>
                  <w:vMerge w:val="continue"/>
                  <w:tcBorders>
                    <w:tl2br w:val="nil"/>
                    <w:tr2bl w:val="nil"/>
                  </w:tcBorders>
                  <w:shd w:val="clear" w:color="auto" w:fill="auto"/>
                  <w:vAlign w:val="center"/>
                </w:tcPr>
                <w:p w14:paraId="09B550B4">
                  <w:pPr>
                    <w:adjustRightInd w:val="0"/>
                    <w:snapToGrid w:val="0"/>
                    <w:spacing w:line="240" w:lineRule="auto"/>
                    <w:jc w:val="center"/>
                    <w:rPr>
                      <w:b/>
                      <w:bCs/>
                      <w:color w:val="auto"/>
                      <w:kern w:val="0"/>
                      <w:sz w:val="21"/>
                      <w:szCs w:val="21"/>
                      <w:highlight w:val="none"/>
                      <w:lang w:bidi="en-US"/>
                    </w:rPr>
                  </w:pPr>
                </w:p>
              </w:tc>
              <w:tc>
                <w:tcPr>
                  <w:tcW w:w="489" w:type="pct"/>
                  <w:vMerge w:val="continue"/>
                  <w:tcBorders>
                    <w:tl2br w:val="nil"/>
                    <w:tr2bl w:val="nil"/>
                  </w:tcBorders>
                  <w:shd w:val="clear" w:color="auto" w:fill="auto"/>
                  <w:vAlign w:val="center"/>
                </w:tcPr>
                <w:p w14:paraId="51239FFB">
                  <w:pPr>
                    <w:adjustRightInd w:val="0"/>
                    <w:snapToGrid w:val="0"/>
                    <w:spacing w:line="240" w:lineRule="auto"/>
                    <w:jc w:val="center"/>
                    <w:rPr>
                      <w:b/>
                      <w:bCs/>
                      <w:color w:val="auto"/>
                      <w:kern w:val="0"/>
                      <w:sz w:val="21"/>
                      <w:szCs w:val="21"/>
                      <w:highlight w:val="none"/>
                      <w:lang w:bidi="en-US"/>
                    </w:rPr>
                  </w:pPr>
                </w:p>
              </w:tc>
              <w:tc>
                <w:tcPr>
                  <w:tcW w:w="559" w:type="pct"/>
                  <w:vMerge w:val="continue"/>
                  <w:tcBorders>
                    <w:tl2br w:val="nil"/>
                    <w:tr2bl w:val="nil"/>
                  </w:tcBorders>
                  <w:shd w:val="clear" w:color="auto" w:fill="auto"/>
                  <w:vAlign w:val="center"/>
                </w:tcPr>
                <w:p w14:paraId="11446A39">
                  <w:pPr>
                    <w:adjustRightInd w:val="0"/>
                    <w:snapToGrid w:val="0"/>
                    <w:spacing w:line="240" w:lineRule="auto"/>
                    <w:jc w:val="center"/>
                    <w:rPr>
                      <w:b/>
                      <w:bCs/>
                      <w:color w:val="auto"/>
                      <w:kern w:val="0"/>
                      <w:sz w:val="21"/>
                      <w:szCs w:val="21"/>
                      <w:highlight w:val="none"/>
                      <w:lang w:bidi="en-US"/>
                    </w:rPr>
                  </w:pPr>
                </w:p>
              </w:tc>
              <w:tc>
                <w:tcPr>
                  <w:tcW w:w="629" w:type="pct"/>
                  <w:vMerge w:val="continue"/>
                  <w:tcBorders>
                    <w:tl2br w:val="nil"/>
                    <w:tr2bl w:val="nil"/>
                  </w:tcBorders>
                  <w:shd w:val="clear" w:color="auto" w:fill="auto"/>
                  <w:vAlign w:val="center"/>
                </w:tcPr>
                <w:p w14:paraId="0102FBB7">
                  <w:pPr>
                    <w:adjustRightInd w:val="0"/>
                    <w:snapToGrid w:val="0"/>
                    <w:spacing w:line="240" w:lineRule="auto"/>
                    <w:jc w:val="center"/>
                    <w:rPr>
                      <w:b/>
                      <w:bCs/>
                      <w:color w:val="auto"/>
                      <w:kern w:val="0"/>
                      <w:sz w:val="21"/>
                      <w:szCs w:val="21"/>
                      <w:highlight w:val="none"/>
                      <w:lang w:bidi="en-US"/>
                    </w:rPr>
                  </w:pPr>
                </w:p>
              </w:tc>
              <w:tc>
                <w:tcPr>
                  <w:tcW w:w="426" w:type="pct"/>
                  <w:tcBorders>
                    <w:tl2br w:val="nil"/>
                    <w:tr2bl w:val="nil"/>
                  </w:tcBorders>
                  <w:shd w:val="clear" w:color="auto" w:fill="auto"/>
                  <w:vAlign w:val="center"/>
                </w:tcPr>
                <w:p w14:paraId="2227D30B">
                  <w:pPr>
                    <w:adjustRightInd w:val="0"/>
                    <w:snapToGrid w:val="0"/>
                    <w:spacing w:line="240" w:lineRule="auto"/>
                    <w:jc w:val="center"/>
                    <w:rPr>
                      <w:b/>
                      <w:bCs/>
                      <w:color w:val="auto"/>
                      <w:kern w:val="0"/>
                      <w:sz w:val="21"/>
                      <w:szCs w:val="21"/>
                      <w:highlight w:val="none"/>
                      <w:vertAlign w:val="superscript"/>
                      <w:lang w:bidi="en-US"/>
                    </w:rPr>
                  </w:pPr>
                  <w:r>
                    <w:rPr>
                      <w:b/>
                      <w:bCs/>
                      <w:color w:val="auto"/>
                      <w:kern w:val="0"/>
                      <w:sz w:val="21"/>
                      <w:szCs w:val="21"/>
                      <w:highlight w:val="none"/>
                      <w:lang w:bidi="en-US"/>
                    </w:rPr>
                    <w:t>排放量t/a</w:t>
                  </w:r>
                </w:p>
              </w:tc>
              <w:tc>
                <w:tcPr>
                  <w:tcW w:w="488" w:type="pct"/>
                  <w:tcBorders>
                    <w:tl2br w:val="nil"/>
                    <w:tr2bl w:val="nil"/>
                  </w:tcBorders>
                  <w:shd w:val="clear" w:color="auto" w:fill="auto"/>
                  <w:vAlign w:val="center"/>
                </w:tcPr>
                <w:p w14:paraId="6FCD0190">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排放速率kg/h</w:t>
                  </w:r>
                </w:p>
              </w:tc>
            </w:tr>
            <w:tr w14:paraId="2D57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151" w:hRule="atLeast"/>
              </w:trPr>
              <w:tc>
                <w:tcPr>
                  <w:tcW w:w="598" w:type="pct"/>
                  <w:tcBorders>
                    <w:tl2br w:val="nil"/>
                    <w:tr2bl w:val="nil"/>
                  </w:tcBorders>
                  <w:shd w:val="clear" w:color="auto" w:fill="auto"/>
                  <w:vAlign w:val="center"/>
                </w:tcPr>
                <w:p w14:paraId="5F27529E">
                  <w:pPr>
                    <w:adjustRightInd w:val="0"/>
                    <w:snapToGrid w:val="0"/>
                    <w:spacing w:line="240" w:lineRule="auto"/>
                    <w:jc w:val="center"/>
                    <w:rPr>
                      <w:rFonts w:hint="eastAsia" w:ascii="Times New Roman" w:hAnsi="Times New Roman" w:eastAsia="宋体" w:cs="Times New Roman"/>
                      <w:color w:val="auto"/>
                      <w:kern w:val="0"/>
                      <w:sz w:val="21"/>
                      <w:szCs w:val="21"/>
                      <w:highlight w:val="none"/>
                      <w:lang w:val="en-US" w:eastAsia="zh-CN" w:bidi="en-US"/>
                    </w:rPr>
                  </w:pPr>
                  <w:r>
                    <w:rPr>
                      <w:rFonts w:hint="eastAsia"/>
                      <w:color w:val="auto"/>
                      <w:kern w:val="0"/>
                      <w:sz w:val="21"/>
                      <w:szCs w:val="21"/>
                      <w:highlight w:val="none"/>
                      <w:lang w:val="en-US" w:eastAsia="zh-CN" w:bidi="en-US"/>
                    </w:rPr>
                    <w:t>DA001排气筒</w:t>
                  </w:r>
                </w:p>
              </w:tc>
              <w:tc>
                <w:tcPr>
                  <w:tcW w:w="313" w:type="pct"/>
                  <w:tcBorders>
                    <w:tl2br w:val="nil"/>
                    <w:tr2bl w:val="nil"/>
                  </w:tcBorders>
                  <w:shd w:val="clear" w:color="auto" w:fill="auto"/>
                  <w:vAlign w:val="center"/>
                </w:tcPr>
                <w:p w14:paraId="27643FE9">
                  <w:pPr>
                    <w:adjustRightInd w:val="0"/>
                    <w:snapToGrid w:val="0"/>
                    <w:spacing w:line="240" w:lineRule="auto"/>
                    <w:jc w:val="center"/>
                    <w:rPr>
                      <w:rFonts w:hint="eastAsia" w:ascii="Times New Roman" w:hAnsi="Times New Roman" w:eastAsia="宋体" w:cs="Times New Roman"/>
                      <w:color w:val="auto"/>
                      <w:kern w:val="0"/>
                      <w:sz w:val="21"/>
                      <w:szCs w:val="21"/>
                      <w:highlight w:val="none"/>
                      <w:lang w:val="en-US" w:eastAsia="zh-CN" w:bidi="en-US"/>
                    </w:rPr>
                  </w:pPr>
                  <w:r>
                    <w:rPr>
                      <w:rFonts w:hint="eastAsia"/>
                      <w:color w:val="auto"/>
                      <w:kern w:val="0"/>
                      <w:sz w:val="21"/>
                      <w:szCs w:val="21"/>
                      <w:highlight w:val="none"/>
                      <w:lang w:val="en-US" w:eastAsia="zh-CN" w:bidi="en-US"/>
                    </w:rPr>
                    <w:t>颗粒物</w:t>
                  </w:r>
                </w:p>
              </w:tc>
              <w:tc>
                <w:tcPr>
                  <w:tcW w:w="479" w:type="pct"/>
                  <w:tcBorders>
                    <w:tl2br w:val="nil"/>
                    <w:tr2bl w:val="nil"/>
                  </w:tcBorders>
                  <w:shd w:val="clear" w:color="auto" w:fill="auto"/>
                  <w:vAlign w:val="center"/>
                </w:tcPr>
                <w:p w14:paraId="4FFB46E2">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3.24</w:t>
                  </w:r>
                </w:p>
              </w:tc>
              <w:tc>
                <w:tcPr>
                  <w:tcW w:w="527" w:type="pct"/>
                  <w:tcBorders>
                    <w:tl2br w:val="nil"/>
                    <w:tr2bl w:val="nil"/>
                  </w:tcBorders>
                  <w:shd w:val="clear" w:color="auto" w:fill="auto"/>
                  <w:vAlign w:val="center"/>
                </w:tcPr>
                <w:p w14:paraId="05EDE160">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1.35</w:t>
                  </w:r>
                </w:p>
              </w:tc>
              <w:tc>
                <w:tcPr>
                  <w:tcW w:w="489" w:type="pct"/>
                  <w:tcBorders>
                    <w:tl2br w:val="nil"/>
                    <w:tr2bl w:val="nil"/>
                  </w:tcBorders>
                  <w:shd w:val="clear" w:color="auto" w:fill="auto"/>
                  <w:vAlign w:val="center"/>
                </w:tcPr>
                <w:p w14:paraId="698EA61D">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90</w:t>
                  </w:r>
                </w:p>
              </w:tc>
              <w:tc>
                <w:tcPr>
                  <w:tcW w:w="489" w:type="pct"/>
                  <w:tcBorders>
                    <w:tl2br w:val="nil"/>
                    <w:tr2bl w:val="nil"/>
                  </w:tcBorders>
                  <w:shd w:val="clear" w:color="auto" w:fill="auto"/>
                  <w:vAlign w:val="center"/>
                </w:tcPr>
                <w:p w14:paraId="67470845">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95</w:t>
                  </w:r>
                </w:p>
              </w:tc>
              <w:tc>
                <w:tcPr>
                  <w:tcW w:w="559" w:type="pct"/>
                  <w:tcBorders>
                    <w:tl2br w:val="nil"/>
                    <w:tr2bl w:val="nil"/>
                  </w:tcBorders>
                  <w:shd w:val="clear" w:color="auto" w:fill="auto"/>
                  <w:vAlign w:val="center"/>
                </w:tcPr>
                <w:p w14:paraId="692F1D48">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移动烟尘净化器</w:t>
                  </w:r>
                </w:p>
              </w:tc>
              <w:tc>
                <w:tcPr>
                  <w:tcW w:w="629" w:type="pct"/>
                  <w:tcBorders>
                    <w:tl2br w:val="nil"/>
                    <w:tr2bl w:val="nil"/>
                  </w:tcBorders>
                  <w:shd w:val="clear" w:color="auto" w:fill="auto"/>
                  <w:vAlign w:val="center"/>
                </w:tcPr>
                <w:p w14:paraId="40B97B6F">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2000</w:t>
                  </w:r>
                </w:p>
              </w:tc>
              <w:tc>
                <w:tcPr>
                  <w:tcW w:w="426" w:type="pct"/>
                  <w:tcBorders>
                    <w:tl2br w:val="nil"/>
                    <w:tr2bl w:val="nil"/>
                  </w:tcBorders>
                  <w:shd w:val="clear" w:color="auto" w:fill="auto"/>
                  <w:vAlign w:val="center"/>
                </w:tcPr>
                <w:p w14:paraId="22494C6A">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0.16</w:t>
                  </w:r>
                </w:p>
              </w:tc>
              <w:tc>
                <w:tcPr>
                  <w:tcW w:w="488" w:type="pct"/>
                  <w:tcBorders>
                    <w:tl2br w:val="nil"/>
                    <w:tr2bl w:val="nil"/>
                  </w:tcBorders>
                  <w:shd w:val="clear" w:color="auto" w:fill="auto"/>
                  <w:vAlign w:val="center"/>
                </w:tcPr>
                <w:p w14:paraId="3723B018">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0.067</w:t>
                  </w:r>
                </w:p>
              </w:tc>
            </w:tr>
            <w:tr w14:paraId="14EC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98" w:type="pct"/>
                  <w:tcBorders>
                    <w:tl2br w:val="nil"/>
                    <w:tr2bl w:val="nil"/>
                  </w:tcBorders>
                  <w:shd w:val="clear" w:color="auto" w:fill="auto"/>
                  <w:vAlign w:val="center"/>
                </w:tcPr>
                <w:p w14:paraId="292DF716">
                  <w:pPr>
                    <w:adjustRightInd w:val="0"/>
                    <w:snapToGrid w:val="0"/>
                    <w:spacing w:line="240" w:lineRule="auto"/>
                    <w:jc w:val="center"/>
                    <w:rPr>
                      <w:rFonts w:hint="default"/>
                      <w:color w:val="auto"/>
                      <w:kern w:val="0"/>
                      <w:sz w:val="21"/>
                      <w:szCs w:val="21"/>
                      <w:highlight w:val="none"/>
                      <w:lang w:val="en-US" w:eastAsia="zh-CN" w:bidi="en-US"/>
                    </w:rPr>
                  </w:pPr>
                  <w:r>
                    <w:rPr>
                      <w:rFonts w:hint="eastAsia"/>
                      <w:color w:val="auto"/>
                      <w:kern w:val="0"/>
                      <w:sz w:val="21"/>
                      <w:szCs w:val="21"/>
                      <w:highlight w:val="none"/>
                      <w:lang w:val="en-US" w:eastAsia="zh-CN" w:bidi="en-US"/>
                    </w:rPr>
                    <w:t>无组织废气</w:t>
                  </w:r>
                </w:p>
              </w:tc>
              <w:tc>
                <w:tcPr>
                  <w:tcW w:w="313" w:type="pct"/>
                  <w:tcBorders>
                    <w:tl2br w:val="nil"/>
                    <w:tr2bl w:val="nil"/>
                  </w:tcBorders>
                  <w:shd w:val="clear" w:color="auto" w:fill="auto"/>
                  <w:vAlign w:val="center"/>
                </w:tcPr>
                <w:p w14:paraId="5F06B1F5">
                  <w:pPr>
                    <w:adjustRightInd w:val="0"/>
                    <w:snapToGrid w:val="0"/>
                    <w:spacing w:line="240" w:lineRule="auto"/>
                    <w:jc w:val="center"/>
                    <w:rPr>
                      <w:rFonts w:hint="default"/>
                      <w:color w:val="auto"/>
                      <w:kern w:val="0"/>
                      <w:sz w:val="21"/>
                      <w:szCs w:val="21"/>
                      <w:highlight w:val="none"/>
                      <w:lang w:val="en-US" w:eastAsia="zh-CN" w:bidi="en-US"/>
                    </w:rPr>
                  </w:pPr>
                  <w:r>
                    <w:rPr>
                      <w:rFonts w:hint="eastAsia"/>
                      <w:color w:val="auto"/>
                      <w:kern w:val="0"/>
                      <w:sz w:val="21"/>
                      <w:szCs w:val="21"/>
                      <w:highlight w:val="none"/>
                      <w:lang w:val="en-US" w:eastAsia="zh-CN" w:bidi="en-US"/>
                    </w:rPr>
                    <w:t>颗粒物</w:t>
                  </w:r>
                </w:p>
              </w:tc>
              <w:tc>
                <w:tcPr>
                  <w:tcW w:w="479" w:type="pct"/>
                  <w:tcBorders>
                    <w:tl2br w:val="nil"/>
                    <w:tr2bl w:val="nil"/>
                  </w:tcBorders>
                  <w:shd w:val="clear" w:color="auto" w:fill="auto"/>
                  <w:vAlign w:val="center"/>
                </w:tcPr>
                <w:p w14:paraId="7AFE1407">
                  <w:pPr>
                    <w:widowControl/>
                    <w:snapToGrid w:val="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0.36</w:t>
                  </w:r>
                </w:p>
              </w:tc>
              <w:tc>
                <w:tcPr>
                  <w:tcW w:w="527" w:type="pct"/>
                  <w:tcBorders>
                    <w:tl2br w:val="nil"/>
                    <w:tr2bl w:val="nil"/>
                  </w:tcBorders>
                  <w:shd w:val="clear" w:color="auto" w:fill="auto"/>
                  <w:vAlign w:val="center"/>
                </w:tcPr>
                <w:p w14:paraId="13BEDBD7">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0.15</w:t>
                  </w:r>
                </w:p>
              </w:tc>
              <w:tc>
                <w:tcPr>
                  <w:tcW w:w="489" w:type="pct"/>
                  <w:tcBorders>
                    <w:tl2br w:val="nil"/>
                    <w:tr2bl w:val="nil"/>
                  </w:tcBorders>
                  <w:shd w:val="clear" w:color="auto" w:fill="auto"/>
                  <w:vAlign w:val="center"/>
                </w:tcPr>
                <w:p w14:paraId="037B3E04">
                  <w:pPr>
                    <w:widowControl/>
                    <w:snapToGrid w:val="0"/>
                    <w:jc w:val="center"/>
                    <w:textAlignment w:val="center"/>
                    <w:rPr>
                      <w:rFonts w:hint="eastAsia"/>
                      <w:color w:val="auto"/>
                      <w:kern w:val="0"/>
                      <w:sz w:val="21"/>
                      <w:szCs w:val="21"/>
                      <w:highlight w:val="none"/>
                      <w:lang w:val="en-US" w:eastAsia="zh-CN" w:bidi="ar"/>
                    </w:rPr>
                  </w:pPr>
                </w:p>
              </w:tc>
              <w:tc>
                <w:tcPr>
                  <w:tcW w:w="489" w:type="pct"/>
                  <w:tcBorders>
                    <w:tl2br w:val="nil"/>
                    <w:tr2bl w:val="nil"/>
                  </w:tcBorders>
                  <w:shd w:val="clear" w:color="auto" w:fill="auto"/>
                  <w:vAlign w:val="center"/>
                </w:tcPr>
                <w:p w14:paraId="36CDE66D">
                  <w:pPr>
                    <w:widowControl/>
                    <w:snapToGrid w:val="0"/>
                    <w:jc w:val="center"/>
                    <w:textAlignment w:val="center"/>
                    <w:rPr>
                      <w:rFonts w:hint="eastAsia" w:ascii="Times New Roman" w:hAnsi="Times New Roman" w:eastAsia="宋体" w:cs="Times New Roman"/>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559" w:type="pct"/>
                  <w:tcBorders>
                    <w:tl2br w:val="nil"/>
                    <w:tr2bl w:val="nil"/>
                  </w:tcBorders>
                  <w:shd w:val="clear" w:color="auto" w:fill="auto"/>
                  <w:vAlign w:val="center"/>
                </w:tcPr>
                <w:p w14:paraId="7B350047">
                  <w:pPr>
                    <w:widowControl/>
                    <w:snapToGrid w:val="0"/>
                    <w:jc w:val="center"/>
                    <w:textAlignment w:val="center"/>
                    <w:rPr>
                      <w:rFonts w:hint="eastAsia" w:ascii="Times New Roman" w:hAnsi="Times New Roman" w:eastAsia="宋体" w:cs="Times New Roman"/>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629" w:type="pct"/>
                  <w:tcBorders>
                    <w:tl2br w:val="nil"/>
                    <w:tr2bl w:val="nil"/>
                  </w:tcBorders>
                  <w:shd w:val="clear" w:color="auto" w:fill="auto"/>
                  <w:vAlign w:val="center"/>
                </w:tcPr>
                <w:p w14:paraId="6F166022">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426" w:type="pct"/>
                  <w:tcBorders>
                    <w:tl2br w:val="nil"/>
                    <w:tr2bl w:val="nil"/>
                  </w:tcBorders>
                  <w:shd w:val="clear" w:color="auto" w:fill="auto"/>
                  <w:vAlign w:val="center"/>
                </w:tcPr>
                <w:p w14:paraId="032F8A00">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0.36</w:t>
                  </w:r>
                </w:p>
              </w:tc>
              <w:tc>
                <w:tcPr>
                  <w:tcW w:w="488" w:type="pct"/>
                  <w:tcBorders>
                    <w:tl2br w:val="nil"/>
                    <w:tr2bl w:val="nil"/>
                  </w:tcBorders>
                  <w:shd w:val="clear" w:color="auto" w:fill="auto"/>
                  <w:vAlign w:val="center"/>
                </w:tcPr>
                <w:p w14:paraId="4FA709EB">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0.15</w:t>
                  </w:r>
                </w:p>
              </w:tc>
            </w:tr>
          </w:tbl>
          <w:p w14:paraId="4A45E60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eastAsia="zh-CN"/>
              </w:rPr>
              <w:t>（</w:t>
            </w:r>
            <w:r>
              <w:rPr>
                <w:rFonts w:hint="eastAsia" w:cs="Times New Roman"/>
                <w:color w:val="auto"/>
                <w:sz w:val="24"/>
                <w:szCs w:val="24"/>
                <w:lang w:val="en-US" w:eastAsia="zh-CN"/>
              </w:rPr>
              <w:t>3</w:t>
            </w:r>
            <w:r>
              <w:rPr>
                <w:rFonts w:hint="eastAsia" w:cs="Times New Roman"/>
                <w:color w:val="auto"/>
                <w:sz w:val="24"/>
                <w:szCs w:val="24"/>
                <w:lang w:eastAsia="zh-CN"/>
              </w:rPr>
              <w:t>）</w:t>
            </w:r>
            <w:r>
              <w:rPr>
                <w:rFonts w:hint="eastAsia" w:cs="Times New Roman"/>
                <w:color w:val="auto"/>
                <w:sz w:val="24"/>
                <w:szCs w:val="24"/>
                <w:lang w:val="en-US" w:eastAsia="zh-CN"/>
              </w:rPr>
              <w:t>机加工</w:t>
            </w:r>
          </w:p>
          <w:p w14:paraId="5676D1AD">
            <w:pPr>
              <w:pageBreakBefore w:val="0"/>
              <w:widowControl w:val="0"/>
              <w:tabs>
                <w:tab w:val="left" w:pos="624"/>
              </w:tabs>
              <w:kinsoku/>
              <w:wordWrap/>
              <w:overflowPunct/>
              <w:topLinePunct w:val="0"/>
              <w:autoSpaceDE/>
              <w:autoSpaceDN/>
              <w:bidi w:val="0"/>
              <w:adjustRightInd/>
              <w:snapToGrid w:val="0"/>
              <w:spacing w:line="500" w:lineRule="exact"/>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项目机加工生产过程涉及去毛刺、切管、管段加工、钻孔，该工段均在密闭的厂房内进行，</w:t>
            </w:r>
            <w:r>
              <w:rPr>
                <w:rFonts w:hint="eastAsia" w:cs="Times New Roman"/>
                <w:color w:val="auto"/>
                <w:sz w:val="24"/>
                <w:szCs w:val="24"/>
                <w:highlight w:val="none"/>
                <w:lang w:val="en-US" w:eastAsia="zh-CN"/>
              </w:rPr>
              <w:t>机加工废气经集气罩</w:t>
            </w:r>
            <w:r>
              <w:rPr>
                <w:rFonts w:hint="eastAsia" w:cs="Times New Roman"/>
                <w:b w:val="0"/>
                <w:bCs w:val="0"/>
                <w:color w:val="auto"/>
                <w:kern w:val="2"/>
                <w:sz w:val="24"/>
                <w:szCs w:val="24"/>
                <w:highlight w:val="none"/>
                <w:lang w:val="en-US" w:eastAsia="zh-CN" w:bidi="ar"/>
              </w:rPr>
              <w:t>（本项目机加工工序</w:t>
            </w:r>
            <w:r>
              <w:rPr>
                <w:rFonts w:hint="eastAsia" w:cs="Times New Roman"/>
                <w:b w:val="0"/>
                <w:bCs w:val="0"/>
                <w:color w:val="auto"/>
                <w:kern w:val="2"/>
                <w:sz w:val="24"/>
                <w:szCs w:val="24"/>
                <w:highlight w:val="none"/>
                <w:lang w:val="en-US" w:eastAsia="zh-CN" w:bidi="ar"/>
              </w:rPr>
              <w:t>采用上吸式集气罩抽风且两面围挡，参考《袋式除尘工程通用技术规范》（HJ2020-2012）吹吸罩集尘效率为90%，项目上吸式集气罩抽风且两面围挡工作原理类似吹吸罩，因此机加工工序烟尘收集效率为90%</w:t>
            </w:r>
            <w:r>
              <w:rPr>
                <w:rFonts w:hint="eastAsia" w:cs="Times New Roman"/>
                <w:b w:val="0"/>
                <w:bCs w:val="0"/>
                <w:color w:val="auto"/>
                <w:kern w:val="2"/>
                <w:sz w:val="24"/>
                <w:szCs w:val="24"/>
                <w:highlight w:val="none"/>
                <w:lang w:val="en-US" w:eastAsia="zh-CN" w:bidi="ar"/>
              </w:rPr>
              <w:t>）</w:t>
            </w:r>
            <w:r>
              <w:rPr>
                <w:rFonts w:hint="eastAsia" w:cs="Times New Roman"/>
                <w:color w:val="auto"/>
                <w:sz w:val="24"/>
                <w:szCs w:val="24"/>
                <w:highlight w:val="none"/>
                <w:lang w:val="en-US" w:eastAsia="zh-CN"/>
              </w:rPr>
              <w:t>收集通过移动烟尘净化器处理无组织排放，</w:t>
            </w:r>
            <w:r>
              <w:rPr>
                <w:rFonts w:hint="eastAsia" w:cs="Times New Roman"/>
                <w:color w:val="auto"/>
                <w:sz w:val="24"/>
                <w:szCs w:val="24"/>
                <w:highlight w:val="none"/>
                <w:lang w:val="en-US" w:eastAsia="zh-CN"/>
              </w:rPr>
              <w:t>根据</w:t>
            </w:r>
            <w:r>
              <w:rPr>
                <w:rFonts w:hint="default" w:ascii="Times New Roman" w:hAnsi="Times New Roman" w:eastAsia="宋体" w:cs="Times New Roman"/>
                <w:b w:val="0"/>
                <w:bCs w:val="0"/>
                <w:color w:val="auto"/>
                <w:kern w:val="2"/>
                <w:sz w:val="24"/>
                <w:szCs w:val="24"/>
                <w:highlight w:val="none"/>
                <w:lang w:val="en-US" w:eastAsia="zh-CN" w:bidi="ar"/>
              </w:rPr>
              <w:t>《排放源统计调查产排污核算方法和系数手册》</w:t>
            </w:r>
            <w:r>
              <w:rPr>
                <w:rFonts w:hint="eastAsia" w:ascii="Times New Roman" w:hAnsi="Times New Roman" w:eastAsia="宋体" w:cs="Times New Roman"/>
                <w:b w:val="0"/>
                <w:bCs w:val="0"/>
                <w:color w:val="auto"/>
                <w:kern w:val="2"/>
                <w:sz w:val="24"/>
                <w:szCs w:val="24"/>
                <w:highlight w:val="none"/>
                <w:lang w:val="en-US" w:eastAsia="zh-CN" w:bidi="ar"/>
              </w:rPr>
              <w:t>机械行业</w:t>
            </w:r>
            <w:r>
              <w:rPr>
                <w:rFonts w:hint="default" w:ascii="Times New Roman" w:hAnsi="Times New Roman" w:eastAsia="宋体" w:cs="Times New Roman"/>
                <w:b w:val="0"/>
                <w:bCs w:val="0"/>
                <w:color w:val="auto"/>
                <w:kern w:val="2"/>
                <w:sz w:val="24"/>
                <w:szCs w:val="24"/>
                <w:highlight w:val="none"/>
                <w:lang w:val="en-US" w:eastAsia="zh-CN" w:bidi="ar"/>
              </w:rPr>
              <w:t>：</w:t>
            </w:r>
            <w:r>
              <w:rPr>
                <w:rFonts w:hint="eastAsia" w:cs="Times New Roman"/>
                <w:b w:val="0"/>
                <w:bCs w:val="0"/>
                <w:color w:val="auto"/>
                <w:kern w:val="2"/>
                <w:sz w:val="24"/>
                <w:szCs w:val="24"/>
                <w:highlight w:val="none"/>
                <w:lang w:val="en-US" w:eastAsia="zh-CN" w:bidi="ar"/>
              </w:rPr>
              <w:t>“切割颗粒物产生系数为5.3kg/t-原料；</w:t>
            </w:r>
            <w:r>
              <w:rPr>
                <w:rFonts w:hint="eastAsia" w:cs="Times New Roman"/>
                <w:b w:val="0"/>
                <w:bCs w:val="0"/>
                <w:color w:val="auto"/>
                <w:kern w:val="2"/>
                <w:sz w:val="24"/>
                <w:szCs w:val="24"/>
                <w:highlight w:val="none"/>
                <w:lang w:val="en-US" w:eastAsia="zh-CN" w:bidi="ar"/>
              </w:rPr>
              <w:t>移动式烟尘净化器除尘效率95%</w:t>
            </w:r>
            <w:r>
              <w:rPr>
                <w:rFonts w:hint="eastAsia" w:cs="Times New Roman"/>
                <w:b w:val="0"/>
                <w:bCs w:val="0"/>
                <w:color w:val="auto"/>
                <w:kern w:val="2"/>
                <w:sz w:val="24"/>
                <w:szCs w:val="24"/>
                <w:highlight w:val="none"/>
                <w:lang w:val="en-US" w:eastAsia="zh-CN" w:bidi="ar"/>
              </w:rPr>
              <w:t>”，根据建设单位提供资料，本项目切割加工金属件使用量为1500t/a，则切割工序颗粒物产生量为7.95t/a，根据设备设计资料，</w:t>
            </w:r>
            <w:r>
              <w:rPr>
                <w:rFonts w:hint="eastAsia" w:cs="Times New Roman"/>
                <w:b w:val="0"/>
                <w:bCs w:val="0"/>
                <w:color w:val="auto"/>
                <w:kern w:val="2"/>
                <w:sz w:val="24"/>
                <w:szCs w:val="24"/>
                <w:highlight w:val="none"/>
                <w:lang w:val="en-US" w:eastAsia="zh-CN" w:bidi="ar"/>
              </w:rPr>
              <w:t>本项目移动式</w:t>
            </w:r>
            <w:r>
              <w:rPr>
                <w:rFonts w:hint="eastAsia"/>
                <w:color w:val="auto"/>
                <w:sz w:val="24"/>
                <w:szCs w:val="24"/>
                <w:highlight w:val="none"/>
              </w:rPr>
              <w:t>烟尘净化器</w:t>
            </w:r>
            <w:r>
              <w:rPr>
                <w:rFonts w:hint="eastAsia"/>
                <w:color w:val="auto"/>
                <w:sz w:val="24"/>
                <w:szCs w:val="24"/>
                <w:highlight w:val="none"/>
                <w:lang w:val="en-US" w:eastAsia="zh-CN"/>
              </w:rPr>
              <w:t>工作原理为含尘烟气依次经阻火网、导流板分流后，进入PTFE覆膜主过滤芯净化，过滤后的干净空气通过净化器下方排风口排放，属</w:t>
            </w:r>
            <w:r>
              <w:rPr>
                <w:rFonts w:hint="eastAsia"/>
                <w:color w:val="auto"/>
                <w:sz w:val="24"/>
                <w:szCs w:val="24"/>
                <w:lang w:val="en-US" w:eastAsia="zh-CN"/>
              </w:rPr>
              <w:t>于过滤式除尘设备。</w:t>
            </w:r>
          </w:p>
          <w:p w14:paraId="5A0D216E">
            <w:pPr>
              <w:tabs>
                <w:tab w:val="left" w:pos="624"/>
              </w:tabs>
              <w:snapToGrid w:val="0"/>
              <w:ind w:firstLine="482"/>
              <w:jc w:val="center"/>
              <w:rPr>
                <w:b/>
                <w:color w:val="auto"/>
                <w:kern w:val="0"/>
                <w:sz w:val="24"/>
                <w:szCs w:val="24"/>
                <w:highlight w:val="none"/>
              </w:rPr>
            </w:pPr>
          </w:p>
          <w:p w14:paraId="60F7665A">
            <w:pPr>
              <w:tabs>
                <w:tab w:val="left" w:pos="624"/>
              </w:tabs>
              <w:snapToGrid w:val="0"/>
              <w:ind w:firstLine="482"/>
              <w:jc w:val="center"/>
              <w:rPr>
                <w:b/>
                <w:color w:val="auto"/>
                <w:kern w:val="0"/>
                <w:sz w:val="24"/>
                <w:szCs w:val="24"/>
                <w:highlight w:val="none"/>
              </w:rPr>
            </w:pPr>
          </w:p>
          <w:p w14:paraId="37BD0499">
            <w:pPr>
              <w:tabs>
                <w:tab w:val="left" w:pos="624"/>
              </w:tabs>
              <w:snapToGrid w:val="0"/>
              <w:ind w:firstLine="482"/>
              <w:jc w:val="center"/>
              <w:rPr>
                <w:b/>
                <w:bCs/>
                <w:color w:val="auto"/>
                <w:sz w:val="24"/>
                <w:szCs w:val="24"/>
                <w:highlight w:val="none"/>
              </w:rPr>
            </w:pPr>
            <w:r>
              <w:rPr>
                <w:b/>
                <w:color w:val="auto"/>
                <w:kern w:val="0"/>
                <w:sz w:val="24"/>
                <w:szCs w:val="24"/>
                <w:highlight w:val="none"/>
              </w:rPr>
              <w:t>表</w:t>
            </w:r>
            <w:r>
              <w:rPr>
                <w:rFonts w:hint="eastAsia"/>
                <w:b/>
                <w:color w:val="auto"/>
                <w:kern w:val="0"/>
                <w:sz w:val="24"/>
                <w:szCs w:val="24"/>
                <w:highlight w:val="none"/>
                <w:lang w:val="en-US" w:eastAsia="zh-CN"/>
              </w:rPr>
              <w:t>4-3</w:t>
            </w:r>
            <w:r>
              <w:rPr>
                <w:b/>
                <w:color w:val="auto"/>
                <w:kern w:val="0"/>
                <w:sz w:val="24"/>
                <w:szCs w:val="24"/>
                <w:highlight w:val="none"/>
              </w:rPr>
              <w:t xml:space="preserve"> </w:t>
            </w:r>
            <w:r>
              <w:rPr>
                <w:rFonts w:hint="eastAsia"/>
                <w:b/>
                <w:color w:val="auto"/>
                <w:kern w:val="0"/>
                <w:sz w:val="24"/>
                <w:szCs w:val="24"/>
                <w:highlight w:val="none"/>
                <w:lang w:val="en-US" w:eastAsia="zh-CN"/>
              </w:rPr>
              <w:t>机加工废气</w:t>
            </w:r>
            <w:r>
              <w:rPr>
                <w:rFonts w:hint="eastAsia"/>
                <w:b/>
                <w:color w:val="auto"/>
                <w:kern w:val="0"/>
                <w:sz w:val="24"/>
                <w:szCs w:val="24"/>
                <w:highlight w:val="none"/>
              </w:rPr>
              <w:t>产排</w:t>
            </w:r>
            <w:r>
              <w:rPr>
                <w:b/>
                <w:color w:val="auto"/>
                <w:kern w:val="0"/>
                <w:sz w:val="24"/>
                <w:szCs w:val="24"/>
                <w:highlight w:val="none"/>
              </w:rPr>
              <w:t>情</w:t>
            </w:r>
            <w:r>
              <w:rPr>
                <w:rFonts w:hint="default" w:ascii="Times New Roman" w:hAnsi="Times New Roman" w:cs="Times New Roman"/>
                <w:b/>
                <w:color w:val="auto"/>
                <w:kern w:val="0"/>
                <w:sz w:val="24"/>
                <w:szCs w:val="24"/>
                <w:highlight w:val="none"/>
              </w:rPr>
              <w:t>况</w:t>
            </w:r>
          </w:p>
          <w:tbl>
            <w:tblPr>
              <w:tblStyle w:val="3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Layout w:type="fixed"/>
              <w:tblCellMar>
                <w:top w:w="0" w:type="dxa"/>
                <w:left w:w="108" w:type="dxa"/>
                <w:bottom w:w="0" w:type="dxa"/>
                <w:right w:w="108" w:type="dxa"/>
              </w:tblCellMar>
            </w:tblPr>
            <w:tblGrid>
              <w:gridCol w:w="765"/>
              <w:gridCol w:w="394"/>
              <w:gridCol w:w="609"/>
              <w:gridCol w:w="671"/>
              <w:gridCol w:w="784"/>
              <w:gridCol w:w="547"/>
              <w:gridCol w:w="589"/>
              <w:gridCol w:w="809"/>
              <w:gridCol w:w="809"/>
              <w:gridCol w:w="589"/>
              <w:gridCol w:w="622"/>
              <w:gridCol w:w="743"/>
            </w:tblGrid>
            <w:tr w14:paraId="77BB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340" w:hRule="atLeast"/>
              </w:trPr>
              <w:tc>
                <w:tcPr>
                  <w:tcW w:w="482" w:type="pct"/>
                  <w:vMerge w:val="restart"/>
                  <w:tcBorders>
                    <w:tl2br w:val="nil"/>
                    <w:tr2bl w:val="nil"/>
                  </w:tcBorders>
                  <w:shd w:val="clear" w:color="auto" w:fill="auto"/>
                  <w:vAlign w:val="center"/>
                </w:tcPr>
                <w:p w14:paraId="7591EA19">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污染源</w:t>
                  </w:r>
                </w:p>
              </w:tc>
              <w:tc>
                <w:tcPr>
                  <w:tcW w:w="248" w:type="pct"/>
                  <w:vMerge w:val="restart"/>
                  <w:tcBorders>
                    <w:tl2br w:val="nil"/>
                    <w:tr2bl w:val="nil"/>
                  </w:tcBorders>
                  <w:shd w:val="clear" w:color="auto" w:fill="auto"/>
                  <w:vAlign w:val="center"/>
                </w:tcPr>
                <w:p w14:paraId="511B231B">
                  <w:pPr>
                    <w:adjustRightInd w:val="0"/>
                    <w:snapToGrid w:val="0"/>
                    <w:spacing w:line="240" w:lineRule="auto"/>
                    <w:jc w:val="center"/>
                    <w:rPr>
                      <w:b/>
                      <w:bCs/>
                      <w:color w:val="auto"/>
                      <w:kern w:val="0"/>
                      <w:sz w:val="21"/>
                      <w:szCs w:val="21"/>
                      <w:highlight w:val="none"/>
                      <w:lang w:eastAsia="en-US" w:bidi="en-US"/>
                    </w:rPr>
                  </w:pPr>
                  <w:r>
                    <w:rPr>
                      <w:b/>
                      <w:bCs/>
                      <w:color w:val="auto"/>
                      <w:kern w:val="0"/>
                      <w:sz w:val="21"/>
                      <w:szCs w:val="21"/>
                      <w:highlight w:val="none"/>
                      <w:lang w:eastAsia="en-US" w:bidi="en-US"/>
                    </w:rPr>
                    <w:t>污染物</w:t>
                  </w:r>
                </w:p>
              </w:tc>
              <w:tc>
                <w:tcPr>
                  <w:tcW w:w="1301" w:type="pct"/>
                  <w:gridSpan w:val="3"/>
                  <w:tcBorders>
                    <w:tl2br w:val="nil"/>
                    <w:tr2bl w:val="nil"/>
                  </w:tcBorders>
                  <w:shd w:val="clear" w:color="auto" w:fill="auto"/>
                  <w:vAlign w:val="center"/>
                </w:tcPr>
                <w:p w14:paraId="3C927350">
                  <w:pPr>
                    <w:adjustRightInd w:val="0"/>
                    <w:snapToGrid w:val="0"/>
                    <w:spacing w:line="240" w:lineRule="auto"/>
                    <w:jc w:val="center"/>
                    <w:rPr>
                      <w:rFonts w:hint="eastAsia"/>
                      <w:b/>
                      <w:bCs/>
                      <w:color w:val="auto"/>
                      <w:kern w:val="0"/>
                      <w:sz w:val="21"/>
                      <w:szCs w:val="21"/>
                      <w:highlight w:val="none"/>
                      <w:lang w:bidi="en-US"/>
                    </w:rPr>
                  </w:pPr>
                  <w:r>
                    <w:rPr>
                      <w:rFonts w:hint="eastAsia"/>
                      <w:b/>
                      <w:bCs/>
                      <w:color w:val="auto"/>
                      <w:kern w:val="0"/>
                      <w:sz w:val="21"/>
                      <w:szCs w:val="21"/>
                      <w:highlight w:val="none"/>
                      <w:lang w:bidi="en-US"/>
                    </w:rPr>
                    <w:t>产生情况</w:t>
                  </w:r>
                </w:p>
              </w:tc>
              <w:tc>
                <w:tcPr>
                  <w:tcW w:w="345" w:type="pct"/>
                  <w:vMerge w:val="restart"/>
                  <w:tcBorders>
                    <w:tl2br w:val="nil"/>
                    <w:tr2bl w:val="nil"/>
                  </w:tcBorders>
                  <w:shd w:val="clear" w:color="auto" w:fill="auto"/>
                  <w:vAlign w:val="center"/>
                </w:tcPr>
                <w:p w14:paraId="0749C31A">
                  <w:pPr>
                    <w:adjustRightInd w:val="0"/>
                    <w:snapToGrid w:val="0"/>
                    <w:spacing w:line="240" w:lineRule="auto"/>
                    <w:jc w:val="center"/>
                    <w:rPr>
                      <w:rFonts w:hint="default" w:ascii="Times New Roman" w:hAnsi="Times New Roman" w:eastAsia="宋体" w:cs="Times New Roman"/>
                      <w:b/>
                      <w:bCs/>
                      <w:color w:val="auto"/>
                      <w:kern w:val="0"/>
                      <w:sz w:val="21"/>
                      <w:szCs w:val="21"/>
                      <w:highlight w:val="none"/>
                      <w:lang w:val="en-US" w:eastAsia="zh-CN" w:bidi="en-US"/>
                    </w:rPr>
                  </w:pPr>
                  <w:r>
                    <w:rPr>
                      <w:rFonts w:hint="eastAsia"/>
                      <w:b/>
                      <w:bCs/>
                      <w:color w:val="auto"/>
                      <w:kern w:val="0"/>
                      <w:sz w:val="21"/>
                      <w:szCs w:val="21"/>
                      <w:highlight w:val="none"/>
                      <w:lang w:val="en-US" w:eastAsia="zh-CN" w:bidi="en-US"/>
                    </w:rPr>
                    <w:t>收集效率%</w:t>
                  </w:r>
                </w:p>
              </w:tc>
              <w:tc>
                <w:tcPr>
                  <w:tcW w:w="371" w:type="pct"/>
                  <w:vMerge w:val="restart"/>
                  <w:tcBorders>
                    <w:tl2br w:val="nil"/>
                    <w:tr2bl w:val="nil"/>
                  </w:tcBorders>
                  <w:shd w:val="clear" w:color="auto" w:fill="auto"/>
                  <w:vAlign w:val="center"/>
                </w:tcPr>
                <w:p w14:paraId="730836E5">
                  <w:pPr>
                    <w:adjustRightInd w:val="0"/>
                    <w:snapToGrid w:val="0"/>
                    <w:spacing w:line="240" w:lineRule="auto"/>
                    <w:jc w:val="center"/>
                    <w:rPr>
                      <w:b/>
                      <w:bCs/>
                      <w:color w:val="auto"/>
                      <w:kern w:val="0"/>
                      <w:sz w:val="21"/>
                      <w:szCs w:val="21"/>
                      <w:highlight w:val="none"/>
                      <w:lang w:bidi="en-US"/>
                    </w:rPr>
                  </w:pPr>
                  <w:r>
                    <w:rPr>
                      <w:rFonts w:hint="eastAsia"/>
                      <w:b/>
                      <w:bCs/>
                      <w:color w:val="auto"/>
                      <w:kern w:val="0"/>
                      <w:sz w:val="21"/>
                      <w:szCs w:val="21"/>
                      <w:highlight w:val="none"/>
                      <w:lang w:val="en-US" w:eastAsia="zh-CN" w:bidi="en-US"/>
                    </w:rPr>
                    <w:t>治理工艺</w:t>
                  </w:r>
                  <w:r>
                    <w:rPr>
                      <w:b/>
                      <w:bCs/>
                      <w:color w:val="auto"/>
                      <w:kern w:val="0"/>
                      <w:sz w:val="21"/>
                      <w:szCs w:val="21"/>
                      <w:highlight w:val="none"/>
                      <w:lang w:bidi="en-US"/>
                    </w:rPr>
                    <w:t>处理</w:t>
                  </w:r>
                </w:p>
                <w:p w14:paraId="72777D99">
                  <w:pPr>
                    <w:adjustRightInd w:val="0"/>
                    <w:snapToGrid w:val="0"/>
                    <w:spacing w:line="240" w:lineRule="auto"/>
                    <w:jc w:val="center"/>
                    <w:rPr>
                      <w:rFonts w:ascii="Times New Roman" w:hAnsi="Times New Roman" w:eastAsia="宋体" w:cs="Times New Roman"/>
                      <w:b/>
                      <w:bCs/>
                      <w:color w:val="auto"/>
                      <w:kern w:val="0"/>
                      <w:sz w:val="21"/>
                      <w:szCs w:val="21"/>
                      <w:highlight w:val="none"/>
                      <w:lang w:val="en-US" w:eastAsia="zh-CN" w:bidi="en-US"/>
                    </w:rPr>
                  </w:pPr>
                  <w:r>
                    <w:rPr>
                      <w:b/>
                      <w:bCs/>
                      <w:color w:val="auto"/>
                      <w:kern w:val="0"/>
                      <w:sz w:val="21"/>
                      <w:szCs w:val="21"/>
                      <w:highlight w:val="none"/>
                      <w:lang w:bidi="en-US"/>
                    </w:rPr>
                    <w:t>效率%</w:t>
                  </w:r>
                </w:p>
              </w:tc>
              <w:tc>
                <w:tcPr>
                  <w:tcW w:w="510" w:type="pct"/>
                  <w:vMerge w:val="restart"/>
                  <w:tcBorders>
                    <w:tl2br w:val="nil"/>
                    <w:tr2bl w:val="nil"/>
                  </w:tcBorders>
                  <w:shd w:val="clear" w:color="auto" w:fill="auto"/>
                  <w:vAlign w:val="center"/>
                </w:tcPr>
                <w:p w14:paraId="49BDCA8A">
                  <w:pPr>
                    <w:adjustRightInd w:val="0"/>
                    <w:snapToGrid w:val="0"/>
                    <w:spacing w:line="240" w:lineRule="auto"/>
                    <w:jc w:val="center"/>
                    <w:rPr>
                      <w:rFonts w:hint="default" w:ascii="Times New Roman" w:hAnsi="Times New Roman" w:eastAsia="宋体" w:cs="Times New Roman"/>
                      <w:b/>
                      <w:bCs/>
                      <w:color w:val="auto"/>
                      <w:kern w:val="0"/>
                      <w:sz w:val="21"/>
                      <w:szCs w:val="21"/>
                      <w:highlight w:val="none"/>
                      <w:lang w:val="en-US" w:eastAsia="zh-CN" w:bidi="en-US"/>
                    </w:rPr>
                  </w:pPr>
                  <w:r>
                    <w:rPr>
                      <w:rFonts w:hint="eastAsia"/>
                      <w:b/>
                      <w:bCs/>
                      <w:color w:val="auto"/>
                      <w:kern w:val="0"/>
                      <w:sz w:val="21"/>
                      <w:szCs w:val="21"/>
                      <w:highlight w:val="none"/>
                      <w:lang w:val="en-US" w:eastAsia="zh-CN" w:bidi="en-US"/>
                    </w:rPr>
                    <w:t>处理措施</w:t>
                  </w:r>
                </w:p>
              </w:tc>
              <w:tc>
                <w:tcPr>
                  <w:tcW w:w="510" w:type="pct"/>
                  <w:vMerge w:val="restart"/>
                  <w:tcBorders>
                    <w:tl2br w:val="nil"/>
                    <w:tr2bl w:val="nil"/>
                  </w:tcBorders>
                  <w:shd w:val="clear" w:color="auto" w:fill="auto"/>
                  <w:vAlign w:val="center"/>
                </w:tcPr>
                <w:p w14:paraId="08C3C6D1">
                  <w:pPr>
                    <w:adjustRightInd w:val="0"/>
                    <w:snapToGrid w:val="0"/>
                    <w:spacing w:line="240" w:lineRule="auto"/>
                    <w:jc w:val="center"/>
                    <w:rPr>
                      <w:rFonts w:hint="default" w:eastAsia="宋体"/>
                      <w:b/>
                      <w:bCs/>
                      <w:color w:val="auto"/>
                      <w:kern w:val="0"/>
                      <w:sz w:val="21"/>
                      <w:szCs w:val="21"/>
                      <w:highlight w:val="none"/>
                      <w:lang w:val="en-US" w:eastAsia="zh-CN" w:bidi="en-US"/>
                    </w:rPr>
                  </w:pPr>
                  <w:r>
                    <w:rPr>
                      <w:rFonts w:hint="eastAsia"/>
                      <w:b/>
                      <w:bCs/>
                      <w:color w:val="auto"/>
                      <w:kern w:val="0"/>
                      <w:sz w:val="21"/>
                      <w:szCs w:val="21"/>
                      <w:highlight w:val="none"/>
                      <w:lang w:val="zh-CN"/>
                    </w:rPr>
                    <w:t>设计废气处理量</w:t>
                  </w:r>
                  <w:r>
                    <w:rPr>
                      <w:b/>
                      <w:bCs/>
                      <w:color w:val="auto"/>
                      <w:kern w:val="0"/>
                      <w:sz w:val="21"/>
                      <w:szCs w:val="21"/>
                      <w:highlight w:val="none"/>
                      <w:lang w:val="zh-CN"/>
                    </w:rPr>
                    <w:t>m</w:t>
                  </w:r>
                  <w:r>
                    <w:rPr>
                      <w:b/>
                      <w:bCs/>
                      <w:color w:val="auto"/>
                      <w:kern w:val="0"/>
                      <w:sz w:val="21"/>
                      <w:szCs w:val="21"/>
                      <w:highlight w:val="none"/>
                      <w:vertAlign w:val="superscript"/>
                    </w:rPr>
                    <w:t>3</w:t>
                  </w:r>
                  <w:r>
                    <w:rPr>
                      <w:b/>
                      <w:bCs/>
                      <w:color w:val="auto"/>
                      <w:kern w:val="0"/>
                      <w:sz w:val="21"/>
                      <w:szCs w:val="21"/>
                      <w:highlight w:val="none"/>
                      <w:lang w:val="zh-CN"/>
                    </w:rPr>
                    <w:t>/h</w:t>
                  </w:r>
                </w:p>
              </w:tc>
              <w:tc>
                <w:tcPr>
                  <w:tcW w:w="1231" w:type="pct"/>
                  <w:gridSpan w:val="3"/>
                  <w:tcBorders>
                    <w:tl2br w:val="nil"/>
                    <w:tr2bl w:val="nil"/>
                  </w:tcBorders>
                  <w:shd w:val="clear" w:color="auto" w:fill="auto"/>
                  <w:vAlign w:val="center"/>
                </w:tcPr>
                <w:p w14:paraId="3559831B">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排放情况</w:t>
                  </w:r>
                </w:p>
              </w:tc>
            </w:tr>
            <w:tr w14:paraId="7933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82" w:type="pct"/>
                  <w:vMerge w:val="continue"/>
                  <w:tcBorders>
                    <w:tl2br w:val="nil"/>
                    <w:tr2bl w:val="nil"/>
                  </w:tcBorders>
                  <w:shd w:val="clear" w:color="auto" w:fill="auto"/>
                  <w:vAlign w:val="center"/>
                </w:tcPr>
                <w:p w14:paraId="6E1CD4B7">
                  <w:pPr>
                    <w:adjustRightInd w:val="0"/>
                    <w:snapToGrid w:val="0"/>
                    <w:spacing w:line="240" w:lineRule="auto"/>
                    <w:jc w:val="center"/>
                    <w:rPr>
                      <w:b/>
                      <w:bCs/>
                      <w:color w:val="auto"/>
                      <w:kern w:val="0"/>
                      <w:sz w:val="21"/>
                      <w:szCs w:val="21"/>
                      <w:highlight w:val="none"/>
                      <w:lang w:bidi="en-US"/>
                    </w:rPr>
                  </w:pPr>
                </w:p>
              </w:tc>
              <w:tc>
                <w:tcPr>
                  <w:tcW w:w="248" w:type="pct"/>
                  <w:vMerge w:val="continue"/>
                  <w:tcBorders>
                    <w:tl2br w:val="nil"/>
                    <w:tr2bl w:val="nil"/>
                  </w:tcBorders>
                  <w:shd w:val="clear" w:color="auto" w:fill="auto"/>
                  <w:vAlign w:val="center"/>
                </w:tcPr>
                <w:p w14:paraId="6012EF96">
                  <w:pPr>
                    <w:adjustRightInd w:val="0"/>
                    <w:snapToGrid w:val="0"/>
                    <w:spacing w:line="240" w:lineRule="auto"/>
                    <w:jc w:val="center"/>
                    <w:rPr>
                      <w:b/>
                      <w:bCs/>
                      <w:color w:val="auto"/>
                      <w:kern w:val="0"/>
                      <w:sz w:val="21"/>
                      <w:szCs w:val="21"/>
                      <w:highlight w:val="none"/>
                      <w:lang w:bidi="en-US"/>
                    </w:rPr>
                  </w:pPr>
                </w:p>
              </w:tc>
              <w:tc>
                <w:tcPr>
                  <w:tcW w:w="384" w:type="pct"/>
                  <w:tcBorders>
                    <w:tl2br w:val="nil"/>
                    <w:tr2bl w:val="nil"/>
                  </w:tcBorders>
                  <w:shd w:val="clear" w:color="auto" w:fill="auto"/>
                  <w:vAlign w:val="center"/>
                </w:tcPr>
                <w:p w14:paraId="599E9E32">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产生量t/a</w:t>
                  </w:r>
                </w:p>
              </w:tc>
              <w:tc>
                <w:tcPr>
                  <w:tcW w:w="423" w:type="pct"/>
                  <w:tcBorders>
                    <w:tl2br w:val="nil"/>
                    <w:tr2bl w:val="nil"/>
                  </w:tcBorders>
                  <w:shd w:val="clear" w:color="auto" w:fill="auto"/>
                  <w:vAlign w:val="center"/>
                </w:tcPr>
                <w:p w14:paraId="64C65196">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产生速率kg/h</w:t>
                  </w:r>
                </w:p>
              </w:tc>
              <w:tc>
                <w:tcPr>
                  <w:tcW w:w="494" w:type="pct"/>
                  <w:tcBorders>
                    <w:tl2br w:val="nil"/>
                    <w:tr2bl w:val="nil"/>
                  </w:tcBorders>
                  <w:shd w:val="clear" w:color="auto" w:fill="auto"/>
                  <w:vAlign w:val="center"/>
                </w:tcPr>
                <w:p w14:paraId="29EB4929">
                  <w:pPr>
                    <w:adjustRightInd w:val="0"/>
                    <w:snapToGrid w:val="0"/>
                    <w:spacing w:line="240" w:lineRule="auto"/>
                    <w:jc w:val="center"/>
                    <w:rPr>
                      <w:rFonts w:hint="default" w:ascii="Times New Roman" w:hAnsi="Times New Roman" w:cs="Times New Roman"/>
                      <w:b/>
                      <w:bCs/>
                      <w:color w:val="auto"/>
                      <w:kern w:val="0"/>
                      <w:sz w:val="21"/>
                      <w:szCs w:val="21"/>
                      <w:highlight w:val="none"/>
                      <w:lang w:bidi="en-US"/>
                    </w:rPr>
                  </w:pPr>
                  <w:r>
                    <w:rPr>
                      <w:rFonts w:hint="default" w:ascii="Times New Roman" w:hAnsi="Times New Roman" w:cs="Times New Roman"/>
                      <w:b/>
                      <w:bCs/>
                      <w:color w:val="auto"/>
                      <w:kern w:val="0"/>
                      <w:sz w:val="21"/>
                      <w:szCs w:val="21"/>
                      <w:highlight w:val="none"/>
                      <w:lang w:bidi="en-US"/>
                    </w:rPr>
                    <w:t>产生</w:t>
                  </w:r>
                </w:p>
                <w:p w14:paraId="54AA4A46">
                  <w:pPr>
                    <w:adjustRightInd w:val="0"/>
                    <w:snapToGrid w:val="0"/>
                    <w:spacing w:line="240" w:lineRule="auto"/>
                    <w:jc w:val="center"/>
                    <w:rPr>
                      <w:b/>
                      <w:bCs/>
                      <w:color w:val="auto"/>
                      <w:kern w:val="0"/>
                      <w:sz w:val="21"/>
                      <w:szCs w:val="21"/>
                      <w:highlight w:val="none"/>
                      <w:lang w:bidi="en-US"/>
                    </w:rPr>
                  </w:pPr>
                  <w:r>
                    <w:rPr>
                      <w:rFonts w:hint="default" w:ascii="Times New Roman" w:hAnsi="Times New Roman" w:cs="Times New Roman"/>
                      <w:b/>
                      <w:bCs/>
                      <w:color w:val="auto"/>
                      <w:kern w:val="0"/>
                      <w:sz w:val="21"/>
                      <w:szCs w:val="21"/>
                      <w:highlight w:val="none"/>
                      <w:lang w:bidi="en-US"/>
                    </w:rPr>
                    <w:t>浓度</w:t>
                  </w:r>
                  <w:r>
                    <w:rPr>
                      <w:rFonts w:hint="default" w:ascii="Times New Roman" w:hAnsi="Times New Roman" w:cs="Times New Roman"/>
                      <w:b/>
                      <w:bCs/>
                      <w:color w:val="auto"/>
                      <w:kern w:val="0"/>
                      <w:sz w:val="21"/>
                      <w:szCs w:val="21"/>
                      <w:highlight w:val="none"/>
                    </w:rPr>
                    <w:t>mg/m</w:t>
                  </w:r>
                  <w:r>
                    <w:rPr>
                      <w:rFonts w:hint="default" w:ascii="Times New Roman" w:hAnsi="Times New Roman" w:cs="Times New Roman"/>
                      <w:b/>
                      <w:bCs/>
                      <w:color w:val="auto"/>
                      <w:kern w:val="0"/>
                      <w:sz w:val="21"/>
                      <w:szCs w:val="21"/>
                      <w:highlight w:val="none"/>
                      <w:vertAlign w:val="superscript"/>
                    </w:rPr>
                    <w:t>3</w:t>
                  </w:r>
                </w:p>
              </w:tc>
              <w:tc>
                <w:tcPr>
                  <w:tcW w:w="345" w:type="pct"/>
                  <w:vMerge w:val="continue"/>
                  <w:tcBorders>
                    <w:tl2br w:val="nil"/>
                    <w:tr2bl w:val="nil"/>
                  </w:tcBorders>
                  <w:shd w:val="clear" w:color="auto" w:fill="auto"/>
                  <w:vAlign w:val="center"/>
                </w:tcPr>
                <w:p w14:paraId="5B8EC6BE">
                  <w:pPr>
                    <w:adjustRightInd w:val="0"/>
                    <w:snapToGrid w:val="0"/>
                    <w:spacing w:line="240" w:lineRule="auto"/>
                    <w:jc w:val="center"/>
                    <w:rPr>
                      <w:b/>
                      <w:bCs/>
                      <w:color w:val="auto"/>
                      <w:kern w:val="0"/>
                      <w:sz w:val="21"/>
                      <w:szCs w:val="21"/>
                      <w:highlight w:val="none"/>
                      <w:lang w:bidi="en-US"/>
                    </w:rPr>
                  </w:pPr>
                </w:p>
              </w:tc>
              <w:tc>
                <w:tcPr>
                  <w:tcW w:w="371" w:type="pct"/>
                  <w:vMerge w:val="continue"/>
                  <w:tcBorders>
                    <w:tl2br w:val="nil"/>
                    <w:tr2bl w:val="nil"/>
                  </w:tcBorders>
                  <w:shd w:val="clear" w:color="auto" w:fill="auto"/>
                  <w:vAlign w:val="center"/>
                </w:tcPr>
                <w:p w14:paraId="371C618E">
                  <w:pPr>
                    <w:adjustRightInd w:val="0"/>
                    <w:snapToGrid w:val="0"/>
                    <w:spacing w:line="240" w:lineRule="auto"/>
                    <w:jc w:val="center"/>
                    <w:rPr>
                      <w:b/>
                      <w:bCs/>
                      <w:color w:val="auto"/>
                      <w:kern w:val="0"/>
                      <w:sz w:val="21"/>
                      <w:szCs w:val="21"/>
                      <w:highlight w:val="none"/>
                      <w:lang w:bidi="en-US"/>
                    </w:rPr>
                  </w:pPr>
                </w:p>
              </w:tc>
              <w:tc>
                <w:tcPr>
                  <w:tcW w:w="510" w:type="pct"/>
                  <w:vMerge w:val="continue"/>
                  <w:tcBorders>
                    <w:tl2br w:val="nil"/>
                    <w:tr2bl w:val="nil"/>
                  </w:tcBorders>
                  <w:shd w:val="clear" w:color="auto" w:fill="auto"/>
                  <w:vAlign w:val="center"/>
                </w:tcPr>
                <w:p w14:paraId="2DEB4705">
                  <w:pPr>
                    <w:adjustRightInd w:val="0"/>
                    <w:snapToGrid w:val="0"/>
                    <w:spacing w:line="240" w:lineRule="auto"/>
                    <w:jc w:val="center"/>
                    <w:rPr>
                      <w:b/>
                      <w:bCs/>
                      <w:color w:val="auto"/>
                      <w:kern w:val="0"/>
                      <w:sz w:val="21"/>
                      <w:szCs w:val="21"/>
                      <w:highlight w:val="none"/>
                      <w:lang w:bidi="en-US"/>
                    </w:rPr>
                  </w:pPr>
                </w:p>
              </w:tc>
              <w:tc>
                <w:tcPr>
                  <w:tcW w:w="510" w:type="pct"/>
                  <w:vMerge w:val="continue"/>
                  <w:tcBorders>
                    <w:tl2br w:val="nil"/>
                    <w:tr2bl w:val="nil"/>
                  </w:tcBorders>
                  <w:shd w:val="clear" w:color="auto" w:fill="auto"/>
                  <w:vAlign w:val="center"/>
                </w:tcPr>
                <w:p w14:paraId="3E7EB532">
                  <w:pPr>
                    <w:adjustRightInd w:val="0"/>
                    <w:snapToGrid w:val="0"/>
                    <w:spacing w:line="240" w:lineRule="auto"/>
                    <w:jc w:val="center"/>
                    <w:rPr>
                      <w:b/>
                      <w:bCs/>
                      <w:color w:val="auto"/>
                      <w:kern w:val="0"/>
                      <w:sz w:val="21"/>
                      <w:szCs w:val="21"/>
                      <w:highlight w:val="none"/>
                      <w:lang w:bidi="en-US"/>
                    </w:rPr>
                  </w:pPr>
                </w:p>
              </w:tc>
              <w:tc>
                <w:tcPr>
                  <w:tcW w:w="371" w:type="pct"/>
                  <w:tcBorders>
                    <w:tl2br w:val="nil"/>
                    <w:tr2bl w:val="nil"/>
                  </w:tcBorders>
                  <w:shd w:val="clear" w:color="auto" w:fill="auto"/>
                  <w:vAlign w:val="center"/>
                </w:tcPr>
                <w:p w14:paraId="1C6395F1">
                  <w:pPr>
                    <w:adjustRightInd w:val="0"/>
                    <w:snapToGrid w:val="0"/>
                    <w:spacing w:line="240" w:lineRule="auto"/>
                    <w:jc w:val="center"/>
                    <w:rPr>
                      <w:b/>
                      <w:bCs/>
                      <w:color w:val="auto"/>
                      <w:kern w:val="0"/>
                      <w:sz w:val="21"/>
                      <w:szCs w:val="21"/>
                      <w:highlight w:val="none"/>
                      <w:vertAlign w:val="superscript"/>
                      <w:lang w:bidi="en-US"/>
                    </w:rPr>
                  </w:pPr>
                  <w:r>
                    <w:rPr>
                      <w:b/>
                      <w:bCs/>
                      <w:color w:val="auto"/>
                      <w:kern w:val="0"/>
                      <w:sz w:val="21"/>
                      <w:szCs w:val="21"/>
                      <w:highlight w:val="none"/>
                      <w:lang w:bidi="en-US"/>
                    </w:rPr>
                    <w:t>排放量t/a</w:t>
                  </w:r>
                </w:p>
              </w:tc>
              <w:tc>
                <w:tcPr>
                  <w:tcW w:w="392" w:type="pct"/>
                  <w:tcBorders>
                    <w:tl2br w:val="nil"/>
                    <w:tr2bl w:val="nil"/>
                  </w:tcBorders>
                  <w:shd w:val="clear" w:color="auto" w:fill="auto"/>
                  <w:vAlign w:val="center"/>
                </w:tcPr>
                <w:p w14:paraId="109A0600">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排放速率kg/h</w:t>
                  </w:r>
                </w:p>
              </w:tc>
              <w:tc>
                <w:tcPr>
                  <w:tcW w:w="467" w:type="pct"/>
                  <w:tcBorders>
                    <w:tl2br w:val="nil"/>
                    <w:tr2bl w:val="nil"/>
                  </w:tcBorders>
                  <w:shd w:val="clear" w:color="auto" w:fill="auto"/>
                  <w:vAlign w:val="center"/>
                </w:tcPr>
                <w:p w14:paraId="6DA48ECA">
                  <w:pPr>
                    <w:adjustRightInd w:val="0"/>
                    <w:snapToGrid w:val="0"/>
                    <w:spacing w:line="240" w:lineRule="auto"/>
                    <w:jc w:val="center"/>
                    <w:rPr>
                      <w:rFonts w:hint="default" w:ascii="Times New Roman" w:hAnsi="Times New Roman" w:cs="Times New Roman"/>
                      <w:b/>
                      <w:bCs/>
                      <w:color w:val="auto"/>
                      <w:kern w:val="0"/>
                      <w:sz w:val="21"/>
                      <w:szCs w:val="21"/>
                      <w:highlight w:val="none"/>
                      <w:lang w:bidi="en-US"/>
                    </w:rPr>
                  </w:pPr>
                  <w:r>
                    <w:rPr>
                      <w:rFonts w:hint="default" w:ascii="Times New Roman" w:hAnsi="Times New Roman" w:cs="Times New Roman"/>
                      <w:b/>
                      <w:bCs/>
                      <w:color w:val="auto"/>
                      <w:kern w:val="0"/>
                      <w:sz w:val="21"/>
                      <w:szCs w:val="21"/>
                      <w:highlight w:val="none"/>
                      <w:lang w:bidi="en-US"/>
                    </w:rPr>
                    <w:t>排放</w:t>
                  </w:r>
                </w:p>
                <w:p w14:paraId="742E4DF6">
                  <w:pPr>
                    <w:adjustRightInd w:val="0"/>
                    <w:snapToGrid w:val="0"/>
                    <w:spacing w:line="240" w:lineRule="auto"/>
                    <w:jc w:val="center"/>
                    <w:rPr>
                      <w:rFonts w:hint="default" w:ascii="Times New Roman" w:hAnsi="Times New Roman" w:cs="Times New Roman"/>
                      <w:b/>
                      <w:bCs/>
                      <w:color w:val="auto"/>
                      <w:kern w:val="0"/>
                      <w:sz w:val="21"/>
                      <w:szCs w:val="21"/>
                      <w:highlight w:val="none"/>
                      <w:lang w:bidi="en-US"/>
                    </w:rPr>
                  </w:pPr>
                  <w:r>
                    <w:rPr>
                      <w:rFonts w:hint="default" w:ascii="Times New Roman" w:hAnsi="Times New Roman" w:cs="Times New Roman"/>
                      <w:b/>
                      <w:bCs/>
                      <w:color w:val="auto"/>
                      <w:kern w:val="0"/>
                      <w:sz w:val="21"/>
                      <w:szCs w:val="21"/>
                      <w:highlight w:val="none"/>
                      <w:lang w:bidi="en-US"/>
                    </w:rPr>
                    <w:t>浓度</w:t>
                  </w:r>
                </w:p>
                <w:p w14:paraId="286CFFDC">
                  <w:pPr>
                    <w:adjustRightInd w:val="0"/>
                    <w:snapToGrid w:val="0"/>
                    <w:spacing w:line="240" w:lineRule="auto"/>
                    <w:jc w:val="center"/>
                    <w:rPr>
                      <w:b/>
                      <w:bCs/>
                      <w:color w:val="auto"/>
                      <w:kern w:val="0"/>
                      <w:sz w:val="21"/>
                      <w:szCs w:val="21"/>
                      <w:highlight w:val="none"/>
                      <w:lang w:bidi="en-US"/>
                    </w:rPr>
                  </w:pPr>
                  <w:r>
                    <w:rPr>
                      <w:rFonts w:hint="default" w:ascii="Times New Roman" w:hAnsi="Times New Roman" w:cs="Times New Roman"/>
                      <w:b/>
                      <w:bCs/>
                      <w:color w:val="auto"/>
                      <w:kern w:val="0"/>
                      <w:sz w:val="21"/>
                      <w:szCs w:val="21"/>
                      <w:highlight w:val="none"/>
                    </w:rPr>
                    <w:t>mg/m</w:t>
                  </w:r>
                  <w:r>
                    <w:rPr>
                      <w:rFonts w:hint="default" w:ascii="Times New Roman" w:hAnsi="Times New Roman" w:cs="Times New Roman"/>
                      <w:b/>
                      <w:bCs/>
                      <w:color w:val="auto"/>
                      <w:kern w:val="0"/>
                      <w:sz w:val="21"/>
                      <w:szCs w:val="21"/>
                      <w:highlight w:val="none"/>
                      <w:vertAlign w:val="superscript"/>
                    </w:rPr>
                    <w:t>3</w:t>
                  </w:r>
                </w:p>
              </w:tc>
            </w:tr>
            <w:tr w14:paraId="7F74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482" w:type="pct"/>
                  <w:tcBorders>
                    <w:tl2br w:val="nil"/>
                    <w:tr2bl w:val="nil"/>
                  </w:tcBorders>
                  <w:shd w:val="clear" w:color="auto" w:fill="auto"/>
                  <w:vAlign w:val="center"/>
                </w:tcPr>
                <w:p w14:paraId="5C67A44F">
                  <w:pPr>
                    <w:adjustRightInd w:val="0"/>
                    <w:snapToGrid w:val="0"/>
                    <w:spacing w:line="240" w:lineRule="auto"/>
                    <w:jc w:val="center"/>
                    <w:rPr>
                      <w:rFonts w:hint="default"/>
                      <w:color w:val="auto"/>
                      <w:kern w:val="0"/>
                      <w:sz w:val="21"/>
                      <w:szCs w:val="21"/>
                      <w:highlight w:val="none"/>
                      <w:lang w:val="en-US" w:eastAsia="zh-CN" w:bidi="en-US"/>
                    </w:rPr>
                  </w:pPr>
                  <w:r>
                    <w:rPr>
                      <w:rFonts w:hint="eastAsia"/>
                      <w:color w:val="auto"/>
                      <w:kern w:val="0"/>
                      <w:sz w:val="21"/>
                      <w:szCs w:val="21"/>
                      <w:highlight w:val="none"/>
                      <w:lang w:val="en-US" w:eastAsia="zh-CN" w:bidi="en-US"/>
                    </w:rPr>
                    <w:t>收集的废气</w:t>
                  </w:r>
                </w:p>
              </w:tc>
              <w:tc>
                <w:tcPr>
                  <w:tcW w:w="248" w:type="pct"/>
                  <w:tcBorders>
                    <w:tl2br w:val="nil"/>
                    <w:tr2bl w:val="nil"/>
                  </w:tcBorders>
                  <w:shd w:val="clear" w:color="auto" w:fill="auto"/>
                  <w:vAlign w:val="center"/>
                </w:tcPr>
                <w:p w14:paraId="18031B40">
                  <w:pPr>
                    <w:adjustRightInd w:val="0"/>
                    <w:snapToGrid w:val="0"/>
                    <w:spacing w:line="240" w:lineRule="auto"/>
                    <w:jc w:val="center"/>
                    <w:rPr>
                      <w:rFonts w:hint="eastAsia" w:ascii="Times New Roman" w:hAnsi="Times New Roman" w:eastAsia="宋体" w:cs="Times New Roman"/>
                      <w:color w:val="auto"/>
                      <w:kern w:val="0"/>
                      <w:sz w:val="21"/>
                      <w:szCs w:val="21"/>
                      <w:highlight w:val="none"/>
                      <w:lang w:val="en-US" w:eastAsia="zh-CN" w:bidi="en-US"/>
                    </w:rPr>
                  </w:pPr>
                  <w:r>
                    <w:rPr>
                      <w:rFonts w:hint="eastAsia"/>
                      <w:color w:val="auto"/>
                      <w:kern w:val="0"/>
                      <w:sz w:val="21"/>
                      <w:szCs w:val="21"/>
                      <w:highlight w:val="none"/>
                      <w:lang w:val="en-US" w:eastAsia="zh-CN" w:bidi="en-US"/>
                    </w:rPr>
                    <w:t>颗粒物</w:t>
                  </w:r>
                </w:p>
              </w:tc>
              <w:tc>
                <w:tcPr>
                  <w:tcW w:w="384" w:type="pct"/>
                  <w:tcBorders>
                    <w:tl2br w:val="nil"/>
                    <w:tr2bl w:val="nil"/>
                  </w:tcBorders>
                  <w:shd w:val="clear" w:color="auto" w:fill="auto"/>
                  <w:vAlign w:val="center"/>
                </w:tcPr>
                <w:p w14:paraId="334604D0">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7.16</w:t>
                  </w:r>
                </w:p>
              </w:tc>
              <w:tc>
                <w:tcPr>
                  <w:tcW w:w="423" w:type="pct"/>
                  <w:tcBorders>
                    <w:tl2br w:val="nil"/>
                    <w:tr2bl w:val="nil"/>
                  </w:tcBorders>
                  <w:shd w:val="clear" w:color="auto" w:fill="auto"/>
                  <w:vAlign w:val="center"/>
                </w:tcPr>
                <w:p w14:paraId="09456F6E">
                  <w:pPr>
                    <w:widowControl/>
                    <w:snapToGrid w:val="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2.98</w:t>
                  </w:r>
                </w:p>
              </w:tc>
              <w:tc>
                <w:tcPr>
                  <w:tcW w:w="494" w:type="pct"/>
                  <w:tcBorders>
                    <w:tl2br w:val="nil"/>
                    <w:tr2bl w:val="nil"/>
                  </w:tcBorders>
                  <w:shd w:val="clear" w:color="auto" w:fill="auto"/>
                  <w:vAlign w:val="center"/>
                </w:tcPr>
                <w:p w14:paraId="3E7CA04C">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p>
              </w:tc>
              <w:tc>
                <w:tcPr>
                  <w:tcW w:w="345" w:type="pct"/>
                  <w:tcBorders>
                    <w:tl2br w:val="nil"/>
                    <w:tr2bl w:val="nil"/>
                  </w:tcBorders>
                  <w:shd w:val="clear" w:color="auto" w:fill="auto"/>
                  <w:vAlign w:val="center"/>
                </w:tcPr>
                <w:p w14:paraId="507C6FE9">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90</w:t>
                  </w:r>
                </w:p>
              </w:tc>
              <w:tc>
                <w:tcPr>
                  <w:tcW w:w="371" w:type="pct"/>
                  <w:tcBorders>
                    <w:tl2br w:val="nil"/>
                    <w:tr2bl w:val="nil"/>
                  </w:tcBorders>
                  <w:shd w:val="clear" w:color="auto" w:fill="auto"/>
                  <w:vAlign w:val="center"/>
                </w:tcPr>
                <w:p w14:paraId="20D19BDD">
                  <w:pPr>
                    <w:widowControl/>
                    <w:snapToGrid w:val="0"/>
                    <w:jc w:val="center"/>
                    <w:textAlignment w:val="center"/>
                    <w:rPr>
                      <w:rFonts w:hint="default" w:eastAsia="宋体"/>
                      <w:color w:val="auto"/>
                      <w:kern w:val="0"/>
                      <w:sz w:val="21"/>
                      <w:szCs w:val="21"/>
                      <w:highlight w:val="none"/>
                      <w:lang w:val="en-US" w:eastAsia="zh-CN" w:bidi="ar"/>
                    </w:rPr>
                  </w:pPr>
                  <w:r>
                    <w:rPr>
                      <w:rFonts w:hint="eastAsia"/>
                      <w:color w:val="auto"/>
                      <w:kern w:val="0"/>
                      <w:sz w:val="21"/>
                      <w:szCs w:val="21"/>
                      <w:highlight w:val="none"/>
                      <w:lang w:val="en-US" w:eastAsia="zh-CN" w:bidi="ar"/>
                    </w:rPr>
                    <w:t>95</w:t>
                  </w:r>
                </w:p>
              </w:tc>
              <w:tc>
                <w:tcPr>
                  <w:tcW w:w="510" w:type="pct"/>
                  <w:tcBorders>
                    <w:tl2br w:val="nil"/>
                    <w:tr2bl w:val="nil"/>
                  </w:tcBorders>
                  <w:shd w:val="clear" w:color="auto" w:fill="auto"/>
                  <w:vAlign w:val="center"/>
                </w:tcPr>
                <w:p w14:paraId="053DE6BB">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移动烟尘净化器</w:t>
                  </w:r>
                </w:p>
              </w:tc>
              <w:tc>
                <w:tcPr>
                  <w:tcW w:w="510" w:type="pct"/>
                  <w:tcBorders>
                    <w:tl2br w:val="nil"/>
                    <w:tr2bl w:val="nil"/>
                  </w:tcBorders>
                  <w:shd w:val="clear" w:color="auto" w:fill="auto"/>
                  <w:vAlign w:val="center"/>
                </w:tcPr>
                <w:p w14:paraId="18F59D88">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371" w:type="pct"/>
                  <w:tcBorders>
                    <w:tl2br w:val="nil"/>
                    <w:tr2bl w:val="nil"/>
                  </w:tcBorders>
                  <w:shd w:val="clear" w:color="auto" w:fill="auto"/>
                  <w:vAlign w:val="center"/>
                </w:tcPr>
                <w:p w14:paraId="557A38AB">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0.36</w:t>
                  </w:r>
                </w:p>
              </w:tc>
              <w:tc>
                <w:tcPr>
                  <w:tcW w:w="392" w:type="pct"/>
                  <w:tcBorders>
                    <w:tl2br w:val="nil"/>
                    <w:tr2bl w:val="nil"/>
                  </w:tcBorders>
                  <w:shd w:val="clear" w:color="auto" w:fill="auto"/>
                  <w:vAlign w:val="center"/>
                </w:tcPr>
                <w:p w14:paraId="7FA6DE12">
                  <w:pPr>
                    <w:widowControl/>
                    <w:snapToGrid w:val="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0.15</w:t>
                  </w:r>
                </w:p>
              </w:tc>
              <w:tc>
                <w:tcPr>
                  <w:tcW w:w="467" w:type="pct"/>
                  <w:tcBorders>
                    <w:tl2br w:val="nil"/>
                    <w:tr2bl w:val="nil"/>
                  </w:tcBorders>
                  <w:shd w:val="clear" w:color="auto" w:fill="auto"/>
                  <w:vAlign w:val="center"/>
                </w:tcPr>
                <w:p w14:paraId="7C052590">
                  <w:pPr>
                    <w:widowControl/>
                    <w:snapToGrid w:val="0"/>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w:t>
                  </w:r>
                </w:p>
              </w:tc>
            </w:tr>
            <w:tr w14:paraId="38EFC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482" w:type="pct"/>
                  <w:tcBorders>
                    <w:tl2br w:val="nil"/>
                    <w:tr2bl w:val="nil"/>
                  </w:tcBorders>
                  <w:shd w:val="clear" w:color="auto" w:fill="auto"/>
                  <w:vAlign w:val="center"/>
                </w:tcPr>
                <w:p w14:paraId="7256F977">
                  <w:pPr>
                    <w:adjustRightInd w:val="0"/>
                    <w:snapToGrid w:val="0"/>
                    <w:spacing w:line="240" w:lineRule="auto"/>
                    <w:jc w:val="center"/>
                    <w:rPr>
                      <w:rFonts w:hint="default"/>
                      <w:color w:val="auto"/>
                      <w:kern w:val="0"/>
                      <w:sz w:val="21"/>
                      <w:szCs w:val="21"/>
                      <w:highlight w:val="none"/>
                      <w:lang w:val="en-US" w:eastAsia="zh-CN" w:bidi="en-US"/>
                    </w:rPr>
                  </w:pPr>
                  <w:r>
                    <w:rPr>
                      <w:rFonts w:hint="eastAsia"/>
                      <w:color w:val="auto"/>
                      <w:kern w:val="0"/>
                      <w:sz w:val="21"/>
                      <w:szCs w:val="21"/>
                      <w:highlight w:val="none"/>
                      <w:lang w:val="en-US" w:eastAsia="zh-CN" w:bidi="en-US"/>
                    </w:rPr>
                    <w:t>未收集废气</w:t>
                  </w:r>
                </w:p>
              </w:tc>
              <w:tc>
                <w:tcPr>
                  <w:tcW w:w="248" w:type="pct"/>
                  <w:tcBorders>
                    <w:tl2br w:val="nil"/>
                    <w:tr2bl w:val="nil"/>
                  </w:tcBorders>
                  <w:shd w:val="clear" w:color="auto" w:fill="auto"/>
                  <w:vAlign w:val="center"/>
                </w:tcPr>
                <w:p w14:paraId="352C6A19">
                  <w:pPr>
                    <w:adjustRightInd w:val="0"/>
                    <w:snapToGrid w:val="0"/>
                    <w:spacing w:line="240" w:lineRule="auto"/>
                    <w:jc w:val="center"/>
                    <w:rPr>
                      <w:rFonts w:hint="eastAsia"/>
                      <w:color w:val="auto"/>
                      <w:kern w:val="0"/>
                      <w:sz w:val="21"/>
                      <w:szCs w:val="21"/>
                      <w:highlight w:val="none"/>
                      <w:lang w:val="en-US" w:eastAsia="zh-CN" w:bidi="en-US"/>
                    </w:rPr>
                  </w:pPr>
                  <w:r>
                    <w:rPr>
                      <w:rFonts w:hint="eastAsia"/>
                      <w:color w:val="auto"/>
                      <w:kern w:val="0"/>
                      <w:sz w:val="21"/>
                      <w:szCs w:val="21"/>
                      <w:highlight w:val="none"/>
                      <w:lang w:val="en-US" w:eastAsia="zh-CN" w:bidi="en-US"/>
                    </w:rPr>
                    <w:t>颗粒物</w:t>
                  </w:r>
                </w:p>
              </w:tc>
              <w:tc>
                <w:tcPr>
                  <w:tcW w:w="384" w:type="pct"/>
                  <w:tcBorders>
                    <w:tl2br w:val="nil"/>
                    <w:tr2bl w:val="nil"/>
                  </w:tcBorders>
                  <w:shd w:val="clear" w:color="auto" w:fill="auto"/>
                  <w:vAlign w:val="center"/>
                </w:tcPr>
                <w:p w14:paraId="2948E639">
                  <w:pPr>
                    <w:widowControl/>
                    <w:snapToGrid w:val="0"/>
                    <w:jc w:val="center"/>
                    <w:textAlignment w:val="center"/>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0.79</w:t>
                  </w:r>
                </w:p>
              </w:tc>
              <w:tc>
                <w:tcPr>
                  <w:tcW w:w="423" w:type="pct"/>
                  <w:tcBorders>
                    <w:tl2br w:val="nil"/>
                    <w:tr2bl w:val="nil"/>
                  </w:tcBorders>
                  <w:shd w:val="clear" w:color="auto" w:fill="auto"/>
                  <w:vAlign w:val="center"/>
                </w:tcPr>
                <w:p w14:paraId="746D505E">
                  <w:pPr>
                    <w:widowControl/>
                    <w:snapToGrid w:val="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0.33</w:t>
                  </w:r>
                </w:p>
              </w:tc>
              <w:tc>
                <w:tcPr>
                  <w:tcW w:w="494" w:type="pct"/>
                  <w:tcBorders>
                    <w:tl2br w:val="nil"/>
                    <w:tr2bl w:val="nil"/>
                  </w:tcBorders>
                  <w:shd w:val="clear" w:color="auto" w:fill="auto"/>
                  <w:vAlign w:val="center"/>
                </w:tcPr>
                <w:p w14:paraId="475FCC62">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bidi="ar"/>
                    </w:rPr>
                    <w:t>/</w:t>
                  </w:r>
                </w:p>
              </w:tc>
              <w:tc>
                <w:tcPr>
                  <w:tcW w:w="345" w:type="pct"/>
                  <w:tcBorders>
                    <w:tl2br w:val="nil"/>
                    <w:tr2bl w:val="nil"/>
                  </w:tcBorders>
                  <w:shd w:val="clear" w:color="auto" w:fill="auto"/>
                  <w:vAlign w:val="center"/>
                </w:tcPr>
                <w:p w14:paraId="7EFBDA78">
                  <w:pPr>
                    <w:widowControl/>
                    <w:snapToGrid w:val="0"/>
                    <w:jc w:val="center"/>
                    <w:textAlignment w:val="center"/>
                    <w:rPr>
                      <w:rFonts w:hint="eastAsia"/>
                      <w:color w:val="auto"/>
                      <w:lang w:val="en-US" w:eastAsia="zh-CN"/>
                    </w:rPr>
                  </w:pPr>
                </w:p>
              </w:tc>
              <w:tc>
                <w:tcPr>
                  <w:tcW w:w="371" w:type="pct"/>
                  <w:tcBorders>
                    <w:tl2br w:val="nil"/>
                    <w:tr2bl w:val="nil"/>
                  </w:tcBorders>
                  <w:shd w:val="clear" w:color="auto" w:fill="auto"/>
                  <w:vAlign w:val="center"/>
                </w:tcPr>
                <w:p w14:paraId="2044FC87">
                  <w:pPr>
                    <w:widowControl/>
                    <w:snapToGrid w:val="0"/>
                    <w:jc w:val="center"/>
                    <w:textAlignment w:val="center"/>
                    <w:rPr>
                      <w:rFonts w:hint="default"/>
                      <w:color w:val="auto"/>
                      <w:lang w:val="en-US" w:eastAsia="zh-CN"/>
                    </w:rPr>
                  </w:pPr>
                  <w:r>
                    <w:rPr>
                      <w:rFonts w:hint="eastAsia"/>
                      <w:color w:val="auto"/>
                      <w:lang w:val="en-US" w:eastAsia="zh-CN"/>
                    </w:rPr>
                    <w:t>/</w:t>
                  </w:r>
                </w:p>
              </w:tc>
              <w:tc>
                <w:tcPr>
                  <w:tcW w:w="510" w:type="pct"/>
                  <w:tcBorders>
                    <w:tl2br w:val="nil"/>
                    <w:tr2bl w:val="nil"/>
                  </w:tcBorders>
                  <w:shd w:val="clear" w:color="auto" w:fill="auto"/>
                  <w:vAlign w:val="center"/>
                </w:tcPr>
                <w:p w14:paraId="1BC2EBFD">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510" w:type="pct"/>
                  <w:tcBorders>
                    <w:tl2br w:val="nil"/>
                    <w:tr2bl w:val="nil"/>
                  </w:tcBorders>
                  <w:shd w:val="clear" w:color="auto" w:fill="auto"/>
                  <w:vAlign w:val="center"/>
                </w:tcPr>
                <w:p w14:paraId="1AADCEFD">
                  <w:pPr>
                    <w:widowControl/>
                    <w:snapToGrid w:val="0"/>
                    <w:jc w:val="center"/>
                    <w:textAlignment w:val="center"/>
                    <w:rPr>
                      <w:rFonts w:hint="eastAsia"/>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371" w:type="pct"/>
                  <w:tcBorders>
                    <w:tl2br w:val="nil"/>
                    <w:tr2bl w:val="nil"/>
                  </w:tcBorders>
                  <w:shd w:val="clear" w:color="auto" w:fill="auto"/>
                  <w:vAlign w:val="center"/>
                </w:tcPr>
                <w:p w14:paraId="7E6777B9">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0.79</w:t>
                  </w:r>
                </w:p>
              </w:tc>
              <w:tc>
                <w:tcPr>
                  <w:tcW w:w="392" w:type="pct"/>
                  <w:tcBorders>
                    <w:tl2br w:val="nil"/>
                    <w:tr2bl w:val="nil"/>
                  </w:tcBorders>
                  <w:shd w:val="clear" w:color="auto" w:fill="auto"/>
                  <w:vAlign w:val="center"/>
                </w:tcPr>
                <w:p w14:paraId="77617FBD">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0.33</w:t>
                  </w:r>
                </w:p>
              </w:tc>
              <w:tc>
                <w:tcPr>
                  <w:tcW w:w="467" w:type="pct"/>
                  <w:tcBorders>
                    <w:tl2br w:val="nil"/>
                    <w:tr2bl w:val="nil"/>
                  </w:tcBorders>
                  <w:shd w:val="clear" w:color="auto" w:fill="auto"/>
                  <w:vAlign w:val="center"/>
                </w:tcPr>
                <w:p w14:paraId="720B8C01">
                  <w:pPr>
                    <w:widowControl/>
                    <w:snapToGrid w:val="0"/>
                    <w:jc w:val="center"/>
                    <w:textAlignment w:val="center"/>
                    <w:rPr>
                      <w:rFonts w:hint="eastAsia" w:ascii="Times New Roman" w:hAnsi="Times New Roman" w:eastAsia="宋体" w:cs="Times New Roman"/>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r>
            <w:tr w14:paraId="4C20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151" w:hRule="atLeast"/>
              </w:trPr>
              <w:tc>
                <w:tcPr>
                  <w:tcW w:w="730" w:type="pct"/>
                  <w:gridSpan w:val="2"/>
                  <w:tcBorders>
                    <w:tl2br w:val="nil"/>
                    <w:tr2bl w:val="nil"/>
                  </w:tcBorders>
                  <w:shd w:val="clear" w:color="auto" w:fill="auto"/>
                  <w:vAlign w:val="center"/>
                </w:tcPr>
                <w:p w14:paraId="597F071E">
                  <w:pPr>
                    <w:adjustRightInd w:val="0"/>
                    <w:snapToGrid w:val="0"/>
                    <w:spacing w:line="240" w:lineRule="auto"/>
                    <w:jc w:val="center"/>
                    <w:rPr>
                      <w:rFonts w:hint="default"/>
                      <w:color w:val="auto"/>
                      <w:kern w:val="0"/>
                      <w:sz w:val="21"/>
                      <w:szCs w:val="21"/>
                      <w:highlight w:val="none"/>
                      <w:lang w:val="en-US" w:eastAsia="zh-CN" w:bidi="en-US"/>
                    </w:rPr>
                  </w:pPr>
                  <w:r>
                    <w:rPr>
                      <w:rFonts w:hint="eastAsia"/>
                      <w:color w:val="auto"/>
                      <w:kern w:val="0"/>
                      <w:sz w:val="21"/>
                      <w:szCs w:val="21"/>
                      <w:highlight w:val="none"/>
                      <w:lang w:val="en-US" w:eastAsia="zh-CN" w:bidi="en-US"/>
                    </w:rPr>
                    <w:t>无组织废气合计</w:t>
                  </w:r>
                </w:p>
              </w:tc>
              <w:tc>
                <w:tcPr>
                  <w:tcW w:w="384" w:type="pct"/>
                  <w:tcBorders>
                    <w:tl2br w:val="nil"/>
                    <w:tr2bl w:val="nil"/>
                  </w:tcBorders>
                  <w:shd w:val="clear" w:color="auto" w:fill="auto"/>
                  <w:vAlign w:val="center"/>
                </w:tcPr>
                <w:p w14:paraId="595424F2">
                  <w:pPr>
                    <w:widowControl/>
                    <w:snapToGrid w:val="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7.95</w:t>
                  </w:r>
                </w:p>
              </w:tc>
              <w:tc>
                <w:tcPr>
                  <w:tcW w:w="423" w:type="pct"/>
                  <w:tcBorders>
                    <w:tl2br w:val="nil"/>
                    <w:tr2bl w:val="nil"/>
                  </w:tcBorders>
                  <w:shd w:val="clear" w:color="auto" w:fill="auto"/>
                  <w:vAlign w:val="center"/>
                </w:tcPr>
                <w:p w14:paraId="7A282D0C">
                  <w:pPr>
                    <w:widowControl/>
                    <w:snapToGrid w:val="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3.31</w:t>
                  </w:r>
                </w:p>
              </w:tc>
              <w:tc>
                <w:tcPr>
                  <w:tcW w:w="494" w:type="pct"/>
                  <w:tcBorders>
                    <w:tl2br w:val="nil"/>
                    <w:tr2bl w:val="nil"/>
                  </w:tcBorders>
                  <w:shd w:val="clear" w:color="auto" w:fill="auto"/>
                  <w:vAlign w:val="center"/>
                </w:tcPr>
                <w:p w14:paraId="6C714B75">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bidi="ar"/>
                    </w:rPr>
                    <w:t>/</w:t>
                  </w:r>
                </w:p>
              </w:tc>
              <w:tc>
                <w:tcPr>
                  <w:tcW w:w="345" w:type="pct"/>
                  <w:tcBorders>
                    <w:tl2br w:val="nil"/>
                    <w:tr2bl w:val="nil"/>
                  </w:tcBorders>
                  <w:shd w:val="clear" w:color="auto" w:fill="auto"/>
                  <w:vAlign w:val="center"/>
                </w:tcPr>
                <w:p w14:paraId="5E6B5392">
                  <w:pPr>
                    <w:widowControl/>
                    <w:snapToGrid w:val="0"/>
                    <w:jc w:val="center"/>
                    <w:textAlignment w:val="center"/>
                    <w:rPr>
                      <w:rFonts w:hint="eastAsia"/>
                      <w:color w:val="auto"/>
                      <w:lang w:val="en-US" w:eastAsia="zh-CN"/>
                    </w:rPr>
                  </w:pPr>
                </w:p>
              </w:tc>
              <w:tc>
                <w:tcPr>
                  <w:tcW w:w="371" w:type="pct"/>
                  <w:tcBorders>
                    <w:tl2br w:val="nil"/>
                    <w:tr2bl w:val="nil"/>
                  </w:tcBorders>
                  <w:shd w:val="clear" w:color="auto" w:fill="auto"/>
                  <w:vAlign w:val="center"/>
                </w:tcPr>
                <w:p w14:paraId="39FE5B0B">
                  <w:pPr>
                    <w:widowControl/>
                    <w:snapToGrid w:val="0"/>
                    <w:jc w:val="center"/>
                    <w:textAlignment w:val="center"/>
                    <w:rPr>
                      <w:rFonts w:hint="eastAsia"/>
                      <w:color w:val="auto"/>
                      <w:lang w:val="en-US" w:eastAsia="zh-CN"/>
                    </w:rPr>
                  </w:pPr>
                </w:p>
              </w:tc>
              <w:tc>
                <w:tcPr>
                  <w:tcW w:w="510" w:type="pct"/>
                  <w:tcBorders>
                    <w:tl2br w:val="nil"/>
                    <w:tr2bl w:val="nil"/>
                  </w:tcBorders>
                  <w:shd w:val="clear" w:color="auto" w:fill="auto"/>
                  <w:vAlign w:val="center"/>
                </w:tcPr>
                <w:p w14:paraId="2524ECFC">
                  <w:pPr>
                    <w:widowControl/>
                    <w:snapToGrid w:val="0"/>
                    <w:jc w:val="center"/>
                    <w:textAlignment w:val="center"/>
                    <w:rPr>
                      <w:rFonts w:hint="eastAsia"/>
                      <w:color w:val="auto"/>
                      <w:kern w:val="0"/>
                      <w:sz w:val="21"/>
                      <w:szCs w:val="21"/>
                      <w:highlight w:val="none"/>
                      <w:lang w:val="en-US" w:eastAsia="zh-CN" w:bidi="ar"/>
                    </w:rPr>
                  </w:pPr>
                </w:p>
              </w:tc>
              <w:tc>
                <w:tcPr>
                  <w:tcW w:w="510" w:type="pct"/>
                  <w:tcBorders>
                    <w:tl2br w:val="nil"/>
                    <w:tr2bl w:val="nil"/>
                  </w:tcBorders>
                  <w:shd w:val="clear" w:color="auto" w:fill="auto"/>
                  <w:vAlign w:val="center"/>
                </w:tcPr>
                <w:p w14:paraId="335E6048">
                  <w:pPr>
                    <w:widowControl/>
                    <w:snapToGrid w:val="0"/>
                    <w:jc w:val="center"/>
                    <w:textAlignment w:val="center"/>
                    <w:rPr>
                      <w:rFonts w:hint="eastAsia"/>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371" w:type="pct"/>
                  <w:tcBorders>
                    <w:tl2br w:val="nil"/>
                    <w:tr2bl w:val="nil"/>
                  </w:tcBorders>
                  <w:shd w:val="clear" w:color="auto" w:fill="auto"/>
                  <w:vAlign w:val="center"/>
                </w:tcPr>
                <w:p w14:paraId="3515551A">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1.15</w:t>
                  </w:r>
                </w:p>
              </w:tc>
              <w:tc>
                <w:tcPr>
                  <w:tcW w:w="392" w:type="pct"/>
                  <w:tcBorders>
                    <w:tl2br w:val="nil"/>
                    <w:tr2bl w:val="nil"/>
                  </w:tcBorders>
                  <w:shd w:val="clear" w:color="auto" w:fill="auto"/>
                  <w:vAlign w:val="center"/>
                </w:tcPr>
                <w:p w14:paraId="11EC2E9F">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0.48</w:t>
                  </w:r>
                </w:p>
              </w:tc>
              <w:tc>
                <w:tcPr>
                  <w:tcW w:w="467" w:type="pct"/>
                  <w:tcBorders>
                    <w:tl2br w:val="nil"/>
                    <w:tr2bl w:val="nil"/>
                  </w:tcBorders>
                  <w:shd w:val="clear" w:color="auto" w:fill="auto"/>
                  <w:vAlign w:val="center"/>
                </w:tcPr>
                <w:p w14:paraId="09405987">
                  <w:pPr>
                    <w:widowControl/>
                    <w:snapToGrid w:val="0"/>
                    <w:jc w:val="center"/>
                    <w:textAlignment w:val="center"/>
                    <w:rPr>
                      <w:rFonts w:hint="eastAsia" w:ascii="Times New Roman" w:hAnsi="Times New Roman" w:eastAsia="宋体" w:cs="Times New Roman"/>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r>
          </w:tbl>
          <w:p w14:paraId="45214823">
            <w:pPr>
              <w:tabs>
                <w:tab w:val="left" w:pos="5940"/>
              </w:tabs>
              <w:spacing w:line="500" w:lineRule="exact"/>
              <w:ind w:firstLine="480" w:firstLineChars="200"/>
              <w:rPr>
                <w:rFonts w:hint="default" w:cs="Times New Roman"/>
                <w:color w:val="auto"/>
                <w:sz w:val="24"/>
                <w:szCs w:val="24"/>
                <w:lang w:val="en-US" w:eastAsia="zh-CN"/>
              </w:rPr>
            </w:pPr>
            <w:r>
              <w:rPr>
                <w:rFonts w:hint="eastAsia" w:cs="Times New Roman"/>
                <w:color w:val="auto"/>
                <w:sz w:val="24"/>
                <w:szCs w:val="24"/>
                <w:lang w:eastAsia="zh-CN"/>
              </w:rPr>
              <w:t>（</w:t>
            </w:r>
            <w:r>
              <w:rPr>
                <w:rFonts w:hint="eastAsia" w:cs="Times New Roman"/>
                <w:color w:val="auto"/>
                <w:sz w:val="24"/>
                <w:szCs w:val="24"/>
                <w:lang w:val="en-US" w:eastAsia="zh-CN"/>
              </w:rPr>
              <w:t>4</w:t>
            </w:r>
            <w:r>
              <w:rPr>
                <w:rFonts w:hint="eastAsia" w:cs="Times New Roman"/>
                <w:color w:val="auto"/>
                <w:sz w:val="24"/>
                <w:szCs w:val="24"/>
                <w:lang w:eastAsia="zh-CN"/>
              </w:rPr>
              <w:t>）</w:t>
            </w:r>
            <w:r>
              <w:rPr>
                <w:rFonts w:hint="eastAsia" w:cs="Times New Roman"/>
                <w:color w:val="auto"/>
                <w:sz w:val="24"/>
                <w:szCs w:val="24"/>
                <w:lang w:val="en-US" w:eastAsia="zh-CN"/>
              </w:rPr>
              <w:t>喷砂废气</w:t>
            </w:r>
          </w:p>
          <w:p w14:paraId="26771A89">
            <w:pPr>
              <w:tabs>
                <w:tab w:val="left" w:pos="5940"/>
              </w:tabs>
              <w:spacing w:line="500" w:lineRule="exact"/>
              <w:ind w:firstLine="480" w:firstLineChars="200"/>
              <w:rPr>
                <w:rFonts w:hint="eastAsia" w:cs="Times New Roman"/>
                <w:color w:val="auto"/>
                <w:sz w:val="24"/>
                <w:szCs w:val="24"/>
                <w:lang w:eastAsia="zh-CN"/>
              </w:rPr>
            </w:pPr>
            <w:r>
              <w:rPr>
                <w:rFonts w:hint="eastAsia" w:cs="Times New Roman"/>
                <w:color w:val="auto"/>
                <w:sz w:val="24"/>
                <w:szCs w:val="24"/>
                <w:highlight w:val="none"/>
                <w:lang w:val="en-US" w:eastAsia="zh-CN"/>
              </w:rPr>
              <w:t>项目喷砂设备为封闭设备，运行期间为全密闭状态，喷砂</w:t>
            </w:r>
            <w:r>
              <w:rPr>
                <w:rFonts w:hint="eastAsia" w:cs="Times New Roman"/>
                <w:color w:val="auto"/>
                <w:sz w:val="24"/>
                <w:szCs w:val="24"/>
                <w:highlight w:val="none"/>
                <w:lang w:val="en-US" w:eastAsia="zh-CN"/>
              </w:rPr>
              <w:t>废气经设备负压收集</w:t>
            </w:r>
            <w:r>
              <w:rPr>
                <w:rFonts w:hint="eastAsia" w:cs="Times New Roman"/>
                <w:b w:val="0"/>
                <w:bCs w:val="0"/>
                <w:color w:val="auto"/>
                <w:kern w:val="2"/>
                <w:sz w:val="24"/>
                <w:szCs w:val="24"/>
                <w:highlight w:val="none"/>
                <w:lang w:val="en-US" w:eastAsia="zh-CN" w:bidi="ar"/>
              </w:rPr>
              <w:t>（</w:t>
            </w:r>
            <w:r>
              <w:rPr>
                <w:rFonts w:hint="eastAsia" w:cs="Times New Roman"/>
                <w:b w:val="0"/>
                <w:bCs w:val="0"/>
                <w:color w:val="auto"/>
                <w:kern w:val="2"/>
                <w:sz w:val="24"/>
                <w:szCs w:val="24"/>
                <w:highlight w:val="none"/>
                <w:lang w:val="en-US" w:eastAsia="zh-CN" w:bidi="ar"/>
              </w:rPr>
              <w:t>参考</w:t>
            </w:r>
            <w:r>
              <w:rPr>
                <w:rFonts w:hint="eastAsia" w:cs="Times New Roman"/>
                <w:b w:val="0"/>
                <w:bCs w:val="0"/>
                <w:color w:val="auto"/>
                <w:kern w:val="2"/>
                <w:sz w:val="24"/>
                <w:szCs w:val="24"/>
                <w:highlight w:val="none"/>
                <w:lang w:val="en-US" w:eastAsia="zh-CN" w:bidi="ar"/>
              </w:rPr>
              <w:t>《广东省工业源挥发性有机物减排量核算方法（试行）》全密闭设备且设备废气排口直连收集效率为95%，项目封闭设备废气排口直连且负压收集，因此喷砂工序烟尘收集效率为95%</w:t>
            </w:r>
            <w:r>
              <w:rPr>
                <w:rFonts w:hint="eastAsia" w:cs="Times New Roman"/>
                <w:b w:val="0"/>
                <w:bCs w:val="0"/>
                <w:color w:val="auto"/>
                <w:kern w:val="2"/>
                <w:sz w:val="24"/>
                <w:szCs w:val="24"/>
                <w:highlight w:val="none"/>
                <w:lang w:val="en-US" w:eastAsia="zh-CN" w:bidi="ar"/>
              </w:rPr>
              <w:t>）</w:t>
            </w:r>
            <w:r>
              <w:rPr>
                <w:rFonts w:hint="eastAsia" w:cs="Times New Roman"/>
                <w:color w:val="auto"/>
                <w:sz w:val="24"/>
                <w:szCs w:val="24"/>
                <w:highlight w:val="none"/>
                <w:lang w:val="en-US" w:eastAsia="zh-CN"/>
              </w:rPr>
              <w:t>收集通过水喷淋塔+二级活性炭</w:t>
            </w:r>
            <w:r>
              <w:rPr>
                <w:rFonts w:hint="eastAsia" w:cs="Times New Roman"/>
                <w:color w:val="auto"/>
                <w:sz w:val="24"/>
                <w:szCs w:val="24"/>
                <w:highlight w:val="none"/>
                <w:lang w:val="en-US" w:eastAsia="zh-CN"/>
              </w:rPr>
              <w:t>（含干式过滤棉）</w:t>
            </w:r>
            <w:r>
              <w:rPr>
                <w:rFonts w:hint="eastAsia" w:cs="Times New Roman"/>
                <w:color w:val="auto"/>
                <w:sz w:val="24"/>
                <w:szCs w:val="24"/>
                <w:highlight w:val="none"/>
                <w:lang w:val="en-US" w:eastAsia="zh-CN"/>
              </w:rPr>
              <w:t>处理由DA002排气筒排放，喷砂工段风机风量为2000</w:t>
            </w:r>
            <w:r>
              <w:rPr>
                <w:color w:val="auto"/>
                <w:kern w:val="0"/>
                <w:sz w:val="24"/>
                <w:szCs w:val="24"/>
                <w:highlight w:val="none"/>
              </w:rPr>
              <w:t>m</w:t>
            </w:r>
            <w:r>
              <w:rPr>
                <w:color w:val="auto"/>
                <w:kern w:val="0"/>
                <w:sz w:val="24"/>
                <w:szCs w:val="24"/>
                <w:highlight w:val="none"/>
                <w:vertAlign w:val="superscript"/>
              </w:rPr>
              <w:t>3</w:t>
            </w:r>
            <w:r>
              <w:rPr>
                <w:color w:val="auto"/>
                <w:kern w:val="0"/>
                <w:sz w:val="24"/>
                <w:szCs w:val="24"/>
                <w:highlight w:val="none"/>
              </w:rPr>
              <w:t>/h</w:t>
            </w:r>
            <w:r>
              <w:rPr>
                <w:rFonts w:hint="eastAsia" w:cs="Times New Roman"/>
                <w:color w:val="auto"/>
                <w:sz w:val="24"/>
                <w:szCs w:val="24"/>
                <w:highlight w:val="none"/>
                <w:lang w:val="en-US" w:eastAsia="zh-CN"/>
              </w:rPr>
              <w:t>，</w:t>
            </w:r>
            <w:r>
              <w:rPr>
                <w:rFonts w:hint="eastAsia" w:cs="Times New Roman"/>
                <w:color w:val="auto"/>
                <w:sz w:val="24"/>
                <w:szCs w:val="24"/>
                <w:highlight w:val="none"/>
                <w:lang w:val="en-US" w:eastAsia="zh-CN"/>
              </w:rPr>
              <w:t>根据</w:t>
            </w:r>
            <w:r>
              <w:rPr>
                <w:rFonts w:hint="default" w:ascii="Times New Roman" w:hAnsi="Times New Roman" w:eastAsia="宋体" w:cs="Times New Roman"/>
                <w:b w:val="0"/>
                <w:bCs w:val="0"/>
                <w:color w:val="auto"/>
                <w:kern w:val="2"/>
                <w:sz w:val="24"/>
                <w:szCs w:val="24"/>
                <w:highlight w:val="none"/>
                <w:lang w:val="en-US" w:eastAsia="zh-CN" w:bidi="ar"/>
              </w:rPr>
              <w:t>《排放源统计调查产排污核算方法和系数手册》</w:t>
            </w:r>
            <w:r>
              <w:rPr>
                <w:rFonts w:hint="eastAsia" w:ascii="Times New Roman" w:hAnsi="Times New Roman" w:eastAsia="宋体" w:cs="Times New Roman"/>
                <w:b w:val="0"/>
                <w:bCs w:val="0"/>
                <w:color w:val="auto"/>
                <w:kern w:val="2"/>
                <w:sz w:val="24"/>
                <w:szCs w:val="24"/>
                <w:highlight w:val="none"/>
                <w:lang w:val="en-US" w:eastAsia="zh-CN" w:bidi="ar"/>
              </w:rPr>
              <w:t>机械行业</w:t>
            </w:r>
            <w:r>
              <w:rPr>
                <w:rFonts w:hint="default" w:ascii="Times New Roman" w:hAnsi="Times New Roman" w:eastAsia="宋体" w:cs="Times New Roman"/>
                <w:b w:val="0"/>
                <w:bCs w:val="0"/>
                <w:color w:val="auto"/>
                <w:kern w:val="2"/>
                <w:sz w:val="24"/>
                <w:szCs w:val="24"/>
                <w:highlight w:val="none"/>
                <w:lang w:val="en-US" w:eastAsia="zh-CN" w:bidi="ar"/>
              </w:rPr>
              <w:t>：</w:t>
            </w:r>
            <w:r>
              <w:rPr>
                <w:rFonts w:hint="eastAsia" w:cs="Times New Roman"/>
                <w:b w:val="0"/>
                <w:bCs w:val="0"/>
                <w:color w:val="auto"/>
                <w:kern w:val="2"/>
                <w:sz w:val="24"/>
                <w:szCs w:val="24"/>
                <w:highlight w:val="none"/>
                <w:lang w:val="en-US" w:eastAsia="zh-CN" w:bidi="ar"/>
              </w:rPr>
              <w:t>“喷砂颗粒物产生系数为2.19kg/t-原料；</w:t>
            </w:r>
            <w:r>
              <w:rPr>
                <w:rFonts w:hint="eastAsia" w:cs="Times New Roman"/>
                <w:b w:val="0"/>
                <w:bCs w:val="0"/>
                <w:color w:val="auto"/>
                <w:kern w:val="2"/>
                <w:sz w:val="24"/>
                <w:szCs w:val="24"/>
                <w:highlight w:val="none"/>
                <w:lang w:val="en-US" w:eastAsia="zh-CN" w:bidi="ar"/>
              </w:rPr>
              <w:t>喷淋塔除尘效率为85%”，本项目水喷淋塔除尘效率取值85%</w:t>
            </w:r>
            <w:r>
              <w:rPr>
                <w:rFonts w:hint="eastAsia" w:cs="Times New Roman"/>
                <w:b w:val="0"/>
                <w:bCs w:val="0"/>
                <w:color w:val="auto"/>
                <w:kern w:val="2"/>
                <w:sz w:val="24"/>
                <w:szCs w:val="24"/>
                <w:highlight w:val="none"/>
                <w:lang w:val="en-US" w:eastAsia="zh-CN" w:bidi="ar"/>
              </w:rPr>
              <w:t>，根据建设单位提供资料，本项目喷砂金属件使用量为1500t/a，则喷砂工序颗粒物产生量为3.29t/a。</w:t>
            </w:r>
          </w:p>
          <w:p w14:paraId="44633EA9">
            <w:pPr>
              <w:tabs>
                <w:tab w:val="left" w:pos="624"/>
              </w:tabs>
              <w:snapToGrid w:val="0"/>
              <w:ind w:firstLine="482"/>
              <w:jc w:val="center"/>
              <w:rPr>
                <w:b/>
                <w:color w:val="auto"/>
                <w:kern w:val="0"/>
                <w:sz w:val="24"/>
                <w:szCs w:val="24"/>
                <w:highlight w:val="none"/>
              </w:rPr>
            </w:pPr>
          </w:p>
          <w:p w14:paraId="74323F70">
            <w:pPr>
              <w:tabs>
                <w:tab w:val="left" w:pos="624"/>
              </w:tabs>
              <w:snapToGrid w:val="0"/>
              <w:ind w:firstLine="482"/>
              <w:jc w:val="center"/>
              <w:rPr>
                <w:b/>
                <w:color w:val="auto"/>
                <w:kern w:val="0"/>
                <w:sz w:val="24"/>
                <w:szCs w:val="24"/>
                <w:highlight w:val="none"/>
              </w:rPr>
            </w:pPr>
          </w:p>
          <w:p w14:paraId="4D3B4A64">
            <w:pPr>
              <w:tabs>
                <w:tab w:val="left" w:pos="624"/>
              </w:tabs>
              <w:snapToGrid w:val="0"/>
              <w:ind w:firstLine="482"/>
              <w:jc w:val="center"/>
              <w:rPr>
                <w:b/>
                <w:color w:val="auto"/>
                <w:kern w:val="0"/>
                <w:sz w:val="24"/>
                <w:szCs w:val="24"/>
                <w:highlight w:val="none"/>
              </w:rPr>
            </w:pPr>
          </w:p>
          <w:p w14:paraId="26A8CAD7">
            <w:pPr>
              <w:tabs>
                <w:tab w:val="left" w:pos="624"/>
              </w:tabs>
              <w:snapToGrid w:val="0"/>
              <w:ind w:firstLine="482"/>
              <w:jc w:val="center"/>
              <w:rPr>
                <w:b/>
                <w:color w:val="auto"/>
                <w:kern w:val="0"/>
                <w:sz w:val="24"/>
                <w:szCs w:val="24"/>
                <w:highlight w:val="none"/>
              </w:rPr>
            </w:pPr>
          </w:p>
          <w:p w14:paraId="11D0D7F4">
            <w:pPr>
              <w:tabs>
                <w:tab w:val="left" w:pos="624"/>
              </w:tabs>
              <w:snapToGrid w:val="0"/>
              <w:ind w:firstLine="482"/>
              <w:jc w:val="center"/>
              <w:rPr>
                <w:b/>
                <w:color w:val="auto"/>
                <w:kern w:val="0"/>
                <w:sz w:val="24"/>
                <w:szCs w:val="24"/>
                <w:highlight w:val="none"/>
              </w:rPr>
            </w:pPr>
          </w:p>
          <w:p w14:paraId="11525E82">
            <w:pPr>
              <w:tabs>
                <w:tab w:val="left" w:pos="624"/>
              </w:tabs>
              <w:snapToGrid w:val="0"/>
              <w:ind w:firstLine="482"/>
              <w:jc w:val="center"/>
              <w:rPr>
                <w:b/>
                <w:color w:val="auto"/>
                <w:kern w:val="0"/>
                <w:sz w:val="24"/>
                <w:szCs w:val="24"/>
                <w:highlight w:val="none"/>
              </w:rPr>
            </w:pPr>
          </w:p>
          <w:p w14:paraId="2F41354F">
            <w:pPr>
              <w:tabs>
                <w:tab w:val="left" w:pos="624"/>
              </w:tabs>
              <w:snapToGrid w:val="0"/>
              <w:ind w:firstLine="482"/>
              <w:jc w:val="center"/>
              <w:rPr>
                <w:b/>
                <w:color w:val="auto"/>
                <w:kern w:val="0"/>
                <w:sz w:val="24"/>
                <w:szCs w:val="24"/>
                <w:highlight w:val="none"/>
              </w:rPr>
            </w:pPr>
          </w:p>
          <w:p w14:paraId="432206D6">
            <w:pPr>
              <w:tabs>
                <w:tab w:val="left" w:pos="624"/>
              </w:tabs>
              <w:snapToGrid w:val="0"/>
              <w:ind w:firstLine="482"/>
              <w:jc w:val="center"/>
              <w:rPr>
                <w:b/>
                <w:color w:val="auto"/>
                <w:kern w:val="0"/>
                <w:sz w:val="24"/>
                <w:szCs w:val="24"/>
                <w:highlight w:val="none"/>
              </w:rPr>
            </w:pPr>
          </w:p>
          <w:p w14:paraId="398CF5B0">
            <w:pPr>
              <w:tabs>
                <w:tab w:val="left" w:pos="624"/>
              </w:tabs>
              <w:snapToGrid w:val="0"/>
              <w:ind w:firstLine="482"/>
              <w:jc w:val="center"/>
              <w:rPr>
                <w:b/>
                <w:color w:val="auto"/>
                <w:kern w:val="0"/>
                <w:sz w:val="24"/>
                <w:szCs w:val="24"/>
                <w:highlight w:val="none"/>
              </w:rPr>
            </w:pPr>
          </w:p>
          <w:p w14:paraId="7A1C5B99">
            <w:pPr>
              <w:tabs>
                <w:tab w:val="left" w:pos="624"/>
              </w:tabs>
              <w:snapToGrid w:val="0"/>
              <w:ind w:firstLine="482"/>
              <w:jc w:val="center"/>
              <w:rPr>
                <w:b/>
                <w:bCs/>
                <w:color w:val="auto"/>
                <w:sz w:val="24"/>
                <w:szCs w:val="24"/>
                <w:highlight w:val="none"/>
              </w:rPr>
            </w:pPr>
            <w:r>
              <w:rPr>
                <w:b/>
                <w:color w:val="auto"/>
                <w:kern w:val="0"/>
                <w:sz w:val="24"/>
                <w:szCs w:val="24"/>
                <w:highlight w:val="none"/>
              </w:rPr>
              <w:t>表</w:t>
            </w:r>
            <w:r>
              <w:rPr>
                <w:rFonts w:hint="eastAsia"/>
                <w:b/>
                <w:color w:val="auto"/>
                <w:kern w:val="0"/>
                <w:sz w:val="24"/>
                <w:szCs w:val="24"/>
                <w:highlight w:val="none"/>
                <w:lang w:val="en-US" w:eastAsia="zh-CN"/>
              </w:rPr>
              <w:t>4-4</w:t>
            </w:r>
            <w:r>
              <w:rPr>
                <w:b/>
                <w:color w:val="auto"/>
                <w:kern w:val="0"/>
                <w:sz w:val="24"/>
                <w:szCs w:val="24"/>
                <w:highlight w:val="none"/>
              </w:rPr>
              <w:t xml:space="preserve"> </w:t>
            </w:r>
            <w:r>
              <w:rPr>
                <w:rFonts w:hint="eastAsia"/>
                <w:b/>
                <w:color w:val="auto"/>
                <w:kern w:val="0"/>
                <w:sz w:val="24"/>
                <w:szCs w:val="24"/>
                <w:highlight w:val="none"/>
                <w:lang w:val="en-US" w:eastAsia="zh-CN"/>
              </w:rPr>
              <w:t>喷砂废气</w:t>
            </w:r>
            <w:r>
              <w:rPr>
                <w:rFonts w:hint="eastAsia"/>
                <w:b/>
                <w:color w:val="auto"/>
                <w:kern w:val="0"/>
                <w:sz w:val="24"/>
                <w:szCs w:val="24"/>
                <w:highlight w:val="none"/>
              </w:rPr>
              <w:t>产排</w:t>
            </w:r>
            <w:r>
              <w:rPr>
                <w:b/>
                <w:color w:val="auto"/>
                <w:kern w:val="0"/>
                <w:sz w:val="24"/>
                <w:szCs w:val="24"/>
                <w:highlight w:val="none"/>
              </w:rPr>
              <w:t>情</w:t>
            </w:r>
            <w:r>
              <w:rPr>
                <w:rFonts w:hint="default" w:ascii="Times New Roman" w:hAnsi="Times New Roman" w:cs="Times New Roman"/>
                <w:b/>
                <w:color w:val="auto"/>
                <w:kern w:val="0"/>
                <w:sz w:val="24"/>
                <w:szCs w:val="24"/>
                <w:highlight w:val="none"/>
              </w:rPr>
              <w:t>况</w:t>
            </w:r>
          </w:p>
          <w:tbl>
            <w:tblPr>
              <w:tblStyle w:val="3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Layout w:type="fixed"/>
              <w:tblCellMar>
                <w:top w:w="0" w:type="dxa"/>
                <w:left w:w="108" w:type="dxa"/>
                <w:bottom w:w="0" w:type="dxa"/>
                <w:right w:w="108" w:type="dxa"/>
              </w:tblCellMar>
            </w:tblPr>
            <w:tblGrid>
              <w:gridCol w:w="935"/>
              <w:gridCol w:w="487"/>
              <w:gridCol w:w="749"/>
              <w:gridCol w:w="827"/>
              <w:gridCol w:w="656"/>
              <w:gridCol w:w="827"/>
              <w:gridCol w:w="1033"/>
              <w:gridCol w:w="984"/>
              <w:gridCol w:w="667"/>
              <w:gridCol w:w="766"/>
            </w:tblGrid>
            <w:tr w14:paraId="25A8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340" w:hRule="atLeast"/>
              </w:trPr>
              <w:tc>
                <w:tcPr>
                  <w:tcW w:w="589" w:type="pct"/>
                  <w:vMerge w:val="restart"/>
                  <w:tcBorders>
                    <w:tl2br w:val="nil"/>
                    <w:tr2bl w:val="nil"/>
                  </w:tcBorders>
                  <w:shd w:val="clear" w:color="auto" w:fill="auto"/>
                  <w:vAlign w:val="center"/>
                </w:tcPr>
                <w:p w14:paraId="42729AD8">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污染源</w:t>
                  </w:r>
                </w:p>
              </w:tc>
              <w:tc>
                <w:tcPr>
                  <w:tcW w:w="307" w:type="pct"/>
                  <w:vMerge w:val="restart"/>
                  <w:tcBorders>
                    <w:tl2br w:val="nil"/>
                    <w:tr2bl w:val="nil"/>
                  </w:tcBorders>
                  <w:shd w:val="clear" w:color="auto" w:fill="auto"/>
                  <w:vAlign w:val="center"/>
                </w:tcPr>
                <w:p w14:paraId="617B8BEF">
                  <w:pPr>
                    <w:adjustRightInd w:val="0"/>
                    <w:snapToGrid w:val="0"/>
                    <w:spacing w:line="240" w:lineRule="auto"/>
                    <w:jc w:val="center"/>
                    <w:rPr>
                      <w:b/>
                      <w:bCs/>
                      <w:color w:val="auto"/>
                      <w:kern w:val="0"/>
                      <w:sz w:val="21"/>
                      <w:szCs w:val="21"/>
                      <w:highlight w:val="none"/>
                      <w:lang w:eastAsia="en-US" w:bidi="en-US"/>
                    </w:rPr>
                  </w:pPr>
                  <w:r>
                    <w:rPr>
                      <w:b/>
                      <w:bCs/>
                      <w:color w:val="auto"/>
                      <w:kern w:val="0"/>
                      <w:sz w:val="21"/>
                      <w:szCs w:val="21"/>
                      <w:highlight w:val="none"/>
                      <w:lang w:eastAsia="en-US" w:bidi="en-US"/>
                    </w:rPr>
                    <w:t>污染物</w:t>
                  </w:r>
                </w:p>
              </w:tc>
              <w:tc>
                <w:tcPr>
                  <w:tcW w:w="993" w:type="pct"/>
                  <w:gridSpan w:val="2"/>
                  <w:tcBorders>
                    <w:tl2br w:val="nil"/>
                    <w:tr2bl w:val="nil"/>
                  </w:tcBorders>
                  <w:shd w:val="clear" w:color="auto" w:fill="auto"/>
                  <w:vAlign w:val="center"/>
                </w:tcPr>
                <w:p w14:paraId="052494C6">
                  <w:pPr>
                    <w:adjustRightInd w:val="0"/>
                    <w:snapToGrid w:val="0"/>
                    <w:spacing w:line="240" w:lineRule="auto"/>
                    <w:jc w:val="center"/>
                    <w:rPr>
                      <w:rFonts w:hint="eastAsia"/>
                      <w:b/>
                      <w:bCs/>
                      <w:color w:val="auto"/>
                      <w:kern w:val="0"/>
                      <w:sz w:val="21"/>
                      <w:szCs w:val="21"/>
                      <w:highlight w:val="none"/>
                      <w:lang w:bidi="en-US"/>
                    </w:rPr>
                  </w:pPr>
                  <w:r>
                    <w:rPr>
                      <w:rFonts w:hint="eastAsia"/>
                      <w:b/>
                      <w:bCs/>
                      <w:color w:val="auto"/>
                      <w:kern w:val="0"/>
                      <w:sz w:val="21"/>
                      <w:szCs w:val="21"/>
                      <w:highlight w:val="none"/>
                      <w:lang w:bidi="en-US"/>
                    </w:rPr>
                    <w:t>产生情况</w:t>
                  </w:r>
                </w:p>
              </w:tc>
              <w:tc>
                <w:tcPr>
                  <w:tcW w:w="413" w:type="pct"/>
                  <w:vMerge w:val="restart"/>
                  <w:tcBorders>
                    <w:tl2br w:val="nil"/>
                    <w:tr2bl w:val="nil"/>
                  </w:tcBorders>
                  <w:shd w:val="clear" w:color="auto" w:fill="auto"/>
                  <w:vAlign w:val="center"/>
                </w:tcPr>
                <w:p w14:paraId="089FF9D8">
                  <w:pPr>
                    <w:adjustRightInd w:val="0"/>
                    <w:snapToGrid w:val="0"/>
                    <w:spacing w:line="240" w:lineRule="auto"/>
                    <w:jc w:val="center"/>
                    <w:rPr>
                      <w:b/>
                      <w:bCs/>
                      <w:color w:val="auto"/>
                      <w:kern w:val="0"/>
                      <w:sz w:val="21"/>
                      <w:szCs w:val="21"/>
                      <w:highlight w:val="none"/>
                      <w:lang w:bidi="en-US"/>
                    </w:rPr>
                  </w:pPr>
                  <w:r>
                    <w:rPr>
                      <w:rFonts w:hint="eastAsia"/>
                      <w:b/>
                      <w:bCs/>
                      <w:color w:val="auto"/>
                      <w:kern w:val="0"/>
                      <w:sz w:val="21"/>
                      <w:szCs w:val="21"/>
                      <w:highlight w:val="none"/>
                      <w:lang w:val="en-US" w:eastAsia="zh-CN" w:bidi="en-US"/>
                    </w:rPr>
                    <w:t>收集效率%</w:t>
                  </w:r>
                </w:p>
              </w:tc>
              <w:tc>
                <w:tcPr>
                  <w:tcW w:w="521" w:type="pct"/>
                  <w:vMerge w:val="restart"/>
                  <w:tcBorders>
                    <w:tl2br w:val="nil"/>
                    <w:tr2bl w:val="nil"/>
                  </w:tcBorders>
                  <w:shd w:val="clear" w:color="auto" w:fill="auto"/>
                  <w:vAlign w:val="center"/>
                </w:tcPr>
                <w:p w14:paraId="5D941655">
                  <w:pPr>
                    <w:adjustRightInd w:val="0"/>
                    <w:snapToGrid w:val="0"/>
                    <w:spacing w:line="240" w:lineRule="auto"/>
                    <w:jc w:val="center"/>
                    <w:rPr>
                      <w:b/>
                      <w:bCs/>
                      <w:color w:val="auto"/>
                      <w:kern w:val="0"/>
                      <w:sz w:val="21"/>
                      <w:szCs w:val="21"/>
                      <w:highlight w:val="none"/>
                      <w:lang w:bidi="en-US"/>
                    </w:rPr>
                  </w:pPr>
                  <w:r>
                    <w:rPr>
                      <w:rFonts w:hint="eastAsia"/>
                      <w:b/>
                      <w:bCs/>
                      <w:color w:val="auto"/>
                      <w:kern w:val="0"/>
                      <w:sz w:val="21"/>
                      <w:szCs w:val="21"/>
                      <w:highlight w:val="none"/>
                      <w:lang w:val="en-US" w:eastAsia="zh-CN" w:bidi="en-US"/>
                    </w:rPr>
                    <w:t>治理工艺</w:t>
                  </w:r>
                  <w:r>
                    <w:rPr>
                      <w:b/>
                      <w:bCs/>
                      <w:color w:val="auto"/>
                      <w:kern w:val="0"/>
                      <w:sz w:val="21"/>
                      <w:szCs w:val="21"/>
                      <w:highlight w:val="none"/>
                      <w:lang w:bidi="en-US"/>
                    </w:rPr>
                    <w:t>处理</w:t>
                  </w:r>
                </w:p>
                <w:p w14:paraId="253C9E1E">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效率%</w:t>
                  </w:r>
                </w:p>
              </w:tc>
              <w:tc>
                <w:tcPr>
                  <w:tcW w:w="651" w:type="pct"/>
                  <w:vMerge w:val="restart"/>
                  <w:tcBorders>
                    <w:tl2br w:val="nil"/>
                    <w:tr2bl w:val="nil"/>
                  </w:tcBorders>
                  <w:shd w:val="clear" w:color="auto" w:fill="auto"/>
                  <w:vAlign w:val="center"/>
                </w:tcPr>
                <w:p w14:paraId="0BDE707E">
                  <w:pPr>
                    <w:adjustRightInd w:val="0"/>
                    <w:snapToGrid w:val="0"/>
                    <w:spacing w:line="240" w:lineRule="auto"/>
                    <w:jc w:val="center"/>
                    <w:rPr>
                      <w:rFonts w:hint="eastAsia" w:eastAsia="宋体"/>
                      <w:b/>
                      <w:bCs/>
                      <w:color w:val="auto"/>
                      <w:kern w:val="0"/>
                      <w:sz w:val="21"/>
                      <w:szCs w:val="21"/>
                      <w:highlight w:val="none"/>
                      <w:lang w:val="en-US" w:eastAsia="zh-CN" w:bidi="en-US"/>
                    </w:rPr>
                  </w:pPr>
                  <w:r>
                    <w:rPr>
                      <w:rFonts w:hint="eastAsia"/>
                      <w:b/>
                      <w:bCs/>
                      <w:color w:val="auto"/>
                      <w:kern w:val="0"/>
                      <w:sz w:val="21"/>
                      <w:szCs w:val="21"/>
                      <w:highlight w:val="none"/>
                      <w:lang w:val="en-US" w:eastAsia="zh-CN" w:bidi="en-US"/>
                    </w:rPr>
                    <w:t>处理措施</w:t>
                  </w:r>
                </w:p>
              </w:tc>
              <w:tc>
                <w:tcPr>
                  <w:tcW w:w="620" w:type="pct"/>
                  <w:vMerge w:val="restart"/>
                  <w:tcBorders>
                    <w:tl2br w:val="nil"/>
                    <w:tr2bl w:val="nil"/>
                  </w:tcBorders>
                  <w:shd w:val="clear" w:color="auto" w:fill="auto"/>
                  <w:vAlign w:val="center"/>
                </w:tcPr>
                <w:p w14:paraId="6DEB189A">
                  <w:pPr>
                    <w:adjustRightInd w:val="0"/>
                    <w:snapToGrid w:val="0"/>
                    <w:spacing w:line="240" w:lineRule="auto"/>
                    <w:jc w:val="center"/>
                    <w:rPr>
                      <w:rFonts w:hint="default" w:eastAsia="宋体"/>
                      <w:b/>
                      <w:bCs/>
                      <w:color w:val="auto"/>
                      <w:kern w:val="0"/>
                      <w:sz w:val="21"/>
                      <w:szCs w:val="21"/>
                      <w:highlight w:val="none"/>
                      <w:lang w:val="en-US" w:eastAsia="zh-CN" w:bidi="en-US"/>
                    </w:rPr>
                  </w:pPr>
                  <w:r>
                    <w:rPr>
                      <w:rFonts w:hint="eastAsia"/>
                      <w:b/>
                      <w:bCs/>
                      <w:color w:val="auto"/>
                      <w:kern w:val="0"/>
                      <w:sz w:val="21"/>
                      <w:szCs w:val="21"/>
                      <w:highlight w:val="none"/>
                      <w:lang w:val="zh-CN"/>
                    </w:rPr>
                    <w:t>设计</w:t>
                  </w:r>
                  <w:r>
                    <w:rPr>
                      <w:rFonts w:hint="eastAsia"/>
                      <w:b/>
                      <w:bCs/>
                      <w:color w:val="auto"/>
                      <w:kern w:val="0"/>
                      <w:sz w:val="21"/>
                      <w:szCs w:val="21"/>
                      <w:highlight w:val="none"/>
                      <w:lang w:val="en-US" w:eastAsia="zh-CN"/>
                    </w:rPr>
                    <w:t>喷砂</w:t>
                  </w:r>
                  <w:r>
                    <w:rPr>
                      <w:rFonts w:hint="eastAsia"/>
                      <w:b/>
                      <w:bCs/>
                      <w:color w:val="auto"/>
                      <w:kern w:val="0"/>
                      <w:sz w:val="21"/>
                      <w:szCs w:val="21"/>
                      <w:highlight w:val="none"/>
                      <w:lang w:val="zh-CN"/>
                    </w:rPr>
                    <w:t>废气处理量</w:t>
                  </w:r>
                  <w:r>
                    <w:rPr>
                      <w:b/>
                      <w:bCs/>
                      <w:color w:val="auto"/>
                      <w:kern w:val="0"/>
                      <w:sz w:val="21"/>
                      <w:szCs w:val="21"/>
                      <w:highlight w:val="none"/>
                      <w:lang w:val="zh-CN"/>
                    </w:rPr>
                    <w:t>m</w:t>
                  </w:r>
                  <w:r>
                    <w:rPr>
                      <w:b/>
                      <w:bCs/>
                      <w:color w:val="auto"/>
                      <w:kern w:val="0"/>
                      <w:sz w:val="21"/>
                      <w:szCs w:val="21"/>
                      <w:highlight w:val="none"/>
                      <w:vertAlign w:val="superscript"/>
                    </w:rPr>
                    <w:t>3</w:t>
                  </w:r>
                  <w:r>
                    <w:rPr>
                      <w:b/>
                      <w:bCs/>
                      <w:color w:val="auto"/>
                      <w:kern w:val="0"/>
                      <w:sz w:val="21"/>
                      <w:szCs w:val="21"/>
                      <w:highlight w:val="none"/>
                      <w:lang w:val="zh-CN"/>
                    </w:rPr>
                    <w:t>/h</w:t>
                  </w:r>
                </w:p>
              </w:tc>
              <w:tc>
                <w:tcPr>
                  <w:tcW w:w="902" w:type="pct"/>
                  <w:gridSpan w:val="2"/>
                  <w:tcBorders>
                    <w:tl2br w:val="nil"/>
                    <w:tr2bl w:val="nil"/>
                  </w:tcBorders>
                  <w:shd w:val="clear" w:color="auto" w:fill="auto"/>
                  <w:vAlign w:val="center"/>
                </w:tcPr>
                <w:p w14:paraId="77D48839">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排放情况</w:t>
                  </w:r>
                </w:p>
              </w:tc>
            </w:tr>
            <w:tr w14:paraId="4038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340" w:hRule="atLeast"/>
              </w:trPr>
              <w:tc>
                <w:tcPr>
                  <w:tcW w:w="589" w:type="pct"/>
                  <w:vMerge w:val="continue"/>
                  <w:tcBorders>
                    <w:tl2br w:val="nil"/>
                    <w:tr2bl w:val="nil"/>
                  </w:tcBorders>
                  <w:shd w:val="clear" w:color="auto" w:fill="auto"/>
                  <w:vAlign w:val="center"/>
                </w:tcPr>
                <w:p w14:paraId="23CFAE60">
                  <w:pPr>
                    <w:adjustRightInd w:val="0"/>
                    <w:snapToGrid w:val="0"/>
                    <w:spacing w:line="240" w:lineRule="auto"/>
                    <w:jc w:val="center"/>
                    <w:rPr>
                      <w:b/>
                      <w:bCs/>
                      <w:color w:val="auto"/>
                      <w:kern w:val="0"/>
                      <w:sz w:val="21"/>
                      <w:szCs w:val="21"/>
                      <w:highlight w:val="none"/>
                      <w:lang w:bidi="en-US"/>
                    </w:rPr>
                  </w:pPr>
                </w:p>
              </w:tc>
              <w:tc>
                <w:tcPr>
                  <w:tcW w:w="307" w:type="pct"/>
                  <w:vMerge w:val="continue"/>
                  <w:tcBorders>
                    <w:tl2br w:val="nil"/>
                    <w:tr2bl w:val="nil"/>
                  </w:tcBorders>
                  <w:shd w:val="clear" w:color="auto" w:fill="auto"/>
                  <w:vAlign w:val="center"/>
                </w:tcPr>
                <w:p w14:paraId="4F990EB9">
                  <w:pPr>
                    <w:adjustRightInd w:val="0"/>
                    <w:snapToGrid w:val="0"/>
                    <w:spacing w:line="240" w:lineRule="auto"/>
                    <w:jc w:val="center"/>
                    <w:rPr>
                      <w:b/>
                      <w:bCs/>
                      <w:color w:val="auto"/>
                      <w:kern w:val="0"/>
                      <w:sz w:val="21"/>
                      <w:szCs w:val="21"/>
                      <w:highlight w:val="none"/>
                      <w:lang w:bidi="en-US"/>
                    </w:rPr>
                  </w:pPr>
                </w:p>
              </w:tc>
              <w:tc>
                <w:tcPr>
                  <w:tcW w:w="472" w:type="pct"/>
                  <w:tcBorders>
                    <w:tl2br w:val="nil"/>
                    <w:tr2bl w:val="nil"/>
                  </w:tcBorders>
                  <w:shd w:val="clear" w:color="auto" w:fill="auto"/>
                  <w:vAlign w:val="center"/>
                </w:tcPr>
                <w:p w14:paraId="33C9185B">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产生量t/a</w:t>
                  </w:r>
                </w:p>
              </w:tc>
              <w:tc>
                <w:tcPr>
                  <w:tcW w:w="520" w:type="pct"/>
                  <w:tcBorders>
                    <w:tl2br w:val="nil"/>
                    <w:tr2bl w:val="nil"/>
                  </w:tcBorders>
                  <w:shd w:val="clear" w:color="auto" w:fill="auto"/>
                  <w:vAlign w:val="center"/>
                </w:tcPr>
                <w:p w14:paraId="77518AE0">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产生速率kg/h</w:t>
                  </w:r>
                </w:p>
              </w:tc>
              <w:tc>
                <w:tcPr>
                  <w:tcW w:w="413" w:type="pct"/>
                  <w:vMerge w:val="continue"/>
                  <w:tcBorders>
                    <w:tl2br w:val="nil"/>
                    <w:tr2bl w:val="nil"/>
                  </w:tcBorders>
                  <w:shd w:val="clear" w:color="auto" w:fill="auto"/>
                  <w:vAlign w:val="center"/>
                </w:tcPr>
                <w:p w14:paraId="5877295E">
                  <w:pPr>
                    <w:adjustRightInd w:val="0"/>
                    <w:snapToGrid w:val="0"/>
                    <w:spacing w:line="240" w:lineRule="auto"/>
                    <w:jc w:val="center"/>
                    <w:rPr>
                      <w:b/>
                      <w:bCs/>
                      <w:color w:val="auto"/>
                      <w:kern w:val="0"/>
                      <w:sz w:val="21"/>
                      <w:szCs w:val="21"/>
                      <w:highlight w:val="none"/>
                      <w:lang w:bidi="en-US"/>
                    </w:rPr>
                  </w:pPr>
                </w:p>
              </w:tc>
              <w:tc>
                <w:tcPr>
                  <w:tcW w:w="521" w:type="pct"/>
                  <w:vMerge w:val="continue"/>
                  <w:tcBorders>
                    <w:tl2br w:val="nil"/>
                    <w:tr2bl w:val="nil"/>
                  </w:tcBorders>
                  <w:shd w:val="clear" w:color="auto" w:fill="auto"/>
                  <w:vAlign w:val="center"/>
                </w:tcPr>
                <w:p w14:paraId="31D99ECE">
                  <w:pPr>
                    <w:adjustRightInd w:val="0"/>
                    <w:snapToGrid w:val="0"/>
                    <w:spacing w:line="240" w:lineRule="auto"/>
                    <w:jc w:val="center"/>
                    <w:rPr>
                      <w:b/>
                      <w:bCs/>
                      <w:color w:val="auto"/>
                      <w:kern w:val="0"/>
                      <w:sz w:val="21"/>
                      <w:szCs w:val="21"/>
                      <w:highlight w:val="none"/>
                      <w:lang w:bidi="en-US"/>
                    </w:rPr>
                  </w:pPr>
                </w:p>
              </w:tc>
              <w:tc>
                <w:tcPr>
                  <w:tcW w:w="651" w:type="pct"/>
                  <w:vMerge w:val="continue"/>
                  <w:tcBorders>
                    <w:tl2br w:val="nil"/>
                    <w:tr2bl w:val="nil"/>
                  </w:tcBorders>
                  <w:shd w:val="clear" w:color="auto" w:fill="auto"/>
                  <w:vAlign w:val="center"/>
                </w:tcPr>
                <w:p w14:paraId="1F8F400C">
                  <w:pPr>
                    <w:adjustRightInd w:val="0"/>
                    <w:snapToGrid w:val="0"/>
                    <w:spacing w:line="240" w:lineRule="auto"/>
                    <w:jc w:val="center"/>
                    <w:rPr>
                      <w:b/>
                      <w:bCs/>
                      <w:color w:val="auto"/>
                      <w:kern w:val="0"/>
                      <w:sz w:val="21"/>
                      <w:szCs w:val="21"/>
                      <w:highlight w:val="none"/>
                      <w:lang w:bidi="en-US"/>
                    </w:rPr>
                  </w:pPr>
                </w:p>
              </w:tc>
              <w:tc>
                <w:tcPr>
                  <w:tcW w:w="620" w:type="pct"/>
                  <w:vMerge w:val="continue"/>
                  <w:tcBorders>
                    <w:tl2br w:val="nil"/>
                    <w:tr2bl w:val="nil"/>
                  </w:tcBorders>
                  <w:shd w:val="clear" w:color="auto" w:fill="auto"/>
                  <w:vAlign w:val="center"/>
                </w:tcPr>
                <w:p w14:paraId="4C657A16">
                  <w:pPr>
                    <w:adjustRightInd w:val="0"/>
                    <w:snapToGrid w:val="0"/>
                    <w:spacing w:line="240" w:lineRule="auto"/>
                    <w:jc w:val="center"/>
                    <w:rPr>
                      <w:b/>
                      <w:bCs/>
                      <w:color w:val="auto"/>
                      <w:kern w:val="0"/>
                      <w:sz w:val="21"/>
                      <w:szCs w:val="21"/>
                      <w:highlight w:val="none"/>
                      <w:lang w:bidi="en-US"/>
                    </w:rPr>
                  </w:pPr>
                </w:p>
              </w:tc>
              <w:tc>
                <w:tcPr>
                  <w:tcW w:w="420" w:type="pct"/>
                  <w:tcBorders>
                    <w:tl2br w:val="nil"/>
                    <w:tr2bl w:val="nil"/>
                  </w:tcBorders>
                  <w:shd w:val="clear" w:color="auto" w:fill="auto"/>
                  <w:vAlign w:val="center"/>
                </w:tcPr>
                <w:p w14:paraId="19632632">
                  <w:pPr>
                    <w:adjustRightInd w:val="0"/>
                    <w:snapToGrid w:val="0"/>
                    <w:spacing w:line="240" w:lineRule="auto"/>
                    <w:jc w:val="center"/>
                    <w:rPr>
                      <w:b/>
                      <w:bCs/>
                      <w:color w:val="auto"/>
                      <w:kern w:val="0"/>
                      <w:sz w:val="21"/>
                      <w:szCs w:val="21"/>
                      <w:highlight w:val="none"/>
                      <w:vertAlign w:val="superscript"/>
                      <w:lang w:bidi="en-US"/>
                    </w:rPr>
                  </w:pPr>
                  <w:r>
                    <w:rPr>
                      <w:b/>
                      <w:bCs/>
                      <w:color w:val="auto"/>
                      <w:kern w:val="0"/>
                      <w:sz w:val="21"/>
                      <w:szCs w:val="21"/>
                      <w:highlight w:val="none"/>
                      <w:lang w:bidi="en-US"/>
                    </w:rPr>
                    <w:t>排放量t/a</w:t>
                  </w:r>
                </w:p>
              </w:tc>
              <w:tc>
                <w:tcPr>
                  <w:tcW w:w="482" w:type="pct"/>
                  <w:tcBorders>
                    <w:tl2br w:val="nil"/>
                    <w:tr2bl w:val="nil"/>
                  </w:tcBorders>
                  <w:shd w:val="clear" w:color="auto" w:fill="auto"/>
                  <w:vAlign w:val="center"/>
                </w:tcPr>
                <w:p w14:paraId="3AE6516D">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排放速率kg/h</w:t>
                  </w:r>
                </w:p>
              </w:tc>
            </w:tr>
            <w:tr w14:paraId="58EE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151" w:hRule="atLeast"/>
              </w:trPr>
              <w:tc>
                <w:tcPr>
                  <w:tcW w:w="589" w:type="pct"/>
                  <w:tcBorders>
                    <w:tl2br w:val="nil"/>
                    <w:tr2bl w:val="nil"/>
                  </w:tcBorders>
                  <w:shd w:val="clear" w:color="auto" w:fill="auto"/>
                  <w:vAlign w:val="center"/>
                </w:tcPr>
                <w:p w14:paraId="507F25B8">
                  <w:pPr>
                    <w:adjustRightInd w:val="0"/>
                    <w:snapToGrid w:val="0"/>
                    <w:spacing w:line="240" w:lineRule="auto"/>
                    <w:jc w:val="center"/>
                    <w:rPr>
                      <w:rFonts w:hint="eastAsia" w:ascii="Times New Roman" w:hAnsi="Times New Roman" w:eastAsia="宋体" w:cs="Times New Roman"/>
                      <w:color w:val="auto"/>
                      <w:kern w:val="0"/>
                      <w:sz w:val="21"/>
                      <w:szCs w:val="21"/>
                      <w:highlight w:val="none"/>
                      <w:lang w:val="en-US" w:eastAsia="zh-CN" w:bidi="en-US"/>
                    </w:rPr>
                  </w:pPr>
                  <w:r>
                    <w:rPr>
                      <w:rFonts w:hint="eastAsia"/>
                      <w:color w:val="auto"/>
                      <w:kern w:val="0"/>
                      <w:sz w:val="21"/>
                      <w:szCs w:val="21"/>
                      <w:highlight w:val="none"/>
                      <w:lang w:val="en-US" w:eastAsia="zh-CN" w:bidi="en-US"/>
                    </w:rPr>
                    <w:t>DA002排气筒</w:t>
                  </w:r>
                </w:p>
              </w:tc>
              <w:tc>
                <w:tcPr>
                  <w:tcW w:w="307" w:type="pct"/>
                  <w:tcBorders>
                    <w:tl2br w:val="nil"/>
                    <w:tr2bl w:val="nil"/>
                  </w:tcBorders>
                  <w:shd w:val="clear" w:color="auto" w:fill="auto"/>
                  <w:vAlign w:val="center"/>
                </w:tcPr>
                <w:p w14:paraId="78483918">
                  <w:pPr>
                    <w:adjustRightInd w:val="0"/>
                    <w:snapToGrid w:val="0"/>
                    <w:spacing w:line="240" w:lineRule="auto"/>
                    <w:jc w:val="center"/>
                    <w:rPr>
                      <w:rFonts w:hint="eastAsia" w:ascii="Times New Roman" w:hAnsi="Times New Roman" w:eastAsia="宋体" w:cs="Times New Roman"/>
                      <w:color w:val="auto"/>
                      <w:kern w:val="0"/>
                      <w:sz w:val="21"/>
                      <w:szCs w:val="21"/>
                      <w:highlight w:val="none"/>
                      <w:lang w:val="en-US" w:eastAsia="zh-CN" w:bidi="en-US"/>
                    </w:rPr>
                  </w:pPr>
                  <w:r>
                    <w:rPr>
                      <w:rFonts w:hint="eastAsia"/>
                      <w:color w:val="auto"/>
                      <w:kern w:val="0"/>
                      <w:sz w:val="21"/>
                      <w:szCs w:val="21"/>
                      <w:highlight w:val="none"/>
                      <w:lang w:val="en-US" w:eastAsia="zh-CN" w:bidi="en-US"/>
                    </w:rPr>
                    <w:t>颗粒物</w:t>
                  </w:r>
                </w:p>
              </w:tc>
              <w:tc>
                <w:tcPr>
                  <w:tcW w:w="472" w:type="pct"/>
                  <w:tcBorders>
                    <w:tl2br w:val="nil"/>
                    <w:tr2bl w:val="nil"/>
                  </w:tcBorders>
                  <w:shd w:val="clear" w:color="auto" w:fill="auto"/>
                  <w:vAlign w:val="center"/>
                </w:tcPr>
                <w:p w14:paraId="19AF00F6">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3.13</w:t>
                  </w:r>
                </w:p>
              </w:tc>
              <w:tc>
                <w:tcPr>
                  <w:tcW w:w="520" w:type="pct"/>
                  <w:tcBorders>
                    <w:tl2br w:val="nil"/>
                    <w:tr2bl w:val="nil"/>
                  </w:tcBorders>
                  <w:shd w:val="clear" w:color="auto" w:fill="auto"/>
                  <w:vAlign w:val="center"/>
                </w:tcPr>
                <w:p w14:paraId="2B2801A4">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1.3</w:t>
                  </w:r>
                </w:p>
              </w:tc>
              <w:tc>
                <w:tcPr>
                  <w:tcW w:w="413" w:type="pct"/>
                  <w:tcBorders>
                    <w:tl2br w:val="nil"/>
                    <w:tr2bl w:val="nil"/>
                  </w:tcBorders>
                  <w:shd w:val="clear" w:color="auto" w:fill="auto"/>
                  <w:vAlign w:val="center"/>
                </w:tcPr>
                <w:p w14:paraId="7110675C">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95</w:t>
                  </w:r>
                </w:p>
              </w:tc>
              <w:tc>
                <w:tcPr>
                  <w:tcW w:w="521" w:type="pct"/>
                  <w:tcBorders>
                    <w:tl2br w:val="nil"/>
                    <w:tr2bl w:val="nil"/>
                  </w:tcBorders>
                  <w:shd w:val="clear" w:color="auto" w:fill="auto"/>
                  <w:vAlign w:val="center"/>
                </w:tcPr>
                <w:p w14:paraId="392F5ABA">
                  <w:pPr>
                    <w:widowControl/>
                    <w:snapToGrid w:val="0"/>
                    <w:jc w:val="center"/>
                    <w:textAlignment w:val="center"/>
                    <w:rPr>
                      <w:rFonts w:hint="eastAsia"/>
                      <w:color w:val="auto"/>
                      <w:kern w:val="0"/>
                      <w:sz w:val="21"/>
                      <w:szCs w:val="21"/>
                      <w:highlight w:val="none"/>
                      <w:lang w:val="en-US" w:eastAsia="zh-CN" w:bidi="ar"/>
                    </w:rPr>
                  </w:pPr>
                  <w:r>
                    <w:rPr>
                      <w:rFonts w:hint="eastAsia"/>
                      <w:color w:val="auto"/>
                      <w:kern w:val="0"/>
                      <w:sz w:val="21"/>
                      <w:szCs w:val="21"/>
                      <w:highlight w:val="none"/>
                      <w:lang w:val="en-US" w:eastAsia="zh-CN" w:bidi="ar"/>
                    </w:rPr>
                    <w:t>85</w:t>
                  </w:r>
                </w:p>
              </w:tc>
              <w:tc>
                <w:tcPr>
                  <w:tcW w:w="651" w:type="pct"/>
                  <w:tcBorders>
                    <w:tl2br w:val="nil"/>
                    <w:tr2bl w:val="nil"/>
                  </w:tcBorders>
                  <w:shd w:val="clear" w:color="auto" w:fill="auto"/>
                  <w:vAlign w:val="center"/>
                </w:tcPr>
                <w:p w14:paraId="46DF3E2D">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水喷淋+二级活性炭（含干式过滤棉）</w:t>
                  </w:r>
                </w:p>
              </w:tc>
              <w:tc>
                <w:tcPr>
                  <w:tcW w:w="620" w:type="pct"/>
                  <w:tcBorders>
                    <w:tl2br w:val="nil"/>
                    <w:tr2bl w:val="nil"/>
                  </w:tcBorders>
                  <w:shd w:val="clear" w:color="auto" w:fill="auto"/>
                  <w:vAlign w:val="center"/>
                </w:tcPr>
                <w:p w14:paraId="0ABABF90">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2000</w:t>
                  </w:r>
                </w:p>
              </w:tc>
              <w:tc>
                <w:tcPr>
                  <w:tcW w:w="420" w:type="pct"/>
                  <w:tcBorders>
                    <w:tl2br w:val="nil"/>
                    <w:tr2bl w:val="nil"/>
                  </w:tcBorders>
                  <w:shd w:val="clear" w:color="auto" w:fill="auto"/>
                  <w:vAlign w:val="center"/>
                </w:tcPr>
                <w:p w14:paraId="0181048B">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0.47</w:t>
                  </w:r>
                </w:p>
              </w:tc>
              <w:tc>
                <w:tcPr>
                  <w:tcW w:w="482" w:type="pct"/>
                  <w:tcBorders>
                    <w:tl2br w:val="nil"/>
                    <w:tr2bl w:val="nil"/>
                  </w:tcBorders>
                  <w:shd w:val="clear" w:color="auto" w:fill="auto"/>
                  <w:vAlign w:val="center"/>
                </w:tcPr>
                <w:p w14:paraId="2B9EB18E">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0.2</w:t>
                  </w:r>
                </w:p>
              </w:tc>
            </w:tr>
            <w:tr w14:paraId="1B9F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89" w:type="pct"/>
                  <w:tcBorders>
                    <w:tl2br w:val="nil"/>
                    <w:tr2bl w:val="nil"/>
                  </w:tcBorders>
                  <w:shd w:val="clear" w:color="auto" w:fill="auto"/>
                  <w:vAlign w:val="center"/>
                </w:tcPr>
                <w:p w14:paraId="7DAB8330">
                  <w:pPr>
                    <w:adjustRightInd w:val="0"/>
                    <w:snapToGrid w:val="0"/>
                    <w:spacing w:line="240" w:lineRule="auto"/>
                    <w:jc w:val="center"/>
                    <w:rPr>
                      <w:rFonts w:hint="default"/>
                      <w:color w:val="auto"/>
                      <w:kern w:val="0"/>
                      <w:sz w:val="21"/>
                      <w:szCs w:val="21"/>
                      <w:highlight w:val="none"/>
                      <w:lang w:val="en-US" w:eastAsia="zh-CN" w:bidi="en-US"/>
                    </w:rPr>
                  </w:pPr>
                  <w:r>
                    <w:rPr>
                      <w:rFonts w:hint="eastAsia"/>
                      <w:color w:val="auto"/>
                      <w:kern w:val="0"/>
                      <w:sz w:val="21"/>
                      <w:szCs w:val="21"/>
                      <w:highlight w:val="none"/>
                      <w:lang w:val="en-US" w:eastAsia="zh-CN" w:bidi="en-US"/>
                    </w:rPr>
                    <w:t>无组织废气</w:t>
                  </w:r>
                </w:p>
              </w:tc>
              <w:tc>
                <w:tcPr>
                  <w:tcW w:w="307" w:type="pct"/>
                  <w:tcBorders>
                    <w:tl2br w:val="nil"/>
                    <w:tr2bl w:val="nil"/>
                  </w:tcBorders>
                  <w:shd w:val="clear" w:color="auto" w:fill="auto"/>
                  <w:vAlign w:val="center"/>
                </w:tcPr>
                <w:p w14:paraId="79DF0FF6">
                  <w:pPr>
                    <w:adjustRightInd w:val="0"/>
                    <w:snapToGrid w:val="0"/>
                    <w:spacing w:line="240" w:lineRule="auto"/>
                    <w:jc w:val="center"/>
                    <w:rPr>
                      <w:rFonts w:hint="default"/>
                      <w:color w:val="auto"/>
                      <w:kern w:val="0"/>
                      <w:sz w:val="21"/>
                      <w:szCs w:val="21"/>
                      <w:highlight w:val="none"/>
                      <w:lang w:val="en-US" w:eastAsia="zh-CN" w:bidi="en-US"/>
                    </w:rPr>
                  </w:pPr>
                  <w:r>
                    <w:rPr>
                      <w:rFonts w:hint="eastAsia"/>
                      <w:color w:val="auto"/>
                      <w:kern w:val="0"/>
                      <w:sz w:val="21"/>
                      <w:szCs w:val="21"/>
                      <w:highlight w:val="none"/>
                      <w:lang w:val="en-US" w:eastAsia="zh-CN" w:bidi="en-US"/>
                    </w:rPr>
                    <w:t>颗粒物</w:t>
                  </w:r>
                </w:p>
              </w:tc>
              <w:tc>
                <w:tcPr>
                  <w:tcW w:w="472" w:type="pct"/>
                  <w:tcBorders>
                    <w:tl2br w:val="nil"/>
                    <w:tr2bl w:val="nil"/>
                  </w:tcBorders>
                  <w:shd w:val="clear" w:color="auto" w:fill="auto"/>
                  <w:vAlign w:val="center"/>
                </w:tcPr>
                <w:p w14:paraId="62309674">
                  <w:pPr>
                    <w:widowControl/>
                    <w:snapToGrid w:val="0"/>
                    <w:jc w:val="center"/>
                    <w:textAlignment w:val="center"/>
                    <w:rPr>
                      <w:rFonts w:hint="default" w:cs="Times New Roman"/>
                      <w:color w:val="auto"/>
                      <w:kern w:val="2"/>
                      <w:sz w:val="21"/>
                      <w:szCs w:val="21"/>
                      <w:highlight w:val="none"/>
                      <w:lang w:val="en-US" w:eastAsia="zh-CN" w:bidi="ar-SA"/>
                    </w:rPr>
                  </w:pPr>
                  <w:r>
                    <w:rPr>
                      <w:rFonts w:hint="default" w:cs="Times New Roman"/>
                      <w:color w:val="auto"/>
                      <w:kern w:val="2"/>
                      <w:sz w:val="21"/>
                      <w:szCs w:val="21"/>
                      <w:highlight w:val="none"/>
                      <w:lang w:val="en-US" w:eastAsia="zh-CN" w:bidi="ar-SA"/>
                    </w:rPr>
                    <w:t>0.16</w:t>
                  </w:r>
                </w:p>
              </w:tc>
              <w:tc>
                <w:tcPr>
                  <w:tcW w:w="520" w:type="pct"/>
                  <w:tcBorders>
                    <w:tl2br w:val="nil"/>
                    <w:tr2bl w:val="nil"/>
                  </w:tcBorders>
                  <w:shd w:val="clear" w:color="auto" w:fill="auto"/>
                  <w:vAlign w:val="center"/>
                </w:tcPr>
                <w:p w14:paraId="15CEB86E">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0.067</w:t>
                  </w:r>
                </w:p>
              </w:tc>
              <w:tc>
                <w:tcPr>
                  <w:tcW w:w="413" w:type="pct"/>
                  <w:tcBorders>
                    <w:tl2br w:val="nil"/>
                    <w:tr2bl w:val="nil"/>
                  </w:tcBorders>
                  <w:shd w:val="clear" w:color="auto" w:fill="auto"/>
                  <w:vAlign w:val="center"/>
                </w:tcPr>
                <w:p w14:paraId="73C80308">
                  <w:pPr>
                    <w:widowControl/>
                    <w:snapToGrid w:val="0"/>
                    <w:jc w:val="center"/>
                    <w:textAlignment w:val="center"/>
                    <w:rPr>
                      <w:rFonts w:hint="eastAsia" w:ascii="Times New Roman" w:hAnsi="Times New Roman" w:eastAsia="宋体" w:cs="Times New Roman"/>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521" w:type="pct"/>
                  <w:tcBorders>
                    <w:tl2br w:val="nil"/>
                    <w:tr2bl w:val="nil"/>
                  </w:tcBorders>
                  <w:shd w:val="clear" w:color="auto" w:fill="auto"/>
                  <w:vAlign w:val="center"/>
                </w:tcPr>
                <w:p w14:paraId="294E90FF">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651" w:type="pct"/>
                  <w:tcBorders>
                    <w:tl2br w:val="nil"/>
                    <w:tr2bl w:val="nil"/>
                  </w:tcBorders>
                  <w:shd w:val="clear" w:color="auto" w:fill="auto"/>
                  <w:vAlign w:val="center"/>
                </w:tcPr>
                <w:p w14:paraId="1F3FBCAA">
                  <w:pPr>
                    <w:widowControl/>
                    <w:snapToGrid w:val="0"/>
                    <w:jc w:val="center"/>
                    <w:textAlignment w:val="center"/>
                    <w:rPr>
                      <w:rFonts w:hint="eastAsia" w:ascii="Times New Roman" w:hAnsi="Times New Roman" w:eastAsia="宋体" w:cs="Times New Roman"/>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620" w:type="pct"/>
                  <w:tcBorders>
                    <w:tl2br w:val="nil"/>
                    <w:tr2bl w:val="nil"/>
                  </w:tcBorders>
                  <w:shd w:val="clear" w:color="auto" w:fill="auto"/>
                  <w:vAlign w:val="center"/>
                </w:tcPr>
                <w:p w14:paraId="3515B4C4">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420" w:type="pct"/>
                  <w:tcBorders>
                    <w:tl2br w:val="nil"/>
                    <w:tr2bl w:val="nil"/>
                  </w:tcBorders>
                  <w:shd w:val="clear" w:color="auto" w:fill="auto"/>
                  <w:vAlign w:val="center"/>
                </w:tcPr>
                <w:p w14:paraId="24B678F3">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default" w:cs="Times New Roman"/>
                      <w:color w:val="auto"/>
                      <w:kern w:val="2"/>
                      <w:sz w:val="21"/>
                      <w:szCs w:val="21"/>
                      <w:highlight w:val="none"/>
                      <w:lang w:val="en-US" w:eastAsia="zh-CN" w:bidi="ar-SA"/>
                    </w:rPr>
                    <w:t>0.16</w:t>
                  </w:r>
                </w:p>
              </w:tc>
              <w:tc>
                <w:tcPr>
                  <w:tcW w:w="482" w:type="pct"/>
                  <w:tcBorders>
                    <w:tl2br w:val="nil"/>
                    <w:tr2bl w:val="nil"/>
                  </w:tcBorders>
                  <w:shd w:val="clear" w:color="auto" w:fill="auto"/>
                  <w:vAlign w:val="center"/>
                </w:tcPr>
                <w:p w14:paraId="5E79BA5D">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0.067</w:t>
                  </w:r>
                </w:p>
              </w:tc>
            </w:tr>
          </w:tbl>
          <w:p w14:paraId="1F24BA89">
            <w:pPr>
              <w:tabs>
                <w:tab w:val="left" w:pos="5940"/>
              </w:tabs>
              <w:spacing w:line="500" w:lineRule="exact"/>
              <w:ind w:firstLine="480" w:firstLineChars="200"/>
              <w:rPr>
                <w:rFonts w:hint="eastAsia"/>
                <w:bCs/>
                <w:color w:val="auto"/>
                <w:sz w:val="24"/>
                <w:highlight w:val="none"/>
                <w:u w:val="none"/>
                <w:lang w:val="en-US" w:eastAsia="zh-CN"/>
              </w:rPr>
            </w:pPr>
            <w:r>
              <w:rPr>
                <w:rFonts w:hint="eastAsia"/>
                <w:bCs/>
                <w:color w:val="auto"/>
                <w:sz w:val="24"/>
                <w:highlight w:val="none"/>
                <w:u w:val="none"/>
                <w:lang w:val="en-US" w:eastAsia="zh-CN"/>
              </w:rPr>
              <w:t>（5）电泳</w:t>
            </w:r>
          </w:p>
          <w:p w14:paraId="4642AA5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Cs/>
                <w:color w:val="auto"/>
                <w:sz w:val="24"/>
                <w:highlight w:val="none"/>
                <w:u w:val="none"/>
                <w:lang w:val="en-US" w:eastAsia="zh-CN"/>
              </w:rPr>
            </w:pPr>
            <w:r>
              <w:rPr>
                <w:rFonts w:hint="eastAsia"/>
                <w:bCs/>
                <w:color w:val="auto"/>
                <w:sz w:val="24"/>
                <w:highlight w:val="none"/>
                <w:u w:val="none"/>
                <w:lang w:val="en-US" w:eastAsia="zh-CN"/>
              </w:rPr>
              <w:t>根据《污染源源强核算技术指南 汽车制造》（HJ 1097-2020）中物料衡算法核算电泳废气。</w:t>
            </w:r>
          </w:p>
          <w:p w14:paraId="5826CFC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Cs/>
                <w:color w:val="auto"/>
                <w:sz w:val="24"/>
                <w:highlight w:val="none"/>
                <w:u w:val="none"/>
                <w:lang w:val="en-US" w:eastAsia="zh-CN"/>
              </w:rPr>
            </w:pPr>
            <w:r>
              <w:rPr>
                <w:rFonts w:hint="eastAsia"/>
                <w:bCs/>
                <w:color w:val="auto"/>
                <w:sz w:val="24"/>
                <w:highlight w:val="none"/>
                <w:u w:val="none"/>
                <w:lang w:val="en-US" w:eastAsia="zh-CN"/>
              </w:rPr>
              <w:t>项目年消耗电泳涂料</w:t>
            </w:r>
            <w:r>
              <w:rPr>
                <w:rFonts w:hint="eastAsia"/>
                <w:bCs/>
                <w:color w:val="auto"/>
                <w:sz w:val="24"/>
                <w:highlight w:val="none"/>
                <w:u w:val="none"/>
                <w:lang w:val="en-US" w:eastAsia="zh-CN"/>
              </w:rPr>
              <w:t>52t/a，根据电泳漆成分报告，电泳涂料中挥发性有机物成分</w:t>
            </w:r>
            <w:r>
              <w:rPr>
                <w:rFonts w:hint="eastAsia"/>
                <w:bCs/>
                <w:color w:val="auto"/>
                <w:sz w:val="24"/>
                <w:szCs w:val="24"/>
                <w:highlight w:val="none"/>
                <w:u w:val="none"/>
                <w:lang w:val="en-US" w:eastAsia="zh-CN"/>
              </w:rPr>
              <w:t>为</w:t>
            </w:r>
            <w:r>
              <w:rPr>
                <w:rFonts w:hint="eastAsia" w:ascii="Times New Roman" w:hAnsi="Times New Roman" w:eastAsia="宋体"/>
                <w:b w:val="0"/>
                <w:bCs w:val="0"/>
                <w:color w:val="auto"/>
                <w:sz w:val="24"/>
                <w:szCs w:val="24"/>
                <w:highlight w:val="none"/>
                <w:lang w:val="en-US" w:eastAsia="zh-CN"/>
              </w:rPr>
              <w:t>乙二醇（</w:t>
            </w:r>
            <w:r>
              <w:rPr>
                <w:rFonts w:hint="eastAsia"/>
                <w:b w:val="0"/>
                <w:bCs w:val="0"/>
                <w:color w:val="auto"/>
                <w:sz w:val="24"/>
                <w:szCs w:val="24"/>
                <w:highlight w:val="none"/>
                <w:lang w:val="en-US" w:eastAsia="zh-CN"/>
              </w:rPr>
              <w:t>2</w:t>
            </w:r>
            <w:r>
              <w:rPr>
                <w:rFonts w:hint="eastAsia" w:ascii="Times New Roman" w:hAnsi="Times New Roman" w:eastAsia="宋体"/>
                <w:b w:val="0"/>
                <w:bCs w:val="0"/>
                <w:color w:val="auto"/>
                <w:sz w:val="24"/>
                <w:szCs w:val="24"/>
                <w:highlight w:val="none"/>
                <w:lang w:val="en-US" w:eastAsia="zh-CN"/>
              </w:rPr>
              <w:t>%）</w:t>
            </w:r>
            <w:r>
              <w:rPr>
                <w:rFonts w:hint="eastAsia"/>
                <w:b w:val="0"/>
                <w:bCs w:val="0"/>
                <w:color w:val="auto"/>
                <w:sz w:val="24"/>
                <w:szCs w:val="24"/>
                <w:highlight w:val="none"/>
                <w:lang w:val="en-US" w:eastAsia="zh-CN"/>
              </w:rPr>
              <w:t>、丁醚（5.1%）</w:t>
            </w:r>
            <w:r>
              <w:rPr>
                <w:rFonts w:hint="eastAsia" w:ascii="Times New Roman" w:hAnsi="Times New Roman" w:eastAsia="宋体"/>
                <w:b w:val="0"/>
                <w:bCs w:val="0"/>
                <w:color w:val="auto"/>
                <w:sz w:val="24"/>
                <w:szCs w:val="24"/>
                <w:highlight w:val="none"/>
                <w:lang w:val="en-US" w:eastAsia="zh-CN"/>
              </w:rPr>
              <w:t>、</w:t>
            </w:r>
            <w:r>
              <w:rPr>
                <w:rFonts w:hint="eastAsia"/>
                <w:b w:val="0"/>
                <w:bCs w:val="0"/>
                <w:color w:val="auto"/>
                <w:sz w:val="24"/>
                <w:szCs w:val="24"/>
                <w:highlight w:val="none"/>
                <w:lang w:val="en-US" w:eastAsia="zh-CN"/>
              </w:rPr>
              <w:t>甲基异丁酮（1%）</w:t>
            </w:r>
            <w:r>
              <w:rPr>
                <w:rFonts w:hint="eastAsia" w:ascii="Times New Roman" w:hAnsi="Times New Roman" w:eastAsia="宋体"/>
                <w:b w:val="0"/>
                <w:bCs w:val="0"/>
                <w:color w:val="auto"/>
                <w:sz w:val="24"/>
                <w:szCs w:val="24"/>
                <w:highlight w:val="none"/>
                <w:lang w:val="en-US" w:eastAsia="zh-CN"/>
              </w:rPr>
              <w:t>、</w:t>
            </w:r>
            <w:r>
              <w:rPr>
                <w:rFonts w:hint="eastAsia"/>
                <w:b w:val="0"/>
                <w:bCs w:val="0"/>
                <w:color w:val="auto"/>
                <w:sz w:val="24"/>
                <w:szCs w:val="24"/>
                <w:highlight w:val="none"/>
                <w:lang w:val="en-US" w:eastAsia="zh-CN"/>
              </w:rPr>
              <w:t>助剂</w:t>
            </w:r>
            <w:r>
              <w:rPr>
                <w:rFonts w:hint="eastAsia" w:ascii="Times New Roman" w:hAnsi="Times New Roman" w:eastAsia="宋体"/>
                <w:b w:val="0"/>
                <w:bCs w:val="0"/>
                <w:color w:val="auto"/>
                <w:sz w:val="24"/>
                <w:szCs w:val="24"/>
                <w:highlight w:val="none"/>
                <w:lang w:val="en-US" w:eastAsia="zh-CN"/>
              </w:rPr>
              <w:t>（</w:t>
            </w:r>
            <w:r>
              <w:rPr>
                <w:rFonts w:hint="eastAsia"/>
                <w:b w:val="0"/>
                <w:bCs w:val="0"/>
                <w:color w:val="auto"/>
                <w:sz w:val="24"/>
                <w:szCs w:val="24"/>
                <w:highlight w:val="none"/>
                <w:lang w:val="en-US" w:eastAsia="zh-CN"/>
              </w:rPr>
              <w:t>0.7</w:t>
            </w:r>
            <w:r>
              <w:rPr>
                <w:rFonts w:hint="eastAsia" w:ascii="Times New Roman" w:hAnsi="Times New Roman" w:eastAsia="宋体"/>
                <w:b w:val="0"/>
                <w:bCs w:val="0"/>
                <w:color w:val="auto"/>
                <w:sz w:val="24"/>
                <w:szCs w:val="24"/>
                <w:highlight w:val="none"/>
                <w:lang w:val="en-US" w:eastAsia="zh-CN"/>
              </w:rPr>
              <w:t>%）、有机酸（醋酸）（0.</w:t>
            </w:r>
            <w:r>
              <w:rPr>
                <w:rFonts w:hint="eastAsia"/>
                <w:b w:val="0"/>
                <w:bCs w:val="0"/>
                <w:color w:val="auto"/>
                <w:sz w:val="24"/>
                <w:szCs w:val="24"/>
                <w:highlight w:val="none"/>
                <w:lang w:val="en-US" w:eastAsia="zh-CN"/>
              </w:rPr>
              <w:t>7</w:t>
            </w:r>
            <w:r>
              <w:rPr>
                <w:rFonts w:hint="eastAsia" w:ascii="Times New Roman" w:hAnsi="Times New Roman" w:eastAsia="宋体"/>
                <w:b w:val="0"/>
                <w:bCs w:val="0"/>
                <w:color w:val="auto"/>
                <w:sz w:val="24"/>
                <w:szCs w:val="24"/>
                <w:highlight w:val="none"/>
                <w:lang w:val="en-US" w:eastAsia="zh-CN"/>
              </w:rPr>
              <w:t>%），挥发</w:t>
            </w:r>
            <w:r>
              <w:rPr>
                <w:rFonts w:hint="eastAsia"/>
                <w:b w:val="0"/>
                <w:bCs w:val="0"/>
                <w:color w:val="auto"/>
                <w:sz w:val="24"/>
                <w:szCs w:val="24"/>
                <w:highlight w:val="none"/>
                <w:lang w:val="en-US" w:eastAsia="zh-CN"/>
              </w:rPr>
              <w:t>性有机物</w:t>
            </w:r>
            <w:r>
              <w:rPr>
                <w:rFonts w:hint="eastAsia" w:ascii="Times New Roman" w:hAnsi="Times New Roman" w:eastAsia="宋体"/>
                <w:b w:val="0"/>
                <w:bCs w:val="0"/>
                <w:color w:val="auto"/>
                <w:sz w:val="24"/>
                <w:szCs w:val="24"/>
                <w:highlight w:val="none"/>
                <w:lang w:val="en-US" w:eastAsia="zh-CN"/>
              </w:rPr>
              <w:t>成分总含量为9.5%</w:t>
            </w:r>
            <w:r>
              <w:rPr>
                <w:rFonts w:hint="eastAsia"/>
                <w:bCs/>
                <w:color w:val="auto"/>
                <w:sz w:val="24"/>
                <w:highlight w:val="none"/>
                <w:u w:val="none"/>
                <w:lang w:val="en-US" w:eastAsia="zh-CN"/>
              </w:rPr>
              <w:t>，经计算，电泳涂料中挥发分为4.94t/a。参照《污染源源强核算技术指南汽车制造》（HJ1097-2020）附录E，电泳过程电泳涂料挥发性有机物挥发量占比为35%，本次评价，在表征挥发性有机物（VOCs）总体排放情况时，采用非甲烷总烃（以NMHC表示）作为污染物控制项目，按最不利因素计算，电泳涂料中挥发性有机物全部挥发，即非甲烷总烃产生量为1.73t/a。</w:t>
            </w:r>
            <w:r>
              <w:rPr>
                <w:rFonts w:hint="eastAsia"/>
                <w:bCs/>
                <w:color w:val="auto"/>
                <w:sz w:val="24"/>
                <w:highlight w:val="none"/>
                <w:u w:val="none"/>
                <w:lang w:val="en-US" w:eastAsia="zh-CN"/>
              </w:rPr>
              <w:t>电泳槽设置半封闭设备内</w:t>
            </w:r>
            <w:r>
              <w:rPr>
                <w:rFonts w:hint="eastAsia"/>
                <w:color w:val="auto"/>
                <w:sz w:val="24"/>
                <w:szCs w:val="24"/>
                <w:highlight w:val="none"/>
                <w:lang w:val="en-US" w:eastAsia="zh-CN"/>
              </w:rPr>
              <w:t>仅保留进出口</w:t>
            </w:r>
            <w:r>
              <w:rPr>
                <w:rFonts w:hint="eastAsia"/>
                <w:bCs/>
                <w:color w:val="auto"/>
                <w:sz w:val="24"/>
                <w:highlight w:val="none"/>
                <w:u w:val="none"/>
                <w:lang w:val="en-US" w:eastAsia="zh-CN"/>
              </w:rPr>
              <w:t>，产生的废气经负压收集（</w:t>
            </w:r>
            <w:r>
              <w:rPr>
                <w:rFonts w:hint="eastAsia" w:cs="宋体"/>
                <w:b w:val="0"/>
                <w:bCs w:val="0"/>
                <w:color w:val="auto"/>
                <w:sz w:val="24"/>
                <w:szCs w:val="24"/>
                <w:lang w:val="en-US" w:eastAsia="zh-CN"/>
              </w:rPr>
              <w:t>参考《主要污染物总量减排核算技术指南》（2022年修订）</w:t>
            </w:r>
            <w:r>
              <w:rPr>
                <w:rFonts w:hint="eastAsia" w:cs="宋体"/>
                <w:b w:val="0"/>
                <w:bCs w:val="0"/>
                <w:color w:val="auto"/>
                <w:sz w:val="24"/>
                <w:szCs w:val="24"/>
                <w:lang w:val="en-US" w:eastAsia="zh-CN"/>
              </w:rPr>
              <w:t>半密闭集气设备</w:t>
            </w:r>
            <w:r>
              <w:rPr>
                <w:rFonts w:hint="eastAsia" w:cs="宋体"/>
                <w:b w:val="0"/>
                <w:bCs w:val="0"/>
                <w:color w:val="auto"/>
                <w:sz w:val="24"/>
                <w:szCs w:val="24"/>
                <w:lang w:eastAsia="zh-CN"/>
              </w:rPr>
              <w:t>收集效率</w:t>
            </w:r>
            <w:r>
              <w:rPr>
                <w:rFonts w:hint="eastAsia" w:cs="宋体"/>
                <w:b w:val="0"/>
                <w:bCs w:val="0"/>
                <w:color w:val="auto"/>
                <w:sz w:val="24"/>
                <w:szCs w:val="24"/>
                <w:lang w:val="en-US" w:eastAsia="zh-CN"/>
              </w:rPr>
              <w:t>为65</w:t>
            </w:r>
            <w:r>
              <w:rPr>
                <w:rFonts w:hint="eastAsia" w:cs="宋体"/>
                <w:b w:val="0"/>
                <w:bCs w:val="0"/>
                <w:color w:val="auto"/>
                <w:sz w:val="24"/>
                <w:szCs w:val="24"/>
                <w:lang w:eastAsia="zh-CN"/>
              </w:rPr>
              <w:t>%，</w:t>
            </w:r>
            <w:r>
              <w:rPr>
                <w:rFonts w:hint="eastAsia" w:cs="宋体"/>
                <w:b w:val="0"/>
                <w:bCs w:val="0"/>
                <w:color w:val="auto"/>
                <w:sz w:val="24"/>
                <w:szCs w:val="24"/>
                <w:lang w:val="en-US" w:eastAsia="zh-CN"/>
              </w:rPr>
              <w:t>本项目电泳负压收集效率取65%</w:t>
            </w:r>
            <w:r>
              <w:rPr>
                <w:rFonts w:hint="eastAsia"/>
                <w:bCs/>
                <w:color w:val="auto"/>
                <w:sz w:val="24"/>
                <w:highlight w:val="none"/>
                <w:u w:val="none"/>
                <w:lang w:val="en-US" w:eastAsia="zh-CN"/>
              </w:rPr>
              <w:t>，即收集1.12t/a）后经过“水喷淋+二级活性炭</w:t>
            </w:r>
            <w:r>
              <w:rPr>
                <w:rFonts w:hint="eastAsia" w:cs="Times New Roman"/>
                <w:color w:val="auto"/>
                <w:sz w:val="24"/>
                <w:szCs w:val="24"/>
                <w:highlight w:val="none"/>
                <w:lang w:val="en-US" w:eastAsia="zh-CN"/>
              </w:rPr>
              <w:t>（含干式过滤棉）</w:t>
            </w:r>
            <w:r>
              <w:rPr>
                <w:rFonts w:hint="eastAsia"/>
                <w:bCs/>
                <w:color w:val="auto"/>
                <w:sz w:val="24"/>
                <w:highlight w:val="none"/>
                <w:u w:val="none"/>
                <w:lang w:val="en-US" w:eastAsia="zh-CN"/>
              </w:rPr>
              <w:t>吸附”装置处理后经15m高排气筒（DA002）排放，电泳</w:t>
            </w:r>
            <w:r>
              <w:rPr>
                <w:rFonts w:hint="eastAsia" w:cs="Times New Roman"/>
                <w:color w:val="auto"/>
                <w:sz w:val="24"/>
                <w:szCs w:val="24"/>
                <w:highlight w:val="none"/>
                <w:lang w:val="en-US" w:eastAsia="zh-CN"/>
              </w:rPr>
              <w:t>工段风机风量为2000</w:t>
            </w:r>
            <w:r>
              <w:rPr>
                <w:color w:val="auto"/>
                <w:kern w:val="0"/>
                <w:sz w:val="24"/>
                <w:szCs w:val="24"/>
                <w:highlight w:val="none"/>
              </w:rPr>
              <w:t>m</w:t>
            </w:r>
            <w:r>
              <w:rPr>
                <w:color w:val="auto"/>
                <w:kern w:val="0"/>
                <w:sz w:val="24"/>
                <w:szCs w:val="24"/>
                <w:highlight w:val="none"/>
                <w:vertAlign w:val="superscript"/>
              </w:rPr>
              <w:t>3</w:t>
            </w:r>
            <w:r>
              <w:rPr>
                <w:color w:val="auto"/>
                <w:kern w:val="0"/>
                <w:sz w:val="24"/>
                <w:szCs w:val="24"/>
                <w:highlight w:val="none"/>
              </w:rPr>
              <w:t>/h</w:t>
            </w:r>
            <w:r>
              <w:rPr>
                <w:rFonts w:hint="eastAsia"/>
                <w:bCs/>
                <w:color w:val="auto"/>
                <w:sz w:val="24"/>
                <w:highlight w:val="none"/>
                <w:u w:val="none"/>
                <w:lang w:val="en-US" w:eastAsia="zh-CN"/>
              </w:rPr>
              <w:t>，根据《排放源统计调查产排污核算方法和系数手册》中“33-37，431-434机械行业系数手册”中涂装末端治理技术效率，吸附法18%，则二级活性炭处理效率为1-（1-18%）*（1-18%）=32.76%（本次评价取32%），则电泳过程有组织非甲烷总烃量排放量为0.76t/a，无组织排放量为0.61t/a。</w:t>
            </w:r>
          </w:p>
          <w:p w14:paraId="43C25425">
            <w:pPr>
              <w:tabs>
                <w:tab w:val="left" w:pos="624"/>
              </w:tabs>
              <w:snapToGrid w:val="0"/>
              <w:ind w:firstLine="482"/>
              <w:jc w:val="center"/>
              <w:rPr>
                <w:b/>
                <w:bCs/>
                <w:color w:val="auto"/>
                <w:sz w:val="24"/>
                <w:szCs w:val="24"/>
                <w:highlight w:val="none"/>
              </w:rPr>
            </w:pPr>
            <w:r>
              <w:rPr>
                <w:b/>
                <w:color w:val="auto"/>
                <w:kern w:val="0"/>
                <w:sz w:val="24"/>
                <w:szCs w:val="24"/>
                <w:highlight w:val="none"/>
              </w:rPr>
              <w:t>表</w:t>
            </w:r>
            <w:r>
              <w:rPr>
                <w:rFonts w:hint="eastAsia"/>
                <w:b/>
                <w:color w:val="auto"/>
                <w:kern w:val="0"/>
                <w:sz w:val="24"/>
                <w:szCs w:val="24"/>
                <w:highlight w:val="none"/>
                <w:lang w:val="en-US" w:eastAsia="zh-CN"/>
              </w:rPr>
              <w:t>4-5</w:t>
            </w:r>
            <w:r>
              <w:rPr>
                <w:b/>
                <w:color w:val="auto"/>
                <w:kern w:val="0"/>
                <w:sz w:val="24"/>
                <w:szCs w:val="24"/>
                <w:highlight w:val="none"/>
              </w:rPr>
              <w:t xml:space="preserve"> </w:t>
            </w:r>
            <w:r>
              <w:rPr>
                <w:rFonts w:hint="eastAsia"/>
                <w:b/>
                <w:color w:val="auto"/>
                <w:kern w:val="0"/>
                <w:sz w:val="24"/>
                <w:szCs w:val="24"/>
                <w:highlight w:val="none"/>
                <w:lang w:val="en-US" w:eastAsia="zh-CN"/>
              </w:rPr>
              <w:t>电泳废气</w:t>
            </w:r>
            <w:r>
              <w:rPr>
                <w:rFonts w:hint="eastAsia"/>
                <w:b/>
                <w:color w:val="auto"/>
                <w:kern w:val="0"/>
                <w:sz w:val="24"/>
                <w:szCs w:val="24"/>
                <w:highlight w:val="none"/>
              </w:rPr>
              <w:t>产排</w:t>
            </w:r>
            <w:r>
              <w:rPr>
                <w:b/>
                <w:color w:val="auto"/>
                <w:kern w:val="0"/>
                <w:sz w:val="24"/>
                <w:szCs w:val="24"/>
                <w:highlight w:val="none"/>
              </w:rPr>
              <w:t>情</w:t>
            </w:r>
            <w:r>
              <w:rPr>
                <w:rFonts w:hint="default" w:ascii="Times New Roman" w:hAnsi="Times New Roman" w:cs="Times New Roman"/>
                <w:b/>
                <w:color w:val="auto"/>
                <w:kern w:val="0"/>
                <w:sz w:val="24"/>
                <w:szCs w:val="24"/>
                <w:highlight w:val="none"/>
              </w:rPr>
              <w:t>况</w:t>
            </w:r>
          </w:p>
          <w:tbl>
            <w:tblPr>
              <w:tblStyle w:val="3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Layout w:type="fixed"/>
              <w:tblCellMar>
                <w:top w:w="0" w:type="dxa"/>
                <w:left w:w="108" w:type="dxa"/>
                <w:bottom w:w="0" w:type="dxa"/>
                <w:right w:w="108" w:type="dxa"/>
              </w:tblCellMar>
            </w:tblPr>
            <w:tblGrid>
              <w:gridCol w:w="948"/>
              <w:gridCol w:w="495"/>
              <w:gridCol w:w="761"/>
              <w:gridCol w:w="837"/>
              <w:gridCol w:w="776"/>
              <w:gridCol w:w="776"/>
              <w:gridCol w:w="886"/>
              <w:gridCol w:w="999"/>
              <w:gridCol w:w="676"/>
              <w:gridCol w:w="779"/>
            </w:tblGrid>
            <w:tr w14:paraId="6660D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340" w:hRule="atLeast"/>
              </w:trPr>
              <w:tc>
                <w:tcPr>
                  <w:tcW w:w="597" w:type="pct"/>
                  <w:vMerge w:val="restart"/>
                  <w:tcBorders>
                    <w:tl2br w:val="nil"/>
                    <w:tr2bl w:val="nil"/>
                  </w:tcBorders>
                  <w:shd w:val="clear" w:color="auto" w:fill="auto"/>
                  <w:vAlign w:val="center"/>
                </w:tcPr>
                <w:p w14:paraId="166DE5DA">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污染源</w:t>
                  </w:r>
                </w:p>
              </w:tc>
              <w:tc>
                <w:tcPr>
                  <w:tcW w:w="311" w:type="pct"/>
                  <w:vMerge w:val="restart"/>
                  <w:tcBorders>
                    <w:tl2br w:val="nil"/>
                    <w:tr2bl w:val="nil"/>
                  </w:tcBorders>
                  <w:shd w:val="clear" w:color="auto" w:fill="auto"/>
                  <w:vAlign w:val="center"/>
                </w:tcPr>
                <w:p w14:paraId="07F28065">
                  <w:pPr>
                    <w:adjustRightInd w:val="0"/>
                    <w:snapToGrid w:val="0"/>
                    <w:spacing w:line="240" w:lineRule="auto"/>
                    <w:jc w:val="center"/>
                    <w:rPr>
                      <w:b/>
                      <w:bCs/>
                      <w:color w:val="auto"/>
                      <w:kern w:val="0"/>
                      <w:sz w:val="21"/>
                      <w:szCs w:val="21"/>
                      <w:highlight w:val="none"/>
                      <w:lang w:eastAsia="en-US" w:bidi="en-US"/>
                    </w:rPr>
                  </w:pPr>
                  <w:r>
                    <w:rPr>
                      <w:b/>
                      <w:bCs/>
                      <w:color w:val="auto"/>
                      <w:kern w:val="0"/>
                      <w:sz w:val="21"/>
                      <w:szCs w:val="21"/>
                      <w:highlight w:val="none"/>
                      <w:lang w:eastAsia="en-US" w:bidi="en-US"/>
                    </w:rPr>
                    <w:t>污染物</w:t>
                  </w:r>
                </w:p>
              </w:tc>
              <w:tc>
                <w:tcPr>
                  <w:tcW w:w="1007" w:type="pct"/>
                  <w:gridSpan w:val="2"/>
                  <w:tcBorders>
                    <w:tl2br w:val="nil"/>
                    <w:tr2bl w:val="nil"/>
                  </w:tcBorders>
                  <w:shd w:val="clear" w:color="auto" w:fill="auto"/>
                  <w:vAlign w:val="center"/>
                </w:tcPr>
                <w:p w14:paraId="779E50DC">
                  <w:pPr>
                    <w:adjustRightInd w:val="0"/>
                    <w:snapToGrid w:val="0"/>
                    <w:spacing w:line="240" w:lineRule="auto"/>
                    <w:jc w:val="center"/>
                    <w:rPr>
                      <w:rFonts w:hint="eastAsia"/>
                      <w:b/>
                      <w:bCs/>
                      <w:color w:val="auto"/>
                      <w:kern w:val="0"/>
                      <w:sz w:val="21"/>
                      <w:szCs w:val="21"/>
                      <w:highlight w:val="none"/>
                      <w:lang w:bidi="en-US"/>
                    </w:rPr>
                  </w:pPr>
                  <w:r>
                    <w:rPr>
                      <w:rFonts w:hint="eastAsia"/>
                      <w:b/>
                      <w:bCs/>
                      <w:color w:val="auto"/>
                      <w:kern w:val="0"/>
                      <w:sz w:val="21"/>
                      <w:szCs w:val="21"/>
                      <w:highlight w:val="none"/>
                      <w:lang w:bidi="en-US"/>
                    </w:rPr>
                    <w:t>产生情况</w:t>
                  </w:r>
                </w:p>
              </w:tc>
              <w:tc>
                <w:tcPr>
                  <w:tcW w:w="489" w:type="pct"/>
                  <w:vMerge w:val="restart"/>
                  <w:tcBorders>
                    <w:tl2br w:val="nil"/>
                    <w:tr2bl w:val="nil"/>
                  </w:tcBorders>
                  <w:shd w:val="clear" w:color="auto" w:fill="auto"/>
                  <w:vAlign w:val="center"/>
                </w:tcPr>
                <w:p w14:paraId="36E8888E">
                  <w:pPr>
                    <w:adjustRightInd w:val="0"/>
                    <w:snapToGrid w:val="0"/>
                    <w:spacing w:line="240" w:lineRule="auto"/>
                    <w:jc w:val="center"/>
                    <w:rPr>
                      <w:b/>
                      <w:bCs/>
                      <w:color w:val="auto"/>
                      <w:kern w:val="0"/>
                      <w:sz w:val="21"/>
                      <w:szCs w:val="21"/>
                      <w:highlight w:val="none"/>
                      <w:lang w:bidi="en-US"/>
                    </w:rPr>
                  </w:pPr>
                  <w:r>
                    <w:rPr>
                      <w:rFonts w:hint="eastAsia"/>
                      <w:b/>
                      <w:bCs/>
                      <w:color w:val="auto"/>
                      <w:kern w:val="0"/>
                      <w:sz w:val="21"/>
                      <w:szCs w:val="21"/>
                      <w:highlight w:val="none"/>
                      <w:lang w:val="en-US" w:eastAsia="zh-CN" w:bidi="en-US"/>
                    </w:rPr>
                    <w:t>收集效率%</w:t>
                  </w:r>
                </w:p>
              </w:tc>
              <w:tc>
                <w:tcPr>
                  <w:tcW w:w="489" w:type="pct"/>
                  <w:vMerge w:val="restart"/>
                  <w:tcBorders>
                    <w:tl2br w:val="nil"/>
                    <w:tr2bl w:val="nil"/>
                  </w:tcBorders>
                  <w:shd w:val="clear" w:color="auto" w:fill="auto"/>
                  <w:vAlign w:val="center"/>
                </w:tcPr>
                <w:p w14:paraId="30413B61">
                  <w:pPr>
                    <w:adjustRightInd w:val="0"/>
                    <w:snapToGrid w:val="0"/>
                    <w:spacing w:line="240" w:lineRule="auto"/>
                    <w:jc w:val="center"/>
                    <w:rPr>
                      <w:b/>
                      <w:bCs/>
                      <w:color w:val="auto"/>
                      <w:kern w:val="0"/>
                      <w:sz w:val="21"/>
                      <w:szCs w:val="21"/>
                      <w:highlight w:val="none"/>
                      <w:lang w:bidi="en-US"/>
                    </w:rPr>
                  </w:pPr>
                  <w:r>
                    <w:rPr>
                      <w:rFonts w:hint="eastAsia"/>
                      <w:b/>
                      <w:bCs/>
                      <w:color w:val="auto"/>
                      <w:kern w:val="0"/>
                      <w:sz w:val="21"/>
                      <w:szCs w:val="21"/>
                      <w:highlight w:val="none"/>
                      <w:lang w:val="en-US" w:eastAsia="zh-CN" w:bidi="en-US"/>
                    </w:rPr>
                    <w:t>治理工艺</w:t>
                  </w:r>
                  <w:r>
                    <w:rPr>
                      <w:b/>
                      <w:bCs/>
                      <w:color w:val="auto"/>
                      <w:kern w:val="0"/>
                      <w:sz w:val="21"/>
                      <w:szCs w:val="21"/>
                      <w:highlight w:val="none"/>
                      <w:lang w:bidi="en-US"/>
                    </w:rPr>
                    <w:t>处理</w:t>
                  </w:r>
                </w:p>
                <w:p w14:paraId="58534170">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效率%</w:t>
                  </w:r>
                </w:p>
              </w:tc>
              <w:tc>
                <w:tcPr>
                  <w:tcW w:w="558" w:type="pct"/>
                  <w:vMerge w:val="restart"/>
                  <w:tcBorders>
                    <w:tl2br w:val="nil"/>
                    <w:tr2bl w:val="nil"/>
                  </w:tcBorders>
                  <w:shd w:val="clear" w:color="auto" w:fill="auto"/>
                  <w:vAlign w:val="center"/>
                </w:tcPr>
                <w:p w14:paraId="313D0D17">
                  <w:pPr>
                    <w:adjustRightInd w:val="0"/>
                    <w:snapToGrid w:val="0"/>
                    <w:spacing w:line="240" w:lineRule="auto"/>
                    <w:jc w:val="center"/>
                    <w:rPr>
                      <w:rFonts w:hint="eastAsia" w:eastAsia="宋体"/>
                      <w:b/>
                      <w:bCs/>
                      <w:color w:val="auto"/>
                      <w:kern w:val="0"/>
                      <w:sz w:val="21"/>
                      <w:szCs w:val="21"/>
                      <w:highlight w:val="none"/>
                      <w:lang w:val="en-US" w:eastAsia="zh-CN" w:bidi="en-US"/>
                    </w:rPr>
                  </w:pPr>
                  <w:r>
                    <w:rPr>
                      <w:rFonts w:hint="eastAsia"/>
                      <w:b/>
                      <w:bCs/>
                      <w:color w:val="auto"/>
                      <w:kern w:val="0"/>
                      <w:sz w:val="21"/>
                      <w:szCs w:val="21"/>
                      <w:highlight w:val="none"/>
                      <w:lang w:val="en-US" w:eastAsia="zh-CN" w:bidi="en-US"/>
                    </w:rPr>
                    <w:t>处理措施</w:t>
                  </w:r>
                </w:p>
              </w:tc>
              <w:tc>
                <w:tcPr>
                  <w:tcW w:w="629" w:type="pct"/>
                  <w:vMerge w:val="restart"/>
                  <w:tcBorders>
                    <w:tl2br w:val="nil"/>
                    <w:tr2bl w:val="nil"/>
                  </w:tcBorders>
                  <w:shd w:val="clear" w:color="auto" w:fill="auto"/>
                  <w:vAlign w:val="center"/>
                </w:tcPr>
                <w:p w14:paraId="7EBF0783">
                  <w:pPr>
                    <w:adjustRightInd w:val="0"/>
                    <w:snapToGrid w:val="0"/>
                    <w:spacing w:line="240" w:lineRule="auto"/>
                    <w:jc w:val="center"/>
                    <w:rPr>
                      <w:rFonts w:hint="default" w:eastAsia="宋体"/>
                      <w:b/>
                      <w:bCs/>
                      <w:color w:val="auto"/>
                      <w:kern w:val="0"/>
                      <w:sz w:val="21"/>
                      <w:szCs w:val="21"/>
                      <w:highlight w:val="none"/>
                      <w:lang w:val="en-US" w:eastAsia="zh-CN" w:bidi="en-US"/>
                    </w:rPr>
                  </w:pPr>
                  <w:r>
                    <w:rPr>
                      <w:rFonts w:hint="eastAsia"/>
                      <w:b/>
                      <w:bCs/>
                      <w:color w:val="auto"/>
                      <w:kern w:val="0"/>
                      <w:sz w:val="21"/>
                      <w:szCs w:val="21"/>
                      <w:highlight w:val="none"/>
                      <w:lang w:val="zh-CN"/>
                    </w:rPr>
                    <w:t>设计</w:t>
                  </w:r>
                  <w:r>
                    <w:rPr>
                      <w:rFonts w:hint="eastAsia"/>
                      <w:b/>
                      <w:bCs/>
                      <w:color w:val="auto"/>
                      <w:kern w:val="0"/>
                      <w:sz w:val="21"/>
                      <w:szCs w:val="21"/>
                      <w:highlight w:val="none"/>
                      <w:lang w:val="en-US" w:eastAsia="zh-CN"/>
                    </w:rPr>
                    <w:t>电泳</w:t>
                  </w:r>
                  <w:r>
                    <w:rPr>
                      <w:rFonts w:hint="eastAsia"/>
                      <w:b/>
                      <w:bCs/>
                      <w:color w:val="auto"/>
                      <w:kern w:val="0"/>
                      <w:sz w:val="21"/>
                      <w:szCs w:val="21"/>
                      <w:highlight w:val="none"/>
                      <w:lang w:val="zh-CN"/>
                    </w:rPr>
                    <w:t>废气处理量</w:t>
                  </w:r>
                  <w:r>
                    <w:rPr>
                      <w:b/>
                      <w:bCs/>
                      <w:color w:val="auto"/>
                      <w:kern w:val="0"/>
                      <w:sz w:val="21"/>
                      <w:szCs w:val="21"/>
                      <w:highlight w:val="none"/>
                      <w:lang w:val="zh-CN"/>
                    </w:rPr>
                    <w:t>m</w:t>
                  </w:r>
                  <w:r>
                    <w:rPr>
                      <w:b/>
                      <w:bCs/>
                      <w:color w:val="auto"/>
                      <w:kern w:val="0"/>
                      <w:sz w:val="21"/>
                      <w:szCs w:val="21"/>
                      <w:highlight w:val="none"/>
                      <w:vertAlign w:val="superscript"/>
                    </w:rPr>
                    <w:t>3</w:t>
                  </w:r>
                  <w:r>
                    <w:rPr>
                      <w:b/>
                      <w:bCs/>
                      <w:color w:val="auto"/>
                      <w:kern w:val="0"/>
                      <w:sz w:val="21"/>
                      <w:szCs w:val="21"/>
                      <w:highlight w:val="none"/>
                      <w:lang w:val="zh-CN"/>
                    </w:rPr>
                    <w:t>/h</w:t>
                  </w:r>
                </w:p>
              </w:tc>
              <w:tc>
                <w:tcPr>
                  <w:tcW w:w="917" w:type="pct"/>
                  <w:gridSpan w:val="2"/>
                  <w:tcBorders>
                    <w:tl2br w:val="nil"/>
                    <w:tr2bl w:val="nil"/>
                  </w:tcBorders>
                  <w:shd w:val="clear" w:color="auto" w:fill="auto"/>
                  <w:vAlign w:val="center"/>
                </w:tcPr>
                <w:p w14:paraId="47084758">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排放情况</w:t>
                  </w:r>
                </w:p>
              </w:tc>
            </w:tr>
            <w:tr w14:paraId="04E4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7" w:type="pct"/>
                  <w:vMerge w:val="continue"/>
                  <w:tcBorders>
                    <w:tl2br w:val="nil"/>
                    <w:tr2bl w:val="nil"/>
                  </w:tcBorders>
                  <w:shd w:val="clear" w:color="auto" w:fill="auto"/>
                  <w:vAlign w:val="center"/>
                </w:tcPr>
                <w:p w14:paraId="1BC53761">
                  <w:pPr>
                    <w:adjustRightInd w:val="0"/>
                    <w:snapToGrid w:val="0"/>
                    <w:spacing w:line="240" w:lineRule="auto"/>
                    <w:jc w:val="center"/>
                    <w:rPr>
                      <w:b/>
                      <w:bCs/>
                      <w:color w:val="auto"/>
                      <w:kern w:val="0"/>
                      <w:sz w:val="21"/>
                      <w:szCs w:val="21"/>
                      <w:highlight w:val="none"/>
                      <w:lang w:bidi="en-US"/>
                    </w:rPr>
                  </w:pPr>
                </w:p>
              </w:tc>
              <w:tc>
                <w:tcPr>
                  <w:tcW w:w="311" w:type="pct"/>
                  <w:vMerge w:val="continue"/>
                  <w:tcBorders>
                    <w:tl2br w:val="nil"/>
                    <w:tr2bl w:val="nil"/>
                  </w:tcBorders>
                  <w:shd w:val="clear" w:color="auto" w:fill="auto"/>
                  <w:vAlign w:val="center"/>
                </w:tcPr>
                <w:p w14:paraId="2AD9B7D3">
                  <w:pPr>
                    <w:adjustRightInd w:val="0"/>
                    <w:snapToGrid w:val="0"/>
                    <w:spacing w:line="240" w:lineRule="auto"/>
                    <w:jc w:val="center"/>
                    <w:rPr>
                      <w:b/>
                      <w:bCs/>
                      <w:color w:val="auto"/>
                      <w:kern w:val="0"/>
                      <w:sz w:val="21"/>
                      <w:szCs w:val="21"/>
                      <w:highlight w:val="none"/>
                      <w:lang w:bidi="en-US"/>
                    </w:rPr>
                  </w:pPr>
                </w:p>
              </w:tc>
              <w:tc>
                <w:tcPr>
                  <w:tcW w:w="479" w:type="pct"/>
                  <w:tcBorders>
                    <w:tl2br w:val="nil"/>
                    <w:tr2bl w:val="nil"/>
                  </w:tcBorders>
                  <w:shd w:val="clear" w:color="auto" w:fill="auto"/>
                  <w:vAlign w:val="center"/>
                </w:tcPr>
                <w:p w14:paraId="63C5D232">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产生量t/a</w:t>
                  </w:r>
                </w:p>
              </w:tc>
              <w:tc>
                <w:tcPr>
                  <w:tcW w:w="527" w:type="pct"/>
                  <w:tcBorders>
                    <w:tl2br w:val="nil"/>
                    <w:tr2bl w:val="nil"/>
                  </w:tcBorders>
                  <w:shd w:val="clear" w:color="auto" w:fill="auto"/>
                  <w:vAlign w:val="center"/>
                </w:tcPr>
                <w:p w14:paraId="0A2A93F5">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产生速率kg/h</w:t>
                  </w:r>
                </w:p>
              </w:tc>
              <w:tc>
                <w:tcPr>
                  <w:tcW w:w="489" w:type="pct"/>
                  <w:vMerge w:val="continue"/>
                  <w:tcBorders>
                    <w:tl2br w:val="nil"/>
                    <w:tr2bl w:val="nil"/>
                  </w:tcBorders>
                  <w:shd w:val="clear" w:color="auto" w:fill="auto"/>
                  <w:vAlign w:val="center"/>
                </w:tcPr>
                <w:p w14:paraId="19ED7A9E">
                  <w:pPr>
                    <w:adjustRightInd w:val="0"/>
                    <w:snapToGrid w:val="0"/>
                    <w:spacing w:line="240" w:lineRule="auto"/>
                    <w:jc w:val="center"/>
                    <w:rPr>
                      <w:b/>
                      <w:bCs/>
                      <w:color w:val="auto"/>
                      <w:kern w:val="0"/>
                      <w:sz w:val="21"/>
                      <w:szCs w:val="21"/>
                      <w:highlight w:val="none"/>
                      <w:lang w:bidi="en-US"/>
                    </w:rPr>
                  </w:pPr>
                </w:p>
              </w:tc>
              <w:tc>
                <w:tcPr>
                  <w:tcW w:w="489" w:type="pct"/>
                  <w:vMerge w:val="continue"/>
                  <w:tcBorders>
                    <w:tl2br w:val="nil"/>
                    <w:tr2bl w:val="nil"/>
                  </w:tcBorders>
                  <w:shd w:val="clear" w:color="auto" w:fill="auto"/>
                  <w:vAlign w:val="center"/>
                </w:tcPr>
                <w:p w14:paraId="0F783EC3">
                  <w:pPr>
                    <w:adjustRightInd w:val="0"/>
                    <w:snapToGrid w:val="0"/>
                    <w:spacing w:line="240" w:lineRule="auto"/>
                    <w:jc w:val="center"/>
                    <w:rPr>
                      <w:b/>
                      <w:bCs/>
                      <w:color w:val="auto"/>
                      <w:kern w:val="0"/>
                      <w:sz w:val="21"/>
                      <w:szCs w:val="21"/>
                      <w:highlight w:val="none"/>
                      <w:lang w:bidi="en-US"/>
                    </w:rPr>
                  </w:pPr>
                </w:p>
              </w:tc>
              <w:tc>
                <w:tcPr>
                  <w:tcW w:w="558" w:type="pct"/>
                  <w:vMerge w:val="continue"/>
                  <w:tcBorders>
                    <w:tl2br w:val="nil"/>
                    <w:tr2bl w:val="nil"/>
                  </w:tcBorders>
                  <w:shd w:val="clear" w:color="auto" w:fill="auto"/>
                  <w:vAlign w:val="center"/>
                </w:tcPr>
                <w:p w14:paraId="29C847DD">
                  <w:pPr>
                    <w:adjustRightInd w:val="0"/>
                    <w:snapToGrid w:val="0"/>
                    <w:spacing w:line="240" w:lineRule="auto"/>
                    <w:jc w:val="center"/>
                    <w:rPr>
                      <w:b/>
                      <w:bCs/>
                      <w:color w:val="auto"/>
                      <w:kern w:val="0"/>
                      <w:sz w:val="21"/>
                      <w:szCs w:val="21"/>
                      <w:highlight w:val="none"/>
                      <w:lang w:bidi="en-US"/>
                    </w:rPr>
                  </w:pPr>
                </w:p>
              </w:tc>
              <w:tc>
                <w:tcPr>
                  <w:tcW w:w="629" w:type="pct"/>
                  <w:vMerge w:val="continue"/>
                  <w:tcBorders>
                    <w:tl2br w:val="nil"/>
                    <w:tr2bl w:val="nil"/>
                  </w:tcBorders>
                  <w:shd w:val="clear" w:color="auto" w:fill="auto"/>
                  <w:vAlign w:val="center"/>
                </w:tcPr>
                <w:p w14:paraId="0C48451A">
                  <w:pPr>
                    <w:adjustRightInd w:val="0"/>
                    <w:snapToGrid w:val="0"/>
                    <w:spacing w:line="240" w:lineRule="auto"/>
                    <w:jc w:val="center"/>
                    <w:rPr>
                      <w:b/>
                      <w:bCs/>
                      <w:color w:val="auto"/>
                      <w:kern w:val="0"/>
                      <w:sz w:val="21"/>
                      <w:szCs w:val="21"/>
                      <w:highlight w:val="none"/>
                      <w:lang w:bidi="en-US"/>
                    </w:rPr>
                  </w:pPr>
                </w:p>
              </w:tc>
              <w:tc>
                <w:tcPr>
                  <w:tcW w:w="426" w:type="pct"/>
                  <w:tcBorders>
                    <w:tl2br w:val="nil"/>
                    <w:tr2bl w:val="nil"/>
                  </w:tcBorders>
                  <w:shd w:val="clear" w:color="auto" w:fill="auto"/>
                  <w:vAlign w:val="center"/>
                </w:tcPr>
                <w:p w14:paraId="6C45D82B">
                  <w:pPr>
                    <w:adjustRightInd w:val="0"/>
                    <w:snapToGrid w:val="0"/>
                    <w:spacing w:line="240" w:lineRule="auto"/>
                    <w:jc w:val="center"/>
                    <w:rPr>
                      <w:b/>
                      <w:bCs/>
                      <w:color w:val="auto"/>
                      <w:kern w:val="0"/>
                      <w:sz w:val="21"/>
                      <w:szCs w:val="21"/>
                      <w:highlight w:val="none"/>
                      <w:vertAlign w:val="superscript"/>
                      <w:lang w:bidi="en-US"/>
                    </w:rPr>
                  </w:pPr>
                  <w:r>
                    <w:rPr>
                      <w:b/>
                      <w:bCs/>
                      <w:color w:val="auto"/>
                      <w:kern w:val="0"/>
                      <w:sz w:val="21"/>
                      <w:szCs w:val="21"/>
                      <w:highlight w:val="none"/>
                      <w:lang w:bidi="en-US"/>
                    </w:rPr>
                    <w:t>排放量t/a</w:t>
                  </w:r>
                </w:p>
              </w:tc>
              <w:tc>
                <w:tcPr>
                  <w:tcW w:w="490" w:type="pct"/>
                  <w:tcBorders>
                    <w:tl2br w:val="nil"/>
                    <w:tr2bl w:val="nil"/>
                  </w:tcBorders>
                  <w:shd w:val="clear" w:color="auto" w:fill="auto"/>
                  <w:vAlign w:val="center"/>
                </w:tcPr>
                <w:p w14:paraId="619021D1">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排放速率kg/h</w:t>
                  </w:r>
                </w:p>
              </w:tc>
            </w:tr>
            <w:tr w14:paraId="7416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97" w:type="pct"/>
                  <w:tcBorders>
                    <w:tl2br w:val="nil"/>
                    <w:tr2bl w:val="nil"/>
                  </w:tcBorders>
                  <w:shd w:val="clear" w:color="auto" w:fill="auto"/>
                  <w:vAlign w:val="center"/>
                </w:tcPr>
                <w:p w14:paraId="4537E495">
                  <w:pPr>
                    <w:adjustRightInd w:val="0"/>
                    <w:snapToGrid w:val="0"/>
                    <w:spacing w:line="240" w:lineRule="auto"/>
                    <w:jc w:val="center"/>
                    <w:rPr>
                      <w:rFonts w:hint="eastAsia" w:ascii="Times New Roman" w:hAnsi="Times New Roman" w:eastAsia="宋体" w:cs="Times New Roman"/>
                      <w:color w:val="auto"/>
                      <w:kern w:val="0"/>
                      <w:sz w:val="21"/>
                      <w:szCs w:val="21"/>
                      <w:highlight w:val="none"/>
                      <w:lang w:val="en-US" w:eastAsia="zh-CN" w:bidi="en-US"/>
                    </w:rPr>
                  </w:pPr>
                  <w:r>
                    <w:rPr>
                      <w:rFonts w:hint="eastAsia"/>
                      <w:color w:val="auto"/>
                      <w:kern w:val="0"/>
                      <w:sz w:val="21"/>
                      <w:szCs w:val="21"/>
                      <w:highlight w:val="none"/>
                      <w:lang w:val="en-US" w:eastAsia="zh-CN" w:bidi="en-US"/>
                    </w:rPr>
                    <w:t>DA002排气筒</w:t>
                  </w:r>
                </w:p>
              </w:tc>
              <w:tc>
                <w:tcPr>
                  <w:tcW w:w="311" w:type="pct"/>
                  <w:tcBorders>
                    <w:tl2br w:val="nil"/>
                    <w:tr2bl w:val="nil"/>
                  </w:tcBorders>
                  <w:shd w:val="clear" w:color="auto" w:fill="auto"/>
                  <w:vAlign w:val="center"/>
                </w:tcPr>
                <w:p w14:paraId="20013BF9">
                  <w:pPr>
                    <w:adjustRightInd w:val="0"/>
                    <w:snapToGrid w:val="0"/>
                    <w:spacing w:line="240" w:lineRule="auto"/>
                    <w:jc w:val="center"/>
                    <w:rPr>
                      <w:rFonts w:hint="eastAsia" w:ascii="Times New Roman" w:hAnsi="Times New Roman" w:eastAsia="宋体" w:cs="Times New Roman"/>
                      <w:color w:val="auto"/>
                      <w:kern w:val="0"/>
                      <w:sz w:val="21"/>
                      <w:szCs w:val="21"/>
                      <w:highlight w:val="none"/>
                      <w:lang w:val="en-US" w:eastAsia="zh-CN" w:bidi="en-US"/>
                    </w:rPr>
                  </w:pPr>
                  <w:r>
                    <w:rPr>
                      <w:rFonts w:hint="eastAsia"/>
                      <w:color w:val="auto"/>
                      <w:kern w:val="0"/>
                      <w:sz w:val="21"/>
                      <w:szCs w:val="21"/>
                      <w:highlight w:val="none"/>
                      <w:lang w:val="en-US" w:eastAsia="zh-CN" w:bidi="en-US"/>
                    </w:rPr>
                    <w:t>非甲烷总烃</w:t>
                  </w:r>
                </w:p>
              </w:tc>
              <w:tc>
                <w:tcPr>
                  <w:tcW w:w="479" w:type="pct"/>
                  <w:tcBorders>
                    <w:tl2br w:val="nil"/>
                    <w:tr2bl w:val="nil"/>
                  </w:tcBorders>
                  <w:shd w:val="clear" w:color="auto" w:fill="auto"/>
                  <w:vAlign w:val="center"/>
                </w:tcPr>
                <w:p w14:paraId="79DB5311">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1.12</w:t>
                  </w:r>
                </w:p>
              </w:tc>
              <w:tc>
                <w:tcPr>
                  <w:tcW w:w="527" w:type="pct"/>
                  <w:tcBorders>
                    <w:tl2br w:val="nil"/>
                    <w:tr2bl w:val="nil"/>
                  </w:tcBorders>
                  <w:shd w:val="clear" w:color="auto" w:fill="auto"/>
                  <w:vAlign w:val="center"/>
                </w:tcPr>
                <w:p w14:paraId="6435E898">
                  <w:pPr>
                    <w:widowControl/>
                    <w:snapToGrid w:val="0"/>
                    <w:jc w:val="center"/>
                    <w:textAlignment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0.47</w:t>
                  </w:r>
                </w:p>
              </w:tc>
              <w:tc>
                <w:tcPr>
                  <w:tcW w:w="489" w:type="pct"/>
                  <w:tcBorders>
                    <w:tl2br w:val="nil"/>
                    <w:tr2bl w:val="nil"/>
                  </w:tcBorders>
                  <w:shd w:val="clear" w:color="auto" w:fill="auto"/>
                  <w:vAlign w:val="center"/>
                </w:tcPr>
                <w:p w14:paraId="2BDAF7EA">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65</w:t>
                  </w:r>
                </w:p>
              </w:tc>
              <w:tc>
                <w:tcPr>
                  <w:tcW w:w="489" w:type="pct"/>
                  <w:tcBorders>
                    <w:tl2br w:val="nil"/>
                    <w:tr2bl w:val="nil"/>
                  </w:tcBorders>
                  <w:shd w:val="clear" w:color="auto" w:fill="auto"/>
                  <w:vAlign w:val="center"/>
                </w:tcPr>
                <w:p w14:paraId="0C14A556">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32</w:t>
                  </w:r>
                </w:p>
              </w:tc>
              <w:tc>
                <w:tcPr>
                  <w:tcW w:w="558" w:type="pct"/>
                  <w:tcBorders>
                    <w:tl2br w:val="nil"/>
                    <w:tr2bl w:val="nil"/>
                  </w:tcBorders>
                  <w:shd w:val="clear" w:color="auto" w:fill="auto"/>
                  <w:vAlign w:val="center"/>
                </w:tcPr>
                <w:p w14:paraId="249D1570">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水喷淋+二级活性炭（含干式过滤棉）</w:t>
                  </w:r>
                </w:p>
              </w:tc>
              <w:tc>
                <w:tcPr>
                  <w:tcW w:w="629" w:type="pct"/>
                  <w:tcBorders>
                    <w:tl2br w:val="nil"/>
                    <w:tr2bl w:val="nil"/>
                  </w:tcBorders>
                  <w:shd w:val="clear" w:color="auto" w:fill="auto"/>
                  <w:vAlign w:val="center"/>
                </w:tcPr>
                <w:p w14:paraId="5F551223">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2000</w:t>
                  </w:r>
                </w:p>
              </w:tc>
              <w:tc>
                <w:tcPr>
                  <w:tcW w:w="426" w:type="pct"/>
                  <w:tcBorders>
                    <w:tl2br w:val="nil"/>
                    <w:tr2bl w:val="nil"/>
                  </w:tcBorders>
                  <w:shd w:val="clear" w:color="auto" w:fill="auto"/>
                  <w:vAlign w:val="center"/>
                </w:tcPr>
                <w:p w14:paraId="7F0646A6">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0.76</w:t>
                  </w:r>
                </w:p>
              </w:tc>
              <w:tc>
                <w:tcPr>
                  <w:tcW w:w="490" w:type="pct"/>
                  <w:tcBorders>
                    <w:tl2br w:val="nil"/>
                    <w:tr2bl w:val="nil"/>
                  </w:tcBorders>
                  <w:shd w:val="clear" w:color="auto" w:fill="auto"/>
                  <w:vAlign w:val="center"/>
                </w:tcPr>
                <w:p w14:paraId="1AD895F8">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0.32</w:t>
                  </w:r>
                </w:p>
              </w:tc>
            </w:tr>
            <w:tr w14:paraId="3CC9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97" w:type="pct"/>
                  <w:tcBorders>
                    <w:tl2br w:val="nil"/>
                    <w:tr2bl w:val="nil"/>
                  </w:tcBorders>
                  <w:shd w:val="clear" w:color="auto" w:fill="auto"/>
                  <w:vAlign w:val="center"/>
                </w:tcPr>
                <w:p w14:paraId="12505FBC">
                  <w:pPr>
                    <w:adjustRightInd w:val="0"/>
                    <w:snapToGrid w:val="0"/>
                    <w:spacing w:line="240" w:lineRule="auto"/>
                    <w:jc w:val="center"/>
                    <w:rPr>
                      <w:rFonts w:hint="default"/>
                      <w:color w:val="auto"/>
                      <w:kern w:val="0"/>
                      <w:sz w:val="21"/>
                      <w:szCs w:val="21"/>
                      <w:highlight w:val="none"/>
                      <w:lang w:val="en-US" w:eastAsia="zh-CN" w:bidi="en-US"/>
                    </w:rPr>
                  </w:pPr>
                  <w:r>
                    <w:rPr>
                      <w:rFonts w:hint="eastAsia"/>
                      <w:color w:val="auto"/>
                      <w:kern w:val="0"/>
                      <w:sz w:val="21"/>
                      <w:szCs w:val="21"/>
                      <w:highlight w:val="none"/>
                      <w:lang w:val="en-US" w:eastAsia="zh-CN" w:bidi="en-US"/>
                    </w:rPr>
                    <w:t>无组织废气</w:t>
                  </w:r>
                </w:p>
              </w:tc>
              <w:tc>
                <w:tcPr>
                  <w:tcW w:w="311" w:type="pct"/>
                  <w:tcBorders>
                    <w:tl2br w:val="nil"/>
                    <w:tr2bl w:val="nil"/>
                  </w:tcBorders>
                  <w:shd w:val="clear" w:color="auto" w:fill="auto"/>
                  <w:vAlign w:val="center"/>
                </w:tcPr>
                <w:p w14:paraId="36588E60">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en-US"/>
                    </w:rPr>
                  </w:pPr>
                  <w:r>
                    <w:rPr>
                      <w:rFonts w:hint="eastAsia"/>
                      <w:color w:val="auto"/>
                      <w:kern w:val="0"/>
                      <w:sz w:val="21"/>
                      <w:szCs w:val="21"/>
                      <w:highlight w:val="none"/>
                      <w:lang w:val="en-US" w:eastAsia="zh-CN" w:bidi="en-US"/>
                    </w:rPr>
                    <w:t>非甲烷总烃</w:t>
                  </w:r>
                </w:p>
              </w:tc>
              <w:tc>
                <w:tcPr>
                  <w:tcW w:w="479" w:type="pct"/>
                  <w:tcBorders>
                    <w:tl2br w:val="nil"/>
                    <w:tr2bl w:val="nil"/>
                  </w:tcBorders>
                  <w:shd w:val="clear" w:color="auto" w:fill="auto"/>
                  <w:vAlign w:val="center"/>
                </w:tcPr>
                <w:p w14:paraId="7AAB7504">
                  <w:pPr>
                    <w:widowControl/>
                    <w:snapToGrid w:val="0"/>
                    <w:jc w:val="center"/>
                    <w:textAlignment w:val="center"/>
                    <w:rPr>
                      <w:rFonts w:hint="default" w:cs="Times New Roman"/>
                      <w:color w:val="auto"/>
                      <w:kern w:val="2"/>
                      <w:sz w:val="21"/>
                      <w:szCs w:val="21"/>
                      <w:highlight w:val="none"/>
                      <w:lang w:val="en-US" w:eastAsia="zh-CN" w:bidi="ar-SA"/>
                    </w:rPr>
                  </w:pPr>
                  <w:r>
                    <w:rPr>
                      <w:rFonts w:hint="eastAsia"/>
                      <w:color w:val="auto"/>
                    </w:rPr>
                    <w:t>0.61</w:t>
                  </w:r>
                </w:p>
              </w:tc>
              <w:tc>
                <w:tcPr>
                  <w:tcW w:w="527" w:type="pct"/>
                  <w:tcBorders>
                    <w:tl2br w:val="nil"/>
                    <w:tr2bl w:val="nil"/>
                  </w:tcBorders>
                  <w:shd w:val="clear" w:color="auto" w:fill="auto"/>
                  <w:vAlign w:val="center"/>
                </w:tcPr>
                <w:p w14:paraId="2A3D3B1E">
                  <w:pPr>
                    <w:widowControl/>
                    <w:snapToGrid w:val="0"/>
                    <w:jc w:val="center"/>
                    <w:textAlignment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0.25</w:t>
                  </w:r>
                </w:p>
              </w:tc>
              <w:tc>
                <w:tcPr>
                  <w:tcW w:w="489" w:type="pct"/>
                  <w:tcBorders>
                    <w:tl2br w:val="nil"/>
                    <w:tr2bl w:val="nil"/>
                  </w:tcBorders>
                  <w:shd w:val="clear" w:color="auto" w:fill="auto"/>
                  <w:vAlign w:val="center"/>
                </w:tcPr>
                <w:p w14:paraId="5895DD3A">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489" w:type="pct"/>
                  <w:tcBorders>
                    <w:tl2br w:val="nil"/>
                    <w:tr2bl w:val="nil"/>
                  </w:tcBorders>
                  <w:shd w:val="clear" w:color="auto" w:fill="auto"/>
                  <w:vAlign w:val="center"/>
                </w:tcPr>
                <w:p w14:paraId="57800DEF">
                  <w:pPr>
                    <w:widowControl/>
                    <w:snapToGrid w:val="0"/>
                    <w:jc w:val="center"/>
                    <w:textAlignment w:val="center"/>
                    <w:rPr>
                      <w:rFonts w:hint="eastAsia" w:ascii="Times New Roman" w:hAnsi="Times New Roman" w:eastAsia="宋体" w:cs="Times New Roman"/>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558" w:type="pct"/>
                  <w:tcBorders>
                    <w:tl2br w:val="nil"/>
                    <w:tr2bl w:val="nil"/>
                  </w:tcBorders>
                  <w:shd w:val="clear" w:color="auto" w:fill="auto"/>
                  <w:vAlign w:val="center"/>
                </w:tcPr>
                <w:p w14:paraId="4AC145C8">
                  <w:pPr>
                    <w:widowControl/>
                    <w:snapToGrid w:val="0"/>
                    <w:jc w:val="center"/>
                    <w:textAlignment w:val="center"/>
                    <w:rPr>
                      <w:rFonts w:hint="eastAsia" w:ascii="Times New Roman" w:hAnsi="Times New Roman" w:eastAsia="宋体" w:cs="Times New Roman"/>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629" w:type="pct"/>
                  <w:tcBorders>
                    <w:tl2br w:val="nil"/>
                    <w:tr2bl w:val="nil"/>
                  </w:tcBorders>
                  <w:shd w:val="clear" w:color="auto" w:fill="auto"/>
                  <w:vAlign w:val="center"/>
                </w:tcPr>
                <w:p w14:paraId="013AA588">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426" w:type="pct"/>
                  <w:tcBorders>
                    <w:tl2br w:val="nil"/>
                    <w:tr2bl w:val="nil"/>
                  </w:tcBorders>
                  <w:shd w:val="clear" w:color="auto" w:fill="auto"/>
                  <w:vAlign w:val="center"/>
                </w:tcPr>
                <w:p w14:paraId="1AD7C42C">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rPr>
                    <w:t>0.61</w:t>
                  </w:r>
                </w:p>
              </w:tc>
              <w:tc>
                <w:tcPr>
                  <w:tcW w:w="490" w:type="pct"/>
                  <w:tcBorders>
                    <w:tl2br w:val="nil"/>
                    <w:tr2bl w:val="nil"/>
                  </w:tcBorders>
                  <w:shd w:val="clear" w:color="auto" w:fill="auto"/>
                  <w:vAlign w:val="center"/>
                </w:tcPr>
                <w:p w14:paraId="43629172">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0.25</w:t>
                  </w:r>
                </w:p>
              </w:tc>
            </w:tr>
          </w:tbl>
          <w:p w14:paraId="526320D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6</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电泳烘干</w:t>
            </w:r>
          </w:p>
          <w:p w14:paraId="07F60BF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Cs/>
                <w:color w:val="auto"/>
                <w:sz w:val="24"/>
                <w:highlight w:val="none"/>
                <w:u w:val="none"/>
                <w:lang w:val="en-US" w:eastAsia="zh-CN"/>
              </w:rPr>
            </w:pPr>
            <w:r>
              <w:rPr>
                <w:rFonts w:hint="eastAsia"/>
                <w:bCs/>
                <w:color w:val="auto"/>
                <w:sz w:val="24"/>
                <w:highlight w:val="none"/>
                <w:u w:val="none"/>
                <w:lang w:val="en-US" w:eastAsia="zh-CN"/>
              </w:rPr>
              <w:t>根据《污染源源强核算技术指南汽车制造》（HJ1097-2020）中物料衡算法核算电泳烘干废气。</w:t>
            </w:r>
          </w:p>
          <w:p w14:paraId="563F263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Cs/>
                <w:color w:val="auto"/>
                <w:sz w:val="24"/>
                <w:highlight w:val="none"/>
                <w:u w:val="none"/>
                <w:lang w:val="en-US" w:eastAsia="zh-CN"/>
              </w:rPr>
            </w:pPr>
            <w:r>
              <w:rPr>
                <w:rFonts w:hint="eastAsia"/>
                <w:bCs/>
                <w:color w:val="auto"/>
                <w:sz w:val="24"/>
                <w:highlight w:val="none"/>
                <w:u w:val="none"/>
                <w:lang w:val="en-US" w:eastAsia="zh-CN"/>
              </w:rPr>
              <w:t>根据前文分析，电泳涂料中挥发份为</w:t>
            </w:r>
            <w:r>
              <w:rPr>
                <w:rFonts w:hint="eastAsia"/>
                <w:bCs/>
                <w:color w:val="auto"/>
                <w:sz w:val="24"/>
                <w:highlight w:val="none"/>
                <w:u w:val="none"/>
                <w:lang w:val="en-US" w:eastAsia="zh-CN"/>
              </w:rPr>
              <w:t>4.94t/a</w:t>
            </w:r>
            <w:r>
              <w:rPr>
                <w:rFonts w:hint="eastAsia"/>
                <w:bCs/>
                <w:color w:val="auto"/>
                <w:sz w:val="24"/>
                <w:highlight w:val="none"/>
                <w:u w:val="none"/>
                <w:lang w:val="en-US" w:eastAsia="zh-CN"/>
              </w:rPr>
              <w:t>。根据《污染源源强核算技术指南汽车制造》（HJ1097-2020）附录E，电泳烘干过程电泳涂料挥发性有机物挥发量占比为65%，</w:t>
            </w:r>
            <w:r>
              <w:rPr>
                <w:rFonts w:hint="eastAsia"/>
                <w:bCs/>
                <w:color w:val="auto"/>
                <w:sz w:val="24"/>
                <w:highlight w:val="none"/>
                <w:u w:val="none"/>
                <w:lang w:val="en-US" w:eastAsia="zh-CN"/>
              </w:rPr>
              <w:t>按最不利因素计算，电泳涂料中挥发性有机物全部挥发，即非甲烷总烃产生量为3.21t/a。</w:t>
            </w:r>
            <w:r>
              <w:rPr>
                <w:rFonts w:hint="eastAsia"/>
                <w:bCs/>
                <w:color w:val="auto"/>
                <w:sz w:val="24"/>
                <w:highlight w:val="none"/>
                <w:u w:val="none"/>
                <w:lang w:val="en-US" w:eastAsia="zh-CN"/>
              </w:rPr>
              <w:t>电泳工序后工件送入烘干室进行烘干固化，烘干室为半密闭设计（仅保留进出口），内部配套风机负压抽气（</w:t>
            </w:r>
            <w:r>
              <w:rPr>
                <w:rFonts w:hint="eastAsia" w:cs="Times New Roman"/>
                <w:b w:val="0"/>
                <w:bCs w:val="0"/>
                <w:color w:val="auto"/>
                <w:kern w:val="2"/>
                <w:sz w:val="24"/>
                <w:szCs w:val="24"/>
                <w:highlight w:val="none"/>
                <w:lang w:val="en-US" w:eastAsia="zh-CN" w:bidi="ar"/>
              </w:rPr>
              <w:t>参考《主要污染物总量减排核算技术指南》（2022年修订）</w:t>
            </w:r>
            <w:r>
              <w:rPr>
                <w:rFonts w:hint="eastAsia" w:cs="宋体"/>
                <w:b w:val="0"/>
                <w:bCs w:val="0"/>
                <w:color w:val="auto"/>
                <w:sz w:val="24"/>
                <w:szCs w:val="24"/>
                <w:lang w:val="en-US" w:eastAsia="zh-CN"/>
              </w:rPr>
              <w:t>半密闭集气设备</w:t>
            </w:r>
            <w:r>
              <w:rPr>
                <w:rFonts w:hint="eastAsia" w:cs="宋体"/>
                <w:b w:val="0"/>
                <w:bCs w:val="0"/>
                <w:color w:val="auto"/>
                <w:sz w:val="24"/>
                <w:szCs w:val="24"/>
                <w:lang w:eastAsia="zh-CN"/>
              </w:rPr>
              <w:t>收集效率</w:t>
            </w:r>
            <w:r>
              <w:rPr>
                <w:rFonts w:hint="eastAsia" w:cs="宋体"/>
                <w:b w:val="0"/>
                <w:bCs w:val="0"/>
                <w:color w:val="auto"/>
                <w:sz w:val="24"/>
                <w:szCs w:val="24"/>
                <w:lang w:val="en-US" w:eastAsia="zh-CN"/>
              </w:rPr>
              <w:t>为65</w:t>
            </w:r>
            <w:r>
              <w:rPr>
                <w:rFonts w:hint="eastAsia" w:cs="宋体"/>
                <w:b w:val="0"/>
                <w:bCs w:val="0"/>
                <w:color w:val="auto"/>
                <w:sz w:val="24"/>
                <w:szCs w:val="24"/>
                <w:lang w:eastAsia="zh-CN"/>
              </w:rPr>
              <w:t>%，</w:t>
            </w:r>
            <w:r>
              <w:rPr>
                <w:rFonts w:hint="eastAsia" w:cs="Times New Roman"/>
                <w:b w:val="0"/>
                <w:bCs w:val="0"/>
                <w:color w:val="auto"/>
                <w:kern w:val="2"/>
                <w:sz w:val="24"/>
                <w:szCs w:val="24"/>
                <w:highlight w:val="none"/>
                <w:lang w:val="en-US" w:eastAsia="zh-CN" w:bidi="ar"/>
              </w:rPr>
              <w:t>因此电泳烘干废气收集效率为65%</w:t>
            </w:r>
            <w:r>
              <w:rPr>
                <w:rFonts w:hint="eastAsia"/>
                <w:bCs/>
                <w:color w:val="auto"/>
                <w:sz w:val="24"/>
                <w:highlight w:val="none"/>
                <w:u w:val="none"/>
                <w:lang w:val="en-US" w:eastAsia="zh-CN"/>
              </w:rPr>
              <w:t>，</w:t>
            </w:r>
            <w:r>
              <w:rPr>
                <w:rFonts w:hint="eastAsia"/>
                <w:bCs/>
                <w:color w:val="auto"/>
                <w:sz w:val="24"/>
                <w:highlight w:val="none"/>
                <w:u w:val="none"/>
                <w:lang w:val="en-US" w:eastAsia="zh-CN"/>
              </w:rPr>
              <w:t>即收集2.09t/a</w:t>
            </w:r>
            <w:r>
              <w:rPr>
                <w:rFonts w:hint="eastAsia"/>
                <w:bCs/>
                <w:color w:val="auto"/>
                <w:sz w:val="24"/>
                <w:highlight w:val="none"/>
                <w:u w:val="none"/>
                <w:lang w:val="en-US" w:eastAsia="zh-CN"/>
              </w:rPr>
              <w:t>），经烘道进入“水喷淋+二级活性炭</w:t>
            </w:r>
            <w:r>
              <w:rPr>
                <w:rFonts w:hint="eastAsia" w:cs="Times New Roman"/>
                <w:color w:val="auto"/>
                <w:sz w:val="24"/>
                <w:szCs w:val="24"/>
                <w:highlight w:val="none"/>
                <w:lang w:val="en-US" w:eastAsia="zh-CN"/>
              </w:rPr>
              <w:t>（含干式过滤棉）</w:t>
            </w:r>
            <w:r>
              <w:rPr>
                <w:rFonts w:hint="eastAsia"/>
                <w:bCs/>
                <w:color w:val="auto"/>
                <w:sz w:val="24"/>
                <w:highlight w:val="none"/>
                <w:u w:val="none"/>
                <w:lang w:val="en-US" w:eastAsia="zh-CN"/>
              </w:rPr>
              <w:t>吸附”装置处理后经15m高排气筒（DA002）排放，电泳烘干</w:t>
            </w:r>
            <w:r>
              <w:rPr>
                <w:rFonts w:hint="eastAsia" w:cs="Times New Roman"/>
                <w:color w:val="auto"/>
                <w:sz w:val="24"/>
                <w:szCs w:val="24"/>
                <w:highlight w:val="none"/>
                <w:lang w:val="en-US" w:eastAsia="zh-CN"/>
              </w:rPr>
              <w:t>工段风机风量为2000</w:t>
            </w:r>
            <w:r>
              <w:rPr>
                <w:color w:val="auto"/>
                <w:kern w:val="0"/>
                <w:sz w:val="24"/>
                <w:szCs w:val="24"/>
                <w:highlight w:val="none"/>
              </w:rPr>
              <w:t>m</w:t>
            </w:r>
            <w:r>
              <w:rPr>
                <w:color w:val="auto"/>
                <w:kern w:val="0"/>
                <w:sz w:val="24"/>
                <w:szCs w:val="24"/>
                <w:highlight w:val="none"/>
                <w:vertAlign w:val="superscript"/>
              </w:rPr>
              <w:t>3</w:t>
            </w:r>
            <w:r>
              <w:rPr>
                <w:color w:val="auto"/>
                <w:kern w:val="0"/>
                <w:sz w:val="24"/>
                <w:szCs w:val="24"/>
                <w:highlight w:val="none"/>
              </w:rPr>
              <w:t>/h</w:t>
            </w:r>
            <w:r>
              <w:rPr>
                <w:rFonts w:hint="eastAsia"/>
                <w:bCs/>
                <w:color w:val="auto"/>
                <w:sz w:val="24"/>
                <w:highlight w:val="none"/>
                <w:u w:val="none"/>
                <w:lang w:val="en-US" w:eastAsia="zh-CN"/>
              </w:rPr>
              <w:t>。根据《排放源统计调查产排污核算方法和系数手册》中“33-37，431-434机械行业系数手册”中涂装末端治理技术效率，吸附法18%，则二级活性炭处理效率为1-（1-18%）*（1-18%）=32.76%（本次评价取32%），则电泳烘干过程有组织非甲烷总烃排放量为</w:t>
            </w:r>
            <w:r>
              <w:rPr>
                <w:rFonts w:hint="eastAsia"/>
                <w:bCs/>
                <w:color w:val="auto"/>
                <w:sz w:val="24"/>
                <w:highlight w:val="none"/>
                <w:u w:val="none"/>
                <w:lang w:val="en-US" w:eastAsia="zh-CN"/>
              </w:rPr>
              <w:t>1.42t/a</w:t>
            </w:r>
            <w:r>
              <w:rPr>
                <w:rFonts w:hint="eastAsia"/>
                <w:bCs/>
                <w:color w:val="auto"/>
                <w:sz w:val="24"/>
                <w:highlight w:val="none"/>
                <w:u w:val="none"/>
                <w:lang w:val="en-US" w:eastAsia="zh-CN"/>
              </w:rPr>
              <w:t>。未收集到的有机废气无组织排放，则非甲烷总烃无组织排放量为1.12</w:t>
            </w:r>
            <w:r>
              <w:rPr>
                <w:rFonts w:hint="eastAsia"/>
                <w:bCs/>
                <w:color w:val="auto"/>
                <w:sz w:val="24"/>
                <w:highlight w:val="none"/>
                <w:u w:val="none"/>
                <w:lang w:val="en-US" w:eastAsia="zh-CN"/>
              </w:rPr>
              <w:t>t/a。</w:t>
            </w:r>
          </w:p>
          <w:p w14:paraId="0AE016DA">
            <w:pPr>
              <w:tabs>
                <w:tab w:val="left" w:pos="624"/>
              </w:tabs>
              <w:snapToGrid w:val="0"/>
              <w:ind w:firstLine="482"/>
              <w:jc w:val="center"/>
              <w:rPr>
                <w:b/>
                <w:bCs/>
                <w:color w:val="auto"/>
                <w:sz w:val="24"/>
                <w:szCs w:val="24"/>
                <w:highlight w:val="none"/>
              </w:rPr>
            </w:pPr>
            <w:r>
              <w:rPr>
                <w:b/>
                <w:color w:val="auto"/>
                <w:kern w:val="0"/>
                <w:sz w:val="24"/>
                <w:szCs w:val="24"/>
                <w:highlight w:val="none"/>
              </w:rPr>
              <w:t>表</w:t>
            </w:r>
            <w:r>
              <w:rPr>
                <w:rFonts w:hint="eastAsia"/>
                <w:b/>
                <w:color w:val="auto"/>
                <w:kern w:val="0"/>
                <w:sz w:val="24"/>
                <w:szCs w:val="24"/>
                <w:highlight w:val="none"/>
                <w:lang w:val="en-US" w:eastAsia="zh-CN"/>
              </w:rPr>
              <w:t>4-6</w:t>
            </w:r>
            <w:r>
              <w:rPr>
                <w:b/>
                <w:color w:val="auto"/>
                <w:kern w:val="0"/>
                <w:sz w:val="24"/>
                <w:szCs w:val="24"/>
                <w:highlight w:val="none"/>
              </w:rPr>
              <w:t xml:space="preserve"> </w:t>
            </w:r>
            <w:r>
              <w:rPr>
                <w:rFonts w:hint="eastAsia"/>
                <w:b/>
                <w:color w:val="auto"/>
                <w:kern w:val="0"/>
                <w:sz w:val="24"/>
                <w:szCs w:val="24"/>
                <w:highlight w:val="none"/>
                <w:lang w:val="en-US" w:eastAsia="zh-CN"/>
              </w:rPr>
              <w:t>电泳烘干废气</w:t>
            </w:r>
            <w:r>
              <w:rPr>
                <w:rFonts w:hint="eastAsia"/>
                <w:b/>
                <w:color w:val="auto"/>
                <w:kern w:val="0"/>
                <w:sz w:val="24"/>
                <w:szCs w:val="24"/>
                <w:highlight w:val="none"/>
              </w:rPr>
              <w:t>产排</w:t>
            </w:r>
            <w:r>
              <w:rPr>
                <w:b/>
                <w:color w:val="auto"/>
                <w:kern w:val="0"/>
                <w:sz w:val="24"/>
                <w:szCs w:val="24"/>
                <w:highlight w:val="none"/>
              </w:rPr>
              <w:t>情</w:t>
            </w:r>
            <w:bookmarkEnd w:id="9"/>
            <w:r>
              <w:rPr>
                <w:rFonts w:hint="default" w:ascii="Times New Roman" w:hAnsi="Times New Roman" w:cs="Times New Roman"/>
                <w:b/>
                <w:color w:val="auto"/>
                <w:kern w:val="0"/>
                <w:sz w:val="24"/>
                <w:szCs w:val="24"/>
                <w:highlight w:val="none"/>
              </w:rPr>
              <w:t>况</w:t>
            </w:r>
          </w:p>
          <w:tbl>
            <w:tblPr>
              <w:tblStyle w:val="3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Layout w:type="fixed"/>
              <w:tblCellMar>
                <w:top w:w="0" w:type="dxa"/>
                <w:left w:w="108" w:type="dxa"/>
                <w:bottom w:w="0" w:type="dxa"/>
                <w:right w:w="108" w:type="dxa"/>
              </w:tblCellMar>
            </w:tblPr>
            <w:tblGrid>
              <w:gridCol w:w="948"/>
              <w:gridCol w:w="495"/>
              <w:gridCol w:w="761"/>
              <w:gridCol w:w="837"/>
              <w:gridCol w:w="776"/>
              <w:gridCol w:w="776"/>
              <w:gridCol w:w="886"/>
              <w:gridCol w:w="999"/>
              <w:gridCol w:w="676"/>
              <w:gridCol w:w="779"/>
            </w:tblGrid>
            <w:tr w14:paraId="7BEC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340" w:hRule="atLeast"/>
              </w:trPr>
              <w:tc>
                <w:tcPr>
                  <w:tcW w:w="597" w:type="pct"/>
                  <w:vMerge w:val="restart"/>
                  <w:tcBorders>
                    <w:tl2br w:val="nil"/>
                    <w:tr2bl w:val="nil"/>
                  </w:tcBorders>
                  <w:shd w:val="clear" w:color="auto" w:fill="auto"/>
                  <w:vAlign w:val="center"/>
                </w:tcPr>
                <w:p w14:paraId="7D782441">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污染源</w:t>
                  </w:r>
                </w:p>
              </w:tc>
              <w:tc>
                <w:tcPr>
                  <w:tcW w:w="311" w:type="pct"/>
                  <w:vMerge w:val="restart"/>
                  <w:tcBorders>
                    <w:tl2br w:val="nil"/>
                    <w:tr2bl w:val="nil"/>
                  </w:tcBorders>
                  <w:shd w:val="clear" w:color="auto" w:fill="auto"/>
                  <w:vAlign w:val="center"/>
                </w:tcPr>
                <w:p w14:paraId="1E1BD5A9">
                  <w:pPr>
                    <w:adjustRightInd w:val="0"/>
                    <w:snapToGrid w:val="0"/>
                    <w:spacing w:line="240" w:lineRule="auto"/>
                    <w:jc w:val="center"/>
                    <w:rPr>
                      <w:b/>
                      <w:bCs/>
                      <w:color w:val="auto"/>
                      <w:kern w:val="0"/>
                      <w:sz w:val="21"/>
                      <w:szCs w:val="21"/>
                      <w:highlight w:val="none"/>
                      <w:lang w:eastAsia="en-US" w:bidi="en-US"/>
                    </w:rPr>
                  </w:pPr>
                  <w:r>
                    <w:rPr>
                      <w:b/>
                      <w:bCs/>
                      <w:color w:val="auto"/>
                      <w:kern w:val="0"/>
                      <w:sz w:val="21"/>
                      <w:szCs w:val="21"/>
                      <w:highlight w:val="none"/>
                      <w:lang w:eastAsia="en-US" w:bidi="en-US"/>
                    </w:rPr>
                    <w:t>污染物</w:t>
                  </w:r>
                </w:p>
              </w:tc>
              <w:tc>
                <w:tcPr>
                  <w:tcW w:w="1007" w:type="pct"/>
                  <w:gridSpan w:val="2"/>
                  <w:tcBorders>
                    <w:tl2br w:val="nil"/>
                    <w:tr2bl w:val="nil"/>
                  </w:tcBorders>
                  <w:shd w:val="clear" w:color="auto" w:fill="auto"/>
                  <w:vAlign w:val="center"/>
                </w:tcPr>
                <w:p w14:paraId="142A30F1">
                  <w:pPr>
                    <w:adjustRightInd w:val="0"/>
                    <w:snapToGrid w:val="0"/>
                    <w:spacing w:line="240" w:lineRule="auto"/>
                    <w:jc w:val="center"/>
                    <w:rPr>
                      <w:rFonts w:hint="eastAsia"/>
                      <w:b/>
                      <w:bCs/>
                      <w:color w:val="auto"/>
                      <w:kern w:val="0"/>
                      <w:sz w:val="21"/>
                      <w:szCs w:val="21"/>
                      <w:highlight w:val="none"/>
                      <w:lang w:bidi="en-US"/>
                    </w:rPr>
                  </w:pPr>
                  <w:r>
                    <w:rPr>
                      <w:rFonts w:hint="eastAsia"/>
                      <w:b/>
                      <w:bCs/>
                      <w:color w:val="auto"/>
                      <w:kern w:val="0"/>
                      <w:sz w:val="21"/>
                      <w:szCs w:val="21"/>
                      <w:highlight w:val="none"/>
                      <w:lang w:bidi="en-US"/>
                    </w:rPr>
                    <w:t>产生情况</w:t>
                  </w:r>
                </w:p>
              </w:tc>
              <w:tc>
                <w:tcPr>
                  <w:tcW w:w="489" w:type="pct"/>
                  <w:vMerge w:val="restart"/>
                  <w:tcBorders>
                    <w:tl2br w:val="nil"/>
                    <w:tr2bl w:val="nil"/>
                  </w:tcBorders>
                  <w:shd w:val="clear" w:color="auto" w:fill="auto"/>
                  <w:vAlign w:val="center"/>
                </w:tcPr>
                <w:p w14:paraId="6A4BE156">
                  <w:pPr>
                    <w:adjustRightInd w:val="0"/>
                    <w:snapToGrid w:val="0"/>
                    <w:spacing w:line="240" w:lineRule="auto"/>
                    <w:jc w:val="center"/>
                    <w:rPr>
                      <w:b/>
                      <w:bCs/>
                      <w:color w:val="auto"/>
                      <w:kern w:val="0"/>
                      <w:sz w:val="21"/>
                      <w:szCs w:val="21"/>
                      <w:highlight w:val="none"/>
                      <w:lang w:bidi="en-US"/>
                    </w:rPr>
                  </w:pPr>
                  <w:r>
                    <w:rPr>
                      <w:rFonts w:hint="eastAsia"/>
                      <w:b/>
                      <w:bCs/>
                      <w:color w:val="auto"/>
                      <w:kern w:val="0"/>
                      <w:sz w:val="21"/>
                      <w:szCs w:val="21"/>
                      <w:highlight w:val="none"/>
                      <w:lang w:val="en-US" w:eastAsia="zh-CN" w:bidi="en-US"/>
                    </w:rPr>
                    <w:t>收集效率%</w:t>
                  </w:r>
                </w:p>
              </w:tc>
              <w:tc>
                <w:tcPr>
                  <w:tcW w:w="489" w:type="pct"/>
                  <w:vMerge w:val="restart"/>
                  <w:tcBorders>
                    <w:tl2br w:val="nil"/>
                    <w:tr2bl w:val="nil"/>
                  </w:tcBorders>
                  <w:shd w:val="clear" w:color="auto" w:fill="auto"/>
                  <w:vAlign w:val="center"/>
                </w:tcPr>
                <w:p w14:paraId="60178306">
                  <w:pPr>
                    <w:adjustRightInd w:val="0"/>
                    <w:snapToGrid w:val="0"/>
                    <w:spacing w:line="240" w:lineRule="auto"/>
                    <w:jc w:val="center"/>
                    <w:rPr>
                      <w:b/>
                      <w:bCs/>
                      <w:color w:val="auto"/>
                      <w:kern w:val="0"/>
                      <w:sz w:val="21"/>
                      <w:szCs w:val="21"/>
                      <w:highlight w:val="none"/>
                      <w:lang w:bidi="en-US"/>
                    </w:rPr>
                  </w:pPr>
                  <w:r>
                    <w:rPr>
                      <w:rFonts w:hint="eastAsia"/>
                      <w:b/>
                      <w:bCs/>
                      <w:color w:val="auto"/>
                      <w:kern w:val="0"/>
                      <w:sz w:val="21"/>
                      <w:szCs w:val="21"/>
                      <w:highlight w:val="none"/>
                      <w:lang w:val="en-US" w:eastAsia="zh-CN" w:bidi="en-US"/>
                    </w:rPr>
                    <w:t>治理工艺</w:t>
                  </w:r>
                  <w:r>
                    <w:rPr>
                      <w:b/>
                      <w:bCs/>
                      <w:color w:val="auto"/>
                      <w:kern w:val="0"/>
                      <w:sz w:val="21"/>
                      <w:szCs w:val="21"/>
                      <w:highlight w:val="none"/>
                      <w:lang w:bidi="en-US"/>
                    </w:rPr>
                    <w:t>处理</w:t>
                  </w:r>
                </w:p>
                <w:p w14:paraId="5B5AB5D8">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效率%</w:t>
                  </w:r>
                </w:p>
              </w:tc>
              <w:tc>
                <w:tcPr>
                  <w:tcW w:w="558" w:type="pct"/>
                  <w:vMerge w:val="restart"/>
                  <w:tcBorders>
                    <w:tl2br w:val="nil"/>
                    <w:tr2bl w:val="nil"/>
                  </w:tcBorders>
                  <w:shd w:val="clear" w:color="auto" w:fill="auto"/>
                  <w:vAlign w:val="center"/>
                </w:tcPr>
                <w:p w14:paraId="3EAA4345">
                  <w:pPr>
                    <w:adjustRightInd w:val="0"/>
                    <w:snapToGrid w:val="0"/>
                    <w:spacing w:line="240" w:lineRule="auto"/>
                    <w:jc w:val="center"/>
                    <w:rPr>
                      <w:rFonts w:hint="eastAsia" w:eastAsia="宋体"/>
                      <w:b/>
                      <w:bCs/>
                      <w:color w:val="auto"/>
                      <w:kern w:val="0"/>
                      <w:sz w:val="21"/>
                      <w:szCs w:val="21"/>
                      <w:highlight w:val="none"/>
                      <w:lang w:val="en-US" w:eastAsia="zh-CN" w:bidi="en-US"/>
                    </w:rPr>
                  </w:pPr>
                  <w:r>
                    <w:rPr>
                      <w:rFonts w:hint="eastAsia"/>
                      <w:b/>
                      <w:bCs/>
                      <w:color w:val="auto"/>
                      <w:kern w:val="0"/>
                      <w:sz w:val="21"/>
                      <w:szCs w:val="21"/>
                      <w:highlight w:val="none"/>
                      <w:lang w:val="en-US" w:eastAsia="zh-CN" w:bidi="en-US"/>
                    </w:rPr>
                    <w:t>处理措施</w:t>
                  </w:r>
                </w:p>
              </w:tc>
              <w:tc>
                <w:tcPr>
                  <w:tcW w:w="629" w:type="pct"/>
                  <w:vMerge w:val="restart"/>
                  <w:tcBorders>
                    <w:tl2br w:val="nil"/>
                    <w:tr2bl w:val="nil"/>
                  </w:tcBorders>
                  <w:shd w:val="clear" w:color="auto" w:fill="auto"/>
                  <w:vAlign w:val="center"/>
                </w:tcPr>
                <w:p w14:paraId="1A04450C">
                  <w:pPr>
                    <w:adjustRightInd w:val="0"/>
                    <w:snapToGrid w:val="0"/>
                    <w:spacing w:line="240" w:lineRule="auto"/>
                    <w:jc w:val="center"/>
                    <w:rPr>
                      <w:rFonts w:hint="default" w:eastAsia="宋体"/>
                      <w:b/>
                      <w:bCs/>
                      <w:color w:val="auto"/>
                      <w:kern w:val="0"/>
                      <w:sz w:val="21"/>
                      <w:szCs w:val="21"/>
                      <w:highlight w:val="none"/>
                      <w:lang w:val="en-US" w:eastAsia="zh-CN" w:bidi="en-US"/>
                    </w:rPr>
                  </w:pPr>
                  <w:r>
                    <w:rPr>
                      <w:rFonts w:hint="eastAsia"/>
                      <w:b/>
                      <w:bCs/>
                      <w:color w:val="auto"/>
                      <w:kern w:val="0"/>
                      <w:sz w:val="21"/>
                      <w:szCs w:val="21"/>
                      <w:highlight w:val="none"/>
                      <w:lang w:val="zh-CN"/>
                    </w:rPr>
                    <w:t>设计</w:t>
                  </w:r>
                  <w:r>
                    <w:rPr>
                      <w:rFonts w:hint="eastAsia"/>
                      <w:b/>
                      <w:bCs/>
                      <w:color w:val="auto"/>
                      <w:kern w:val="0"/>
                      <w:sz w:val="21"/>
                      <w:szCs w:val="21"/>
                      <w:highlight w:val="none"/>
                      <w:lang w:val="en-US" w:eastAsia="zh-CN"/>
                    </w:rPr>
                    <w:t>电泳烘干</w:t>
                  </w:r>
                  <w:r>
                    <w:rPr>
                      <w:rFonts w:hint="eastAsia"/>
                      <w:b/>
                      <w:bCs/>
                      <w:color w:val="auto"/>
                      <w:kern w:val="0"/>
                      <w:sz w:val="21"/>
                      <w:szCs w:val="21"/>
                      <w:highlight w:val="none"/>
                      <w:lang w:val="zh-CN"/>
                    </w:rPr>
                    <w:t>废气处理量</w:t>
                  </w:r>
                  <w:r>
                    <w:rPr>
                      <w:b/>
                      <w:bCs/>
                      <w:color w:val="auto"/>
                      <w:kern w:val="0"/>
                      <w:sz w:val="21"/>
                      <w:szCs w:val="21"/>
                      <w:highlight w:val="none"/>
                      <w:lang w:val="zh-CN"/>
                    </w:rPr>
                    <w:t>m</w:t>
                  </w:r>
                  <w:r>
                    <w:rPr>
                      <w:b/>
                      <w:bCs/>
                      <w:color w:val="auto"/>
                      <w:kern w:val="0"/>
                      <w:sz w:val="21"/>
                      <w:szCs w:val="21"/>
                      <w:highlight w:val="none"/>
                      <w:vertAlign w:val="superscript"/>
                    </w:rPr>
                    <w:t>3</w:t>
                  </w:r>
                  <w:r>
                    <w:rPr>
                      <w:b/>
                      <w:bCs/>
                      <w:color w:val="auto"/>
                      <w:kern w:val="0"/>
                      <w:sz w:val="21"/>
                      <w:szCs w:val="21"/>
                      <w:highlight w:val="none"/>
                      <w:lang w:val="zh-CN"/>
                    </w:rPr>
                    <w:t>/h</w:t>
                  </w:r>
                </w:p>
              </w:tc>
              <w:tc>
                <w:tcPr>
                  <w:tcW w:w="917" w:type="pct"/>
                  <w:gridSpan w:val="2"/>
                  <w:tcBorders>
                    <w:tl2br w:val="nil"/>
                    <w:tr2bl w:val="nil"/>
                  </w:tcBorders>
                  <w:shd w:val="clear" w:color="auto" w:fill="auto"/>
                  <w:vAlign w:val="center"/>
                </w:tcPr>
                <w:p w14:paraId="5CDF61AB">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排放情况</w:t>
                  </w:r>
                </w:p>
              </w:tc>
            </w:tr>
            <w:tr w14:paraId="2580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340" w:hRule="atLeast"/>
              </w:trPr>
              <w:tc>
                <w:tcPr>
                  <w:tcW w:w="597" w:type="pct"/>
                  <w:vMerge w:val="continue"/>
                  <w:tcBorders>
                    <w:tl2br w:val="nil"/>
                    <w:tr2bl w:val="nil"/>
                  </w:tcBorders>
                  <w:shd w:val="clear" w:color="auto" w:fill="auto"/>
                  <w:vAlign w:val="center"/>
                </w:tcPr>
                <w:p w14:paraId="347CB1DF">
                  <w:pPr>
                    <w:adjustRightInd w:val="0"/>
                    <w:snapToGrid w:val="0"/>
                    <w:spacing w:line="240" w:lineRule="auto"/>
                    <w:jc w:val="center"/>
                    <w:rPr>
                      <w:b/>
                      <w:bCs/>
                      <w:color w:val="auto"/>
                      <w:kern w:val="0"/>
                      <w:sz w:val="21"/>
                      <w:szCs w:val="21"/>
                      <w:highlight w:val="none"/>
                      <w:lang w:bidi="en-US"/>
                    </w:rPr>
                  </w:pPr>
                </w:p>
              </w:tc>
              <w:tc>
                <w:tcPr>
                  <w:tcW w:w="311" w:type="pct"/>
                  <w:vMerge w:val="continue"/>
                  <w:tcBorders>
                    <w:tl2br w:val="nil"/>
                    <w:tr2bl w:val="nil"/>
                  </w:tcBorders>
                  <w:shd w:val="clear" w:color="auto" w:fill="auto"/>
                  <w:vAlign w:val="center"/>
                </w:tcPr>
                <w:p w14:paraId="448DE03E">
                  <w:pPr>
                    <w:adjustRightInd w:val="0"/>
                    <w:snapToGrid w:val="0"/>
                    <w:spacing w:line="240" w:lineRule="auto"/>
                    <w:jc w:val="center"/>
                    <w:rPr>
                      <w:b/>
                      <w:bCs/>
                      <w:color w:val="auto"/>
                      <w:kern w:val="0"/>
                      <w:sz w:val="21"/>
                      <w:szCs w:val="21"/>
                      <w:highlight w:val="none"/>
                      <w:lang w:bidi="en-US"/>
                    </w:rPr>
                  </w:pPr>
                </w:p>
              </w:tc>
              <w:tc>
                <w:tcPr>
                  <w:tcW w:w="479" w:type="pct"/>
                  <w:tcBorders>
                    <w:tl2br w:val="nil"/>
                    <w:tr2bl w:val="nil"/>
                  </w:tcBorders>
                  <w:shd w:val="clear" w:color="auto" w:fill="auto"/>
                  <w:vAlign w:val="center"/>
                </w:tcPr>
                <w:p w14:paraId="1F942BE2">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产生量t/a</w:t>
                  </w:r>
                </w:p>
              </w:tc>
              <w:tc>
                <w:tcPr>
                  <w:tcW w:w="527" w:type="pct"/>
                  <w:tcBorders>
                    <w:tl2br w:val="nil"/>
                    <w:tr2bl w:val="nil"/>
                  </w:tcBorders>
                  <w:shd w:val="clear" w:color="auto" w:fill="auto"/>
                  <w:vAlign w:val="center"/>
                </w:tcPr>
                <w:p w14:paraId="57838E18">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产生速率kg/h</w:t>
                  </w:r>
                </w:p>
              </w:tc>
              <w:tc>
                <w:tcPr>
                  <w:tcW w:w="489" w:type="pct"/>
                  <w:vMerge w:val="continue"/>
                  <w:tcBorders>
                    <w:tl2br w:val="nil"/>
                    <w:tr2bl w:val="nil"/>
                  </w:tcBorders>
                  <w:shd w:val="clear" w:color="auto" w:fill="auto"/>
                  <w:vAlign w:val="center"/>
                </w:tcPr>
                <w:p w14:paraId="7108C2A4">
                  <w:pPr>
                    <w:adjustRightInd w:val="0"/>
                    <w:snapToGrid w:val="0"/>
                    <w:spacing w:line="240" w:lineRule="auto"/>
                    <w:jc w:val="center"/>
                    <w:rPr>
                      <w:b/>
                      <w:bCs/>
                      <w:color w:val="auto"/>
                      <w:kern w:val="0"/>
                      <w:sz w:val="21"/>
                      <w:szCs w:val="21"/>
                      <w:highlight w:val="none"/>
                      <w:lang w:bidi="en-US"/>
                    </w:rPr>
                  </w:pPr>
                </w:p>
              </w:tc>
              <w:tc>
                <w:tcPr>
                  <w:tcW w:w="489" w:type="pct"/>
                  <w:vMerge w:val="continue"/>
                  <w:tcBorders>
                    <w:tl2br w:val="nil"/>
                    <w:tr2bl w:val="nil"/>
                  </w:tcBorders>
                  <w:shd w:val="clear" w:color="auto" w:fill="auto"/>
                  <w:vAlign w:val="center"/>
                </w:tcPr>
                <w:p w14:paraId="142194EB">
                  <w:pPr>
                    <w:adjustRightInd w:val="0"/>
                    <w:snapToGrid w:val="0"/>
                    <w:spacing w:line="240" w:lineRule="auto"/>
                    <w:jc w:val="center"/>
                    <w:rPr>
                      <w:b/>
                      <w:bCs/>
                      <w:color w:val="auto"/>
                      <w:kern w:val="0"/>
                      <w:sz w:val="21"/>
                      <w:szCs w:val="21"/>
                      <w:highlight w:val="none"/>
                      <w:lang w:bidi="en-US"/>
                    </w:rPr>
                  </w:pPr>
                </w:p>
              </w:tc>
              <w:tc>
                <w:tcPr>
                  <w:tcW w:w="558" w:type="pct"/>
                  <w:vMerge w:val="continue"/>
                  <w:tcBorders>
                    <w:tl2br w:val="nil"/>
                    <w:tr2bl w:val="nil"/>
                  </w:tcBorders>
                  <w:shd w:val="clear" w:color="auto" w:fill="auto"/>
                  <w:vAlign w:val="center"/>
                </w:tcPr>
                <w:p w14:paraId="4FA62CDF">
                  <w:pPr>
                    <w:adjustRightInd w:val="0"/>
                    <w:snapToGrid w:val="0"/>
                    <w:spacing w:line="240" w:lineRule="auto"/>
                    <w:jc w:val="center"/>
                    <w:rPr>
                      <w:b/>
                      <w:bCs/>
                      <w:color w:val="auto"/>
                      <w:kern w:val="0"/>
                      <w:sz w:val="21"/>
                      <w:szCs w:val="21"/>
                      <w:highlight w:val="none"/>
                      <w:lang w:bidi="en-US"/>
                    </w:rPr>
                  </w:pPr>
                </w:p>
              </w:tc>
              <w:tc>
                <w:tcPr>
                  <w:tcW w:w="629" w:type="pct"/>
                  <w:vMerge w:val="continue"/>
                  <w:tcBorders>
                    <w:tl2br w:val="nil"/>
                    <w:tr2bl w:val="nil"/>
                  </w:tcBorders>
                  <w:shd w:val="clear" w:color="auto" w:fill="auto"/>
                  <w:vAlign w:val="center"/>
                </w:tcPr>
                <w:p w14:paraId="3E0A19DE">
                  <w:pPr>
                    <w:adjustRightInd w:val="0"/>
                    <w:snapToGrid w:val="0"/>
                    <w:spacing w:line="240" w:lineRule="auto"/>
                    <w:jc w:val="center"/>
                    <w:rPr>
                      <w:b/>
                      <w:bCs/>
                      <w:color w:val="auto"/>
                      <w:kern w:val="0"/>
                      <w:sz w:val="21"/>
                      <w:szCs w:val="21"/>
                      <w:highlight w:val="none"/>
                      <w:lang w:bidi="en-US"/>
                    </w:rPr>
                  </w:pPr>
                </w:p>
              </w:tc>
              <w:tc>
                <w:tcPr>
                  <w:tcW w:w="426" w:type="pct"/>
                  <w:tcBorders>
                    <w:tl2br w:val="nil"/>
                    <w:tr2bl w:val="nil"/>
                  </w:tcBorders>
                  <w:shd w:val="clear" w:color="auto" w:fill="auto"/>
                  <w:vAlign w:val="center"/>
                </w:tcPr>
                <w:p w14:paraId="30156E8E">
                  <w:pPr>
                    <w:adjustRightInd w:val="0"/>
                    <w:snapToGrid w:val="0"/>
                    <w:spacing w:line="240" w:lineRule="auto"/>
                    <w:jc w:val="center"/>
                    <w:rPr>
                      <w:b/>
                      <w:bCs/>
                      <w:color w:val="auto"/>
                      <w:kern w:val="0"/>
                      <w:sz w:val="21"/>
                      <w:szCs w:val="21"/>
                      <w:highlight w:val="none"/>
                      <w:vertAlign w:val="superscript"/>
                      <w:lang w:bidi="en-US"/>
                    </w:rPr>
                  </w:pPr>
                  <w:r>
                    <w:rPr>
                      <w:b/>
                      <w:bCs/>
                      <w:color w:val="auto"/>
                      <w:kern w:val="0"/>
                      <w:sz w:val="21"/>
                      <w:szCs w:val="21"/>
                      <w:highlight w:val="none"/>
                      <w:lang w:bidi="en-US"/>
                    </w:rPr>
                    <w:t>排放量t/a</w:t>
                  </w:r>
                </w:p>
              </w:tc>
              <w:tc>
                <w:tcPr>
                  <w:tcW w:w="490" w:type="pct"/>
                  <w:tcBorders>
                    <w:tl2br w:val="nil"/>
                    <w:tr2bl w:val="nil"/>
                  </w:tcBorders>
                  <w:shd w:val="clear" w:color="auto" w:fill="auto"/>
                  <w:vAlign w:val="center"/>
                </w:tcPr>
                <w:p w14:paraId="7E4E9CA3">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排放速率kg/h</w:t>
                  </w:r>
                </w:p>
              </w:tc>
            </w:tr>
            <w:tr w14:paraId="525B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151" w:hRule="atLeast"/>
              </w:trPr>
              <w:tc>
                <w:tcPr>
                  <w:tcW w:w="597" w:type="pct"/>
                  <w:tcBorders>
                    <w:tl2br w:val="nil"/>
                    <w:tr2bl w:val="nil"/>
                  </w:tcBorders>
                  <w:shd w:val="clear" w:color="auto" w:fill="auto"/>
                  <w:vAlign w:val="center"/>
                </w:tcPr>
                <w:p w14:paraId="4D7ACE84">
                  <w:pPr>
                    <w:adjustRightInd w:val="0"/>
                    <w:snapToGrid w:val="0"/>
                    <w:spacing w:line="240" w:lineRule="auto"/>
                    <w:jc w:val="center"/>
                    <w:rPr>
                      <w:rFonts w:hint="eastAsia" w:ascii="Times New Roman" w:hAnsi="Times New Roman" w:eastAsia="宋体" w:cs="Times New Roman"/>
                      <w:color w:val="auto"/>
                      <w:kern w:val="0"/>
                      <w:sz w:val="21"/>
                      <w:szCs w:val="21"/>
                      <w:highlight w:val="none"/>
                      <w:lang w:val="en-US" w:eastAsia="zh-CN" w:bidi="en-US"/>
                    </w:rPr>
                  </w:pPr>
                  <w:r>
                    <w:rPr>
                      <w:rFonts w:hint="eastAsia"/>
                      <w:color w:val="auto"/>
                      <w:kern w:val="0"/>
                      <w:sz w:val="21"/>
                      <w:szCs w:val="21"/>
                      <w:highlight w:val="none"/>
                      <w:lang w:val="en-US" w:eastAsia="zh-CN" w:bidi="en-US"/>
                    </w:rPr>
                    <w:t>DA002排气筒</w:t>
                  </w:r>
                </w:p>
              </w:tc>
              <w:tc>
                <w:tcPr>
                  <w:tcW w:w="311" w:type="pct"/>
                  <w:tcBorders>
                    <w:tl2br w:val="nil"/>
                    <w:tr2bl w:val="nil"/>
                  </w:tcBorders>
                  <w:shd w:val="clear" w:color="auto" w:fill="auto"/>
                  <w:vAlign w:val="center"/>
                </w:tcPr>
                <w:p w14:paraId="516442DF">
                  <w:pPr>
                    <w:adjustRightInd w:val="0"/>
                    <w:snapToGrid w:val="0"/>
                    <w:spacing w:line="240" w:lineRule="auto"/>
                    <w:jc w:val="center"/>
                    <w:rPr>
                      <w:rFonts w:hint="eastAsia" w:ascii="Times New Roman" w:hAnsi="Times New Roman" w:eastAsia="宋体" w:cs="Times New Roman"/>
                      <w:color w:val="auto"/>
                      <w:kern w:val="0"/>
                      <w:sz w:val="21"/>
                      <w:szCs w:val="21"/>
                      <w:highlight w:val="none"/>
                      <w:lang w:val="en-US" w:eastAsia="zh-CN" w:bidi="en-US"/>
                    </w:rPr>
                  </w:pPr>
                  <w:r>
                    <w:rPr>
                      <w:rFonts w:hint="eastAsia"/>
                      <w:color w:val="auto"/>
                      <w:kern w:val="0"/>
                      <w:sz w:val="21"/>
                      <w:szCs w:val="21"/>
                      <w:highlight w:val="none"/>
                      <w:lang w:val="en-US" w:eastAsia="zh-CN" w:bidi="en-US"/>
                    </w:rPr>
                    <w:t>非甲烷总烃</w:t>
                  </w:r>
                </w:p>
              </w:tc>
              <w:tc>
                <w:tcPr>
                  <w:tcW w:w="479" w:type="pct"/>
                  <w:tcBorders>
                    <w:tl2br w:val="nil"/>
                    <w:tr2bl w:val="nil"/>
                  </w:tcBorders>
                  <w:shd w:val="clear" w:color="auto" w:fill="auto"/>
                  <w:vAlign w:val="center"/>
                </w:tcPr>
                <w:p w14:paraId="4B959A73">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2.09</w:t>
                  </w:r>
                </w:p>
              </w:tc>
              <w:tc>
                <w:tcPr>
                  <w:tcW w:w="527" w:type="pct"/>
                  <w:tcBorders>
                    <w:tl2br w:val="nil"/>
                    <w:tr2bl w:val="nil"/>
                  </w:tcBorders>
                  <w:shd w:val="clear" w:color="auto" w:fill="auto"/>
                  <w:vAlign w:val="center"/>
                </w:tcPr>
                <w:p w14:paraId="40B7E8DB">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0.87</w:t>
                  </w:r>
                </w:p>
              </w:tc>
              <w:tc>
                <w:tcPr>
                  <w:tcW w:w="489" w:type="pct"/>
                  <w:tcBorders>
                    <w:tl2br w:val="nil"/>
                    <w:tr2bl w:val="nil"/>
                  </w:tcBorders>
                  <w:shd w:val="clear" w:color="auto" w:fill="auto"/>
                  <w:vAlign w:val="center"/>
                </w:tcPr>
                <w:p w14:paraId="6E944991">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65</w:t>
                  </w:r>
                </w:p>
              </w:tc>
              <w:tc>
                <w:tcPr>
                  <w:tcW w:w="489" w:type="pct"/>
                  <w:tcBorders>
                    <w:tl2br w:val="nil"/>
                    <w:tr2bl w:val="nil"/>
                  </w:tcBorders>
                  <w:shd w:val="clear" w:color="auto" w:fill="auto"/>
                  <w:vAlign w:val="center"/>
                </w:tcPr>
                <w:p w14:paraId="26B176B6">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32</w:t>
                  </w:r>
                </w:p>
              </w:tc>
              <w:tc>
                <w:tcPr>
                  <w:tcW w:w="558" w:type="pct"/>
                  <w:tcBorders>
                    <w:tl2br w:val="nil"/>
                    <w:tr2bl w:val="nil"/>
                  </w:tcBorders>
                  <w:shd w:val="clear" w:color="auto" w:fill="auto"/>
                  <w:vAlign w:val="center"/>
                </w:tcPr>
                <w:p w14:paraId="10765F98">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水喷淋+二级活性炭（含干式过滤棉）</w:t>
                  </w:r>
                </w:p>
              </w:tc>
              <w:tc>
                <w:tcPr>
                  <w:tcW w:w="629" w:type="pct"/>
                  <w:tcBorders>
                    <w:tl2br w:val="nil"/>
                    <w:tr2bl w:val="nil"/>
                  </w:tcBorders>
                  <w:shd w:val="clear" w:color="auto" w:fill="auto"/>
                  <w:vAlign w:val="center"/>
                </w:tcPr>
                <w:p w14:paraId="589367F7">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2000</w:t>
                  </w:r>
                </w:p>
              </w:tc>
              <w:tc>
                <w:tcPr>
                  <w:tcW w:w="426" w:type="pct"/>
                  <w:tcBorders>
                    <w:tl2br w:val="nil"/>
                    <w:tr2bl w:val="nil"/>
                  </w:tcBorders>
                  <w:shd w:val="clear" w:color="auto" w:fill="auto"/>
                  <w:vAlign w:val="center"/>
                </w:tcPr>
                <w:p w14:paraId="7852FC00">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1.42</w:t>
                  </w:r>
                </w:p>
              </w:tc>
              <w:tc>
                <w:tcPr>
                  <w:tcW w:w="490" w:type="pct"/>
                  <w:tcBorders>
                    <w:tl2br w:val="nil"/>
                    <w:tr2bl w:val="nil"/>
                  </w:tcBorders>
                  <w:shd w:val="clear" w:color="auto" w:fill="auto"/>
                  <w:vAlign w:val="center"/>
                </w:tcPr>
                <w:p w14:paraId="0CC42C2A">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0.59</w:t>
                  </w:r>
                </w:p>
              </w:tc>
            </w:tr>
            <w:tr w14:paraId="0997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97" w:type="pct"/>
                  <w:tcBorders>
                    <w:tl2br w:val="nil"/>
                    <w:tr2bl w:val="nil"/>
                  </w:tcBorders>
                  <w:shd w:val="clear" w:color="auto" w:fill="auto"/>
                  <w:vAlign w:val="center"/>
                </w:tcPr>
                <w:p w14:paraId="1264CB03">
                  <w:pPr>
                    <w:adjustRightInd w:val="0"/>
                    <w:snapToGrid w:val="0"/>
                    <w:spacing w:line="240" w:lineRule="auto"/>
                    <w:jc w:val="center"/>
                    <w:rPr>
                      <w:rFonts w:hint="default"/>
                      <w:color w:val="auto"/>
                      <w:kern w:val="0"/>
                      <w:sz w:val="21"/>
                      <w:szCs w:val="21"/>
                      <w:highlight w:val="none"/>
                      <w:lang w:val="en-US" w:eastAsia="zh-CN" w:bidi="en-US"/>
                    </w:rPr>
                  </w:pPr>
                  <w:r>
                    <w:rPr>
                      <w:rFonts w:hint="eastAsia"/>
                      <w:color w:val="auto"/>
                      <w:kern w:val="0"/>
                      <w:sz w:val="21"/>
                      <w:szCs w:val="21"/>
                      <w:highlight w:val="none"/>
                      <w:lang w:val="en-US" w:eastAsia="zh-CN" w:bidi="en-US"/>
                    </w:rPr>
                    <w:t>无组织废气</w:t>
                  </w:r>
                </w:p>
              </w:tc>
              <w:tc>
                <w:tcPr>
                  <w:tcW w:w="311" w:type="pct"/>
                  <w:tcBorders>
                    <w:tl2br w:val="nil"/>
                    <w:tr2bl w:val="nil"/>
                  </w:tcBorders>
                  <w:shd w:val="clear" w:color="auto" w:fill="auto"/>
                  <w:vAlign w:val="center"/>
                </w:tcPr>
                <w:p w14:paraId="26397D2E">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en-US"/>
                    </w:rPr>
                  </w:pPr>
                  <w:r>
                    <w:rPr>
                      <w:rFonts w:hint="eastAsia"/>
                      <w:color w:val="auto"/>
                      <w:kern w:val="0"/>
                      <w:sz w:val="21"/>
                      <w:szCs w:val="21"/>
                      <w:highlight w:val="none"/>
                      <w:lang w:val="en-US" w:eastAsia="zh-CN" w:bidi="en-US"/>
                    </w:rPr>
                    <w:t>非甲烷总烃</w:t>
                  </w:r>
                </w:p>
              </w:tc>
              <w:tc>
                <w:tcPr>
                  <w:tcW w:w="479" w:type="pct"/>
                  <w:tcBorders>
                    <w:tl2br w:val="nil"/>
                    <w:tr2bl w:val="nil"/>
                  </w:tcBorders>
                  <w:shd w:val="clear" w:color="auto" w:fill="auto"/>
                  <w:vAlign w:val="center"/>
                </w:tcPr>
                <w:p w14:paraId="1A273A23">
                  <w:pPr>
                    <w:widowControl/>
                    <w:snapToGrid w:val="0"/>
                    <w:jc w:val="center"/>
                    <w:textAlignment w:val="center"/>
                    <w:rPr>
                      <w:rFonts w:hint="default" w:cs="Times New Roman"/>
                      <w:color w:val="auto"/>
                      <w:kern w:val="2"/>
                      <w:sz w:val="21"/>
                      <w:szCs w:val="21"/>
                      <w:highlight w:val="none"/>
                      <w:lang w:val="en-US" w:eastAsia="zh-CN" w:bidi="ar-SA"/>
                    </w:rPr>
                  </w:pPr>
                  <w:r>
                    <w:rPr>
                      <w:rFonts w:hint="eastAsia"/>
                      <w:color w:val="auto"/>
                    </w:rPr>
                    <w:t>1.12</w:t>
                  </w:r>
                </w:p>
              </w:tc>
              <w:tc>
                <w:tcPr>
                  <w:tcW w:w="527" w:type="pct"/>
                  <w:tcBorders>
                    <w:tl2br w:val="nil"/>
                    <w:tr2bl w:val="nil"/>
                  </w:tcBorders>
                  <w:shd w:val="clear" w:color="auto" w:fill="auto"/>
                  <w:vAlign w:val="center"/>
                </w:tcPr>
                <w:p w14:paraId="603E0054">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0.47</w:t>
                  </w:r>
                </w:p>
              </w:tc>
              <w:tc>
                <w:tcPr>
                  <w:tcW w:w="489" w:type="pct"/>
                  <w:tcBorders>
                    <w:tl2br w:val="nil"/>
                    <w:tr2bl w:val="nil"/>
                  </w:tcBorders>
                  <w:shd w:val="clear" w:color="auto" w:fill="auto"/>
                  <w:vAlign w:val="center"/>
                </w:tcPr>
                <w:p w14:paraId="5A8740E7">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489" w:type="pct"/>
                  <w:tcBorders>
                    <w:tl2br w:val="nil"/>
                    <w:tr2bl w:val="nil"/>
                  </w:tcBorders>
                  <w:shd w:val="clear" w:color="auto" w:fill="auto"/>
                  <w:vAlign w:val="center"/>
                </w:tcPr>
                <w:p w14:paraId="52DC59E9">
                  <w:pPr>
                    <w:widowControl/>
                    <w:snapToGrid w:val="0"/>
                    <w:jc w:val="center"/>
                    <w:textAlignment w:val="center"/>
                    <w:rPr>
                      <w:rFonts w:hint="eastAsia" w:ascii="Times New Roman" w:hAnsi="Times New Roman" w:eastAsia="宋体" w:cs="Times New Roman"/>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558" w:type="pct"/>
                  <w:tcBorders>
                    <w:tl2br w:val="nil"/>
                    <w:tr2bl w:val="nil"/>
                  </w:tcBorders>
                  <w:shd w:val="clear" w:color="auto" w:fill="auto"/>
                  <w:vAlign w:val="center"/>
                </w:tcPr>
                <w:p w14:paraId="4BDB5174">
                  <w:pPr>
                    <w:widowControl/>
                    <w:snapToGrid w:val="0"/>
                    <w:jc w:val="center"/>
                    <w:textAlignment w:val="center"/>
                    <w:rPr>
                      <w:rFonts w:hint="eastAsia" w:ascii="Times New Roman" w:hAnsi="Times New Roman" w:eastAsia="宋体" w:cs="Times New Roman"/>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629" w:type="pct"/>
                  <w:tcBorders>
                    <w:tl2br w:val="nil"/>
                    <w:tr2bl w:val="nil"/>
                  </w:tcBorders>
                  <w:shd w:val="clear" w:color="auto" w:fill="auto"/>
                  <w:vAlign w:val="center"/>
                </w:tcPr>
                <w:p w14:paraId="70D17E59">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426" w:type="pct"/>
                  <w:tcBorders>
                    <w:tl2br w:val="nil"/>
                    <w:tr2bl w:val="nil"/>
                  </w:tcBorders>
                  <w:shd w:val="clear" w:color="auto" w:fill="auto"/>
                  <w:vAlign w:val="center"/>
                </w:tcPr>
                <w:p w14:paraId="55A8D20B">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rPr>
                    <w:t>1.12</w:t>
                  </w:r>
                </w:p>
              </w:tc>
              <w:tc>
                <w:tcPr>
                  <w:tcW w:w="490" w:type="pct"/>
                  <w:tcBorders>
                    <w:tl2br w:val="nil"/>
                    <w:tr2bl w:val="nil"/>
                  </w:tcBorders>
                  <w:shd w:val="clear" w:color="auto" w:fill="auto"/>
                  <w:vAlign w:val="center"/>
                </w:tcPr>
                <w:p w14:paraId="3893DD6F">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0.47</w:t>
                  </w:r>
                </w:p>
              </w:tc>
            </w:tr>
          </w:tbl>
          <w:p w14:paraId="35EDC22B">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right="0" w:rightChars="0" w:firstLine="480" w:firstLineChars="200"/>
              <w:jc w:val="left"/>
              <w:textAlignment w:val="auto"/>
              <w:outlineLvl w:val="9"/>
              <w:rPr>
                <w:rFonts w:hint="default"/>
                <w:b w:val="0"/>
                <w:bCs w:val="0"/>
                <w:color w:val="auto"/>
                <w:sz w:val="24"/>
                <w:szCs w:val="24"/>
                <w:highlight w:val="none"/>
                <w:u w:val="none" w:color="auto"/>
                <w:lang w:val="en-US" w:eastAsia="zh-CN"/>
              </w:rPr>
            </w:pPr>
            <w:r>
              <w:rPr>
                <w:rFonts w:hint="eastAsia"/>
                <w:b w:val="0"/>
                <w:bCs w:val="0"/>
                <w:color w:val="auto"/>
                <w:sz w:val="24"/>
                <w:szCs w:val="24"/>
                <w:highlight w:val="none"/>
                <w:u w:val="none" w:color="auto"/>
                <w:lang w:val="en-US" w:eastAsia="zh-CN"/>
              </w:rPr>
              <w:t>（7）喷粉</w:t>
            </w:r>
          </w:p>
          <w:p w14:paraId="38DC7736">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right="0" w:rightChars="0" w:firstLine="480" w:firstLineChars="200"/>
              <w:jc w:val="left"/>
              <w:textAlignment w:val="auto"/>
              <w:outlineLvl w:val="9"/>
              <w:rPr>
                <w:rFonts w:hint="eastAsia"/>
                <w:b w:val="0"/>
                <w:bCs w:val="0"/>
                <w:color w:val="auto"/>
                <w:sz w:val="24"/>
                <w:szCs w:val="24"/>
                <w:highlight w:val="none"/>
                <w:u w:val="none" w:color="auto"/>
                <w:lang w:val="en-US" w:eastAsia="zh-CN"/>
              </w:rPr>
            </w:pPr>
            <w:r>
              <w:rPr>
                <w:rFonts w:hint="eastAsia"/>
                <w:b w:val="0"/>
                <w:bCs w:val="0"/>
                <w:color w:val="auto"/>
                <w:sz w:val="24"/>
                <w:szCs w:val="24"/>
                <w:highlight w:val="none"/>
                <w:u w:val="none" w:color="auto"/>
                <w:lang w:val="en-US" w:eastAsia="zh-CN"/>
              </w:rPr>
              <w:t>粉末喷粉工艺在半密闭的喷粉房内进行，项目采用自动喷粉，在静电作用下，粉末会均匀地吸附于工件表面，形成粉状的涂层，项目在喷粉房内半密闭进行喷粉，未附着在工件的粉末经喷粉房回收系统回收后通过DA002排气筒排放，少量未收集废气无组织排放，回收不可利用的粉末外售处理。</w:t>
            </w:r>
          </w:p>
          <w:p w14:paraId="4F76950A">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right="0" w:rightChars="0" w:firstLine="480" w:firstLineChars="200"/>
              <w:jc w:val="left"/>
              <w:textAlignment w:val="auto"/>
              <w:outlineLvl w:val="9"/>
              <w:rPr>
                <w:rFonts w:hint="eastAsia"/>
                <w:b w:val="0"/>
                <w:bCs w:val="0"/>
                <w:color w:val="auto"/>
                <w:sz w:val="24"/>
                <w:szCs w:val="24"/>
                <w:highlight w:val="none"/>
                <w:u w:val="none" w:color="auto"/>
                <w:lang w:val="en-US" w:eastAsia="zh-CN"/>
              </w:rPr>
            </w:pPr>
            <w:r>
              <w:rPr>
                <w:rFonts w:hint="eastAsia" w:cs="Times New Roman"/>
                <w:b w:val="0"/>
                <w:bCs w:val="0"/>
                <w:color w:val="auto"/>
                <w:kern w:val="2"/>
                <w:sz w:val="24"/>
                <w:szCs w:val="24"/>
                <w:highlight w:val="none"/>
                <w:lang w:val="en-US" w:eastAsia="zh-CN" w:bidi="ar"/>
              </w:rPr>
              <w:t>参考《广东省工业源挥发性有机物减排量核算方法（试行）》半密闭型集气设备敞开面控制风速不小于0.3m/s集气效率为65%，项目</w:t>
            </w:r>
            <w:r>
              <w:rPr>
                <w:rFonts w:hint="eastAsia"/>
                <w:b w:val="0"/>
                <w:bCs w:val="0"/>
                <w:color w:val="auto"/>
                <w:sz w:val="24"/>
                <w:szCs w:val="24"/>
                <w:u w:val="none" w:color="auto"/>
                <w:lang w:val="en-US" w:eastAsia="zh-CN"/>
              </w:rPr>
              <w:t>设置密封负压的喷粉房，风速控制不小于0.3</w:t>
            </w:r>
            <w:r>
              <w:rPr>
                <w:rFonts w:hint="eastAsia" w:cs="Times New Roman"/>
                <w:b w:val="0"/>
                <w:bCs w:val="0"/>
                <w:color w:val="auto"/>
                <w:kern w:val="2"/>
                <w:sz w:val="24"/>
                <w:szCs w:val="24"/>
                <w:highlight w:val="none"/>
                <w:lang w:val="en-US" w:eastAsia="zh-CN" w:bidi="ar"/>
              </w:rPr>
              <w:t>m/s</w:t>
            </w:r>
            <w:r>
              <w:rPr>
                <w:rFonts w:hint="eastAsia"/>
                <w:b w:val="0"/>
                <w:bCs w:val="0"/>
                <w:color w:val="auto"/>
                <w:sz w:val="24"/>
                <w:szCs w:val="24"/>
                <w:u w:val="none" w:color="auto"/>
                <w:lang w:val="en-US" w:eastAsia="zh-CN"/>
              </w:rPr>
              <w:t>，出入口配置风帘，</w:t>
            </w:r>
            <w:r>
              <w:rPr>
                <w:rFonts w:hint="eastAsia" w:cs="Times New Roman"/>
                <w:b w:val="0"/>
                <w:bCs w:val="0"/>
                <w:color w:val="auto"/>
                <w:kern w:val="2"/>
                <w:sz w:val="24"/>
                <w:szCs w:val="24"/>
                <w:highlight w:val="none"/>
                <w:lang w:val="en-US" w:eastAsia="zh-CN" w:bidi="ar"/>
              </w:rPr>
              <w:t>工作原理类似半密闭罩，因此喷粉工序废气收集效率为65%</w:t>
            </w:r>
            <w:r>
              <w:rPr>
                <w:rFonts w:hint="eastAsia"/>
                <w:b w:val="0"/>
                <w:bCs w:val="0"/>
                <w:color w:val="auto"/>
                <w:sz w:val="24"/>
                <w:szCs w:val="24"/>
                <w:highlight w:val="none"/>
                <w:u w:val="none" w:color="auto"/>
                <w:lang w:val="en-US" w:eastAsia="zh-CN"/>
              </w:rPr>
              <w:t>。</w:t>
            </w:r>
          </w:p>
          <w:p w14:paraId="011695F0">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right="0" w:rightChars="0" w:firstLine="480" w:firstLineChars="200"/>
              <w:jc w:val="both"/>
              <w:textAlignment w:val="auto"/>
              <w:outlineLvl w:val="9"/>
              <w:rPr>
                <w:rFonts w:hint="eastAsia"/>
                <w:b w:val="0"/>
                <w:bCs w:val="0"/>
                <w:color w:val="auto"/>
                <w:sz w:val="24"/>
                <w:szCs w:val="24"/>
                <w:highlight w:val="none"/>
                <w:u w:val="none" w:color="auto"/>
                <w:lang w:val="en-US" w:eastAsia="zh-CN"/>
              </w:rPr>
            </w:pPr>
            <w:r>
              <w:rPr>
                <w:rFonts w:hint="eastAsia" w:ascii="Times New Roman" w:hAnsi="Times New Roman" w:eastAsia="宋体" w:cs="Times New Roman"/>
                <w:i w:val="0"/>
                <w:iCs w:val="0"/>
                <w:color w:val="auto"/>
                <w:sz w:val="24"/>
                <w:szCs w:val="24"/>
                <w:highlight w:val="none"/>
                <w:u w:val="none"/>
                <w:lang w:eastAsia="zh-CN"/>
              </w:rPr>
              <w:t>参照《污染源源强核算技术指南 汽车制造》</w:t>
            </w:r>
            <w:r>
              <w:rPr>
                <w:rFonts w:hint="eastAsia" w:cs="Times New Roman"/>
                <w:i w:val="0"/>
                <w:iCs w:val="0"/>
                <w:color w:val="auto"/>
                <w:sz w:val="24"/>
                <w:szCs w:val="24"/>
                <w:highlight w:val="none"/>
                <w:u w:val="none"/>
                <w:lang w:eastAsia="zh-CN"/>
              </w:rPr>
              <w:t>（HJ 1097-2020）</w:t>
            </w:r>
            <w:r>
              <w:rPr>
                <w:rFonts w:hint="eastAsia" w:cs="Times New Roman"/>
                <w:i w:val="0"/>
                <w:iCs w:val="0"/>
                <w:color w:val="auto"/>
                <w:sz w:val="24"/>
                <w:szCs w:val="24"/>
                <w:highlight w:val="none"/>
                <w:u w:val="none"/>
                <w:lang w:val="en-US" w:eastAsia="zh-CN"/>
              </w:rPr>
              <w:t>附录E</w:t>
            </w:r>
            <w:r>
              <w:rPr>
                <w:rFonts w:hint="eastAsia" w:ascii="Times New Roman" w:hAnsi="Times New Roman" w:eastAsia="宋体" w:cs="Times New Roman"/>
                <w:i w:val="0"/>
                <w:iCs w:val="0"/>
                <w:color w:val="auto"/>
                <w:sz w:val="24"/>
                <w:szCs w:val="24"/>
                <w:highlight w:val="none"/>
                <w:u w:val="none"/>
                <w:lang w:eastAsia="zh-CN"/>
              </w:rPr>
              <w:t>，项目</w:t>
            </w:r>
            <w:r>
              <w:rPr>
                <w:rFonts w:hint="eastAsia" w:cs="Times New Roman"/>
                <w:i w:val="0"/>
                <w:iCs w:val="0"/>
                <w:color w:val="auto"/>
                <w:sz w:val="24"/>
                <w:szCs w:val="24"/>
                <w:highlight w:val="none"/>
                <w:u w:val="none"/>
                <w:lang w:val="en-US" w:eastAsia="zh-CN"/>
              </w:rPr>
              <w:t>零部件</w:t>
            </w:r>
            <w:r>
              <w:rPr>
                <w:rFonts w:hint="eastAsia" w:ascii="Times New Roman" w:hAnsi="Times New Roman" w:eastAsia="宋体" w:cs="Times New Roman"/>
                <w:i w:val="0"/>
                <w:iCs w:val="0"/>
                <w:color w:val="auto"/>
                <w:sz w:val="24"/>
                <w:szCs w:val="24"/>
                <w:highlight w:val="none"/>
                <w:u w:val="none"/>
                <w:lang w:eastAsia="zh-CN"/>
              </w:rPr>
              <w:t>喷粉采取静电</w:t>
            </w:r>
            <w:r>
              <w:rPr>
                <w:rFonts w:hint="eastAsia" w:cs="Times New Roman"/>
                <w:i w:val="0"/>
                <w:iCs w:val="0"/>
                <w:color w:val="auto"/>
                <w:sz w:val="24"/>
                <w:szCs w:val="24"/>
                <w:highlight w:val="none"/>
                <w:u w:val="none"/>
                <w:lang w:eastAsia="zh-CN"/>
              </w:rPr>
              <w:t>喷粉</w:t>
            </w:r>
            <w:r>
              <w:rPr>
                <w:rFonts w:hint="eastAsia" w:ascii="Times New Roman" w:hAnsi="Times New Roman" w:eastAsia="宋体" w:cs="Times New Roman"/>
                <w:i w:val="0"/>
                <w:iCs w:val="0"/>
                <w:color w:val="auto"/>
                <w:sz w:val="24"/>
                <w:szCs w:val="24"/>
                <w:highlight w:val="none"/>
                <w:u w:val="none"/>
                <w:lang w:eastAsia="zh-CN"/>
              </w:rPr>
              <w:t>，</w:t>
            </w:r>
            <w:r>
              <w:rPr>
                <w:rFonts w:hint="eastAsia" w:cs="Times New Roman"/>
                <w:i w:val="0"/>
                <w:iCs w:val="0"/>
                <w:color w:val="auto"/>
                <w:sz w:val="24"/>
                <w:szCs w:val="24"/>
                <w:highlight w:val="none"/>
                <w:u w:val="none"/>
                <w:lang w:val="en-US" w:eastAsia="zh-CN"/>
              </w:rPr>
              <w:t>涂料附着率为65%</w:t>
            </w:r>
            <w:r>
              <w:rPr>
                <w:rFonts w:hint="eastAsia" w:ascii="Times New Roman" w:hAnsi="Times New Roman" w:eastAsia="宋体" w:cs="Times New Roman"/>
                <w:i w:val="0"/>
                <w:iCs w:val="0"/>
                <w:color w:val="auto"/>
                <w:sz w:val="24"/>
                <w:szCs w:val="24"/>
                <w:highlight w:val="none"/>
                <w:u w:val="none"/>
                <w:lang w:eastAsia="zh-CN"/>
              </w:rPr>
              <w:t>，由于喷粉</w:t>
            </w:r>
            <w:r>
              <w:rPr>
                <w:rFonts w:hint="eastAsia" w:cs="Times New Roman"/>
                <w:i w:val="0"/>
                <w:iCs w:val="0"/>
                <w:color w:val="auto"/>
                <w:sz w:val="24"/>
                <w:szCs w:val="24"/>
                <w:highlight w:val="none"/>
                <w:u w:val="none"/>
                <w:lang w:val="en-US" w:eastAsia="zh-CN"/>
              </w:rPr>
              <w:t>房</w:t>
            </w:r>
            <w:r>
              <w:rPr>
                <w:rFonts w:hint="eastAsia" w:ascii="Times New Roman" w:hAnsi="Times New Roman" w:eastAsia="宋体" w:cs="Times New Roman"/>
                <w:i w:val="0"/>
                <w:iCs w:val="0"/>
                <w:color w:val="auto"/>
                <w:sz w:val="24"/>
                <w:szCs w:val="24"/>
                <w:highlight w:val="none"/>
                <w:u w:val="none"/>
                <w:lang w:eastAsia="zh-CN"/>
              </w:rPr>
              <w:t>带有粉末涂料回收系统处理</w:t>
            </w:r>
            <w:r>
              <w:rPr>
                <w:rFonts w:hint="eastAsia" w:cs="Times New Roman"/>
                <w:i w:val="0"/>
                <w:iCs w:val="0"/>
                <w:color w:val="auto"/>
                <w:sz w:val="24"/>
                <w:szCs w:val="24"/>
                <w:highlight w:val="none"/>
                <w:u w:val="none"/>
                <w:lang w:eastAsia="zh-CN"/>
              </w:rPr>
              <w:t>，</w:t>
            </w:r>
            <w:r>
              <w:rPr>
                <w:rFonts w:hint="eastAsia" w:cs="Times New Roman"/>
                <w:i w:val="0"/>
                <w:iCs w:val="0"/>
                <w:color w:val="auto"/>
                <w:sz w:val="24"/>
                <w:szCs w:val="24"/>
                <w:highlight w:val="none"/>
                <w:u w:val="none"/>
                <w:lang w:val="en-US" w:eastAsia="zh-CN"/>
              </w:rPr>
              <w:t>粉料</w:t>
            </w:r>
            <w:r>
              <w:rPr>
                <w:rFonts w:hint="eastAsia" w:ascii="Times New Roman" w:hAnsi="Times New Roman" w:eastAsia="宋体" w:cs="Times New Roman"/>
                <w:i w:val="0"/>
                <w:iCs w:val="0"/>
                <w:color w:val="auto"/>
                <w:sz w:val="24"/>
                <w:szCs w:val="24"/>
                <w:highlight w:val="none"/>
                <w:u w:val="none"/>
                <w:lang w:eastAsia="zh-CN"/>
              </w:rPr>
              <w:t>回收利用，</w:t>
            </w:r>
            <w:r>
              <w:rPr>
                <w:rFonts w:hint="eastAsia" w:cs="Times New Roman"/>
                <w:i w:val="0"/>
                <w:iCs w:val="0"/>
                <w:color w:val="auto"/>
                <w:sz w:val="24"/>
                <w:szCs w:val="24"/>
                <w:highlight w:val="none"/>
                <w:u w:val="none"/>
                <w:lang w:val="en-US" w:eastAsia="zh-CN"/>
              </w:rPr>
              <w:t>集尘</w:t>
            </w:r>
            <w:r>
              <w:rPr>
                <w:rFonts w:hint="eastAsia" w:ascii="Times New Roman" w:hAnsi="Times New Roman" w:eastAsia="宋体" w:cs="Times New Roman"/>
                <w:i w:val="0"/>
                <w:iCs w:val="0"/>
                <w:color w:val="auto"/>
                <w:sz w:val="24"/>
                <w:szCs w:val="24"/>
                <w:highlight w:val="none"/>
                <w:u w:val="none"/>
                <w:lang w:eastAsia="zh-CN"/>
              </w:rPr>
              <w:t>效率为</w:t>
            </w:r>
            <w:r>
              <w:rPr>
                <w:rFonts w:hint="eastAsia" w:cs="Times New Roman"/>
                <w:i w:val="0"/>
                <w:iCs w:val="0"/>
                <w:color w:val="auto"/>
                <w:sz w:val="24"/>
                <w:szCs w:val="24"/>
                <w:highlight w:val="none"/>
                <w:u w:val="none"/>
                <w:lang w:val="en-US" w:eastAsia="zh-CN"/>
              </w:rPr>
              <w:t>65</w:t>
            </w:r>
            <w:r>
              <w:rPr>
                <w:rFonts w:hint="eastAsia" w:ascii="Times New Roman" w:hAnsi="Times New Roman" w:eastAsia="宋体" w:cs="Times New Roman"/>
                <w:i w:val="0"/>
                <w:iCs w:val="0"/>
                <w:color w:val="auto"/>
                <w:sz w:val="24"/>
                <w:szCs w:val="24"/>
                <w:highlight w:val="none"/>
                <w:u w:val="none"/>
                <w:lang w:eastAsia="zh-CN"/>
              </w:rPr>
              <w:t>%，回收</w:t>
            </w:r>
            <w:r>
              <w:rPr>
                <w:rFonts w:hint="eastAsia" w:ascii="Times New Roman" w:hAnsi="Times New Roman" w:cs="Times New Roman"/>
                <w:i w:val="0"/>
                <w:iCs w:val="0"/>
                <w:color w:val="auto"/>
                <w:sz w:val="24"/>
                <w:szCs w:val="24"/>
                <w:highlight w:val="none"/>
                <w:u w:val="none"/>
                <w:lang w:val="en-US" w:eastAsia="zh-CN"/>
              </w:rPr>
              <w:t>可利用</w:t>
            </w:r>
            <w:r>
              <w:rPr>
                <w:rFonts w:hint="eastAsia" w:ascii="Times New Roman" w:hAnsi="Times New Roman" w:eastAsia="宋体" w:cs="Times New Roman"/>
                <w:i w:val="0"/>
                <w:iCs w:val="0"/>
                <w:color w:val="auto"/>
                <w:sz w:val="24"/>
                <w:szCs w:val="24"/>
                <w:highlight w:val="none"/>
                <w:u w:val="none"/>
                <w:lang w:eastAsia="zh-CN"/>
              </w:rPr>
              <w:t>率为95%</w:t>
            </w:r>
            <w:r>
              <w:rPr>
                <w:rFonts w:hint="eastAsia" w:cs="Times New Roman"/>
                <w:i w:val="0"/>
                <w:iCs w:val="0"/>
                <w:color w:val="auto"/>
                <w:sz w:val="24"/>
                <w:szCs w:val="24"/>
                <w:highlight w:val="none"/>
                <w:u w:val="none"/>
                <w:lang w:eastAsia="zh-CN"/>
              </w:rPr>
              <w:t>，</w:t>
            </w:r>
            <w:r>
              <w:rPr>
                <w:rFonts w:hint="eastAsia" w:cs="Times New Roman"/>
                <w:i w:val="0"/>
                <w:iCs w:val="0"/>
                <w:color w:val="auto"/>
                <w:sz w:val="24"/>
                <w:szCs w:val="24"/>
                <w:highlight w:val="none"/>
                <w:u w:val="none"/>
                <w:lang w:val="en-US" w:eastAsia="zh-CN"/>
              </w:rPr>
              <w:t>粉料回收系统收集效率99%</w:t>
            </w:r>
            <w:r>
              <w:rPr>
                <w:rFonts w:hint="eastAsia" w:ascii="Times New Roman" w:hAnsi="Times New Roman" w:eastAsia="宋体" w:cs="Times New Roman"/>
                <w:i w:val="0"/>
                <w:iCs w:val="0"/>
                <w:color w:val="auto"/>
                <w:sz w:val="24"/>
                <w:szCs w:val="24"/>
                <w:highlight w:val="none"/>
                <w:u w:val="none"/>
                <w:lang w:eastAsia="zh-CN"/>
              </w:rPr>
              <w:t>，可计算得利用率</w:t>
            </w:r>
            <w:r>
              <w:rPr>
                <w:rFonts w:hint="eastAsia"/>
                <w:b w:val="0"/>
                <w:bCs w:val="0"/>
                <w:color w:val="auto"/>
                <w:sz w:val="24"/>
                <w:szCs w:val="24"/>
                <w:u w:val="none" w:color="auto"/>
                <w:lang w:val="en-US" w:eastAsia="zh-CN"/>
              </w:rPr>
              <w:t>=65%+（1-65%）*65%*95%*99%=86.4%</w:t>
            </w:r>
            <w:r>
              <w:rPr>
                <w:rFonts w:hint="eastAsia" w:cs="Times New Roman"/>
                <w:color w:val="auto"/>
                <w:sz w:val="24"/>
                <w:szCs w:val="24"/>
                <w:highlight w:val="none"/>
                <w:u w:val="none"/>
                <w:lang w:eastAsia="zh-CN"/>
              </w:rPr>
              <w:t>。</w:t>
            </w:r>
            <w:r>
              <w:rPr>
                <w:rFonts w:hint="eastAsia" w:cs="Times New Roman"/>
                <w:color w:val="auto"/>
                <w:sz w:val="24"/>
                <w:szCs w:val="24"/>
                <w:highlight w:val="none"/>
                <w:u w:val="none"/>
                <w:lang w:eastAsia="zh-CN"/>
              </w:rPr>
              <w:t>即本项目粉末实际利用率</w:t>
            </w:r>
            <w:r>
              <w:rPr>
                <w:rFonts w:hint="eastAsia" w:cs="Times New Roman"/>
                <w:color w:val="auto"/>
                <w:sz w:val="24"/>
                <w:szCs w:val="24"/>
                <w:highlight w:val="none"/>
                <w:u w:val="none"/>
                <w:lang w:val="en-US" w:eastAsia="zh-CN"/>
              </w:rPr>
              <w:t>86.4</w:t>
            </w:r>
            <w:r>
              <w:rPr>
                <w:rFonts w:hint="eastAsia" w:cs="Times New Roman"/>
                <w:color w:val="auto"/>
                <w:sz w:val="24"/>
                <w:szCs w:val="24"/>
                <w:highlight w:val="none"/>
                <w:u w:val="none"/>
                <w:lang w:eastAsia="zh-CN"/>
              </w:rPr>
              <w:t>%，其余</w:t>
            </w:r>
            <w:r>
              <w:rPr>
                <w:rFonts w:hint="eastAsia" w:cs="Times New Roman"/>
                <w:color w:val="auto"/>
                <w:sz w:val="24"/>
                <w:szCs w:val="24"/>
                <w:highlight w:val="none"/>
                <w:u w:val="none"/>
                <w:lang w:val="en-US" w:eastAsia="zh-CN"/>
              </w:rPr>
              <w:t>13.6%粉料无法利用（1.12%</w:t>
            </w:r>
            <w:r>
              <w:rPr>
                <w:rFonts w:hint="eastAsia" w:cs="Times New Roman"/>
                <w:color w:val="auto"/>
                <w:sz w:val="24"/>
                <w:szCs w:val="24"/>
                <w:highlight w:val="none"/>
                <w:u w:val="none"/>
                <w:lang w:eastAsia="zh-CN"/>
              </w:rPr>
              <w:t>粉末收集后外售、12.</w:t>
            </w:r>
            <w:r>
              <w:rPr>
                <w:rFonts w:hint="eastAsia" w:cs="Times New Roman"/>
                <w:color w:val="auto"/>
                <w:sz w:val="24"/>
                <w:szCs w:val="24"/>
                <w:highlight w:val="none"/>
                <w:u w:val="none"/>
                <w:lang w:val="en-US" w:eastAsia="zh-CN"/>
              </w:rPr>
              <w:t>25%粉末无组织排放、0.23%粉末通过DA002排气筒排放），则本项目喷粉废气产生量约19.6t/a</w:t>
            </w:r>
            <w:r>
              <w:rPr>
                <w:rFonts w:hint="eastAsia"/>
                <w:b w:val="0"/>
                <w:bCs w:val="0"/>
                <w:color w:val="auto"/>
                <w:sz w:val="24"/>
                <w:szCs w:val="24"/>
                <w:highlight w:val="none"/>
                <w:u w:val="none" w:color="auto"/>
                <w:lang w:val="en-US" w:eastAsia="zh-CN"/>
              </w:rPr>
              <w:t>。粉料回收系统主要为过滤式除尘设备，工作原理为气体进入滤芯式回收装置，粉末被滤芯拦截，洁净空气则排入DA002排气筒。滤芯上附着的粉末会通过反吹装置定时吹落回收，保证滤芯通透性，参考《除尘器手册》（张殿印、王纯主编，化学工业出版社），滤筒除尘器的去除效率为99.7~99.9%，本项目粉料回收系统去除效率取值99%，风机风量为2000</w:t>
            </w:r>
            <w:r>
              <w:rPr>
                <w:b w:val="0"/>
                <w:bCs w:val="0"/>
                <w:color w:val="auto"/>
                <w:kern w:val="0"/>
                <w:sz w:val="24"/>
                <w:szCs w:val="24"/>
                <w:highlight w:val="none"/>
                <w:lang w:val="zh-CN"/>
              </w:rPr>
              <w:t>m</w:t>
            </w:r>
            <w:r>
              <w:rPr>
                <w:b w:val="0"/>
                <w:bCs w:val="0"/>
                <w:color w:val="auto"/>
                <w:kern w:val="0"/>
                <w:sz w:val="24"/>
                <w:szCs w:val="24"/>
                <w:highlight w:val="none"/>
                <w:vertAlign w:val="superscript"/>
              </w:rPr>
              <w:t>3</w:t>
            </w:r>
            <w:r>
              <w:rPr>
                <w:b w:val="0"/>
                <w:bCs w:val="0"/>
                <w:color w:val="auto"/>
                <w:kern w:val="0"/>
                <w:sz w:val="24"/>
                <w:szCs w:val="24"/>
                <w:highlight w:val="none"/>
                <w:lang w:val="zh-CN"/>
              </w:rPr>
              <w:t>/h</w:t>
            </w:r>
            <w:r>
              <w:rPr>
                <w:rFonts w:hint="eastAsia"/>
                <w:b w:val="0"/>
                <w:bCs w:val="0"/>
                <w:color w:val="auto"/>
                <w:sz w:val="24"/>
                <w:szCs w:val="24"/>
                <w:highlight w:val="none"/>
                <w:u w:val="none" w:color="auto"/>
                <w:lang w:val="en-US" w:eastAsia="zh-CN"/>
              </w:rPr>
              <w:t>。</w:t>
            </w:r>
          </w:p>
          <w:p w14:paraId="2CC536FB">
            <w:pPr>
              <w:tabs>
                <w:tab w:val="left" w:pos="624"/>
              </w:tabs>
              <w:snapToGrid w:val="0"/>
              <w:ind w:firstLine="482"/>
              <w:jc w:val="center"/>
              <w:rPr>
                <w:b/>
                <w:bCs/>
                <w:color w:val="auto"/>
                <w:sz w:val="24"/>
                <w:szCs w:val="24"/>
                <w:highlight w:val="none"/>
              </w:rPr>
            </w:pPr>
            <w:r>
              <w:rPr>
                <w:b/>
                <w:color w:val="auto"/>
                <w:kern w:val="0"/>
                <w:sz w:val="24"/>
                <w:szCs w:val="24"/>
                <w:highlight w:val="none"/>
              </w:rPr>
              <w:t>表</w:t>
            </w:r>
            <w:r>
              <w:rPr>
                <w:rFonts w:hint="eastAsia"/>
                <w:b/>
                <w:color w:val="auto"/>
                <w:kern w:val="0"/>
                <w:sz w:val="24"/>
                <w:szCs w:val="24"/>
                <w:highlight w:val="none"/>
                <w:lang w:val="en-US" w:eastAsia="zh-CN"/>
              </w:rPr>
              <w:t>4-7</w:t>
            </w:r>
            <w:r>
              <w:rPr>
                <w:b/>
                <w:color w:val="auto"/>
                <w:kern w:val="0"/>
                <w:sz w:val="24"/>
                <w:szCs w:val="24"/>
                <w:highlight w:val="none"/>
              </w:rPr>
              <w:t xml:space="preserve"> </w:t>
            </w:r>
            <w:r>
              <w:rPr>
                <w:rFonts w:hint="eastAsia"/>
                <w:b/>
                <w:color w:val="auto"/>
                <w:kern w:val="0"/>
                <w:sz w:val="24"/>
                <w:szCs w:val="24"/>
                <w:highlight w:val="none"/>
                <w:lang w:val="en-US" w:eastAsia="zh-CN"/>
              </w:rPr>
              <w:t>喷粉废气</w:t>
            </w:r>
            <w:r>
              <w:rPr>
                <w:rFonts w:hint="eastAsia"/>
                <w:b/>
                <w:color w:val="auto"/>
                <w:kern w:val="0"/>
                <w:sz w:val="24"/>
                <w:szCs w:val="24"/>
                <w:highlight w:val="none"/>
              </w:rPr>
              <w:t>产排</w:t>
            </w:r>
            <w:r>
              <w:rPr>
                <w:b/>
                <w:color w:val="auto"/>
                <w:kern w:val="0"/>
                <w:sz w:val="24"/>
                <w:szCs w:val="24"/>
                <w:highlight w:val="none"/>
              </w:rPr>
              <w:t>情</w:t>
            </w:r>
            <w:r>
              <w:rPr>
                <w:rFonts w:hint="default" w:ascii="Times New Roman" w:hAnsi="Times New Roman" w:cs="Times New Roman"/>
                <w:b/>
                <w:color w:val="auto"/>
                <w:kern w:val="0"/>
                <w:sz w:val="24"/>
                <w:szCs w:val="24"/>
                <w:highlight w:val="none"/>
              </w:rPr>
              <w:t>况</w:t>
            </w:r>
          </w:p>
          <w:tbl>
            <w:tblPr>
              <w:tblStyle w:val="3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Layout w:type="fixed"/>
              <w:tblCellMar>
                <w:top w:w="0" w:type="dxa"/>
                <w:left w:w="108" w:type="dxa"/>
                <w:bottom w:w="0" w:type="dxa"/>
                <w:right w:w="108" w:type="dxa"/>
              </w:tblCellMar>
            </w:tblPr>
            <w:tblGrid>
              <w:gridCol w:w="948"/>
              <w:gridCol w:w="495"/>
              <w:gridCol w:w="761"/>
              <w:gridCol w:w="837"/>
              <w:gridCol w:w="776"/>
              <w:gridCol w:w="776"/>
              <w:gridCol w:w="886"/>
              <w:gridCol w:w="999"/>
              <w:gridCol w:w="676"/>
              <w:gridCol w:w="779"/>
            </w:tblGrid>
            <w:tr w14:paraId="7EF72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340" w:hRule="atLeast"/>
              </w:trPr>
              <w:tc>
                <w:tcPr>
                  <w:tcW w:w="597" w:type="pct"/>
                  <w:vMerge w:val="restart"/>
                  <w:tcBorders>
                    <w:tl2br w:val="nil"/>
                    <w:tr2bl w:val="nil"/>
                  </w:tcBorders>
                  <w:shd w:val="clear" w:color="auto" w:fill="auto"/>
                  <w:vAlign w:val="center"/>
                </w:tcPr>
                <w:p w14:paraId="1D84D293">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污染源</w:t>
                  </w:r>
                </w:p>
              </w:tc>
              <w:tc>
                <w:tcPr>
                  <w:tcW w:w="311" w:type="pct"/>
                  <w:vMerge w:val="restart"/>
                  <w:tcBorders>
                    <w:tl2br w:val="nil"/>
                    <w:tr2bl w:val="nil"/>
                  </w:tcBorders>
                  <w:shd w:val="clear" w:color="auto" w:fill="auto"/>
                  <w:vAlign w:val="center"/>
                </w:tcPr>
                <w:p w14:paraId="3F6F716E">
                  <w:pPr>
                    <w:adjustRightInd w:val="0"/>
                    <w:snapToGrid w:val="0"/>
                    <w:spacing w:line="240" w:lineRule="auto"/>
                    <w:jc w:val="center"/>
                    <w:rPr>
                      <w:b/>
                      <w:bCs/>
                      <w:color w:val="auto"/>
                      <w:kern w:val="0"/>
                      <w:sz w:val="21"/>
                      <w:szCs w:val="21"/>
                      <w:highlight w:val="none"/>
                      <w:lang w:eastAsia="en-US" w:bidi="en-US"/>
                    </w:rPr>
                  </w:pPr>
                  <w:r>
                    <w:rPr>
                      <w:b/>
                      <w:bCs/>
                      <w:color w:val="auto"/>
                      <w:kern w:val="0"/>
                      <w:sz w:val="21"/>
                      <w:szCs w:val="21"/>
                      <w:highlight w:val="none"/>
                      <w:lang w:eastAsia="en-US" w:bidi="en-US"/>
                    </w:rPr>
                    <w:t>污染物</w:t>
                  </w:r>
                </w:p>
              </w:tc>
              <w:tc>
                <w:tcPr>
                  <w:tcW w:w="1007" w:type="pct"/>
                  <w:gridSpan w:val="2"/>
                  <w:tcBorders>
                    <w:tl2br w:val="nil"/>
                    <w:tr2bl w:val="nil"/>
                  </w:tcBorders>
                  <w:shd w:val="clear" w:color="auto" w:fill="auto"/>
                  <w:vAlign w:val="center"/>
                </w:tcPr>
                <w:p w14:paraId="1CB089EB">
                  <w:pPr>
                    <w:adjustRightInd w:val="0"/>
                    <w:snapToGrid w:val="0"/>
                    <w:spacing w:line="240" w:lineRule="auto"/>
                    <w:jc w:val="center"/>
                    <w:rPr>
                      <w:rFonts w:hint="eastAsia"/>
                      <w:b/>
                      <w:bCs/>
                      <w:color w:val="auto"/>
                      <w:kern w:val="0"/>
                      <w:sz w:val="21"/>
                      <w:szCs w:val="21"/>
                      <w:highlight w:val="none"/>
                      <w:lang w:bidi="en-US"/>
                    </w:rPr>
                  </w:pPr>
                  <w:r>
                    <w:rPr>
                      <w:rFonts w:hint="eastAsia"/>
                      <w:b/>
                      <w:bCs/>
                      <w:color w:val="auto"/>
                      <w:kern w:val="0"/>
                      <w:sz w:val="21"/>
                      <w:szCs w:val="21"/>
                      <w:highlight w:val="none"/>
                      <w:lang w:bidi="en-US"/>
                    </w:rPr>
                    <w:t>产生情况</w:t>
                  </w:r>
                </w:p>
              </w:tc>
              <w:tc>
                <w:tcPr>
                  <w:tcW w:w="489" w:type="pct"/>
                  <w:vMerge w:val="restart"/>
                  <w:tcBorders>
                    <w:tl2br w:val="nil"/>
                    <w:tr2bl w:val="nil"/>
                  </w:tcBorders>
                  <w:shd w:val="clear" w:color="auto" w:fill="auto"/>
                  <w:vAlign w:val="center"/>
                </w:tcPr>
                <w:p w14:paraId="4F60827D">
                  <w:pPr>
                    <w:adjustRightInd w:val="0"/>
                    <w:snapToGrid w:val="0"/>
                    <w:spacing w:line="240" w:lineRule="auto"/>
                    <w:jc w:val="center"/>
                    <w:rPr>
                      <w:b/>
                      <w:bCs/>
                      <w:color w:val="auto"/>
                      <w:kern w:val="0"/>
                      <w:sz w:val="21"/>
                      <w:szCs w:val="21"/>
                      <w:highlight w:val="none"/>
                      <w:lang w:bidi="en-US"/>
                    </w:rPr>
                  </w:pPr>
                  <w:r>
                    <w:rPr>
                      <w:rFonts w:hint="eastAsia"/>
                      <w:b/>
                      <w:bCs/>
                      <w:color w:val="auto"/>
                      <w:kern w:val="0"/>
                      <w:sz w:val="21"/>
                      <w:szCs w:val="21"/>
                      <w:highlight w:val="none"/>
                      <w:lang w:val="en-US" w:eastAsia="zh-CN" w:bidi="en-US"/>
                    </w:rPr>
                    <w:t>收集效率%</w:t>
                  </w:r>
                </w:p>
              </w:tc>
              <w:tc>
                <w:tcPr>
                  <w:tcW w:w="489" w:type="pct"/>
                  <w:vMerge w:val="restart"/>
                  <w:tcBorders>
                    <w:tl2br w:val="nil"/>
                    <w:tr2bl w:val="nil"/>
                  </w:tcBorders>
                  <w:shd w:val="clear" w:color="auto" w:fill="auto"/>
                  <w:vAlign w:val="center"/>
                </w:tcPr>
                <w:p w14:paraId="112AEB94">
                  <w:pPr>
                    <w:adjustRightInd w:val="0"/>
                    <w:snapToGrid w:val="0"/>
                    <w:spacing w:line="240" w:lineRule="auto"/>
                    <w:jc w:val="center"/>
                    <w:rPr>
                      <w:b/>
                      <w:bCs/>
                      <w:color w:val="auto"/>
                      <w:kern w:val="0"/>
                      <w:sz w:val="21"/>
                      <w:szCs w:val="21"/>
                      <w:highlight w:val="none"/>
                      <w:lang w:bidi="en-US"/>
                    </w:rPr>
                  </w:pPr>
                  <w:r>
                    <w:rPr>
                      <w:rFonts w:hint="eastAsia"/>
                      <w:b/>
                      <w:bCs/>
                      <w:color w:val="auto"/>
                      <w:kern w:val="0"/>
                      <w:sz w:val="21"/>
                      <w:szCs w:val="21"/>
                      <w:highlight w:val="none"/>
                      <w:lang w:val="en-US" w:eastAsia="zh-CN" w:bidi="en-US"/>
                    </w:rPr>
                    <w:t>治理工艺</w:t>
                  </w:r>
                  <w:r>
                    <w:rPr>
                      <w:b/>
                      <w:bCs/>
                      <w:color w:val="auto"/>
                      <w:kern w:val="0"/>
                      <w:sz w:val="21"/>
                      <w:szCs w:val="21"/>
                      <w:highlight w:val="none"/>
                      <w:lang w:bidi="en-US"/>
                    </w:rPr>
                    <w:t>处理</w:t>
                  </w:r>
                </w:p>
                <w:p w14:paraId="36FDED2D">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效率%</w:t>
                  </w:r>
                </w:p>
              </w:tc>
              <w:tc>
                <w:tcPr>
                  <w:tcW w:w="558" w:type="pct"/>
                  <w:vMerge w:val="restart"/>
                  <w:tcBorders>
                    <w:tl2br w:val="nil"/>
                    <w:tr2bl w:val="nil"/>
                  </w:tcBorders>
                  <w:shd w:val="clear" w:color="auto" w:fill="auto"/>
                  <w:vAlign w:val="center"/>
                </w:tcPr>
                <w:p w14:paraId="20EFD64C">
                  <w:pPr>
                    <w:adjustRightInd w:val="0"/>
                    <w:snapToGrid w:val="0"/>
                    <w:spacing w:line="240" w:lineRule="auto"/>
                    <w:jc w:val="center"/>
                    <w:rPr>
                      <w:rFonts w:hint="eastAsia" w:eastAsia="宋体"/>
                      <w:b/>
                      <w:bCs/>
                      <w:color w:val="auto"/>
                      <w:kern w:val="0"/>
                      <w:sz w:val="21"/>
                      <w:szCs w:val="21"/>
                      <w:highlight w:val="none"/>
                      <w:lang w:val="en-US" w:eastAsia="zh-CN" w:bidi="en-US"/>
                    </w:rPr>
                  </w:pPr>
                  <w:r>
                    <w:rPr>
                      <w:rFonts w:hint="eastAsia"/>
                      <w:b/>
                      <w:bCs/>
                      <w:color w:val="auto"/>
                      <w:kern w:val="0"/>
                      <w:sz w:val="21"/>
                      <w:szCs w:val="21"/>
                      <w:highlight w:val="none"/>
                      <w:lang w:val="en-US" w:eastAsia="zh-CN" w:bidi="en-US"/>
                    </w:rPr>
                    <w:t>处理措施</w:t>
                  </w:r>
                </w:p>
              </w:tc>
              <w:tc>
                <w:tcPr>
                  <w:tcW w:w="629" w:type="pct"/>
                  <w:vMerge w:val="restart"/>
                  <w:tcBorders>
                    <w:tl2br w:val="nil"/>
                    <w:tr2bl w:val="nil"/>
                  </w:tcBorders>
                  <w:shd w:val="clear" w:color="auto" w:fill="auto"/>
                  <w:vAlign w:val="center"/>
                </w:tcPr>
                <w:p w14:paraId="76C79AE6">
                  <w:pPr>
                    <w:adjustRightInd w:val="0"/>
                    <w:snapToGrid w:val="0"/>
                    <w:spacing w:line="240" w:lineRule="auto"/>
                    <w:jc w:val="center"/>
                    <w:rPr>
                      <w:rFonts w:hint="default" w:eastAsia="宋体"/>
                      <w:b/>
                      <w:bCs/>
                      <w:color w:val="auto"/>
                      <w:kern w:val="0"/>
                      <w:sz w:val="21"/>
                      <w:szCs w:val="21"/>
                      <w:highlight w:val="none"/>
                      <w:lang w:val="en-US" w:eastAsia="zh-CN" w:bidi="en-US"/>
                    </w:rPr>
                  </w:pPr>
                  <w:r>
                    <w:rPr>
                      <w:rFonts w:hint="eastAsia"/>
                      <w:b/>
                      <w:bCs/>
                      <w:color w:val="auto"/>
                      <w:kern w:val="0"/>
                      <w:sz w:val="21"/>
                      <w:szCs w:val="21"/>
                      <w:highlight w:val="none"/>
                      <w:lang w:val="zh-CN"/>
                    </w:rPr>
                    <w:t>设计</w:t>
                  </w:r>
                  <w:r>
                    <w:rPr>
                      <w:rFonts w:hint="eastAsia"/>
                      <w:b/>
                      <w:bCs/>
                      <w:color w:val="auto"/>
                      <w:kern w:val="0"/>
                      <w:sz w:val="21"/>
                      <w:szCs w:val="21"/>
                      <w:highlight w:val="none"/>
                      <w:lang w:val="en-US" w:eastAsia="zh-CN"/>
                    </w:rPr>
                    <w:t>喷粉</w:t>
                  </w:r>
                  <w:r>
                    <w:rPr>
                      <w:rFonts w:hint="eastAsia"/>
                      <w:b/>
                      <w:bCs/>
                      <w:color w:val="auto"/>
                      <w:kern w:val="0"/>
                      <w:sz w:val="21"/>
                      <w:szCs w:val="21"/>
                      <w:highlight w:val="none"/>
                      <w:lang w:val="zh-CN"/>
                    </w:rPr>
                    <w:t>废气处理量</w:t>
                  </w:r>
                  <w:r>
                    <w:rPr>
                      <w:b/>
                      <w:bCs/>
                      <w:color w:val="auto"/>
                      <w:kern w:val="0"/>
                      <w:sz w:val="21"/>
                      <w:szCs w:val="21"/>
                      <w:highlight w:val="none"/>
                      <w:lang w:val="zh-CN"/>
                    </w:rPr>
                    <w:t>m</w:t>
                  </w:r>
                  <w:r>
                    <w:rPr>
                      <w:b/>
                      <w:bCs/>
                      <w:color w:val="auto"/>
                      <w:kern w:val="0"/>
                      <w:sz w:val="21"/>
                      <w:szCs w:val="21"/>
                      <w:highlight w:val="none"/>
                      <w:vertAlign w:val="superscript"/>
                    </w:rPr>
                    <w:t>3</w:t>
                  </w:r>
                  <w:r>
                    <w:rPr>
                      <w:b/>
                      <w:bCs/>
                      <w:color w:val="auto"/>
                      <w:kern w:val="0"/>
                      <w:sz w:val="21"/>
                      <w:szCs w:val="21"/>
                      <w:highlight w:val="none"/>
                      <w:lang w:val="zh-CN"/>
                    </w:rPr>
                    <w:t>/h</w:t>
                  </w:r>
                </w:p>
              </w:tc>
              <w:tc>
                <w:tcPr>
                  <w:tcW w:w="917" w:type="pct"/>
                  <w:gridSpan w:val="2"/>
                  <w:tcBorders>
                    <w:tl2br w:val="nil"/>
                    <w:tr2bl w:val="nil"/>
                  </w:tcBorders>
                  <w:shd w:val="clear" w:color="auto" w:fill="auto"/>
                  <w:vAlign w:val="center"/>
                </w:tcPr>
                <w:p w14:paraId="224F68D8">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排放情况</w:t>
                  </w:r>
                </w:p>
              </w:tc>
            </w:tr>
            <w:tr w14:paraId="4C84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7" w:type="pct"/>
                  <w:vMerge w:val="continue"/>
                  <w:tcBorders>
                    <w:tl2br w:val="nil"/>
                    <w:tr2bl w:val="nil"/>
                  </w:tcBorders>
                  <w:shd w:val="clear" w:color="auto" w:fill="auto"/>
                  <w:vAlign w:val="center"/>
                </w:tcPr>
                <w:p w14:paraId="02E577C0">
                  <w:pPr>
                    <w:adjustRightInd w:val="0"/>
                    <w:snapToGrid w:val="0"/>
                    <w:spacing w:line="240" w:lineRule="auto"/>
                    <w:jc w:val="center"/>
                    <w:rPr>
                      <w:b/>
                      <w:bCs/>
                      <w:color w:val="auto"/>
                      <w:kern w:val="0"/>
                      <w:sz w:val="21"/>
                      <w:szCs w:val="21"/>
                      <w:highlight w:val="none"/>
                      <w:lang w:bidi="en-US"/>
                    </w:rPr>
                  </w:pPr>
                </w:p>
              </w:tc>
              <w:tc>
                <w:tcPr>
                  <w:tcW w:w="311" w:type="pct"/>
                  <w:vMerge w:val="continue"/>
                  <w:tcBorders>
                    <w:tl2br w:val="nil"/>
                    <w:tr2bl w:val="nil"/>
                  </w:tcBorders>
                  <w:shd w:val="clear" w:color="auto" w:fill="auto"/>
                  <w:vAlign w:val="center"/>
                </w:tcPr>
                <w:p w14:paraId="032C0439">
                  <w:pPr>
                    <w:adjustRightInd w:val="0"/>
                    <w:snapToGrid w:val="0"/>
                    <w:spacing w:line="240" w:lineRule="auto"/>
                    <w:jc w:val="center"/>
                    <w:rPr>
                      <w:b/>
                      <w:bCs/>
                      <w:color w:val="auto"/>
                      <w:kern w:val="0"/>
                      <w:sz w:val="21"/>
                      <w:szCs w:val="21"/>
                      <w:highlight w:val="none"/>
                      <w:lang w:bidi="en-US"/>
                    </w:rPr>
                  </w:pPr>
                </w:p>
              </w:tc>
              <w:tc>
                <w:tcPr>
                  <w:tcW w:w="479" w:type="pct"/>
                  <w:tcBorders>
                    <w:tl2br w:val="nil"/>
                    <w:tr2bl w:val="nil"/>
                  </w:tcBorders>
                  <w:shd w:val="clear" w:color="auto" w:fill="auto"/>
                  <w:vAlign w:val="center"/>
                </w:tcPr>
                <w:p w14:paraId="50D030F2">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产生量t/a</w:t>
                  </w:r>
                </w:p>
              </w:tc>
              <w:tc>
                <w:tcPr>
                  <w:tcW w:w="527" w:type="pct"/>
                  <w:tcBorders>
                    <w:tl2br w:val="nil"/>
                    <w:tr2bl w:val="nil"/>
                  </w:tcBorders>
                  <w:shd w:val="clear" w:color="auto" w:fill="auto"/>
                  <w:vAlign w:val="center"/>
                </w:tcPr>
                <w:p w14:paraId="1EB2B44F">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产生速率kg/h</w:t>
                  </w:r>
                </w:p>
              </w:tc>
              <w:tc>
                <w:tcPr>
                  <w:tcW w:w="489" w:type="pct"/>
                  <w:vMerge w:val="continue"/>
                  <w:tcBorders>
                    <w:tl2br w:val="nil"/>
                    <w:tr2bl w:val="nil"/>
                  </w:tcBorders>
                  <w:shd w:val="clear" w:color="auto" w:fill="auto"/>
                  <w:vAlign w:val="center"/>
                </w:tcPr>
                <w:p w14:paraId="2B24CFE0">
                  <w:pPr>
                    <w:adjustRightInd w:val="0"/>
                    <w:snapToGrid w:val="0"/>
                    <w:spacing w:line="240" w:lineRule="auto"/>
                    <w:jc w:val="center"/>
                    <w:rPr>
                      <w:b/>
                      <w:bCs/>
                      <w:color w:val="auto"/>
                      <w:kern w:val="0"/>
                      <w:sz w:val="21"/>
                      <w:szCs w:val="21"/>
                      <w:highlight w:val="none"/>
                      <w:lang w:bidi="en-US"/>
                    </w:rPr>
                  </w:pPr>
                </w:p>
              </w:tc>
              <w:tc>
                <w:tcPr>
                  <w:tcW w:w="489" w:type="pct"/>
                  <w:vMerge w:val="continue"/>
                  <w:tcBorders>
                    <w:tl2br w:val="nil"/>
                    <w:tr2bl w:val="nil"/>
                  </w:tcBorders>
                  <w:shd w:val="clear" w:color="auto" w:fill="auto"/>
                  <w:vAlign w:val="center"/>
                </w:tcPr>
                <w:p w14:paraId="08459C74">
                  <w:pPr>
                    <w:adjustRightInd w:val="0"/>
                    <w:snapToGrid w:val="0"/>
                    <w:spacing w:line="240" w:lineRule="auto"/>
                    <w:jc w:val="center"/>
                    <w:rPr>
                      <w:b/>
                      <w:bCs/>
                      <w:color w:val="auto"/>
                      <w:kern w:val="0"/>
                      <w:sz w:val="21"/>
                      <w:szCs w:val="21"/>
                      <w:highlight w:val="none"/>
                      <w:lang w:bidi="en-US"/>
                    </w:rPr>
                  </w:pPr>
                </w:p>
              </w:tc>
              <w:tc>
                <w:tcPr>
                  <w:tcW w:w="558" w:type="pct"/>
                  <w:vMerge w:val="continue"/>
                  <w:tcBorders>
                    <w:tl2br w:val="nil"/>
                    <w:tr2bl w:val="nil"/>
                  </w:tcBorders>
                  <w:shd w:val="clear" w:color="auto" w:fill="auto"/>
                  <w:vAlign w:val="center"/>
                </w:tcPr>
                <w:p w14:paraId="175EF80B">
                  <w:pPr>
                    <w:adjustRightInd w:val="0"/>
                    <w:snapToGrid w:val="0"/>
                    <w:spacing w:line="240" w:lineRule="auto"/>
                    <w:jc w:val="center"/>
                    <w:rPr>
                      <w:b/>
                      <w:bCs/>
                      <w:color w:val="auto"/>
                      <w:kern w:val="0"/>
                      <w:sz w:val="21"/>
                      <w:szCs w:val="21"/>
                      <w:highlight w:val="none"/>
                      <w:lang w:bidi="en-US"/>
                    </w:rPr>
                  </w:pPr>
                </w:p>
              </w:tc>
              <w:tc>
                <w:tcPr>
                  <w:tcW w:w="629" w:type="pct"/>
                  <w:vMerge w:val="continue"/>
                  <w:tcBorders>
                    <w:tl2br w:val="nil"/>
                    <w:tr2bl w:val="nil"/>
                  </w:tcBorders>
                  <w:shd w:val="clear" w:color="auto" w:fill="auto"/>
                  <w:vAlign w:val="center"/>
                </w:tcPr>
                <w:p w14:paraId="2744E10F">
                  <w:pPr>
                    <w:adjustRightInd w:val="0"/>
                    <w:snapToGrid w:val="0"/>
                    <w:spacing w:line="240" w:lineRule="auto"/>
                    <w:jc w:val="center"/>
                    <w:rPr>
                      <w:b/>
                      <w:bCs/>
                      <w:color w:val="auto"/>
                      <w:kern w:val="0"/>
                      <w:sz w:val="21"/>
                      <w:szCs w:val="21"/>
                      <w:highlight w:val="none"/>
                      <w:lang w:bidi="en-US"/>
                    </w:rPr>
                  </w:pPr>
                </w:p>
              </w:tc>
              <w:tc>
                <w:tcPr>
                  <w:tcW w:w="426" w:type="pct"/>
                  <w:tcBorders>
                    <w:tl2br w:val="nil"/>
                    <w:tr2bl w:val="nil"/>
                  </w:tcBorders>
                  <w:shd w:val="clear" w:color="auto" w:fill="auto"/>
                  <w:vAlign w:val="center"/>
                </w:tcPr>
                <w:p w14:paraId="133F191D">
                  <w:pPr>
                    <w:adjustRightInd w:val="0"/>
                    <w:snapToGrid w:val="0"/>
                    <w:spacing w:line="240" w:lineRule="auto"/>
                    <w:jc w:val="center"/>
                    <w:rPr>
                      <w:b/>
                      <w:bCs/>
                      <w:color w:val="auto"/>
                      <w:kern w:val="0"/>
                      <w:sz w:val="21"/>
                      <w:szCs w:val="21"/>
                      <w:highlight w:val="none"/>
                      <w:vertAlign w:val="superscript"/>
                      <w:lang w:bidi="en-US"/>
                    </w:rPr>
                  </w:pPr>
                  <w:r>
                    <w:rPr>
                      <w:b/>
                      <w:bCs/>
                      <w:color w:val="auto"/>
                      <w:kern w:val="0"/>
                      <w:sz w:val="21"/>
                      <w:szCs w:val="21"/>
                      <w:highlight w:val="none"/>
                      <w:lang w:bidi="en-US"/>
                    </w:rPr>
                    <w:t>排放量t/a</w:t>
                  </w:r>
                </w:p>
              </w:tc>
              <w:tc>
                <w:tcPr>
                  <w:tcW w:w="490" w:type="pct"/>
                  <w:tcBorders>
                    <w:tl2br w:val="nil"/>
                    <w:tr2bl w:val="nil"/>
                  </w:tcBorders>
                  <w:shd w:val="clear" w:color="auto" w:fill="auto"/>
                  <w:vAlign w:val="center"/>
                </w:tcPr>
                <w:p w14:paraId="6E70F1D6">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排放速率kg/h</w:t>
                  </w:r>
                </w:p>
              </w:tc>
            </w:tr>
            <w:tr w14:paraId="78AE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151" w:hRule="atLeast"/>
              </w:trPr>
              <w:tc>
                <w:tcPr>
                  <w:tcW w:w="597" w:type="pct"/>
                  <w:tcBorders>
                    <w:tl2br w:val="nil"/>
                    <w:tr2bl w:val="nil"/>
                  </w:tcBorders>
                  <w:shd w:val="clear" w:color="auto" w:fill="auto"/>
                  <w:vAlign w:val="center"/>
                </w:tcPr>
                <w:p w14:paraId="7C42CD9C">
                  <w:pPr>
                    <w:adjustRightInd w:val="0"/>
                    <w:snapToGrid w:val="0"/>
                    <w:spacing w:line="240" w:lineRule="auto"/>
                    <w:jc w:val="center"/>
                    <w:rPr>
                      <w:rFonts w:hint="eastAsia" w:ascii="Times New Roman" w:hAnsi="Times New Roman" w:eastAsia="宋体" w:cs="Times New Roman"/>
                      <w:color w:val="auto"/>
                      <w:kern w:val="0"/>
                      <w:sz w:val="21"/>
                      <w:szCs w:val="21"/>
                      <w:highlight w:val="none"/>
                      <w:lang w:val="en-US" w:eastAsia="zh-CN" w:bidi="en-US"/>
                    </w:rPr>
                  </w:pPr>
                  <w:r>
                    <w:rPr>
                      <w:rFonts w:hint="eastAsia"/>
                      <w:color w:val="auto"/>
                      <w:kern w:val="0"/>
                      <w:sz w:val="21"/>
                      <w:szCs w:val="21"/>
                      <w:highlight w:val="none"/>
                      <w:lang w:val="en-US" w:eastAsia="zh-CN" w:bidi="en-US"/>
                    </w:rPr>
                    <w:t>DA002排气筒</w:t>
                  </w:r>
                </w:p>
              </w:tc>
              <w:tc>
                <w:tcPr>
                  <w:tcW w:w="311" w:type="pct"/>
                  <w:tcBorders>
                    <w:tl2br w:val="nil"/>
                    <w:tr2bl w:val="nil"/>
                  </w:tcBorders>
                  <w:shd w:val="clear" w:color="auto" w:fill="auto"/>
                  <w:vAlign w:val="center"/>
                </w:tcPr>
                <w:p w14:paraId="4CF32627">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en-US"/>
                    </w:rPr>
                  </w:pPr>
                  <w:r>
                    <w:rPr>
                      <w:rFonts w:hint="eastAsia" w:cs="Times New Roman"/>
                      <w:color w:val="auto"/>
                      <w:kern w:val="0"/>
                      <w:sz w:val="21"/>
                      <w:szCs w:val="21"/>
                      <w:highlight w:val="none"/>
                      <w:lang w:val="en-US" w:eastAsia="zh-CN" w:bidi="en-US"/>
                    </w:rPr>
                    <w:t>颗粒物</w:t>
                  </w:r>
                </w:p>
              </w:tc>
              <w:tc>
                <w:tcPr>
                  <w:tcW w:w="479" w:type="pct"/>
                  <w:tcBorders>
                    <w:tl2br w:val="nil"/>
                    <w:tr2bl w:val="nil"/>
                  </w:tcBorders>
                  <w:shd w:val="clear" w:color="auto" w:fill="auto"/>
                  <w:vAlign w:val="center"/>
                </w:tcPr>
                <w:p w14:paraId="422B4895">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12.74</w:t>
                  </w:r>
                </w:p>
              </w:tc>
              <w:tc>
                <w:tcPr>
                  <w:tcW w:w="527" w:type="pct"/>
                  <w:tcBorders>
                    <w:tl2br w:val="nil"/>
                    <w:tr2bl w:val="nil"/>
                  </w:tcBorders>
                  <w:shd w:val="clear" w:color="auto" w:fill="auto"/>
                  <w:vAlign w:val="center"/>
                </w:tcPr>
                <w:p w14:paraId="075F9643">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5.31</w:t>
                  </w:r>
                </w:p>
              </w:tc>
              <w:tc>
                <w:tcPr>
                  <w:tcW w:w="489" w:type="pct"/>
                  <w:tcBorders>
                    <w:tl2br w:val="nil"/>
                    <w:tr2bl w:val="nil"/>
                  </w:tcBorders>
                  <w:shd w:val="clear" w:color="auto" w:fill="auto"/>
                  <w:vAlign w:val="center"/>
                </w:tcPr>
                <w:p w14:paraId="287548FC">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65</w:t>
                  </w:r>
                </w:p>
              </w:tc>
              <w:tc>
                <w:tcPr>
                  <w:tcW w:w="489" w:type="pct"/>
                  <w:tcBorders>
                    <w:tl2br w:val="nil"/>
                    <w:tr2bl w:val="nil"/>
                  </w:tcBorders>
                  <w:shd w:val="clear" w:color="auto" w:fill="auto"/>
                  <w:vAlign w:val="center"/>
                </w:tcPr>
                <w:p w14:paraId="67A4E7C0">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99</w:t>
                  </w:r>
                </w:p>
              </w:tc>
              <w:tc>
                <w:tcPr>
                  <w:tcW w:w="558" w:type="pct"/>
                  <w:tcBorders>
                    <w:tl2br w:val="nil"/>
                    <w:tr2bl w:val="nil"/>
                  </w:tcBorders>
                  <w:shd w:val="clear" w:color="auto" w:fill="auto"/>
                  <w:vAlign w:val="center"/>
                </w:tcPr>
                <w:p w14:paraId="72117820">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粉料回收系统</w:t>
                  </w:r>
                </w:p>
              </w:tc>
              <w:tc>
                <w:tcPr>
                  <w:tcW w:w="629" w:type="pct"/>
                  <w:tcBorders>
                    <w:tl2br w:val="nil"/>
                    <w:tr2bl w:val="nil"/>
                  </w:tcBorders>
                  <w:shd w:val="clear" w:color="auto" w:fill="auto"/>
                  <w:vAlign w:val="center"/>
                </w:tcPr>
                <w:p w14:paraId="4A154B0D">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2000</w:t>
                  </w:r>
                </w:p>
              </w:tc>
              <w:tc>
                <w:tcPr>
                  <w:tcW w:w="426" w:type="pct"/>
                  <w:tcBorders>
                    <w:tl2br w:val="nil"/>
                    <w:tr2bl w:val="nil"/>
                  </w:tcBorders>
                  <w:shd w:val="clear" w:color="auto" w:fill="auto"/>
                  <w:vAlign w:val="center"/>
                </w:tcPr>
                <w:p w14:paraId="77FAD933">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0.13</w:t>
                  </w:r>
                </w:p>
              </w:tc>
              <w:tc>
                <w:tcPr>
                  <w:tcW w:w="490" w:type="pct"/>
                  <w:tcBorders>
                    <w:tl2br w:val="nil"/>
                    <w:tr2bl w:val="nil"/>
                  </w:tcBorders>
                  <w:shd w:val="clear" w:color="auto" w:fill="auto"/>
                  <w:vAlign w:val="center"/>
                </w:tcPr>
                <w:p w14:paraId="15EBECD9">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0.054</w:t>
                  </w:r>
                </w:p>
              </w:tc>
            </w:tr>
            <w:tr w14:paraId="2A33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97" w:type="pct"/>
                  <w:tcBorders>
                    <w:tl2br w:val="nil"/>
                    <w:tr2bl w:val="nil"/>
                  </w:tcBorders>
                  <w:shd w:val="clear" w:color="auto" w:fill="auto"/>
                  <w:vAlign w:val="center"/>
                </w:tcPr>
                <w:p w14:paraId="47074F34">
                  <w:pPr>
                    <w:adjustRightInd w:val="0"/>
                    <w:snapToGrid w:val="0"/>
                    <w:spacing w:line="240" w:lineRule="auto"/>
                    <w:jc w:val="center"/>
                    <w:rPr>
                      <w:rFonts w:hint="default"/>
                      <w:color w:val="auto"/>
                      <w:kern w:val="0"/>
                      <w:sz w:val="21"/>
                      <w:szCs w:val="21"/>
                      <w:highlight w:val="none"/>
                      <w:lang w:val="en-US" w:eastAsia="zh-CN" w:bidi="en-US"/>
                    </w:rPr>
                  </w:pPr>
                  <w:r>
                    <w:rPr>
                      <w:rFonts w:hint="eastAsia"/>
                      <w:color w:val="auto"/>
                      <w:kern w:val="0"/>
                      <w:sz w:val="21"/>
                      <w:szCs w:val="21"/>
                      <w:highlight w:val="none"/>
                      <w:lang w:val="en-US" w:eastAsia="zh-CN" w:bidi="en-US"/>
                    </w:rPr>
                    <w:t>无组织废气</w:t>
                  </w:r>
                </w:p>
              </w:tc>
              <w:tc>
                <w:tcPr>
                  <w:tcW w:w="311" w:type="pct"/>
                  <w:tcBorders>
                    <w:tl2br w:val="nil"/>
                    <w:tr2bl w:val="nil"/>
                  </w:tcBorders>
                  <w:shd w:val="clear" w:color="auto" w:fill="auto"/>
                  <w:vAlign w:val="center"/>
                </w:tcPr>
                <w:p w14:paraId="468B6CFB">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en-US"/>
                    </w:rPr>
                  </w:pPr>
                  <w:r>
                    <w:rPr>
                      <w:rFonts w:hint="eastAsia" w:cs="Times New Roman"/>
                      <w:color w:val="auto"/>
                      <w:kern w:val="0"/>
                      <w:sz w:val="21"/>
                      <w:szCs w:val="21"/>
                      <w:highlight w:val="none"/>
                      <w:lang w:val="en-US" w:eastAsia="zh-CN" w:bidi="en-US"/>
                    </w:rPr>
                    <w:t>颗粒物</w:t>
                  </w:r>
                </w:p>
              </w:tc>
              <w:tc>
                <w:tcPr>
                  <w:tcW w:w="479" w:type="pct"/>
                  <w:tcBorders>
                    <w:tl2br w:val="nil"/>
                    <w:tr2bl w:val="nil"/>
                  </w:tcBorders>
                  <w:shd w:val="clear" w:color="auto" w:fill="auto"/>
                  <w:vAlign w:val="center"/>
                </w:tcPr>
                <w:p w14:paraId="3CCB0D3F">
                  <w:pPr>
                    <w:widowControl/>
                    <w:snapToGrid w:val="0"/>
                    <w:jc w:val="center"/>
                    <w:textAlignment w:val="center"/>
                    <w:rPr>
                      <w:rFonts w:hint="default" w:cs="Times New Roman"/>
                      <w:color w:val="auto"/>
                      <w:kern w:val="2"/>
                      <w:sz w:val="21"/>
                      <w:szCs w:val="21"/>
                      <w:highlight w:val="none"/>
                      <w:lang w:val="en-US" w:eastAsia="zh-CN" w:bidi="ar-SA"/>
                    </w:rPr>
                  </w:pPr>
                  <w:r>
                    <w:rPr>
                      <w:rFonts w:hint="default" w:cs="Times New Roman"/>
                      <w:color w:val="auto"/>
                      <w:kern w:val="2"/>
                      <w:sz w:val="21"/>
                      <w:szCs w:val="21"/>
                      <w:highlight w:val="none"/>
                      <w:lang w:val="en-US" w:eastAsia="zh-CN" w:bidi="ar-SA"/>
                    </w:rPr>
                    <w:t>6.86</w:t>
                  </w:r>
                </w:p>
              </w:tc>
              <w:tc>
                <w:tcPr>
                  <w:tcW w:w="527" w:type="pct"/>
                  <w:tcBorders>
                    <w:tl2br w:val="nil"/>
                    <w:tr2bl w:val="nil"/>
                  </w:tcBorders>
                  <w:shd w:val="clear" w:color="auto" w:fill="auto"/>
                  <w:vAlign w:val="center"/>
                </w:tcPr>
                <w:p w14:paraId="2A91F430">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2.86</w:t>
                  </w:r>
                </w:p>
              </w:tc>
              <w:tc>
                <w:tcPr>
                  <w:tcW w:w="489" w:type="pct"/>
                  <w:tcBorders>
                    <w:tl2br w:val="nil"/>
                    <w:tr2bl w:val="nil"/>
                  </w:tcBorders>
                  <w:shd w:val="clear" w:color="auto" w:fill="auto"/>
                  <w:vAlign w:val="center"/>
                </w:tcPr>
                <w:p w14:paraId="601A1DC0">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489" w:type="pct"/>
                  <w:tcBorders>
                    <w:tl2br w:val="nil"/>
                    <w:tr2bl w:val="nil"/>
                  </w:tcBorders>
                  <w:shd w:val="clear" w:color="auto" w:fill="auto"/>
                  <w:vAlign w:val="center"/>
                </w:tcPr>
                <w:p w14:paraId="737F38D3">
                  <w:pPr>
                    <w:widowControl/>
                    <w:snapToGrid w:val="0"/>
                    <w:jc w:val="center"/>
                    <w:textAlignment w:val="center"/>
                    <w:rPr>
                      <w:rFonts w:hint="eastAsia" w:ascii="Times New Roman" w:hAnsi="Times New Roman" w:eastAsia="宋体" w:cs="Times New Roman"/>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558" w:type="pct"/>
                  <w:tcBorders>
                    <w:tl2br w:val="nil"/>
                    <w:tr2bl w:val="nil"/>
                  </w:tcBorders>
                  <w:shd w:val="clear" w:color="auto" w:fill="auto"/>
                  <w:vAlign w:val="center"/>
                </w:tcPr>
                <w:p w14:paraId="72437FBC">
                  <w:pPr>
                    <w:widowControl/>
                    <w:snapToGrid w:val="0"/>
                    <w:jc w:val="center"/>
                    <w:textAlignment w:val="center"/>
                    <w:rPr>
                      <w:rFonts w:hint="eastAsia" w:ascii="Times New Roman" w:hAnsi="Times New Roman" w:eastAsia="宋体" w:cs="Times New Roman"/>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629" w:type="pct"/>
                  <w:tcBorders>
                    <w:tl2br w:val="nil"/>
                    <w:tr2bl w:val="nil"/>
                  </w:tcBorders>
                  <w:shd w:val="clear" w:color="auto" w:fill="auto"/>
                  <w:vAlign w:val="center"/>
                </w:tcPr>
                <w:p w14:paraId="124B9E13">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426" w:type="pct"/>
                  <w:tcBorders>
                    <w:tl2br w:val="nil"/>
                    <w:tr2bl w:val="nil"/>
                  </w:tcBorders>
                  <w:shd w:val="clear" w:color="auto" w:fill="auto"/>
                  <w:vAlign w:val="center"/>
                </w:tcPr>
                <w:p w14:paraId="1406C0A7">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6.86</w:t>
                  </w:r>
                </w:p>
              </w:tc>
              <w:tc>
                <w:tcPr>
                  <w:tcW w:w="490" w:type="pct"/>
                  <w:tcBorders>
                    <w:tl2br w:val="nil"/>
                    <w:tr2bl w:val="nil"/>
                  </w:tcBorders>
                  <w:shd w:val="clear" w:color="auto" w:fill="auto"/>
                  <w:vAlign w:val="center"/>
                </w:tcPr>
                <w:p w14:paraId="1F0F86C4">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2.86</w:t>
                  </w:r>
                </w:p>
              </w:tc>
            </w:tr>
          </w:tbl>
          <w:p w14:paraId="1BCC385C">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right="0" w:rightChars="0" w:firstLine="480" w:firstLineChars="200"/>
              <w:jc w:val="left"/>
              <w:textAlignment w:val="auto"/>
              <w:outlineLvl w:val="9"/>
              <w:rPr>
                <w:rFonts w:hint="default" w:ascii="Times New Roman" w:hAnsi="Times New Roman" w:eastAsia="宋体"/>
                <w:b w:val="0"/>
                <w:bCs w:val="0"/>
                <w:color w:val="auto"/>
                <w:sz w:val="24"/>
                <w:szCs w:val="24"/>
                <w:highlight w:val="none"/>
                <w:u w:val="none" w:color="auto"/>
                <w:lang w:val="en-US" w:eastAsia="zh-CN"/>
              </w:rPr>
            </w:pPr>
            <w:r>
              <w:rPr>
                <w:rFonts w:hint="eastAsia"/>
                <w:b w:val="0"/>
                <w:bCs w:val="0"/>
                <w:color w:val="auto"/>
                <w:sz w:val="24"/>
                <w:szCs w:val="24"/>
                <w:highlight w:val="none"/>
                <w:u w:val="none" w:color="auto"/>
                <w:lang w:val="en-US" w:eastAsia="zh-CN"/>
              </w:rPr>
              <w:t>（8）喷粉烘干</w:t>
            </w:r>
          </w:p>
          <w:p w14:paraId="04B26E15">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right="0" w:rightChars="0" w:firstLine="480" w:firstLineChars="200"/>
              <w:jc w:val="both"/>
              <w:textAlignment w:val="auto"/>
              <w:outlineLvl w:val="9"/>
              <w:rPr>
                <w:rFonts w:hint="eastAsia"/>
                <w:b w:val="0"/>
                <w:bCs w:val="0"/>
                <w:color w:val="auto"/>
                <w:sz w:val="24"/>
                <w:szCs w:val="24"/>
                <w:highlight w:val="none"/>
                <w:u w:val="none" w:color="auto"/>
                <w:lang w:val="en-US" w:eastAsia="zh-CN"/>
              </w:rPr>
            </w:pPr>
            <w:r>
              <w:rPr>
                <w:rFonts w:hint="eastAsia" w:ascii="Times New Roman" w:hAnsi="Times New Roman" w:eastAsia="宋体"/>
                <w:b w:val="0"/>
                <w:bCs w:val="0"/>
                <w:color w:val="auto"/>
                <w:sz w:val="24"/>
                <w:szCs w:val="24"/>
                <w:highlight w:val="none"/>
                <w:u w:val="none" w:color="auto"/>
                <w:lang w:val="en-US" w:eastAsia="zh-CN"/>
              </w:rPr>
              <w:t>项目在固化过程中</w:t>
            </w:r>
            <w:r>
              <w:rPr>
                <w:rFonts w:hint="eastAsia"/>
                <w:b w:val="0"/>
                <w:bCs w:val="0"/>
                <w:color w:val="auto"/>
                <w:sz w:val="24"/>
                <w:szCs w:val="24"/>
                <w:highlight w:val="none"/>
                <w:u w:val="none" w:color="auto"/>
                <w:lang w:val="en-US" w:eastAsia="zh-CN"/>
              </w:rPr>
              <w:t>粉料</w:t>
            </w:r>
            <w:r>
              <w:rPr>
                <w:rFonts w:hint="eastAsia" w:ascii="Times New Roman" w:hAnsi="Times New Roman" w:eastAsia="宋体"/>
                <w:b w:val="0"/>
                <w:bCs w:val="0"/>
                <w:color w:val="auto"/>
                <w:sz w:val="24"/>
                <w:szCs w:val="24"/>
                <w:highlight w:val="none"/>
                <w:u w:val="none" w:color="auto"/>
                <w:lang w:val="en-US" w:eastAsia="zh-CN"/>
              </w:rPr>
              <w:t>受热力影响，会产生少量有机废气。根据企业提供的</w:t>
            </w:r>
            <w:r>
              <w:rPr>
                <w:rFonts w:hint="eastAsia"/>
                <w:b w:val="0"/>
                <w:bCs w:val="0"/>
                <w:color w:val="auto"/>
                <w:sz w:val="24"/>
                <w:szCs w:val="24"/>
                <w:highlight w:val="none"/>
                <w:u w:val="none" w:color="auto"/>
                <w:lang w:val="en-US" w:eastAsia="zh-CN"/>
              </w:rPr>
              <w:t>资料</w:t>
            </w:r>
            <w:r>
              <w:rPr>
                <w:rFonts w:hint="eastAsia" w:ascii="Times New Roman" w:hAnsi="Times New Roman" w:eastAsia="宋体"/>
                <w:b w:val="0"/>
                <w:bCs w:val="0"/>
                <w:color w:val="auto"/>
                <w:sz w:val="24"/>
                <w:szCs w:val="24"/>
                <w:highlight w:val="none"/>
                <w:u w:val="none" w:color="auto"/>
                <w:lang w:val="en-US" w:eastAsia="zh-CN"/>
              </w:rPr>
              <w:t>，粉末涂料主要成分为聚酯树脂，项目固化温度约为180℃，尚未达到原料的分解温度。</w:t>
            </w:r>
            <w:r>
              <w:rPr>
                <w:rFonts w:hint="eastAsia"/>
                <w:b w:val="0"/>
                <w:bCs w:val="0"/>
                <w:color w:val="auto"/>
                <w:sz w:val="24"/>
                <w:szCs w:val="24"/>
                <w:highlight w:val="none"/>
                <w:u w:val="none" w:color="auto"/>
                <w:lang w:val="en-US" w:eastAsia="zh-CN"/>
              </w:rPr>
              <w:t>烘干废气经负压收集（</w:t>
            </w:r>
            <w:r>
              <w:rPr>
                <w:rFonts w:hint="eastAsia" w:cs="Times New Roman"/>
                <w:b w:val="0"/>
                <w:bCs w:val="0"/>
                <w:color w:val="auto"/>
                <w:kern w:val="2"/>
                <w:sz w:val="24"/>
                <w:szCs w:val="24"/>
                <w:highlight w:val="none"/>
                <w:lang w:val="en-US" w:eastAsia="zh-CN" w:bidi="ar"/>
              </w:rPr>
              <w:t>参考《主要污染物总量减排核算技术指南》（2022年修订）</w:t>
            </w:r>
            <w:r>
              <w:rPr>
                <w:rFonts w:hint="eastAsia" w:cs="宋体"/>
                <w:b w:val="0"/>
                <w:bCs w:val="0"/>
                <w:color w:val="auto"/>
                <w:sz w:val="24"/>
                <w:szCs w:val="24"/>
                <w:lang w:val="en-US" w:eastAsia="zh-CN"/>
              </w:rPr>
              <w:t>半密闭集气设备</w:t>
            </w:r>
            <w:r>
              <w:rPr>
                <w:rFonts w:hint="eastAsia" w:cs="宋体"/>
                <w:b w:val="0"/>
                <w:bCs w:val="0"/>
                <w:color w:val="auto"/>
                <w:sz w:val="24"/>
                <w:szCs w:val="24"/>
                <w:lang w:eastAsia="zh-CN"/>
              </w:rPr>
              <w:t>收集效率</w:t>
            </w:r>
            <w:r>
              <w:rPr>
                <w:rFonts w:hint="eastAsia" w:cs="宋体"/>
                <w:b w:val="0"/>
                <w:bCs w:val="0"/>
                <w:color w:val="auto"/>
                <w:sz w:val="24"/>
                <w:szCs w:val="24"/>
                <w:lang w:val="en-US" w:eastAsia="zh-CN"/>
              </w:rPr>
              <w:t>为65</w:t>
            </w:r>
            <w:r>
              <w:rPr>
                <w:rFonts w:hint="eastAsia" w:cs="宋体"/>
                <w:b w:val="0"/>
                <w:bCs w:val="0"/>
                <w:color w:val="auto"/>
                <w:sz w:val="24"/>
                <w:szCs w:val="24"/>
                <w:lang w:eastAsia="zh-CN"/>
              </w:rPr>
              <w:t>%</w:t>
            </w:r>
            <w:r>
              <w:rPr>
                <w:rFonts w:hint="eastAsia" w:cs="Times New Roman"/>
                <w:b w:val="0"/>
                <w:bCs w:val="0"/>
                <w:color w:val="auto"/>
                <w:kern w:val="2"/>
                <w:sz w:val="24"/>
                <w:szCs w:val="24"/>
                <w:highlight w:val="none"/>
                <w:lang w:val="en-US" w:eastAsia="zh-CN" w:bidi="ar"/>
              </w:rPr>
              <w:t>，因此喷粉烘干废气收集效率为65%</w:t>
            </w:r>
            <w:r>
              <w:rPr>
                <w:rFonts w:hint="eastAsia"/>
                <w:b w:val="0"/>
                <w:bCs w:val="0"/>
                <w:color w:val="auto"/>
                <w:sz w:val="24"/>
                <w:szCs w:val="24"/>
                <w:highlight w:val="none"/>
                <w:u w:val="none" w:color="auto"/>
                <w:lang w:val="en-US" w:eastAsia="zh-CN"/>
              </w:rPr>
              <w:t>）通过水喷淋+二级活性炭</w:t>
            </w:r>
            <w:r>
              <w:rPr>
                <w:rFonts w:hint="eastAsia" w:cs="Times New Roman"/>
                <w:color w:val="auto"/>
                <w:sz w:val="24"/>
                <w:szCs w:val="24"/>
                <w:highlight w:val="none"/>
                <w:lang w:val="en-US" w:eastAsia="zh-CN"/>
              </w:rPr>
              <w:t>（含干式过滤棉）</w:t>
            </w:r>
            <w:r>
              <w:rPr>
                <w:rFonts w:hint="eastAsia"/>
                <w:b w:val="0"/>
                <w:bCs w:val="0"/>
                <w:color w:val="auto"/>
                <w:sz w:val="24"/>
                <w:szCs w:val="24"/>
                <w:highlight w:val="none"/>
                <w:u w:val="none" w:color="auto"/>
                <w:lang w:val="en-US" w:eastAsia="zh-CN"/>
              </w:rPr>
              <w:t>吸附装置处理后经 15m高排气筒（DA002）排放，喷粉烘干工段风机风量为</w:t>
            </w:r>
            <w:r>
              <w:rPr>
                <w:rFonts w:hint="eastAsia" w:cs="Times New Roman"/>
                <w:color w:val="auto"/>
                <w:sz w:val="24"/>
                <w:szCs w:val="24"/>
                <w:highlight w:val="none"/>
                <w:lang w:val="en-US" w:eastAsia="zh-CN"/>
              </w:rPr>
              <w:t>5000</w:t>
            </w:r>
            <w:r>
              <w:rPr>
                <w:color w:val="auto"/>
                <w:kern w:val="0"/>
                <w:sz w:val="24"/>
                <w:szCs w:val="24"/>
                <w:highlight w:val="none"/>
              </w:rPr>
              <w:t>m</w:t>
            </w:r>
            <w:r>
              <w:rPr>
                <w:color w:val="auto"/>
                <w:kern w:val="0"/>
                <w:sz w:val="24"/>
                <w:szCs w:val="24"/>
                <w:highlight w:val="none"/>
                <w:vertAlign w:val="superscript"/>
              </w:rPr>
              <w:t>3</w:t>
            </w:r>
            <w:r>
              <w:rPr>
                <w:color w:val="auto"/>
                <w:kern w:val="0"/>
                <w:sz w:val="24"/>
                <w:szCs w:val="24"/>
                <w:highlight w:val="none"/>
              </w:rPr>
              <w:t>/h</w:t>
            </w:r>
            <w:r>
              <w:rPr>
                <w:rFonts w:hint="eastAsia"/>
                <w:b w:val="0"/>
                <w:bCs w:val="0"/>
                <w:color w:val="auto"/>
                <w:sz w:val="24"/>
                <w:szCs w:val="24"/>
                <w:highlight w:val="none"/>
                <w:u w:val="none" w:color="auto"/>
                <w:lang w:val="en-US" w:eastAsia="zh-CN"/>
              </w:rPr>
              <w:t>，</w:t>
            </w:r>
            <w:r>
              <w:rPr>
                <w:rFonts w:hint="eastAsia"/>
                <w:bCs/>
                <w:color w:val="auto"/>
                <w:sz w:val="24"/>
                <w:highlight w:val="none"/>
                <w:u w:val="none"/>
                <w:lang w:val="en-US" w:eastAsia="zh-CN"/>
              </w:rPr>
              <w:t>根据《排放源统计调查产排污核算方法和系数手册》中“33-37，431-434机械行业系数手册”中涂装末端治理技术效率，吸附法18%，则二级活性炭处理效率为1-（1-18%）*（1-18%）=32.76%（本次评价取32%）</w:t>
            </w:r>
            <w:r>
              <w:rPr>
                <w:rFonts w:hint="eastAsia"/>
                <w:b w:val="0"/>
                <w:bCs w:val="0"/>
                <w:color w:val="auto"/>
                <w:sz w:val="24"/>
                <w:szCs w:val="24"/>
                <w:highlight w:val="none"/>
                <w:u w:val="none" w:color="auto"/>
                <w:lang w:val="en-US" w:eastAsia="zh-CN"/>
              </w:rPr>
              <w:t>。</w:t>
            </w:r>
          </w:p>
          <w:p w14:paraId="0A32F05E">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highlight w:val="none"/>
                <w:u w:val="none" w:color="auto"/>
                <w:lang w:val="en-US" w:eastAsia="zh-CN"/>
              </w:rPr>
            </w:pPr>
            <w:r>
              <w:rPr>
                <w:rFonts w:hint="eastAsia"/>
                <w:b w:val="0"/>
                <w:bCs w:val="0"/>
                <w:color w:val="auto"/>
                <w:sz w:val="24"/>
                <w:szCs w:val="24"/>
                <w:highlight w:val="none"/>
                <w:u w:val="none" w:color="auto"/>
                <w:lang w:val="en-US" w:eastAsia="zh-CN"/>
              </w:rPr>
              <w:t>喷粉粉末需加热到180~200℃固化，该固化温度下，粉末涂料会产生少量的有机废气。参照根据《广东省表面涂装（汽车制造业）挥发性有机废气治理技术指南》（粤环〔2015〕4 号），粉末涂料的有机废气产生量取≤0.5%。本次评价按VOCs全部挥发，即挥发率0.5%计算，</w:t>
            </w:r>
            <w:r>
              <w:rPr>
                <w:rFonts w:hint="eastAsia"/>
                <w:b w:val="0"/>
                <w:bCs w:val="0"/>
                <w:color w:val="auto"/>
                <w:sz w:val="24"/>
                <w:szCs w:val="24"/>
                <w:highlight w:val="none"/>
                <w:u w:val="none" w:color="auto"/>
                <w:lang w:val="en-US" w:eastAsia="zh-CN"/>
              </w:rPr>
              <w:t>项目工件表面附着粉末约48.38t/a（按利用率86.4%计）</w:t>
            </w:r>
            <w:r>
              <w:rPr>
                <w:rFonts w:hint="eastAsia"/>
                <w:b w:val="0"/>
                <w:bCs w:val="0"/>
                <w:color w:val="auto"/>
                <w:sz w:val="24"/>
                <w:szCs w:val="24"/>
                <w:highlight w:val="none"/>
                <w:u w:val="none" w:color="auto"/>
                <w:lang w:val="en-US" w:eastAsia="zh-CN"/>
              </w:rPr>
              <w:t>，则烘干过程VOCs（以非甲烷总烃表征）产生量为</w:t>
            </w:r>
            <w:r>
              <w:rPr>
                <w:rFonts w:hint="eastAsia"/>
                <w:b w:val="0"/>
                <w:bCs w:val="0"/>
                <w:color w:val="auto"/>
                <w:sz w:val="24"/>
                <w:szCs w:val="24"/>
                <w:highlight w:val="none"/>
                <w:u w:val="none" w:color="auto"/>
                <w:lang w:val="en-US" w:eastAsia="zh-CN"/>
              </w:rPr>
              <w:t>0.24t/a</w:t>
            </w:r>
            <w:r>
              <w:rPr>
                <w:rFonts w:hint="eastAsia"/>
                <w:b w:val="0"/>
                <w:bCs w:val="0"/>
                <w:color w:val="auto"/>
                <w:sz w:val="24"/>
                <w:szCs w:val="24"/>
                <w:highlight w:val="none"/>
                <w:u w:val="none" w:color="auto"/>
                <w:lang w:val="en-US" w:eastAsia="zh-CN"/>
              </w:rPr>
              <w:t>。</w:t>
            </w:r>
          </w:p>
          <w:p w14:paraId="09448D3D">
            <w:pPr>
              <w:tabs>
                <w:tab w:val="left" w:pos="624"/>
              </w:tabs>
              <w:snapToGrid w:val="0"/>
              <w:ind w:firstLine="482"/>
              <w:jc w:val="center"/>
              <w:rPr>
                <w:b/>
                <w:bCs/>
                <w:color w:val="auto"/>
                <w:sz w:val="24"/>
                <w:szCs w:val="24"/>
                <w:highlight w:val="none"/>
              </w:rPr>
            </w:pPr>
            <w:r>
              <w:rPr>
                <w:b/>
                <w:color w:val="auto"/>
                <w:kern w:val="0"/>
                <w:sz w:val="24"/>
                <w:szCs w:val="24"/>
                <w:highlight w:val="none"/>
              </w:rPr>
              <w:t>表</w:t>
            </w:r>
            <w:r>
              <w:rPr>
                <w:rFonts w:hint="eastAsia"/>
                <w:b/>
                <w:color w:val="auto"/>
                <w:kern w:val="0"/>
                <w:sz w:val="24"/>
                <w:szCs w:val="24"/>
                <w:highlight w:val="none"/>
                <w:lang w:val="en-US" w:eastAsia="zh-CN"/>
              </w:rPr>
              <w:t>4-8</w:t>
            </w:r>
            <w:r>
              <w:rPr>
                <w:b/>
                <w:color w:val="auto"/>
                <w:kern w:val="0"/>
                <w:sz w:val="24"/>
                <w:szCs w:val="24"/>
                <w:highlight w:val="none"/>
              </w:rPr>
              <w:t xml:space="preserve"> </w:t>
            </w:r>
            <w:r>
              <w:rPr>
                <w:rFonts w:hint="eastAsia"/>
                <w:b/>
                <w:color w:val="auto"/>
                <w:kern w:val="0"/>
                <w:sz w:val="24"/>
                <w:szCs w:val="24"/>
                <w:highlight w:val="none"/>
                <w:lang w:val="en-US" w:eastAsia="zh-CN"/>
              </w:rPr>
              <w:t xml:space="preserve"> 喷粉烘干废气</w:t>
            </w:r>
            <w:r>
              <w:rPr>
                <w:rFonts w:hint="eastAsia"/>
                <w:b/>
                <w:color w:val="auto"/>
                <w:kern w:val="0"/>
                <w:sz w:val="24"/>
                <w:szCs w:val="24"/>
                <w:highlight w:val="none"/>
              </w:rPr>
              <w:t>产排</w:t>
            </w:r>
            <w:r>
              <w:rPr>
                <w:b/>
                <w:color w:val="auto"/>
                <w:kern w:val="0"/>
                <w:sz w:val="24"/>
                <w:szCs w:val="24"/>
                <w:highlight w:val="none"/>
              </w:rPr>
              <w:t>情</w:t>
            </w:r>
            <w:r>
              <w:rPr>
                <w:rFonts w:hint="default" w:ascii="Times New Roman" w:hAnsi="Times New Roman" w:cs="Times New Roman"/>
                <w:b/>
                <w:color w:val="auto"/>
                <w:kern w:val="0"/>
                <w:sz w:val="24"/>
                <w:szCs w:val="24"/>
                <w:highlight w:val="none"/>
              </w:rPr>
              <w:t>况</w:t>
            </w:r>
          </w:p>
          <w:tbl>
            <w:tblPr>
              <w:tblStyle w:val="3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Layout w:type="fixed"/>
              <w:tblCellMar>
                <w:top w:w="0" w:type="dxa"/>
                <w:left w:w="108" w:type="dxa"/>
                <w:bottom w:w="0" w:type="dxa"/>
                <w:right w:w="108" w:type="dxa"/>
              </w:tblCellMar>
            </w:tblPr>
            <w:tblGrid>
              <w:gridCol w:w="946"/>
              <w:gridCol w:w="495"/>
              <w:gridCol w:w="761"/>
              <w:gridCol w:w="837"/>
              <w:gridCol w:w="776"/>
              <w:gridCol w:w="776"/>
              <w:gridCol w:w="886"/>
              <w:gridCol w:w="999"/>
              <w:gridCol w:w="676"/>
              <w:gridCol w:w="781"/>
            </w:tblGrid>
            <w:tr w14:paraId="2AAC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340" w:hRule="atLeast"/>
              </w:trPr>
              <w:tc>
                <w:tcPr>
                  <w:tcW w:w="596" w:type="pct"/>
                  <w:vMerge w:val="restart"/>
                  <w:tcBorders>
                    <w:tl2br w:val="nil"/>
                    <w:tr2bl w:val="nil"/>
                  </w:tcBorders>
                  <w:shd w:val="clear" w:color="auto" w:fill="auto"/>
                  <w:vAlign w:val="center"/>
                </w:tcPr>
                <w:p w14:paraId="24349FA2">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污染源</w:t>
                  </w:r>
                </w:p>
              </w:tc>
              <w:tc>
                <w:tcPr>
                  <w:tcW w:w="311" w:type="pct"/>
                  <w:vMerge w:val="restart"/>
                  <w:tcBorders>
                    <w:tl2br w:val="nil"/>
                    <w:tr2bl w:val="nil"/>
                  </w:tcBorders>
                  <w:shd w:val="clear" w:color="auto" w:fill="auto"/>
                  <w:vAlign w:val="center"/>
                </w:tcPr>
                <w:p w14:paraId="1C571EE7">
                  <w:pPr>
                    <w:adjustRightInd w:val="0"/>
                    <w:snapToGrid w:val="0"/>
                    <w:spacing w:line="240" w:lineRule="auto"/>
                    <w:jc w:val="center"/>
                    <w:rPr>
                      <w:b/>
                      <w:bCs/>
                      <w:color w:val="auto"/>
                      <w:kern w:val="0"/>
                      <w:sz w:val="21"/>
                      <w:szCs w:val="21"/>
                      <w:highlight w:val="none"/>
                      <w:lang w:eastAsia="en-US" w:bidi="en-US"/>
                    </w:rPr>
                  </w:pPr>
                  <w:r>
                    <w:rPr>
                      <w:b/>
                      <w:bCs/>
                      <w:color w:val="auto"/>
                      <w:kern w:val="0"/>
                      <w:sz w:val="21"/>
                      <w:szCs w:val="21"/>
                      <w:highlight w:val="none"/>
                      <w:lang w:eastAsia="en-US" w:bidi="en-US"/>
                    </w:rPr>
                    <w:t>污染物</w:t>
                  </w:r>
                </w:p>
              </w:tc>
              <w:tc>
                <w:tcPr>
                  <w:tcW w:w="1007" w:type="pct"/>
                  <w:gridSpan w:val="2"/>
                  <w:tcBorders>
                    <w:tl2br w:val="nil"/>
                    <w:tr2bl w:val="nil"/>
                  </w:tcBorders>
                  <w:shd w:val="clear" w:color="auto" w:fill="auto"/>
                  <w:vAlign w:val="center"/>
                </w:tcPr>
                <w:p w14:paraId="36C2157F">
                  <w:pPr>
                    <w:adjustRightInd w:val="0"/>
                    <w:snapToGrid w:val="0"/>
                    <w:spacing w:line="240" w:lineRule="auto"/>
                    <w:jc w:val="center"/>
                    <w:rPr>
                      <w:rFonts w:hint="eastAsia"/>
                      <w:b/>
                      <w:bCs/>
                      <w:color w:val="auto"/>
                      <w:kern w:val="0"/>
                      <w:sz w:val="21"/>
                      <w:szCs w:val="21"/>
                      <w:highlight w:val="none"/>
                      <w:lang w:bidi="en-US"/>
                    </w:rPr>
                  </w:pPr>
                  <w:r>
                    <w:rPr>
                      <w:rFonts w:hint="eastAsia"/>
                      <w:b/>
                      <w:bCs/>
                      <w:color w:val="auto"/>
                      <w:kern w:val="0"/>
                      <w:sz w:val="21"/>
                      <w:szCs w:val="21"/>
                      <w:highlight w:val="none"/>
                      <w:lang w:bidi="en-US"/>
                    </w:rPr>
                    <w:t>产生情况</w:t>
                  </w:r>
                </w:p>
              </w:tc>
              <w:tc>
                <w:tcPr>
                  <w:tcW w:w="489" w:type="pct"/>
                  <w:vMerge w:val="restart"/>
                  <w:tcBorders>
                    <w:tl2br w:val="nil"/>
                    <w:tr2bl w:val="nil"/>
                  </w:tcBorders>
                  <w:shd w:val="clear" w:color="auto" w:fill="auto"/>
                  <w:vAlign w:val="center"/>
                </w:tcPr>
                <w:p w14:paraId="503401D6">
                  <w:pPr>
                    <w:adjustRightInd w:val="0"/>
                    <w:snapToGrid w:val="0"/>
                    <w:spacing w:line="240" w:lineRule="auto"/>
                    <w:jc w:val="center"/>
                    <w:rPr>
                      <w:rFonts w:ascii="Times New Roman" w:hAnsi="Times New Roman" w:eastAsia="宋体" w:cs="Times New Roman"/>
                      <w:b/>
                      <w:bCs/>
                      <w:color w:val="auto"/>
                      <w:kern w:val="0"/>
                      <w:sz w:val="21"/>
                      <w:szCs w:val="21"/>
                      <w:highlight w:val="none"/>
                      <w:lang w:val="en-US" w:eastAsia="zh-CN" w:bidi="en-US"/>
                    </w:rPr>
                  </w:pPr>
                  <w:r>
                    <w:rPr>
                      <w:rFonts w:hint="eastAsia"/>
                      <w:b/>
                      <w:bCs/>
                      <w:color w:val="auto"/>
                      <w:kern w:val="0"/>
                      <w:sz w:val="21"/>
                      <w:szCs w:val="21"/>
                      <w:highlight w:val="none"/>
                      <w:lang w:val="en-US" w:eastAsia="zh-CN" w:bidi="en-US"/>
                    </w:rPr>
                    <w:t>收集效率%</w:t>
                  </w:r>
                </w:p>
              </w:tc>
              <w:tc>
                <w:tcPr>
                  <w:tcW w:w="489" w:type="pct"/>
                  <w:vMerge w:val="restart"/>
                  <w:tcBorders>
                    <w:tl2br w:val="nil"/>
                    <w:tr2bl w:val="nil"/>
                  </w:tcBorders>
                  <w:shd w:val="clear" w:color="auto" w:fill="auto"/>
                  <w:vAlign w:val="center"/>
                </w:tcPr>
                <w:p w14:paraId="0CB4AC23">
                  <w:pPr>
                    <w:adjustRightInd w:val="0"/>
                    <w:snapToGrid w:val="0"/>
                    <w:spacing w:line="240" w:lineRule="auto"/>
                    <w:jc w:val="center"/>
                    <w:rPr>
                      <w:b/>
                      <w:bCs/>
                      <w:color w:val="auto"/>
                      <w:kern w:val="0"/>
                      <w:sz w:val="21"/>
                      <w:szCs w:val="21"/>
                      <w:highlight w:val="none"/>
                      <w:lang w:bidi="en-US"/>
                    </w:rPr>
                  </w:pPr>
                  <w:r>
                    <w:rPr>
                      <w:rFonts w:hint="eastAsia"/>
                      <w:b/>
                      <w:bCs/>
                      <w:color w:val="auto"/>
                      <w:kern w:val="0"/>
                      <w:sz w:val="21"/>
                      <w:szCs w:val="21"/>
                      <w:highlight w:val="none"/>
                      <w:lang w:val="en-US" w:eastAsia="zh-CN" w:bidi="en-US"/>
                    </w:rPr>
                    <w:t>治理工艺</w:t>
                  </w:r>
                  <w:r>
                    <w:rPr>
                      <w:b/>
                      <w:bCs/>
                      <w:color w:val="auto"/>
                      <w:kern w:val="0"/>
                      <w:sz w:val="21"/>
                      <w:szCs w:val="21"/>
                      <w:highlight w:val="none"/>
                      <w:lang w:bidi="en-US"/>
                    </w:rPr>
                    <w:t>处理</w:t>
                  </w:r>
                </w:p>
                <w:p w14:paraId="12B99D97">
                  <w:pPr>
                    <w:adjustRightInd w:val="0"/>
                    <w:snapToGrid w:val="0"/>
                    <w:spacing w:line="240" w:lineRule="auto"/>
                    <w:jc w:val="center"/>
                    <w:rPr>
                      <w:rFonts w:ascii="Times New Roman" w:hAnsi="Times New Roman" w:eastAsia="宋体" w:cs="Times New Roman"/>
                      <w:b/>
                      <w:bCs/>
                      <w:color w:val="auto"/>
                      <w:kern w:val="0"/>
                      <w:sz w:val="21"/>
                      <w:szCs w:val="21"/>
                      <w:highlight w:val="none"/>
                      <w:lang w:val="en-US" w:eastAsia="zh-CN" w:bidi="en-US"/>
                    </w:rPr>
                  </w:pPr>
                  <w:r>
                    <w:rPr>
                      <w:b/>
                      <w:bCs/>
                      <w:color w:val="auto"/>
                      <w:kern w:val="0"/>
                      <w:sz w:val="21"/>
                      <w:szCs w:val="21"/>
                      <w:highlight w:val="none"/>
                      <w:lang w:bidi="en-US"/>
                    </w:rPr>
                    <w:t>效率%</w:t>
                  </w:r>
                </w:p>
              </w:tc>
              <w:tc>
                <w:tcPr>
                  <w:tcW w:w="558" w:type="pct"/>
                  <w:vMerge w:val="restart"/>
                  <w:tcBorders>
                    <w:tl2br w:val="nil"/>
                    <w:tr2bl w:val="nil"/>
                  </w:tcBorders>
                  <w:shd w:val="clear" w:color="auto" w:fill="auto"/>
                  <w:vAlign w:val="center"/>
                </w:tcPr>
                <w:p w14:paraId="7EA4845E">
                  <w:pPr>
                    <w:adjustRightInd w:val="0"/>
                    <w:snapToGrid w:val="0"/>
                    <w:spacing w:line="240" w:lineRule="auto"/>
                    <w:jc w:val="center"/>
                    <w:rPr>
                      <w:rFonts w:hint="eastAsia" w:ascii="Times New Roman" w:hAnsi="Times New Roman" w:eastAsia="宋体" w:cs="Times New Roman"/>
                      <w:b/>
                      <w:bCs/>
                      <w:color w:val="auto"/>
                      <w:kern w:val="0"/>
                      <w:sz w:val="21"/>
                      <w:szCs w:val="21"/>
                      <w:highlight w:val="none"/>
                      <w:lang w:val="en-US" w:eastAsia="zh-CN" w:bidi="en-US"/>
                    </w:rPr>
                  </w:pPr>
                  <w:r>
                    <w:rPr>
                      <w:rFonts w:hint="eastAsia"/>
                      <w:b/>
                      <w:bCs/>
                      <w:color w:val="auto"/>
                      <w:kern w:val="0"/>
                      <w:sz w:val="21"/>
                      <w:szCs w:val="21"/>
                      <w:highlight w:val="none"/>
                      <w:lang w:val="en-US" w:eastAsia="zh-CN" w:bidi="en-US"/>
                    </w:rPr>
                    <w:t>处理措施</w:t>
                  </w:r>
                </w:p>
              </w:tc>
              <w:tc>
                <w:tcPr>
                  <w:tcW w:w="629" w:type="pct"/>
                  <w:vMerge w:val="restart"/>
                  <w:tcBorders>
                    <w:tl2br w:val="nil"/>
                    <w:tr2bl w:val="nil"/>
                  </w:tcBorders>
                  <w:shd w:val="clear" w:color="auto" w:fill="auto"/>
                  <w:vAlign w:val="center"/>
                </w:tcPr>
                <w:p w14:paraId="51F52C50">
                  <w:pPr>
                    <w:adjustRightInd w:val="0"/>
                    <w:snapToGrid w:val="0"/>
                    <w:spacing w:line="240" w:lineRule="auto"/>
                    <w:jc w:val="center"/>
                    <w:rPr>
                      <w:rFonts w:hint="default" w:eastAsia="宋体"/>
                      <w:b/>
                      <w:bCs/>
                      <w:color w:val="auto"/>
                      <w:kern w:val="0"/>
                      <w:sz w:val="21"/>
                      <w:szCs w:val="21"/>
                      <w:highlight w:val="none"/>
                      <w:lang w:val="en-US" w:eastAsia="zh-CN" w:bidi="en-US"/>
                    </w:rPr>
                  </w:pPr>
                  <w:r>
                    <w:rPr>
                      <w:rFonts w:hint="eastAsia"/>
                      <w:b/>
                      <w:bCs/>
                      <w:color w:val="auto"/>
                      <w:kern w:val="0"/>
                      <w:sz w:val="21"/>
                      <w:szCs w:val="21"/>
                      <w:highlight w:val="none"/>
                      <w:lang w:val="zh-CN"/>
                    </w:rPr>
                    <w:t>设计</w:t>
                  </w:r>
                  <w:r>
                    <w:rPr>
                      <w:rFonts w:hint="eastAsia"/>
                      <w:b/>
                      <w:bCs/>
                      <w:color w:val="auto"/>
                      <w:kern w:val="0"/>
                      <w:sz w:val="21"/>
                      <w:szCs w:val="21"/>
                      <w:highlight w:val="none"/>
                      <w:lang w:val="en-US" w:eastAsia="zh-CN"/>
                    </w:rPr>
                    <w:t>喷粉烘干</w:t>
                  </w:r>
                  <w:r>
                    <w:rPr>
                      <w:rFonts w:hint="eastAsia"/>
                      <w:b/>
                      <w:bCs/>
                      <w:color w:val="auto"/>
                      <w:kern w:val="0"/>
                      <w:sz w:val="21"/>
                      <w:szCs w:val="21"/>
                      <w:highlight w:val="none"/>
                      <w:lang w:val="zh-CN"/>
                    </w:rPr>
                    <w:t>废气处理量</w:t>
                  </w:r>
                  <w:r>
                    <w:rPr>
                      <w:b/>
                      <w:bCs/>
                      <w:color w:val="auto"/>
                      <w:kern w:val="0"/>
                      <w:sz w:val="21"/>
                      <w:szCs w:val="21"/>
                      <w:highlight w:val="none"/>
                      <w:lang w:val="zh-CN"/>
                    </w:rPr>
                    <w:t>m</w:t>
                  </w:r>
                  <w:r>
                    <w:rPr>
                      <w:b/>
                      <w:bCs/>
                      <w:color w:val="auto"/>
                      <w:kern w:val="0"/>
                      <w:sz w:val="21"/>
                      <w:szCs w:val="21"/>
                      <w:highlight w:val="none"/>
                      <w:vertAlign w:val="superscript"/>
                    </w:rPr>
                    <w:t>3</w:t>
                  </w:r>
                  <w:r>
                    <w:rPr>
                      <w:b/>
                      <w:bCs/>
                      <w:color w:val="auto"/>
                      <w:kern w:val="0"/>
                      <w:sz w:val="21"/>
                      <w:szCs w:val="21"/>
                      <w:highlight w:val="none"/>
                      <w:lang w:val="zh-CN"/>
                    </w:rPr>
                    <w:t>/h</w:t>
                  </w:r>
                </w:p>
              </w:tc>
              <w:tc>
                <w:tcPr>
                  <w:tcW w:w="918" w:type="pct"/>
                  <w:gridSpan w:val="2"/>
                  <w:tcBorders>
                    <w:tl2br w:val="nil"/>
                    <w:tr2bl w:val="nil"/>
                  </w:tcBorders>
                  <w:shd w:val="clear" w:color="auto" w:fill="auto"/>
                  <w:vAlign w:val="center"/>
                </w:tcPr>
                <w:p w14:paraId="13C81A82">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排放情况</w:t>
                  </w:r>
                </w:p>
              </w:tc>
            </w:tr>
            <w:tr w14:paraId="0B42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340" w:hRule="atLeast"/>
              </w:trPr>
              <w:tc>
                <w:tcPr>
                  <w:tcW w:w="596" w:type="pct"/>
                  <w:vMerge w:val="continue"/>
                  <w:tcBorders>
                    <w:tl2br w:val="nil"/>
                    <w:tr2bl w:val="nil"/>
                  </w:tcBorders>
                  <w:shd w:val="clear" w:color="auto" w:fill="auto"/>
                  <w:vAlign w:val="center"/>
                </w:tcPr>
                <w:p w14:paraId="288FE74E">
                  <w:pPr>
                    <w:adjustRightInd w:val="0"/>
                    <w:snapToGrid w:val="0"/>
                    <w:spacing w:line="240" w:lineRule="auto"/>
                    <w:jc w:val="center"/>
                    <w:rPr>
                      <w:b/>
                      <w:bCs/>
                      <w:color w:val="auto"/>
                      <w:kern w:val="0"/>
                      <w:sz w:val="21"/>
                      <w:szCs w:val="21"/>
                      <w:highlight w:val="none"/>
                      <w:lang w:bidi="en-US"/>
                    </w:rPr>
                  </w:pPr>
                </w:p>
              </w:tc>
              <w:tc>
                <w:tcPr>
                  <w:tcW w:w="311" w:type="pct"/>
                  <w:vMerge w:val="continue"/>
                  <w:tcBorders>
                    <w:tl2br w:val="nil"/>
                    <w:tr2bl w:val="nil"/>
                  </w:tcBorders>
                  <w:shd w:val="clear" w:color="auto" w:fill="auto"/>
                  <w:vAlign w:val="center"/>
                </w:tcPr>
                <w:p w14:paraId="4762260F">
                  <w:pPr>
                    <w:adjustRightInd w:val="0"/>
                    <w:snapToGrid w:val="0"/>
                    <w:spacing w:line="240" w:lineRule="auto"/>
                    <w:jc w:val="center"/>
                    <w:rPr>
                      <w:b/>
                      <w:bCs/>
                      <w:color w:val="auto"/>
                      <w:kern w:val="0"/>
                      <w:sz w:val="21"/>
                      <w:szCs w:val="21"/>
                      <w:highlight w:val="none"/>
                      <w:lang w:bidi="en-US"/>
                    </w:rPr>
                  </w:pPr>
                </w:p>
              </w:tc>
              <w:tc>
                <w:tcPr>
                  <w:tcW w:w="479" w:type="pct"/>
                  <w:tcBorders>
                    <w:tl2br w:val="nil"/>
                    <w:tr2bl w:val="nil"/>
                  </w:tcBorders>
                  <w:shd w:val="clear" w:color="auto" w:fill="auto"/>
                  <w:vAlign w:val="center"/>
                </w:tcPr>
                <w:p w14:paraId="30EB83F3">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产生量t/a</w:t>
                  </w:r>
                </w:p>
              </w:tc>
              <w:tc>
                <w:tcPr>
                  <w:tcW w:w="527" w:type="pct"/>
                  <w:tcBorders>
                    <w:tl2br w:val="nil"/>
                    <w:tr2bl w:val="nil"/>
                  </w:tcBorders>
                  <w:shd w:val="clear" w:color="auto" w:fill="auto"/>
                  <w:vAlign w:val="center"/>
                </w:tcPr>
                <w:p w14:paraId="40B29CA7">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产生速率kg/h</w:t>
                  </w:r>
                </w:p>
              </w:tc>
              <w:tc>
                <w:tcPr>
                  <w:tcW w:w="489" w:type="pct"/>
                  <w:vMerge w:val="continue"/>
                  <w:tcBorders>
                    <w:tl2br w:val="nil"/>
                    <w:tr2bl w:val="nil"/>
                  </w:tcBorders>
                  <w:shd w:val="clear" w:color="auto" w:fill="auto"/>
                  <w:vAlign w:val="center"/>
                </w:tcPr>
                <w:p w14:paraId="1656E1EF">
                  <w:pPr>
                    <w:adjustRightInd w:val="0"/>
                    <w:snapToGrid w:val="0"/>
                    <w:spacing w:line="240" w:lineRule="auto"/>
                    <w:jc w:val="center"/>
                    <w:rPr>
                      <w:b/>
                      <w:bCs/>
                      <w:color w:val="auto"/>
                      <w:kern w:val="0"/>
                      <w:sz w:val="21"/>
                      <w:szCs w:val="21"/>
                      <w:highlight w:val="none"/>
                      <w:lang w:bidi="en-US"/>
                    </w:rPr>
                  </w:pPr>
                </w:p>
              </w:tc>
              <w:tc>
                <w:tcPr>
                  <w:tcW w:w="489" w:type="pct"/>
                  <w:vMerge w:val="continue"/>
                  <w:tcBorders>
                    <w:tl2br w:val="nil"/>
                    <w:tr2bl w:val="nil"/>
                  </w:tcBorders>
                  <w:shd w:val="clear" w:color="auto" w:fill="auto"/>
                  <w:vAlign w:val="center"/>
                </w:tcPr>
                <w:p w14:paraId="5555D4BD">
                  <w:pPr>
                    <w:adjustRightInd w:val="0"/>
                    <w:snapToGrid w:val="0"/>
                    <w:spacing w:line="240" w:lineRule="auto"/>
                    <w:jc w:val="center"/>
                    <w:rPr>
                      <w:b/>
                      <w:bCs/>
                      <w:color w:val="auto"/>
                      <w:kern w:val="0"/>
                      <w:sz w:val="21"/>
                      <w:szCs w:val="21"/>
                      <w:highlight w:val="none"/>
                      <w:lang w:bidi="en-US"/>
                    </w:rPr>
                  </w:pPr>
                </w:p>
              </w:tc>
              <w:tc>
                <w:tcPr>
                  <w:tcW w:w="558" w:type="pct"/>
                  <w:vMerge w:val="continue"/>
                  <w:tcBorders>
                    <w:tl2br w:val="nil"/>
                    <w:tr2bl w:val="nil"/>
                  </w:tcBorders>
                  <w:shd w:val="clear" w:color="auto" w:fill="auto"/>
                  <w:vAlign w:val="center"/>
                </w:tcPr>
                <w:p w14:paraId="3C2EE10C">
                  <w:pPr>
                    <w:adjustRightInd w:val="0"/>
                    <w:snapToGrid w:val="0"/>
                    <w:spacing w:line="240" w:lineRule="auto"/>
                    <w:jc w:val="center"/>
                    <w:rPr>
                      <w:b/>
                      <w:bCs/>
                      <w:color w:val="auto"/>
                      <w:kern w:val="0"/>
                      <w:sz w:val="21"/>
                      <w:szCs w:val="21"/>
                      <w:highlight w:val="none"/>
                      <w:lang w:bidi="en-US"/>
                    </w:rPr>
                  </w:pPr>
                </w:p>
              </w:tc>
              <w:tc>
                <w:tcPr>
                  <w:tcW w:w="629" w:type="pct"/>
                  <w:vMerge w:val="continue"/>
                  <w:tcBorders>
                    <w:tl2br w:val="nil"/>
                    <w:tr2bl w:val="nil"/>
                  </w:tcBorders>
                  <w:shd w:val="clear" w:color="auto" w:fill="auto"/>
                  <w:vAlign w:val="center"/>
                </w:tcPr>
                <w:p w14:paraId="38635E11">
                  <w:pPr>
                    <w:adjustRightInd w:val="0"/>
                    <w:snapToGrid w:val="0"/>
                    <w:spacing w:line="240" w:lineRule="auto"/>
                    <w:jc w:val="center"/>
                    <w:rPr>
                      <w:b/>
                      <w:bCs/>
                      <w:color w:val="auto"/>
                      <w:kern w:val="0"/>
                      <w:sz w:val="21"/>
                      <w:szCs w:val="21"/>
                      <w:highlight w:val="none"/>
                      <w:lang w:bidi="en-US"/>
                    </w:rPr>
                  </w:pPr>
                </w:p>
              </w:tc>
              <w:tc>
                <w:tcPr>
                  <w:tcW w:w="426" w:type="pct"/>
                  <w:tcBorders>
                    <w:tl2br w:val="nil"/>
                    <w:tr2bl w:val="nil"/>
                  </w:tcBorders>
                  <w:shd w:val="clear" w:color="auto" w:fill="auto"/>
                  <w:vAlign w:val="center"/>
                </w:tcPr>
                <w:p w14:paraId="463C1948">
                  <w:pPr>
                    <w:adjustRightInd w:val="0"/>
                    <w:snapToGrid w:val="0"/>
                    <w:spacing w:line="240" w:lineRule="auto"/>
                    <w:jc w:val="center"/>
                    <w:rPr>
                      <w:b/>
                      <w:bCs/>
                      <w:color w:val="auto"/>
                      <w:kern w:val="0"/>
                      <w:sz w:val="21"/>
                      <w:szCs w:val="21"/>
                      <w:highlight w:val="none"/>
                      <w:vertAlign w:val="superscript"/>
                      <w:lang w:bidi="en-US"/>
                    </w:rPr>
                  </w:pPr>
                  <w:r>
                    <w:rPr>
                      <w:b/>
                      <w:bCs/>
                      <w:color w:val="auto"/>
                      <w:kern w:val="0"/>
                      <w:sz w:val="21"/>
                      <w:szCs w:val="21"/>
                      <w:highlight w:val="none"/>
                      <w:lang w:bidi="en-US"/>
                    </w:rPr>
                    <w:t>排放量t/a</w:t>
                  </w:r>
                </w:p>
              </w:tc>
              <w:tc>
                <w:tcPr>
                  <w:tcW w:w="492" w:type="pct"/>
                  <w:tcBorders>
                    <w:tl2br w:val="nil"/>
                    <w:tr2bl w:val="nil"/>
                  </w:tcBorders>
                  <w:shd w:val="clear" w:color="auto" w:fill="auto"/>
                  <w:vAlign w:val="center"/>
                </w:tcPr>
                <w:p w14:paraId="2EE99C6C">
                  <w:pPr>
                    <w:adjustRightInd w:val="0"/>
                    <w:snapToGrid w:val="0"/>
                    <w:spacing w:line="240" w:lineRule="auto"/>
                    <w:jc w:val="center"/>
                    <w:rPr>
                      <w:b/>
                      <w:bCs/>
                      <w:color w:val="auto"/>
                      <w:kern w:val="0"/>
                      <w:sz w:val="21"/>
                      <w:szCs w:val="21"/>
                      <w:highlight w:val="none"/>
                      <w:lang w:bidi="en-US"/>
                    </w:rPr>
                  </w:pPr>
                  <w:r>
                    <w:rPr>
                      <w:b/>
                      <w:bCs/>
                      <w:color w:val="auto"/>
                      <w:kern w:val="0"/>
                      <w:sz w:val="21"/>
                      <w:szCs w:val="21"/>
                      <w:highlight w:val="none"/>
                      <w:lang w:bidi="en-US"/>
                    </w:rPr>
                    <w:t>排放速率kg/h</w:t>
                  </w:r>
                </w:p>
              </w:tc>
            </w:tr>
            <w:tr w14:paraId="10E7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151" w:hRule="atLeast"/>
              </w:trPr>
              <w:tc>
                <w:tcPr>
                  <w:tcW w:w="596" w:type="pct"/>
                  <w:tcBorders>
                    <w:tl2br w:val="nil"/>
                    <w:tr2bl w:val="nil"/>
                  </w:tcBorders>
                  <w:shd w:val="clear" w:color="auto" w:fill="auto"/>
                  <w:vAlign w:val="center"/>
                </w:tcPr>
                <w:p w14:paraId="4D9355A0">
                  <w:pPr>
                    <w:adjustRightInd w:val="0"/>
                    <w:snapToGrid w:val="0"/>
                    <w:spacing w:line="240" w:lineRule="auto"/>
                    <w:jc w:val="center"/>
                    <w:rPr>
                      <w:rFonts w:hint="eastAsia" w:ascii="Times New Roman" w:hAnsi="Times New Roman" w:eastAsia="宋体" w:cs="Times New Roman"/>
                      <w:color w:val="auto"/>
                      <w:kern w:val="0"/>
                      <w:sz w:val="21"/>
                      <w:szCs w:val="21"/>
                      <w:highlight w:val="none"/>
                      <w:lang w:val="en-US" w:eastAsia="zh-CN" w:bidi="en-US"/>
                    </w:rPr>
                  </w:pPr>
                  <w:r>
                    <w:rPr>
                      <w:rFonts w:hint="eastAsia"/>
                      <w:color w:val="auto"/>
                      <w:kern w:val="0"/>
                      <w:sz w:val="21"/>
                      <w:szCs w:val="21"/>
                      <w:highlight w:val="none"/>
                      <w:lang w:val="en-US" w:eastAsia="zh-CN" w:bidi="en-US"/>
                    </w:rPr>
                    <w:t>DA002排气筒</w:t>
                  </w:r>
                </w:p>
              </w:tc>
              <w:tc>
                <w:tcPr>
                  <w:tcW w:w="311" w:type="pct"/>
                  <w:tcBorders>
                    <w:tl2br w:val="nil"/>
                    <w:tr2bl w:val="nil"/>
                  </w:tcBorders>
                  <w:shd w:val="clear" w:color="auto" w:fill="auto"/>
                  <w:vAlign w:val="center"/>
                </w:tcPr>
                <w:p w14:paraId="412753E6">
                  <w:pPr>
                    <w:adjustRightInd w:val="0"/>
                    <w:snapToGrid w:val="0"/>
                    <w:spacing w:line="240" w:lineRule="auto"/>
                    <w:jc w:val="center"/>
                    <w:rPr>
                      <w:rFonts w:hint="eastAsia" w:ascii="Times New Roman" w:hAnsi="Times New Roman" w:eastAsia="宋体" w:cs="Times New Roman"/>
                      <w:color w:val="auto"/>
                      <w:kern w:val="0"/>
                      <w:sz w:val="21"/>
                      <w:szCs w:val="21"/>
                      <w:highlight w:val="none"/>
                      <w:lang w:val="en-US" w:eastAsia="zh-CN" w:bidi="en-US"/>
                    </w:rPr>
                  </w:pPr>
                  <w:r>
                    <w:rPr>
                      <w:rFonts w:hint="eastAsia"/>
                      <w:color w:val="auto"/>
                      <w:kern w:val="0"/>
                      <w:sz w:val="21"/>
                      <w:szCs w:val="21"/>
                      <w:highlight w:val="none"/>
                      <w:lang w:val="en-US" w:eastAsia="zh-CN" w:bidi="en-US"/>
                    </w:rPr>
                    <w:t>非甲烷总烃</w:t>
                  </w:r>
                </w:p>
              </w:tc>
              <w:tc>
                <w:tcPr>
                  <w:tcW w:w="479" w:type="pct"/>
                  <w:tcBorders>
                    <w:tl2br w:val="nil"/>
                    <w:tr2bl w:val="nil"/>
                  </w:tcBorders>
                  <w:shd w:val="clear" w:color="auto" w:fill="auto"/>
                  <w:vAlign w:val="center"/>
                </w:tcPr>
                <w:p w14:paraId="5CD9C6F5">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0.16</w:t>
                  </w:r>
                </w:p>
              </w:tc>
              <w:tc>
                <w:tcPr>
                  <w:tcW w:w="527" w:type="pct"/>
                  <w:tcBorders>
                    <w:tl2br w:val="nil"/>
                    <w:tr2bl w:val="nil"/>
                  </w:tcBorders>
                  <w:shd w:val="clear" w:color="auto" w:fill="auto"/>
                  <w:vAlign w:val="center"/>
                </w:tcPr>
                <w:p w14:paraId="33E928FE">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0.067</w:t>
                  </w:r>
                </w:p>
              </w:tc>
              <w:tc>
                <w:tcPr>
                  <w:tcW w:w="489" w:type="pct"/>
                  <w:tcBorders>
                    <w:tl2br w:val="nil"/>
                    <w:tr2bl w:val="nil"/>
                  </w:tcBorders>
                  <w:shd w:val="clear" w:color="auto" w:fill="auto"/>
                  <w:vAlign w:val="center"/>
                </w:tcPr>
                <w:p w14:paraId="41EB6BE7">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65</w:t>
                  </w:r>
                </w:p>
              </w:tc>
              <w:tc>
                <w:tcPr>
                  <w:tcW w:w="489" w:type="pct"/>
                  <w:tcBorders>
                    <w:tl2br w:val="nil"/>
                    <w:tr2bl w:val="nil"/>
                  </w:tcBorders>
                  <w:shd w:val="clear" w:color="auto" w:fill="auto"/>
                  <w:vAlign w:val="center"/>
                </w:tcPr>
                <w:p w14:paraId="25AAF89C">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32</w:t>
                  </w:r>
                </w:p>
              </w:tc>
              <w:tc>
                <w:tcPr>
                  <w:tcW w:w="558" w:type="pct"/>
                  <w:tcBorders>
                    <w:tl2br w:val="nil"/>
                    <w:tr2bl w:val="nil"/>
                  </w:tcBorders>
                  <w:shd w:val="clear" w:color="auto" w:fill="auto"/>
                  <w:vAlign w:val="center"/>
                </w:tcPr>
                <w:p w14:paraId="0DEF047B">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水喷淋+二级活性炭（含干式过滤棉）</w:t>
                  </w:r>
                </w:p>
              </w:tc>
              <w:tc>
                <w:tcPr>
                  <w:tcW w:w="629" w:type="pct"/>
                  <w:tcBorders>
                    <w:tl2br w:val="nil"/>
                    <w:tr2bl w:val="nil"/>
                  </w:tcBorders>
                  <w:shd w:val="clear" w:color="auto" w:fill="auto"/>
                  <w:vAlign w:val="center"/>
                </w:tcPr>
                <w:p w14:paraId="2CE14FBB">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5000</w:t>
                  </w:r>
                </w:p>
              </w:tc>
              <w:tc>
                <w:tcPr>
                  <w:tcW w:w="426" w:type="pct"/>
                  <w:tcBorders>
                    <w:tl2br w:val="nil"/>
                    <w:tr2bl w:val="nil"/>
                  </w:tcBorders>
                  <w:shd w:val="clear" w:color="auto" w:fill="auto"/>
                  <w:vAlign w:val="center"/>
                </w:tcPr>
                <w:p w14:paraId="18581591">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0.11</w:t>
                  </w:r>
                </w:p>
              </w:tc>
              <w:tc>
                <w:tcPr>
                  <w:tcW w:w="492" w:type="pct"/>
                  <w:tcBorders>
                    <w:tl2br w:val="nil"/>
                    <w:tr2bl w:val="nil"/>
                  </w:tcBorders>
                  <w:shd w:val="clear" w:color="auto" w:fill="auto"/>
                  <w:vAlign w:val="center"/>
                </w:tcPr>
                <w:p w14:paraId="3BDAAC52">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0.046</w:t>
                  </w:r>
                </w:p>
              </w:tc>
            </w:tr>
            <w:tr w14:paraId="651F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151" w:hRule="atLeast"/>
              </w:trPr>
              <w:tc>
                <w:tcPr>
                  <w:tcW w:w="596" w:type="pct"/>
                  <w:tcBorders>
                    <w:tl2br w:val="nil"/>
                    <w:tr2bl w:val="nil"/>
                  </w:tcBorders>
                  <w:shd w:val="clear" w:color="auto" w:fill="auto"/>
                  <w:vAlign w:val="center"/>
                </w:tcPr>
                <w:p w14:paraId="785C2D10">
                  <w:pPr>
                    <w:adjustRightInd w:val="0"/>
                    <w:snapToGrid w:val="0"/>
                    <w:spacing w:line="240" w:lineRule="auto"/>
                    <w:jc w:val="center"/>
                    <w:rPr>
                      <w:rFonts w:hint="default"/>
                      <w:color w:val="auto"/>
                      <w:kern w:val="0"/>
                      <w:sz w:val="21"/>
                      <w:szCs w:val="21"/>
                      <w:highlight w:val="none"/>
                      <w:lang w:val="en-US" w:eastAsia="zh-CN" w:bidi="en-US"/>
                    </w:rPr>
                  </w:pPr>
                  <w:r>
                    <w:rPr>
                      <w:rFonts w:hint="eastAsia"/>
                      <w:color w:val="auto"/>
                      <w:kern w:val="0"/>
                      <w:sz w:val="21"/>
                      <w:szCs w:val="21"/>
                      <w:highlight w:val="none"/>
                      <w:lang w:val="en-US" w:eastAsia="zh-CN" w:bidi="en-US"/>
                    </w:rPr>
                    <w:t>无组织废气</w:t>
                  </w:r>
                </w:p>
              </w:tc>
              <w:tc>
                <w:tcPr>
                  <w:tcW w:w="311" w:type="pct"/>
                  <w:tcBorders>
                    <w:tl2br w:val="nil"/>
                    <w:tr2bl w:val="nil"/>
                  </w:tcBorders>
                  <w:shd w:val="clear" w:color="auto" w:fill="auto"/>
                  <w:vAlign w:val="center"/>
                </w:tcPr>
                <w:p w14:paraId="104BC1E4">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en-US"/>
                    </w:rPr>
                  </w:pPr>
                  <w:r>
                    <w:rPr>
                      <w:rFonts w:hint="eastAsia"/>
                      <w:color w:val="auto"/>
                      <w:kern w:val="0"/>
                      <w:sz w:val="21"/>
                      <w:szCs w:val="21"/>
                      <w:highlight w:val="none"/>
                      <w:lang w:val="en-US" w:eastAsia="zh-CN" w:bidi="en-US"/>
                    </w:rPr>
                    <w:t>非甲烷总烃</w:t>
                  </w:r>
                </w:p>
              </w:tc>
              <w:tc>
                <w:tcPr>
                  <w:tcW w:w="479" w:type="pct"/>
                  <w:tcBorders>
                    <w:tl2br w:val="nil"/>
                    <w:tr2bl w:val="nil"/>
                  </w:tcBorders>
                  <w:shd w:val="clear" w:color="auto" w:fill="auto"/>
                  <w:vAlign w:val="center"/>
                </w:tcPr>
                <w:p w14:paraId="17B9A180">
                  <w:pPr>
                    <w:widowControl/>
                    <w:snapToGrid w:val="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0.08</w:t>
                  </w:r>
                </w:p>
              </w:tc>
              <w:tc>
                <w:tcPr>
                  <w:tcW w:w="527" w:type="pct"/>
                  <w:tcBorders>
                    <w:tl2br w:val="nil"/>
                    <w:tr2bl w:val="nil"/>
                  </w:tcBorders>
                  <w:shd w:val="clear" w:color="auto" w:fill="auto"/>
                  <w:vAlign w:val="center"/>
                </w:tcPr>
                <w:p w14:paraId="3CC611FF">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0.033</w:t>
                  </w:r>
                </w:p>
              </w:tc>
              <w:tc>
                <w:tcPr>
                  <w:tcW w:w="489" w:type="pct"/>
                  <w:tcBorders>
                    <w:tl2br w:val="nil"/>
                    <w:tr2bl w:val="nil"/>
                  </w:tcBorders>
                  <w:shd w:val="clear" w:color="auto" w:fill="auto"/>
                  <w:vAlign w:val="center"/>
                </w:tcPr>
                <w:p w14:paraId="6F1B51BE">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489" w:type="pct"/>
                  <w:tcBorders>
                    <w:tl2br w:val="nil"/>
                    <w:tr2bl w:val="nil"/>
                  </w:tcBorders>
                  <w:shd w:val="clear" w:color="auto" w:fill="auto"/>
                  <w:vAlign w:val="center"/>
                </w:tcPr>
                <w:p w14:paraId="1D030C7F">
                  <w:pPr>
                    <w:widowControl/>
                    <w:snapToGrid w:val="0"/>
                    <w:jc w:val="center"/>
                    <w:textAlignment w:val="center"/>
                    <w:rPr>
                      <w:rFonts w:hint="eastAsia" w:ascii="Times New Roman" w:hAnsi="Times New Roman" w:eastAsia="宋体" w:cs="Times New Roman"/>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558" w:type="pct"/>
                  <w:tcBorders>
                    <w:tl2br w:val="nil"/>
                    <w:tr2bl w:val="nil"/>
                  </w:tcBorders>
                  <w:shd w:val="clear" w:color="auto" w:fill="auto"/>
                  <w:vAlign w:val="center"/>
                </w:tcPr>
                <w:p w14:paraId="3BF951E8">
                  <w:pPr>
                    <w:widowControl/>
                    <w:snapToGrid w:val="0"/>
                    <w:jc w:val="center"/>
                    <w:textAlignment w:val="center"/>
                    <w:rPr>
                      <w:rFonts w:hint="eastAsia" w:ascii="Times New Roman" w:hAnsi="Times New Roman" w:eastAsia="宋体" w:cs="Times New Roman"/>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629" w:type="pct"/>
                  <w:tcBorders>
                    <w:tl2br w:val="nil"/>
                    <w:tr2bl w:val="nil"/>
                  </w:tcBorders>
                  <w:shd w:val="clear" w:color="auto" w:fill="auto"/>
                  <w:vAlign w:val="center"/>
                </w:tcPr>
                <w:p w14:paraId="04581116">
                  <w:pPr>
                    <w:widowControl/>
                    <w:snapToGrid w:val="0"/>
                    <w:jc w:val="center"/>
                    <w:textAlignment w:val="center"/>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t>/</w:t>
                  </w:r>
                </w:p>
              </w:tc>
              <w:tc>
                <w:tcPr>
                  <w:tcW w:w="426" w:type="pct"/>
                  <w:tcBorders>
                    <w:tl2br w:val="nil"/>
                    <w:tr2bl w:val="nil"/>
                  </w:tcBorders>
                  <w:shd w:val="clear" w:color="auto" w:fill="auto"/>
                  <w:vAlign w:val="center"/>
                </w:tcPr>
                <w:p w14:paraId="52A013F5">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0.08</w:t>
                  </w:r>
                </w:p>
              </w:tc>
              <w:tc>
                <w:tcPr>
                  <w:tcW w:w="492" w:type="pct"/>
                  <w:tcBorders>
                    <w:tl2br w:val="nil"/>
                    <w:tr2bl w:val="nil"/>
                  </w:tcBorders>
                  <w:shd w:val="clear" w:color="auto" w:fill="auto"/>
                  <w:vAlign w:val="center"/>
                </w:tcPr>
                <w:p w14:paraId="3F69E423">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0.033</w:t>
                  </w:r>
                </w:p>
              </w:tc>
            </w:tr>
          </w:tbl>
          <w:p w14:paraId="1D65788D">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u w:val="none" w:color="auto"/>
                <w:lang w:val="en-US" w:eastAsia="zh-CN"/>
              </w:rPr>
            </w:pPr>
            <w:r>
              <w:rPr>
                <w:rFonts w:hint="eastAsia"/>
                <w:b w:val="0"/>
                <w:bCs w:val="0"/>
                <w:color w:val="auto"/>
                <w:sz w:val="24"/>
                <w:szCs w:val="24"/>
                <w:u w:val="none" w:color="auto"/>
                <w:lang w:val="en-US" w:eastAsia="zh-CN"/>
              </w:rPr>
              <w:t>（9）</w:t>
            </w:r>
            <w:r>
              <w:rPr>
                <w:rFonts w:hint="eastAsia" w:ascii="Times New Roman" w:hAnsi="Times New Roman" w:eastAsia="宋体"/>
                <w:b w:val="0"/>
                <w:bCs w:val="0"/>
                <w:color w:val="auto"/>
                <w:sz w:val="24"/>
                <w:szCs w:val="24"/>
                <w:u w:val="none" w:color="auto"/>
                <w:lang w:val="en-US" w:eastAsia="zh-CN"/>
              </w:rPr>
              <w:t>臭气浓度</w:t>
            </w:r>
          </w:p>
          <w:p w14:paraId="78C95C0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eastAsia="宋体" w:cs="Times New Roman"/>
                <w:b w:val="0"/>
                <w:bCs w:val="0"/>
                <w:color w:val="auto"/>
                <w:kern w:val="2"/>
                <w:sz w:val="24"/>
                <w:szCs w:val="24"/>
                <w:highlight w:val="none"/>
                <w:lang w:val="en-US" w:eastAsia="zh-CN" w:bidi="ar"/>
              </w:rPr>
            </w:pPr>
            <w:r>
              <w:rPr>
                <w:rFonts w:hint="eastAsia" w:ascii="Times New Roman" w:hAnsi="Times New Roman" w:eastAsia="宋体"/>
                <w:b w:val="0"/>
                <w:bCs w:val="0"/>
                <w:color w:val="auto"/>
                <w:sz w:val="24"/>
                <w:szCs w:val="24"/>
                <w:u w:val="none" w:color="auto"/>
                <w:lang w:val="en-US" w:eastAsia="zh-CN"/>
              </w:rPr>
              <w:t>本项目生产过程</w:t>
            </w:r>
            <w:r>
              <w:rPr>
                <w:rFonts w:hint="eastAsia" w:ascii="Times New Roman" w:hAnsi="Times New Roman"/>
                <w:b w:val="0"/>
                <w:bCs w:val="0"/>
                <w:color w:val="auto"/>
                <w:sz w:val="24"/>
                <w:szCs w:val="24"/>
                <w:u w:val="none" w:color="auto"/>
                <w:lang w:val="en-US" w:eastAsia="zh-CN"/>
              </w:rPr>
              <w:t>会</w:t>
            </w:r>
            <w:r>
              <w:rPr>
                <w:rFonts w:hint="eastAsia"/>
                <w:b w:val="0"/>
                <w:bCs w:val="0"/>
                <w:color w:val="auto"/>
                <w:sz w:val="24"/>
                <w:szCs w:val="24"/>
                <w:u w:val="none" w:color="auto"/>
                <w:lang w:val="en-US" w:eastAsia="zh-CN"/>
              </w:rPr>
              <w:t>产生</w:t>
            </w:r>
            <w:r>
              <w:rPr>
                <w:rFonts w:hint="eastAsia" w:ascii="Times New Roman" w:hAnsi="Times New Roman" w:eastAsia="宋体"/>
                <w:b w:val="0"/>
                <w:bCs w:val="0"/>
                <w:color w:val="auto"/>
                <w:sz w:val="24"/>
                <w:szCs w:val="24"/>
                <w:u w:val="none" w:color="auto"/>
                <w:lang w:val="en-US" w:eastAsia="zh-CN"/>
              </w:rPr>
              <w:t>刺激性臭味，多种令人不愉悦的气味混合形成复合恶臭，用“臭气浓度”表征，较难定量，本评价只进行定性描述。车间内使用这些原辅料过程中挥发的这些不愉悦气味，通过车间的排风换气系统无组织排放。类比</w:t>
            </w:r>
            <w:r>
              <w:rPr>
                <w:rFonts w:hint="eastAsia" w:ascii="Times New Roman" w:hAnsi="Times New Roman" w:eastAsia="宋体"/>
                <w:b w:val="0"/>
                <w:bCs w:val="0"/>
                <w:color w:val="auto"/>
                <w:sz w:val="24"/>
                <w:szCs w:val="24"/>
                <w:u w:val="none" w:color="auto"/>
                <w:lang w:eastAsia="zh-CN"/>
              </w:rPr>
              <w:t>同类企业相似项目：</w:t>
            </w:r>
            <w:r>
              <w:rPr>
                <w:rFonts w:hint="eastAsia" w:ascii="Times New Roman" w:hAnsi="Times New Roman" w:eastAsia="宋体" w:cs="Times New Roman"/>
                <w:b w:val="0"/>
                <w:bCs w:val="0"/>
                <w:color w:val="auto"/>
                <w:sz w:val="24"/>
                <w:szCs w:val="24"/>
                <w:u w:val="none" w:color="auto"/>
                <w:lang w:eastAsia="zh-CN"/>
              </w:rPr>
              <w:t>浙江永途新能源科技有限公司年</w:t>
            </w:r>
            <w:r>
              <w:rPr>
                <w:rFonts w:ascii="宋体" w:hAnsi="宋体" w:eastAsia="宋体" w:cs="宋体"/>
                <w:color w:val="auto"/>
                <w:sz w:val="24"/>
                <w:szCs w:val="24"/>
              </w:rPr>
              <w:t>产50万辆电动车和10万套电动汽车智能充电系统项目</w:t>
            </w:r>
            <w:r>
              <w:rPr>
                <w:rFonts w:hint="eastAsia" w:ascii="Times New Roman" w:hAnsi="Times New Roman" w:eastAsia="宋体" w:cs="Times New Roman"/>
                <w:b w:val="0"/>
                <w:bCs w:val="0"/>
                <w:color w:val="auto"/>
                <w:sz w:val="24"/>
                <w:szCs w:val="24"/>
                <w:u w:val="none" w:color="auto"/>
                <w:lang w:eastAsia="zh-CN"/>
              </w:rPr>
              <w:t>竣工环境保护验收监测报告表</w:t>
            </w:r>
            <w:r>
              <w:rPr>
                <w:rFonts w:ascii="Times New Roman" w:hAnsi="Times New Roman" w:eastAsia="宋体"/>
                <w:b w:val="0"/>
                <w:bCs w:val="0"/>
                <w:color w:val="auto"/>
                <w:sz w:val="24"/>
                <w:szCs w:val="24"/>
                <w:u w:val="none" w:color="auto"/>
              </w:rPr>
              <w:t>（</w:t>
            </w:r>
            <w:r>
              <w:rPr>
                <w:rFonts w:hint="eastAsia" w:ascii="Times New Roman" w:hAnsi="Times New Roman" w:eastAsia="宋体"/>
                <w:b w:val="0"/>
                <w:bCs w:val="0"/>
                <w:color w:val="auto"/>
                <w:sz w:val="24"/>
                <w:szCs w:val="24"/>
                <w:u w:val="none" w:color="auto"/>
                <w:lang w:val="en-US" w:eastAsia="zh-CN"/>
              </w:rPr>
              <w:t>2025</w:t>
            </w:r>
            <w:r>
              <w:rPr>
                <w:rFonts w:ascii="Times New Roman" w:hAnsi="Times New Roman" w:eastAsia="宋体"/>
                <w:b w:val="0"/>
                <w:bCs w:val="0"/>
                <w:color w:val="auto"/>
                <w:sz w:val="24"/>
                <w:szCs w:val="24"/>
                <w:u w:val="none" w:color="auto"/>
              </w:rPr>
              <w:t>年</w:t>
            </w:r>
            <w:r>
              <w:rPr>
                <w:rFonts w:hint="eastAsia"/>
                <w:b w:val="0"/>
                <w:bCs w:val="0"/>
                <w:color w:val="auto"/>
                <w:sz w:val="24"/>
                <w:szCs w:val="24"/>
                <w:u w:val="none" w:color="auto"/>
                <w:lang w:val="en-US" w:eastAsia="zh-CN"/>
              </w:rPr>
              <w:t>11</w:t>
            </w:r>
            <w:r>
              <w:rPr>
                <w:rFonts w:ascii="Times New Roman" w:hAnsi="Times New Roman" w:eastAsia="宋体"/>
                <w:b w:val="0"/>
                <w:bCs w:val="0"/>
                <w:color w:val="auto"/>
                <w:sz w:val="24"/>
                <w:szCs w:val="24"/>
                <w:u w:val="none" w:color="auto"/>
              </w:rPr>
              <w:t>月）</w:t>
            </w:r>
            <w:r>
              <w:rPr>
                <w:rFonts w:hint="eastAsia" w:ascii="Times New Roman" w:hAnsi="Times New Roman" w:eastAsia="宋体"/>
                <w:b w:val="0"/>
                <w:bCs w:val="0"/>
                <w:color w:val="auto"/>
                <w:sz w:val="24"/>
                <w:szCs w:val="24"/>
                <w:u w:val="none" w:color="auto"/>
                <w:lang w:eastAsia="zh-CN"/>
              </w:rPr>
              <w:t>，</w:t>
            </w:r>
            <w:r>
              <w:rPr>
                <w:rFonts w:hint="eastAsia" w:ascii="Times New Roman" w:hAnsi="Times New Roman" w:eastAsia="宋体"/>
                <w:b w:val="0"/>
                <w:bCs w:val="0"/>
                <w:color w:val="auto"/>
                <w:sz w:val="24"/>
                <w:szCs w:val="24"/>
                <w:u w:val="none" w:color="auto"/>
                <w:lang w:val="en-US" w:eastAsia="zh-CN"/>
              </w:rPr>
              <w:t>该项目产品规模为年产50万</w:t>
            </w:r>
            <w:r>
              <w:rPr>
                <w:rFonts w:hint="eastAsia"/>
                <w:b w:val="0"/>
                <w:bCs w:val="0"/>
                <w:color w:val="auto"/>
                <w:sz w:val="24"/>
                <w:szCs w:val="24"/>
                <w:u w:val="none" w:color="auto"/>
                <w:lang w:val="en-US" w:eastAsia="zh-CN"/>
              </w:rPr>
              <w:t>辆电动车</w:t>
            </w:r>
            <w:r>
              <w:rPr>
                <w:rFonts w:hint="eastAsia" w:ascii="Times New Roman" w:hAnsi="Times New Roman" w:eastAsia="宋体"/>
                <w:b w:val="0"/>
                <w:bCs w:val="0"/>
                <w:color w:val="auto"/>
                <w:sz w:val="24"/>
                <w:szCs w:val="24"/>
                <w:u w:val="none" w:color="auto"/>
                <w:lang w:val="en-US" w:eastAsia="zh-CN"/>
              </w:rPr>
              <w:t>，主要生产工艺为机加工-表面处理-电泳-烘干-喷漆-烘干-组装，电泳</w:t>
            </w:r>
            <w:r>
              <w:rPr>
                <w:rFonts w:hint="eastAsia"/>
                <w:b w:val="0"/>
                <w:bCs w:val="0"/>
                <w:color w:val="auto"/>
                <w:sz w:val="24"/>
                <w:szCs w:val="24"/>
                <w:u w:val="none" w:color="auto"/>
                <w:lang w:val="en-US" w:eastAsia="zh-CN"/>
              </w:rPr>
              <w:t>及烘干、喷漆及烘干</w:t>
            </w:r>
            <w:r>
              <w:rPr>
                <w:rFonts w:hint="eastAsia" w:ascii="Times New Roman" w:hAnsi="Times New Roman" w:eastAsia="宋体"/>
                <w:b w:val="0"/>
                <w:bCs w:val="0"/>
                <w:color w:val="auto"/>
                <w:sz w:val="24"/>
                <w:szCs w:val="24"/>
                <w:u w:val="none" w:color="auto"/>
                <w:lang w:val="en-US" w:eastAsia="zh-CN"/>
              </w:rPr>
              <w:t>废气采取环保措施为喷淋塔+活性炭吸附</w:t>
            </w:r>
            <w:r>
              <w:rPr>
                <w:rFonts w:hint="eastAsia"/>
                <w:b w:val="0"/>
                <w:bCs w:val="0"/>
                <w:color w:val="auto"/>
                <w:sz w:val="24"/>
                <w:szCs w:val="24"/>
                <w:u w:val="none" w:color="auto"/>
                <w:lang w:val="en-US" w:eastAsia="zh-CN"/>
              </w:rPr>
              <w:t>+在线催化燃烧装置</w:t>
            </w:r>
            <w:r>
              <w:rPr>
                <w:rFonts w:hint="eastAsia" w:ascii="Times New Roman" w:hAnsi="Times New Roman" w:eastAsia="宋体"/>
                <w:b w:val="0"/>
                <w:bCs w:val="0"/>
                <w:color w:val="auto"/>
                <w:sz w:val="24"/>
                <w:szCs w:val="24"/>
                <w:u w:val="none" w:color="auto"/>
                <w:lang w:val="en-US" w:eastAsia="zh-CN"/>
              </w:rPr>
              <w:t>处理高空排放，本项目产品规模为50万辆/a电动助动车，主要工艺为机加工-表面处理-电泳-烘干</w:t>
            </w:r>
            <w:r>
              <w:rPr>
                <w:rFonts w:hint="eastAsia"/>
                <w:b w:val="0"/>
                <w:bCs w:val="0"/>
                <w:color w:val="auto"/>
                <w:sz w:val="24"/>
                <w:szCs w:val="24"/>
                <w:u w:val="none" w:color="auto"/>
                <w:lang w:val="en-US" w:eastAsia="zh-CN"/>
              </w:rPr>
              <w:t>-喷粉-烘干</w:t>
            </w:r>
            <w:r>
              <w:rPr>
                <w:rFonts w:hint="eastAsia" w:ascii="Times New Roman" w:hAnsi="Times New Roman" w:eastAsia="宋体"/>
                <w:b w:val="0"/>
                <w:bCs w:val="0"/>
                <w:color w:val="auto"/>
                <w:sz w:val="24"/>
                <w:szCs w:val="24"/>
                <w:u w:val="none" w:color="auto"/>
                <w:lang w:val="en-US" w:eastAsia="zh-CN"/>
              </w:rPr>
              <w:t>-组装，电泳烘干</w:t>
            </w:r>
            <w:r>
              <w:rPr>
                <w:rFonts w:hint="eastAsia"/>
                <w:b w:val="0"/>
                <w:bCs w:val="0"/>
                <w:color w:val="auto"/>
                <w:sz w:val="24"/>
                <w:szCs w:val="24"/>
                <w:u w:val="none" w:color="auto"/>
                <w:lang w:val="en-US" w:eastAsia="zh-CN"/>
              </w:rPr>
              <w:t>、喷粉烘干</w:t>
            </w:r>
            <w:r>
              <w:rPr>
                <w:rFonts w:hint="eastAsia" w:ascii="Times New Roman" w:hAnsi="Times New Roman" w:eastAsia="宋体"/>
                <w:b w:val="0"/>
                <w:bCs w:val="0"/>
                <w:color w:val="auto"/>
                <w:sz w:val="24"/>
                <w:szCs w:val="24"/>
                <w:u w:val="none" w:color="auto"/>
                <w:lang w:val="en-US" w:eastAsia="zh-CN"/>
              </w:rPr>
              <w:t>废气采取水喷淋+二级活性炭</w:t>
            </w:r>
            <w:r>
              <w:rPr>
                <w:rFonts w:hint="eastAsia" w:cs="Times New Roman"/>
                <w:color w:val="auto"/>
                <w:sz w:val="24"/>
                <w:szCs w:val="24"/>
                <w:highlight w:val="none"/>
                <w:lang w:val="en-US" w:eastAsia="zh-CN"/>
              </w:rPr>
              <w:t>（含干式过滤棉）</w:t>
            </w:r>
            <w:r>
              <w:rPr>
                <w:rFonts w:hint="eastAsia" w:ascii="Times New Roman" w:hAnsi="Times New Roman" w:eastAsia="宋体"/>
                <w:b w:val="0"/>
                <w:bCs w:val="0"/>
                <w:color w:val="auto"/>
                <w:sz w:val="24"/>
                <w:szCs w:val="24"/>
                <w:u w:val="none" w:color="auto"/>
                <w:lang w:val="en-US" w:eastAsia="zh-CN"/>
              </w:rPr>
              <w:t>吸附处理高空排放，该项目与本项目相似，因此本项目厂界臭气浓度参考该项目监测数据。参考该项目</w:t>
            </w:r>
            <w:r>
              <w:rPr>
                <w:rFonts w:hint="eastAsia" w:ascii="Times New Roman" w:hAnsi="Times New Roman" w:eastAsia="宋体"/>
                <w:b w:val="0"/>
                <w:bCs w:val="0"/>
                <w:color w:val="auto"/>
                <w:sz w:val="24"/>
                <w:szCs w:val="24"/>
                <w:u w:val="none" w:color="auto"/>
                <w:lang w:eastAsia="zh-CN"/>
              </w:rPr>
              <w:t>监测数据可知</w:t>
            </w:r>
            <w:r>
              <w:rPr>
                <w:rFonts w:hint="eastAsia"/>
                <w:b w:val="0"/>
                <w:bCs w:val="0"/>
                <w:color w:val="auto"/>
                <w:sz w:val="24"/>
                <w:szCs w:val="24"/>
                <w:u w:val="none" w:color="auto"/>
                <w:lang w:eastAsia="zh-CN"/>
              </w:rPr>
              <w:t>，</w:t>
            </w:r>
            <w:r>
              <w:rPr>
                <w:rFonts w:hint="eastAsia"/>
                <w:b w:val="0"/>
                <w:bCs w:val="0"/>
                <w:color w:val="auto"/>
                <w:sz w:val="24"/>
                <w:szCs w:val="24"/>
                <w:u w:val="none" w:color="auto"/>
                <w:lang w:val="en-US" w:eastAsia="zh-CN"/>
              </w:rPr>
              <w:t>厂界臭气浓度最大值为17（无量纲）</w:t>
            </w:r>
            <w:r>
              <w:rPr>
                <w:rFonts w:hint="eastAsia" w:ascii="Times New Roman" w:hAnsi="Times New Roman" w:eastAsia="宋体"/>
                <w:b w:val="0"/>
                <w:bCs w:val="0"/>
                <w:color w:val="auto"/>
                <w:sz w:val="24"/>
                <w:szCs w:val="24"/>
                <w:u w:val="none" w:color="auto"/>
                <w:lang w:eastAsia="zh-CN"/>
              </w:rPr>
              <w:t>，</w:t>
            </w:r>
            <w:r>
              <w:rPr>
                <w:rFonts w:hint="eastAsia" w:ascii="Times New Roman" w:hAnsi="Times New Roman" w:eastAsia="宋体"/>
                <w:b w:val="0"/>
                <w:bCs w:val="0"/>
                <w:color w:val="auto"/>
                <w:sz w:val="24"/>
                <w:szCs w:val="24"/>
                <w:u w:val="none" w:color="auto"/>
                <w:lang w:val="en-US" w:eastAsia="zh-CN"/>
              </w:rPr>
              <w:t>无组织排放可</w:t>
            </w:r>
            <w:r>
              <w:rPr>
                <w:rFonts w:hint="eastAsia"/>
                <w:b w:val="0"/>
                <w:bCs w:val="0"/>
                <w:color w:val="auto"/>
                <w:sz w:val="24"/>
                <w:szCs w:val="24"/>
                <w:u w:val="none" w:color="auto"/>
                <w:lang w:val="en-US" w:eastAsia="zh-CN"/>
              </w:rPr>
              <w:t>满足</w:t>
            </w:r>
            <w:r>
              <w:rPr>
                <w:rFonts w:ascii="Times New Roman" w:hAnsi="Times New Roman" w:eastAsia="宋体"/>
                <w:b w:val="0"/>
                <w:bCs w:val="0"/>
                <w:color w:val="auto"/>
                <w:sz w:val="24"/>
                <w:szCs w:val="24"/>
                <w:u w:val="none" w:color="auto"/>
              </w:rPr>
              <w:t>《恶臭污染物排放标准》（GB14554-93）</w:t>
            </w:r>
            <w:r>
              <w:rPr>
                <w:rFonts w:hint="eastAsia" w:ascii="Times New Roman" w:hAnsi="Times New Roman" w:eastAsia="宋体"/>
                <w:b w:val="0"/>
                <w:bCs w:val="0"/>
                <w:color w:val="auto"/>
                <w:sz w:val="24"/>
                <w:szCs w:val="24"/>
                <w:u w:val="none" w:color="auto"/>
              </w:rPr>
              <w:t>表1恶臭污染物厂界标准值（二级）</w:t>
            </w:r>
            <w:r>
              <w:rPr>
                <w:rFonts w:hint="eastAsia"/>
                <w:b w:val="0"/>
                <w:bCs w:val="0"/>
                <w:color w:val="auto"/>
                <w:sz w:val="24"/>
                <w:szCs w:val="24"/>
                <w:u w:val="none" w:color="auto"/>
                <w:lang w:eastAsia="zh-CN"/>
              </w:rPr>
              <w:t>（</w:t>
            </w:r>
            <w:r>
              <w:rPr>
                <w:rFonts w:hint="eastAsia"/>
                <w:b w:val="0"/>
                <w:bCs w:val="0"/>
                <w:color w:val="auto"/>
                <w:sz w:val="24"/>
                <w:szCs w:val="24"/>
                <w:u w:val="none" w:color="auto"/>
                <w:lang w:val="en-US" w:eastAsia="zh-CN"/>
              </w:rPr>
              <w:t>臭气浓度≤20无量纲</w:t>
            </w:r>
            <w:r>
              <w:rPr>
                <w:rFonts w:hint="eastAsia"/>
                <w:b w:val="0"/>
                <w:bCs w:val="0"/>
                <w:color w:val="auto"/>
                <w:sz w:val="24"/>
                <w:szCs w:val="24"/>
                <w:u w:val="none" w:color="auto"/>
                <w:lang w:eastAsia="zh-CN"/>
              </w:rPr>
              <w:t>）</w:t>
            </w:r>
            <w:r>
              <w:rPr>
                <w:rFonts w:hint="eastAsia"/>
                <w:bCs/>
                <w:color w:val="auto"/>
                <w:sz w:val="24"/>
                <w:highlight w:val="none"/>
                <w:u w:val="none"/>
                <w:lang w:val="en-US" w:eastAsia="zh-CN"/>
              </w:rPr>
              <w:t>。</w:t>
            </w:r>
          </w:p>
          <w:p w14:paraId="16843C99">
            <w:pPr>
              <w:keepNext w:val="0"/>
              <w:keepLines w:val="0"/>
              <w:pageBreakBefore w:val="0"/>
              <w:widowControl w:val="0"/>
              <w:kinsoku/>
              <w:wordWrap/>
              <w:overflowPunct/>
              <w:topLinePunct w:val="0"/>
              <w:autoSpaceDE/>
              <w:autoSpaceDN/>
              <w:bidi w:val="0"/>
              <w:adjustRightInd/>
              <w:snapToGrid/>
              <w:spacing w:line="500" w:lineRule="exact"/>
              <w:ind w:firstLine="476" w:firstLineChars="200"/>
              <w:textAlignment w:val="auto"/>
              <w:rPr>
                <w:rFonts w:hint="eastAsia" w:eastAsia="宋体"/>
                <w:color w:val="auto"/>
                <w:sz w:val="24"/>
                <w:szCs w:val="24"/>
                <w:lang w:eastAsia="zh-CN"/>
              </w:rPr>
            </w:pPr>
            <w:r>
              <w:rPr>
                <w:rFonts w:ascii="宋体" w:hAnsi="宋体" w:eastAsia="宋体" w:cs="宋体"/>
                <w:color w:val="auto"/>
                <w:spacing w:val="-1"/>
                <w:sz w:val="24"/>
                <w:szCs w:val="24"/>
              </w:rPr>
              <w:t>项目废气产生和排放情况汇总如下</w:t>
            </w:r>
            <w:r>
              <w:rPr>
                <w:rFonts w:hint="eastAsia" w:ascii="宋体" w:hAnsi="宋体" w:eastAsia="宋体" w:cs="宋体"/>
                <w:color w:val="auto"/>
                <w:spacing w:val="-1"/>
                <w:sz w:val="24"/>
                <w:szCs w:val="24"/>
                <w:lang w:eastAsia="zh-CN"/>
              </w:rPr>
              <w:t>：</w:t>
            </w:r>
          </w:p>
          <w:p w14:paraId="1C18A680">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cs="宋体"/>
                <w:b/>
                <w:bCs/>
                <w:snapToGrid w:val="0"/>
                <w:color w:val="auto"/>
                <w:kern w:val="0"/>
                <w:sz w:val="24"/>
                <w:szCs w:val="24"/>
                <w:highlight w:val="none"/>
                <w:shd w:val="clear" w:color="auto" w:fill="auto"/>
              </w:rPr>
            </w:pPr>
            <w:r>
              <w:rPr>
                <w:rFonts w:hint="eastAsia" w:cs="宋体"/>
                <w:b/>
                <w:bCs/>
                <w:snapToGrid w:val="0"/>
                <w:color w:val="auto"/>
                <w:kern w:val="0"/>
                <w:sz w:val="24"/>
                <w:szCs w:val="24"/>
                <w:highlight w:val="none"/>
                <w:shd w:val="clear" w:color="auto" w:fill="auto"/>
              </w:rPr>
              <w:t>表</w:t>
            </w:r>
            <w:r>
              <w:rPr>
                <w:rFonts w:hint="eastAsia" w:cs="宋体"/>
                <w:b/>
                <w:bCs/>
                <w:snapToGrid w:val="0"/>
                <w:color w:val="auto"/>
                <w:kern w:val="0"/>
                <w:sz w:val="24"/>
                <w:szCs w:val="24"/>
                <w:highlight w:val="none"/>
                <w:shd w:val="clear" w:color="auto" w:fill="auto"/>
                <w:lang w:val="en-US" w:eastAsia="zh-CN"/>
              </w:rPr>
              <w:t>4-9</w:t>
            </w:r>
            <w:r>
              <w:rPr>
                <w:rFonts w:hint="eastAsia" w:cs="宋体"/>
                <w:b/>
                <w:bCs/>
                <w:snapToGrid w:val="0"/>
                <w:color w:val="auto"/>
                <w:kern w:val="0"/>
                <w:sz w:val="24"/>
                <w:szCs w:val="24"/>
                <w:highlight w:val="none"/>
                <w:shd w:val="clear" w:color="auto" w:fill="auto"/>
              </w:rPr>
              <w:t>项目废气污染物产、排情况</w:t>
            </w:r>
          </w:p>
          <w:tbl>
            <w:tblPr>
              <w:tblStyle w:val="39"/>
              <w:tblW w:w="5013"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52"/>
              <w:gridCol w:w="460"/>
              <w:gridCol w:w="767"/>
              <w:gridCol w:w="789"/>
              <w:gridCol w:w="770"/>
              <w:gridCol w:w="896"/>
              <w:gridCol w:w="783"/>
              <w:gridCol w:w="869"/>
              <w:gridCol w:w="676"/>
              <w:gridCol w:w="727"/>
              <w:gridCol w:w="663"/>
            </w:tblGrid>
            <w:tr w14:paraId="2A68A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347" w:type="pct"/>
                  <w:vMerge w:val="restart"/>
                  <w:tcBorders>
                    <w:tl2br w:val="nil"/>
                    <w:tr2bl w:val="nil"/>
                  </w:tcBorders>
                  <w:vAlign w:val="center"/>
                </w:tcPr>
                <w:p w14:paraId="06238668">
                  <w:pPr>
                    <w:widowControl/>
                    <w:adjustRightInd w:val="0"/>
                    <w:snapToGrid w:val="0"/>
                    <w:jc w:val="center"/>
                    <w:textAlignment w:val="center"/>
                    <w:rPr>
                      <w:rFonts w:cs="宋体"/>
                      <w:snapToGrid w:val="0"/>
                      <w:color w:val="auto"/>
                      <w:kern w:val="0"/>
                      <w:szCs w:val="21"/>
                      <w:shd w:val="clear" w:color="auto" w:fill="auto"/>
                    </w:rPr>
                  </w:pPr>
                  <w:r>
                    <w:rPr>
                      <w:rFonts w:hint="eastAsia" w:cs="宋体"/>
                      <w:snapToGrid w:val="0"/>
                      <w:color w:val="auto"/>
                      <w:kern w:val="0"/>
                      <w:szCs w:val="21"/>
                      <w:shd w:val="clear" w:color="auto" w:fill="auto"/>
                    </w:rPr>
                    <w:t>污染源</w:t>
                  </w:r>
                </w:p>
              </w:tc>
              <w:tc>
                <w:tcPr>
                  <w:tcW w:w="289" w:type="pct"/>
                  <w:vMerge w:val="restart"/>
                  <w:tcBorders>
                    <w:tl2br w:val="nil"/>
                    <w:tr2bl w:val="nil"/>
                  </w:tcBorders>
                  <w:vAlign w:val="center"/>
                </w:tcPr>
                <w:p w14:paraId="2731E263">
                  <w:pPr>
                    <w:widowControl/>
                    <w:adjustRightInd w:val="0"/>
                    <w:snapToGrid w:val="0"/>
                    <w:jc w:val="center"/>
                    <w:textAlignment w:val="center"/>
                    <w:rPr>
                      <w:rFonts w:hint="eastAsia" w:eastAsia="宋体" w:cs="宋体"/>
                      <w:snapToGrid w:val="0"/>
                      <w:color w:val="auto"/>
                      <w:kern w:val="0"/>
                      <w:szCs w:val="21"/>
                      <w:shd w:val="clear" w:color="auto" w:fill="auto"/>
                      <w:lang w:val="en-US" w:eastAsia="zh-CN"/>
                    </w:rPr>
                  </w:pPr>
                  <w:r>
                    <w:rPr>
                      <w:rFonts w:hint="eastAsia" w:cs="宋体"/>
                      <w:snapToGrid w:val="0"/>
                      <w:color w:val="auto"/>
                      <w:kern w:val="0"/>
                      <w:szCs w:val="21"/>
                      <w:shd w:val="clear" w:color="auto" w:fill="auto"/>
                      <w:lang w:val="en-US" w:eastAsia="zh-CN"/>
                    </w:rPr>
                    <w:t>风量</w:t>
                  </w:r>
                  <w:r>
                    <w:rPr>
                      <w:rFonts w:hint="eastAsia" w:cs="宋体"/>
                      <w:color w:val="auto"/>
                      <w:kern w:val="0"/>
                      <w:szCs w:val="21"/>
                      <w:shd w:val="clear" w:color="auto" w:fill="auto"/>
                    </w:rPr>
                    <w:t>m</w:t>
                  </w:r>
                  <w:r>
                    <w:rPr>
                      <w:rFonts w:hint="eastAsia" w:cs="宋体"/>
                      <w:color w:val="auto"/>
                      <w:kern w:val="0"/>
                      <w:szCs w:val="21"/>
                      <w:shd w:val="clear" w:color="auto" w:fill="auto"/>
                      <w:vertAlign w:val="superscript"/>
                    </w:rPr>
                    <w:t>3</w:t>
                  </w:r>
                  <w:r>
                    <w:rPr>
                      <w:rFonts w:hint="eastAsia" w:cs="宋体"/>
                      <w:color w:val="auto"/>
                      <w:kern w:val="0"/>
                      <w:szCs w:val="21"/>
                      <w:shd w:val="clear" w:color="auto" w:fill="auto"/>
                    </w:rPr>
                    <w:t>/h</w:t>
                  </w:r>
                </w:p>
              </w:tc>
              <w:tc>
                <w:tcPr>
                  <w:tcW w:w="482" w:type="pct"/>
                  <w:vMerge w:val="restart"/>
                  <w:tcBorders>
                    <w:tl2br w:val="nil"/>
                    <w:tr2bl w:val="nil"/>
                  </w:tcBorders>
                  <w:vAlign w:val="center"/>
                </w:tcPr>
                <w:p w14:paraId="7230BD2E">
                  <w:pPr>
                    <w:widowControl/>
                    <w:adjustRightInd w:val="0"/>
                    <w:snapToGrid w:val="0"/>
                    <w:jc w:val="center"/>
                    <w:textAlignment w:val="center"/>
                    <w:rPr>
                      <w:rFonts w:cs="宋体"/>
                      <w:snapToGrid w:val="0"/>
                      <w:color w:val="auto"/>
                      <w:kern w:val="0"/>
                      <w:szCs w:val="21"/>
                      <w:shd w:val="clear" w:color="auto" w:fill="auto"/>
                    </w:rPr>
                  </w:pPr>
                  <w:r>
                    <w:rPr>
                      <w:rFonts w:hint="eastAsia" w:cs="宋体"/>
                      <w:snapToGrid w:val="0"/>
                      <w:color w:val="auto"/>
                      <w:kern w:val="0"/>
                      <w:szCs w:val="21"/>
                      <w:shd w:val="clear" w:color="auto" w:fill="auto"/>
                    </w:rPr>
                    <w:t>污染因子</w:t>
                  </w:r>
                </w:p>
              </w:tc>
              <w:tc>
                <w:tcPr>
                  <w:tcW w:w="1543" w:type="pct"/>
                  <w:gridSpan w:val="3"/>
                  <w:tcBorders>
                    <w:tl2br w:val="nil"/>
                    <w:tr2bl w:val="nil"/>
                  </w:tcBorders>
                  <w:vAlign w:val="center"/>
                </w:tcPr>
                <w:p w14:paraId="528E185C">
                  <w:pPr>
                    <w:widowControl/>
                    <w:adjustRightInd w:val="0"/>
                    <w:snapToGrid w:val="0"/>
                    <w:jc w:val="center"/>
                    <w:textAlignment w:val="center"/>
                    <w:rPr>
                      <w:rFonts w:hint="eastAsia" w:cs="宋体"/>
                      <w:snapToGrid w:val="0"/>
                      <w:color w:val="auto"/>
                      <w:kern w:val="0"/>
                      <w:szCs w:val="21"/>
                      <w:shd w:val="clear" w:color="auto" w:fill="auto"/>
                    </w:rPr>
                  </w:pPr>
                  <w:r>
                    <w:rPr>
                      <w:rFonts w:hint="eastAsia" w:cs="宋体"/>
                      <w:snapToGrid w:val="0"/>
                      <w:color w:val="auto"/>
                      <w:kern w:val="0"/>
                      <w:szCs w:val="21"/>
                      <w:shd w:val="clear" w:color="auto" w:fill="auto"/>
                    </w:rPr>
                    <w:t>产生情况</w:t>
                  </w:r>
                </w:p>
              </w:tc>
              <w:tc>
                <w:tcPr>
                  <w:tcW w:w="1463" w:type="pct"/>
                  <w:gridSpan w:val="3"/>
                  <w:tcBorders>
                    <w:tl2br w:val="nil"/>
                    <w:tr2bl w:val="nil"/>
                  </w:tcBorders>
                  <w:vAlign w:val="center"/>
                </w:tcPr>
                <w:p w14:paraId="4ED3BBF6">
                  <w:pPr>
                    <w:widowControl/>
                    <w:adjustRightInd w:val="0"/>
                    <w:snapToGrid w:val="0"/>
                    <w:jc w:val="center"/>
                    <w:textAlignment w:val="center"/>
                    <w:rPr>
                      <w:rFonts w:hint="eastAsia" w:cs="宋体"/>
                      <w:snapToGrid w:val="0"/>
                      <w:color w:val="auto"/>
                      <w:kern w:val="0"/>
                      <w:szCs w:val="21"/>
                      <w:shd w:val="clear" w:color="auto" w:fill="auto"/>
                    </w:rPr>
                  </w:pPr>
                  <w:r>
                    <w:rPr>
                      <w:rFonts w:hint="eastAsia" w:cs="宋体"/>
                      <w:snapToGrid w:val="0"/>
                      <w:color w:val="auto"/>
                      <w:kern w:val="0"/>
                      <w:szCs w:val="21"/>
                      <w:shd w:val="clear" w:color="auto" w:fill="auto"/>
                    </w:rPr>
                    <w:t>排放情况</w:t>
                  </w:r>
                </w:p>
              </w:tc>
              <w:tc>
                <w:tcPr>
                  <w:tcW w:w="873" w:type="pct"/>
                  <w:gridSpan w:val="2"/>
                  <w:tcBorders>
                    <w:tl2br w:val="nil"/>
                    <w:tr2bl w:val="nil"/>
                  </w:tcBorders>
                  <w:vAlign w:val="center"/>
                </w:tcPr>
                <w:p w14:paraId="256DED98">
                  <w:pPr>
                    <w:widowControl/>
                    <w:adjustRightInd w:val="0"/>
                    <w:snapToGrid w:val="0"/>
                    <w:jc w:val="center"/>
                    <w:textAlignment w:val="center"/>
                    <w:rPr>
                      <w:rFonts w:hint="eastAsia" w:cs="宋体"/>
                      <w:snapToGrid w:val="0"/>
                      <w:color w:val="auto"/>
                      <w:kern w:val="0"/>
                      <w:szCs w:val="21"/>
                      <w:shd w:val="clear" w:color="auto" w:fill="auto"/>
                    </w:rPr>
                  </w:pPr>
                  <w:r>
                    <w:rPr>
                      <w:rFonts w:hint="eastAsia" w:cs="宋体"/>
                      <w:snapToGrid w:val="0"/>
                      <w:color w:val="auto"/>
                      <w:kern w:val="0"/>
                      <w:szCs w:val="21"/>
                      <w:shd w:val="clear" w:color="auto" w:fill="auto"/>
                    </w:rPr>
                    <w:t>排放限值</w:t>
                  </w:r>
                </w:p>
              </w:tc>
            </w:tr>
            <w:tr w14:paraId="5103A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347" w:type="pct"/>
                  <w:vMerge w:val="continue"/>
                  <w:tcBorders>
                    <w:tl2br w:val="nil"/>
                    <w:tr2bl w:val="nil"/>
                  </w:tcBorders>
                  <w:vAlign w:val="center"/>
                </w:tcPr>
                <w:p w14:paraId="6254AA9B">
                  <w:pPr>
                    <w:widowControl/>
                    <w:adjustRightInd w:val="0"/>
                    <w:snapToGrid w:val="0"/>
                    <w:jc w:val="center"/>
                    <w:rPr>
                      <w:rFonts w:hint="eastAsia" w:cs="宋体"/>
                      <w:snapToGrid w:val="0"/>
                      <w:color w:val="auto"/>
                      <w:kern w:val="0"/>
                      <w:szCs w:val="21"/>
                      <w:shd w:val="clear" w:color="auto" w:fill="auto"/>
                    </w:rPr>
                  </w:pPr>
                </w:p>
              </w:tc>
              <w:tc>
                <w:tcPr>
                  <w:tcW w:w="289" w:type="pct"/>
                  <w:vMerge w:val="continue"/>
                  <w:tcBorders>
                    <w:tl2br w:val="nil"/>
                    <w:tr2bl w:val="nil"/>
                  </w:tcBorders>
                  <w:vAlign w:val="center"/>
                </w:tcPr>
                <w:p w14:paraId="4C03A60F">
                  <w:pPr>
                    <w:widowControl/>
                    <w:adjustRightInd w:val="0"/>
                    <w:snapToGrid w:val="0"/>
                    <w:jc w:val="center"/>
                    <w:rPr>
                      <w:rFonts w:hint="eastAsia" w:cs="宋体"/>
                      <w:snapToGrid w:val="0"/>
                      <w:color w:val="auto"/>
                      <w:kern w:val="0"/>
                      <w:szCs w:val="21"/>
                      <w:shd w:val="clear" w:color="auto" w:fill="auto"/>
                    </w:rPr>
                  </w:pPr>
                </w:p>
              </w:tc>
              <w:tc>
                <w:tcPr>
                  <w:tcW w:w="482" w:type="pct"/>
                  <w:vMerge w:val="continue"/>
                  <w:tcBorders>
                    <w:tl2br w:val="nil"/>
                    <w:tr2bl w:val="nil"/>
                  </w:tcBorders>
                  <w:vAlign w:val="center"/>
                </w:tcPr>
                <w:p w14:paraId="17D9F569">
                  <w:pPr>
                    <w:widowControl/>
                    <w:adjustRightInd w:val="0"/>
                    <w:snapToGrid w:val="0"/>
                    <w:jc w:val="center"/>
                    <w:rPr>
                      <w:rFonts w:hint="eastAsia" w:cs="宋体"/>
                      <w:snapToGrid w:val="0"/>
                      <w:color w:val="auto"/>
                      <w:kern w:val="0"/>
                      <w:szCs w:val="21"/>
                      <w:shd w:val="clear" w:color="auto" w:fill="auto"/>
                    </w:rPr>
                  </w:pPr>
                </w:p>
              </w:tc>
              <w:tc>
                <w:tcPr>
                  <w:tcW w:w="496" w:type="pct"/>
                  <w:tcBorders>
                    <w:tl2br w:val="nil"/>
                    <w:tr2bl w:val="nil"/>
                  </w:tcBorders>
                  <w:vAlign w:val="center"/>
                </w:tcPr>
                <w:p w14:paraId="742FFA87">
                  <w:pPr>
                    <w:widowControl/>
                    <w:adjustRightInd w:val="0"/>
                    <w:snapToGrid w:val="0"/>
                    <w:jc w:val="center"/>
                    <w:textAlignment w:val="center"/>
                    <w:rPr>
                      <w:rFonts w:hint="eastAsia" w:cs="宋体"/>
                      <w:snapToGrid w:val="0"/>
                      <w:color w:val="auto"/>
                      <w:kern w:val="0"/>
                      <w:szCs w:val="21"/>
                      <w:shd w:val="clear" w:color="auto" w:fill="auto"/>
                    </w:rPr>
                  </w:pPr>
                  <w:r>
                    <w:rPr>
                      <w:rFonts w:hint="eastAsia" w:cs="宋体"/>
                      <w:snapToGrid w:val="0"/>
                      <w:color w:val="auto"/>
                      <w:kern w:val="0"/>
                      <w:szCs w:val="21"/>
                      <w:shd w:val="clear" w:color="auto" w:fill="auto"/>
                    </w:rPr>
                    <w:t>产生量</w:t>
                  </w:r>
                  <w:r>
                    <w:rPr>
                      <w:rFonts w:cs="宋体"/>
                      <w:snapToGrid w:val="0"/>
                      <w:color w:val="auto"/>
                      <w:kern w:val="0"/>
                      <w:szCs w:val="21"/>
                      <w:shd w:val="clear" w:color="auto" w:fill="auto"/>
                    </w:rPr>
                    <w:t>t/a</w:t>
                  </w:r>
                </w:p>
              </w:tc>
              <w:tc>
                <w:tcPr>
                  <w:tcW w:w="484" w:type="pct"/>
                  <w:tcBorders>
                    <w:tl2br w:val="nil"/>
                    <w:tr2bl w:val="nil"/>
                  </w:tcBorders>
                  <w:vAlign w:val="center"/>
                </w:tcPr>
                <w:p w14:paraId="0EF75AD7">
                  <w:pPr>
                    <w:widowControl/>
                    <w:adjustRightInd w:val="0"/>
                    <w:snapToGrid w:val="0"/>
                    <w:jc w:val="center"/>
                    <w:textAlignment w:val="center"/>
                    <w:rPr>
                      <w:rFonts w:hint="eastAsia" w:cs="宋体"/>
                      <w:snapToGrid w:val="0"/>
                      <w:color w:val="auto"/>
                      <w:kern w:val="0"/>
                      <w:szCs w:val="21"/>
                      <w:shd w:val="clear" w:color="auto" w:fill="auto"/>
                    </w:rPr>
                  </w:pPr>
                  <w:r>
                    <w:rPr>
                      <w:rFonts w:hint="eastAsia" w:cs="宋体"/>
                      <w:snapToGrid w:val="0"/>
                      <w:color w:val="auto"/>
                      <w:kern w:val="0"/>
                      <w:szCs w:val="21"/>
                      <w:shd w:val="clear" w:color="auto" w:fill="auto"/>
                    </w:rPr>
                    <w:t>速率</w:t>
                  </w:r>
                  <w:r>
                    <w:rPr>
                      <w:rFonts w:cs="宋体"/>
                      <w:snapToGrid w:val="0"/>
                      <w:color w:val="auto"/>
                      <w:kern w:val="0"/>
                      <w:szCs w:val="21"/>
                      <w:shd w:val="clear" w:color="auto" w:fill="auto"/>
                    </w:rPr>
                    <w:t>kg/h</w:t>
                  </w:r>
                </w:p>
              </w:tc>
              <w:tc>
                <w:tcPr>
                  <w:tcW w:w="563" w:type="pct"/>
                  <w:tcBorders>
                    <w:tl2br w:val="nil"/>
                    <w:tr2bl w:val="nil"/>
                  </w:tcBorders>
                  <w:vAlign w:val="center"/>
                </w:tcPr>
                <w:p w14:paraId="041EE01D">
                  <w:pPr>
                    <w:widowControl/>
                    <w:adjustRightInd w:val="0"/>
                    <w:snapToGrid w:val="0"/>
                    <w:jc w:val="center"/>
                    <w:textAlignment w:val="center"/>
                    <w:rPr>
                      <w:rFonts w:hint="eastAsia" w:cs="宋体"/>
                      <w:snapToGrid w:val="0"/>
                      <w:color w:val="auto"/>
                      <w:kern w:val="0"/>
                      <w:szCs w:val="21"/>
                      <w:shd w:val="clear" w:color="auto" w:fill="auto"/>
                    </w:rPr>
                  </w:pPr>
                  <w:r>
                    <w:rPr>
                      <w:rFonts w:hint="eastAsia" w:cs="宋体"/>
                      <w:snapToGrid w:val="0"/>
                      <w:color w:val="auto"/>
                      <w:kern w:val="0"/>
                      <w:szCs w:val="21"/>
                      <w:shd w:val="clear" w:color="auto" w:fill="auto"/>
                    </w:rPr>
                    <w:t>浓度</w:t>
                  </w:r>
                  <w:r>
                    <w:rPr>
                      <w:rFonts w:cs="宋体"/>
                      <w:snapToGrid w:val="0"/>
                      <w:color w:val="auto"/>
                      <w:kern w:val="0"/>
                      <w:szCs w:val="21"/>
                      <w:shd w:val="clear" w:color="auto" w:fill="auto"/>
                    </w:rPr>
                    <w:t>mg/m</w:t>
                  </w:r>
                  <w:r>
                    <w:rPr>
                      <w:rFonts w:cs="宋体"/>
                      <w:snapToGrid w:val="0"/>
                      <w:color w:val="auto"/>
                      <w:kern w:val="0"/>
                      <w:szCs w:val="21"/>
                      <w:shd w:val="clear" w:color="auto" w:fill="auto"/>
                      <w:vertAlign w:val="superscript"/>
                    </w:rPr>
                    <w:t>3</w:t>
                  </w:r>
                </w:p>
              </w:tc>
              <w:tc>
                <w:tcPr>
                  <w:tcW w:w="492" w:type="pct"/>
                  <w:tcBorders>
                    <w:tl2br w:val="nil"/>
                    <w:tr2bl w:val="nil"/>
                  </w:tcBorders>
                  <w:vAlign w:val="center"/>
                </w:tcPr>
                <w:p w14:paraId="38019A54">
                  <w:pPr>
                    <w:widowControl/>
                    <w:adjustRightInd w:val="0"/>
                    <w:snapToGrid w:val="0"/>
                    <w:jc w:val="center"/>
                    <w:textAlignment w:val="center"/>
                    <w:rPr>
                      <w:rFonts w:hint="eastAsia" w:cs="宋体"/>
                      <w:snapToGrid w:val="0"/>
                      <w:color w:val="auto"/>
                      <w:kern w:val="0"/>
                      <w:szCs w:val="21"/>
                      <w:shd w:val="clear" w:color="auto" w:fill="auto"/>
                    </w:rPr>
                  </w:pPr>
                  <w:r>
                    <w:rPr>
                      <w:rFonts w:hint="eastAsia" w:cs="宋体"/>
                      <w:snapToGrid w:val="0"/>
                      <w:color w:val="auto"/>
                      <w:kern w:val="0"/>
                      <w:szCs w:val="21"/>
                      <w:shd w:val="clear" w:color="auto" w:fill="auto"/>
                    </w:rPr>
                    <w:t>排放量</w:t>
                  </w:r>
                  <w:r>
                    <w:rPr>
                      <w:rFonts w:cs="宋体"/>
                      <w:snapToGrid w:val="0"/>
                      <w:color w:val="auto"/>
                      <w:kern w:val="0"/>
                      <w:szCs w:val="21"/>
                      <w:shd w:val="clear" w:color="auto" w:fill="auto"/>
                    </w:rPr>
                    <w:t>t/a</w:t>
                  </w:r>
                </w:p>
              </w:tc>
              <w:tc>
                <w:tcPr>
                  <w:tcW w:w="546" w:type="pct"/>
                  <w:tcBorders>
                    <w:tl2br w:val="nil"/>
                    <w:tr2bl w:val="nil"/>
                  </w:tcBorders>
                  <w:vAlign w:val="center"/>
                </w:tcPr>
                <w:p w14:paraId="157D1FD1">
                  <w:pPr>
                    <w:widowControl/>
                    <w:adjustRightInd w:val="0"/>
                    <w:snapToGrid w:val="0"/>
                    <w:jc w:val="center"/>
                    <w:textAlignment w:val="center"/>
                    <w:rPr>
                      <w:rFonts w:hint="eastAsia" w:cs="宋体"/>
                      <w:snapToGrid w:val="0"/>
                      <w:color w:val="auto"/>
                      <w:kern w:val="0"/>
                      <w:szCs w:val="21"/>
                      <w:shd w:val="clear" w:color="auto" w:fill="auto"/>
                    </w:rPr>
                  </w:pPr>
                  <w:r>
                    <w:rPr>
                      <w:rFonts w:hint="eastAsia" w:cs="宋体"/>
                      <w:snapToGrid w:val="0"/>
                      <w:color w:val="auto"/>
                      <w:kern w:val="0"/>
                      <w:szCs w:val="21"/>
                      <w:shd w:val="clear" w:color="auto" w:fill="auto"/>
                    </w:rPr>
                    <w:t>速率</w:t>
                  </w:r>
                  <w:r>
                    <w:rPr>
                      <w:rFonts w:cs="宋体"/>
                      <w:snapToGrid w:val="0"/>
                      <w:color w:val="auto"/>
                      <w:kern w:val="0"/>
                      <w:szCs w:val="21"/>
                      <w:shd w:val="clear" w:color="auto" w:fill="auto"/>
                    </w:rPr>
                    <w:t>kg/h</w:t>
                  </w:r>
                </w:p>
              </w:tc>
              <w:tc>
                <w:tcPr>
                  <w:tcW w:w="425" w:type="pct"/>
                  <w:tcBorders>
                    <w:tl2br w:val="nil"/>
                    <w:tr2bl w:val="nil"/>
                  </w:tcBorders>
                  <w:vAlign w:val="center"/>
                </w:tcPr>
                <w:p w14:paraId="54A27E06">
                  <w:pPr>
                    <w:widowControl/>
                    <w:adjustRightInd w:val="0"/>
                    <w:snapToGrid w:val="0"/>
                    <w:jc w:val="center"/>
                    <w:textAlignment w:val="center"/>
                    <w:rPr>
                      <w:rFonts w:hint="eastAsia" w:cs="宋体"/>
                      <w:snapToGrid w:val="0"/>
                      <w:color w:val="auto"/>
                      <w:kern w:val="0"/>
                      <w:szCs w:val="21"/>
                      <w:shd w:val="clear" w:color="auto" w:fill="auto"/>
                    </w:rPr>
                  </w:pPr>
                  <w:r>
                    <w:rPr>
                      <w:rFonts w:hint="eastAsia" w:cs="宋体"/>
                      <w:snapToGrid w:val="0"/>
                      <w:color w:val="auto"/>
                      <w:kern w:val="0"/>
                      <w:szCs w:val="21"/>
                      <w:shd w:val="clear" w:color="auto" w:fill="auto"/>
                    </w:rPr>
                    <w:t>浓度</w:t>
                  </w:r>
                  <w:r>
                    <w:rPr>
                      <w:rFonts w:cs="宋体"/>
                      <w:snapToGrid w:val="0"/>
                      <w:color w:val="auto"/>
                      <w:kern w:val="0"/>
                      <w:szCs w:val="21"/>
                      <w:shd w:val="clear" w:color="auto" w:fill="auto"/>
                    </w:rPr>
                    <w:t>mg/m</w:t>
                  </w:r>
                  <w:r>
                    <w:rPr>
                      <w:rFonts w:cs="宋体"/>
                      <w:snapToGrid w:val="0"/>
                      <w:color w:val="auto"/>
                      <w:kern w:val="0"/>
                      <w:szCs w:val="21"/>
                      <w:shd w:val="clear" w:color="auto" w:fill="auto"/>
                      <w:vertAlign w:val="superscript"/>
                    </w:rPr>
                    <w:t>3</w:t>
                  </w:r>
                </w:p>
              </w:tc>
              <w:tc>
                <w:tcPr>
                  <w:tcW w:w="457" w:type="pct"/>
                  <w:tcBorders>
                    <w:tl2br w:val="nil"/>
                    <w:tr2bl w:val="nil"/>
                  </w:tcBorders>
                  <w:vAlign w:val="center"/>
                </w:tcPr>
                <w:p w14:paraId="7A300800">
                  <w:pPr>
                    <w:widowControl/>
                    <w:adjustRightInd w:val="0"/>
                    <w:snapToGrid w:val="0"/>
                    <w:jc w:val="center"/>
                    <w:textAlignment w:val="center"/>
                    <w:rPr>
                      <w:rFonts w:hint="eastAsia" w:cs="宋体"/>
                      <w:snapToGrid w:val="0"/>
                      <w:color w:val="auto"/>
                      <w:kern w:val="0"/>
                      <w:szCs w:val="21"/>
                      <w:shd w:val="clear" w:color="auto" w:fill="auto"/>
                    </w:rPr>
                  </w:pPr>
                  <w:r>
                    <w:rPr>
                      <w:rFonts w:hint="eastAsia" w:cs="宋体"/>
                      <w:snapToGrid w:val="0"/>
                      <w:color w:val="auto"/>
                      <w:kern w:val="0"/>
                      <w:szCs w:val="21"/>
                      <w:shd w:val="clear" w:color="auto" w:fill="auto"/>
                    </w:rPr>
                    <w:t>浓度</w:t>
                  </w:r>
                  <w:r>
                    <w:rPr>
                      <w:rFonts w:cs="宋体"/>
                      <w:snapToGrid w:val="0"/>
                      <w:color w:val="auto"/>
                      <w:kern w:val="0"/>
                      <w:szCs w:val="21"/>
                      <w:shd w:val="clear" w:color="auto" w:fill="auto"/>
                    </w:rPr>
                    <w:t>mg/m</w:t>
                  </w:r>
                  <w:r>
                    <w:rPr>
                      <w:rFonts w:cs="宋体"/>
                      <w:snapToGrid w:val="0"/>
                      <w:color w:val="auto"/>
                      <w:kern w:val="0"/>
                      <w:szCs w:val="21"/>
                      <w:shd w:val="clear" w:color="auto" w:fill="auto"/>
                      <w:vertAlign w:val="superscript"/>
                    </w:rPr>
                    <w:t>3</w:t>
                  </w:r>
                </w:p>
              </w:tc>
              <w:tc>
                <w:tcPr>
                  <w:tcW w:w="416" w:type="pct"/>
                  <w:tcBorders>
                    <w:tl2br w:val="nil"/>
                    <w:tr2bl w:val="nil"/>
                  </w:tcBorders>
                  <w:vAlign w:val="center"/>
                </w:tcPr>
                <w:p w14:paraId="19225A2A">
                  <w:pPr>
                    <w:widowControl/>
                    <w:adjustRightInd w:val="0"/>
                    <w:snapToGrid w:val="0"/>
                    <w:jc w:val="center"/>
                    <w:textAlignment w:val="center"/>
                    <w:rPr>
                      <w:rFonts w:cs="宋体"/>
                      <w:snapToGrid w:val="0"/>
                      <w:color w:val="auto"/>
                      <w:kern w:val="0"/>
                      <w:szCs w:val="21"/>
                      <w:shd w:val="clear" w:color="auto" w:fill="auto"/>
                    </w:rPr>
                  </w:pPr>
                  <w:r>
                    <w:rPr>
                      <w:rFonts w:hint="eastAsia" w:cs="宋体"/>
                      <w:snapToGrid w:val="0"/>
                      <w:color w:val="auto"/>
                      <w:kern w:val="0"/>
                      <w:szCs w:val="21"/>
                      <w:shd w:val="clear" w:color="auto" w:fill="auto"/>
                    </w:rPr>
                    <w:t>速率</w:t>
                  </w:r>
                  <w:r>
                    <w:rPr>
                      <w:rFonts w:cs="宋体"/>
                      <w:snapToGrid w:val="0"/>
                      <w:color w:val="auto"/>
                      <w:kern w:val="0"/>
                      <w:szCs w:val="21"/>
                      <w:shd w:val="clear" w:color="auto" w:fill="auto"/>
                    </w:rPr>
                    <w:t>kg/h</w:t>
                  </w:r>
                </w:p>
              </w:tc>
            </w:tr>
            <w:tr w14:paraId="69DC2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2" w:hRule="atLeast"/>
                <w:jc w:val="center"/>
              </w:trPr>
              <w:tc>
                <w:tcPr>
                  <w:tcW w:w="347" w:type="pct"/>
                  <w:tcBorders>
                    <w:tl2br w:val="nil"/>
                    <w:tr2bl w:val="nil"/>
                  </w:tcBorders>
                  <w:vAlign w:val="center"/>
                </w:tcPr>
                <w:p w14:paraId="365C42C4">
                  <w:pPr>
                    <w:widowControl/>
                    <w:adjustRightInd w:val="0"/>
                    <w:snapToGrid w:val="0"/>
                    <w:jc w:val="center"/>
                    <w:textAlignment w:val="center"/>
                    <w:rPr>
                      <w:rFonts w:hint="eastAsia" w:cs="宋体"/>
                      <w:snapToGrid w:val="0"/>
                      <w:color w:val="auto"/>
                      <w:kern w:val="0"/>
                      <w:szCs w:val="21"/>
                      <w:shd w:val="clear" w:color="auto" w:fill="auto"/>
                      <w:lang w:val="en-US" w:eastAsia="zh-CN"/>
                    </w:rPr>
                  </w:pPr>
                  <w:r>
                    <w:rPr>
                      <w:rFonts w:hint="eastAsia" w:cs="宋体"/>
                      <w:snapToGrid w:val="0"/>
                      <w:color w:val="auto"/>
                      <w:kern w:val="0"/>
                      <w:szCs w:val="21"/>
                      <w:shd w:val="clear" w:color="auto" w:fill="auto"/>
                      <w:lang w:val="en-US" w:eastAsia="zh-CN"/>
                    </w:rPr>
                    <w:t>DA001排气筒</w:t>
                  </w:r>
                </w:p>
              </w:tc>
              <w:tc>
                <w:tcPr>
                  <w:tcW w:w="289" w:type="pct"/>
                  <w:tcBorders>
                    <w:tl2br w:val="nil"/>
                    <w:tr2bl w:val="nil"/>
                  </w:tcBorders>
                  <w:vAlign w:val="center"/>
                </w:tcPr>
                <w:p w14:paraId="1B043159">
                  <w:pPr>
                    <w:widowControl/>
                    <w:adjustRightInd w:val="0"/>
                    <w:snapToGrid w:val="0"/>
                    <w:jc w:val="center"/>
                    <w:textAlignment w:val="center"/>
                    <w:rPr>
                      <w:rFonts w:hint="default" w:cs="宋体"/>
                      <w:snapToGrid w:val="0"/>
                      <w:color w:val="auto"/>
                      <w:kern w:val="0"/>
                      <w:szCs w:val="21"/>
                      <w:shd w:val="clear" w:color="auto" w:fill="auto"/>
                      <w:lang w:val="en-US" w:eastAsia="zh-CN"/>
                    </w:rPr>
                  </w:pPr>
                  <w:r>
                    <w:rPr>
                      <w:rFonts w:hint="eastAsia" w:cs="宋体"/>
                      <w:snapToGrid w:val="0"/>
                      <w:color w:val="auto"/>
                      <w:kern w:val="0"/>
                      <w:szCs w:val="21"/>
                      <w:shd w:val="clear" w:color="auto" w:fill="auto"/>
                      <w:lang w:val="en-US" w:eastAsia="zh-CN"/>
                    </w:rPr>
                    <w:t>2000</w:t>
                  </w:r>
                </w:p>
              </w:tc>
              <w:tc>
                <w:tcPr>
                  <w:tcW w:w="482" w:type="pct"/>
                  <w:tcBorders>
                    <w:tl2br w:val="nil"/>
                    <w:tr2bl w:val="nil"/>
                  </w:tcBorders>
                  <w:vAlign w:val="center"/>
                </w:tcPr>
                <w:p w14:paraId="00843E41">
                  <w:pPr>
                    <w:widowControl/>
                    <w:adjustRightInd w:val="0"/>
                    <w:snapToGrid w:val="0"/>
                    <w:jc w:val="center"/>
                    <w:textAlignment w:val="center"/>
                    <w:rPr>
                      <w:rFonts w:hint="eastAsia" w:cs="宋体"/>
                      <w:snapToGrid w:val="0"/>
                      <w:color w:val="auto"/>
                      <w:kern w:val="0"/>
                      <w:szCs w:val="21"/>
                      <w:shd w:val="clear" w:color="auto" w:fill="auto"/>
                      <w:lang w:val="en-US" w:eastAsia="zh-CN"/>
                    </w:rPr>
                  </w:pPr>
                  <w:r>
                    <w:rPr>
                      <w:rFonts w:hint="eastAsia" w:cs="宋体"/>
                      <w:snapToGrid w:val="0"/>
                      <w:color w:val="auto"/>
                      <w:kern w:val="0"/>
                      <w:szCs w:val="21"/>
                      <w:shd w:val="clear" w:color="auto" w:fill="auto"/>
                      <w:lang w:val="en-US" w:eastAsia="zh-CN"/>
                    </w:rPr>
                    <w:t>颗粒物</w:t>
                  </w:r>
                </w:p>
              </w:tc>
              <w:tc>
                <w:tcPr>
                  <w:tcW w:w="496" w:type="pct"/>
                  <w:tcBorders>
                    <w:tl2br w:val="nil"/>
                    <w:tr2bl w:val="nil"/>
                  </w:tcBorders>
                  <w:shd w:val="clear" w:color="auto" w:fill="auto"/>
                  <w:vAlign w:val="center"/>
                </w:tcPr>
                <w:p w14:paraId="088C9BAB">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3.24</w:t>
                  </w:r>
                </w:p>
              </w:tc>
              <w:tc>
                <w:tcPr>
                  <w:tcW w:w="484" w:type="pct"/>
                  <w:tcBorders>
                    <w:tl2br w:val="nil"/>
                    <w:tr2bl w:val="nil"/>
                  </w:tcBorders>
                  <w:shd w:val="clear" w:color="auto" w:fill="auto"/>
                  <w:vAlign w:val="center"/>
                </w:tcPr>
                <w:p w14:paraId="7883B4CE">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1.35</w:t>
                  </w:r>
                </w:p>
              </w:tc>
              <w:tc>
                <w:tcPr>
                  <w:tcW w:w="563" w:type="pct"/>
                  <w:tcBorders>
                    <w:tl2br w:val="nil"/>
                    <w:tr2bl w:val="nil"/>
                  </w:tcBorders>
                  <w:shd w:val="clear" w:color="auto" w:fill="auto"/>
                  <w:vAlign w:val="center"/>
                </w:tcPr>
                <w:p w14:paraId="381EDF38">
                  <w:pPr>
                    <w:widowControl/>
                    <w:snapToGrid w:val="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675</w:t>
                  </w:r>
                </w:p>
              </w:tc>
              <w:tc>
                <w:tcPr>
                  <w:tcW w:w="492" w:type="pct"/>
                  <w:tcBorders>
                    <w:tl2br w:val="nil"/>
                    <w:tr2bl w:val="nil"/>
                  </w:tcBorders>
                  <w:shd w:val="clear" w:color="auto" w:fill="auto"/>
                  <w:vAlign w:val="center"/>
                </w:tcPr>
                <w:p w14:paraId="27B74057">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0.16</w:t>
                  </w:r>
                </w:p>
              </w:tc>
              <w:tc>
                <w:tcPr>
                  <w:tcW w:w="546" w:type="pct"/>
                  <w:tcBorders>
                    <w:tl2br w:val="nil"/>
                    <w:tr2bl w:val="nil"/>
                  </w:tcBorders>
                  <w:shd w:val="clear" w:color="auto" w:fill="auto"/>
                  <w:vAlign w:val="center"/>
                </w:tcPr>
                <w:p w14:paraId="0D673B2E">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0.067</w:t>
                  </w:r>
                </w:p>
              </w:tc>
              <w:tc>
                <w:tcPr>
                  <w:tcW w:w="425" w:type="pct"/>
                  <w:tcBorders>
                    <w:tl2br w:val="nil"/>
                    <w:tr2bl w:val="nil"/>
                  </w:tcBorders>
                  <w:shd w:val="clear" w:color="auto" w:fill="auto"/>
                  <w:vAlign w:val="center"/>
                </w:tcPr>
                <w:p w14:paraId="70B47505">
                  <w:pPr>
                    <w:widowControl/>
                    <w:snapToGrid w:val="0"/>
                    <w:jc w:val="center"/>
                    <w:textAlignment w:val="center"/>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33.5</w:t>
                  </w:r>
                </w:p>
              </w:tc>
              <w:tc>
                <w:tcPr>
                  <w:tcW w:w="457" w:type="pct"/>
                  <w:tcBorders>
                    <w:tl2br w:val="nil"/>
                    <w:tr2bl w:val="nil"/>
                  </w:tcBorders>
                  <w:shd w:val="clear" w:color="auto" w:fill="auto"/>
                  <w:vAlign w:val="center"/>
                </w:tcPr>
                <w:p w14:paraId="123D2714">
                  <w:pPr>
                    <w:widowControl/>
                    <w:adjustRightInd w:val="0"/>
                    <w:snapToGrid w:val="0"/>
                    <w:jc w:val="center"/>
                    <w:textAlignment w:val="center"/>
                    <w:rPr>
                      <w:rFonts w:hint="eastAsia" w:ascii="Times New Roman" w:hAnsi="Times New Roman" w:eastAsia="宋体" w:cs="宋体"/>
                      <w:snapToGrid w:val="0"/>
                      <w:color w:val="auto"/>
                      <w:kern w:val="0"/>
                      <w:sz w:val="21"/>
                      <w:szCs w:val="21"/>
                      <w:shd w:val="clear" w:color="auto" w:fill="auto"/>
                      <w:lang w:val="en-US" w:eastAsia="zh-CN" w:bidi="ar-SA"/>
                    </w:rPr>
                  </w:pPr>
                  <w:r>
                    <w:rPr>
                      <w:rFonts w:hint="eastAsia" w:cs="宋体"/>
                      <w:snapToGrid w:val="0"/>
                      <w:color w:val="auto"/>
                      <w:kern w:val="0"/>
                      <w:sz w:val="21"/>
                      <w:szCs w:val="21"/>
                      <w:shd w:val="clear" w:color="auto" w:fill="auto"/>
                      <w:lang w:val="en-US" w:eastAsia="zh-CN" w:bidi="ar-SA"/>
                    </w:rPr>
                    <w:t>120</w:t>
                  </w:r>
                </w:p>
              </w:tc>
              <w:tc>
                <w:tcPr>
                  <w:tcW w:w="416" w:type="pct"/>
                  <w:tcBorders>
                    <w:tl2br w:val="nil"/>
                    <w:tr2bl w:val="nil"/>
                  </w:tcBorders>
                  <w:shd w:val="clear" w:color="auto" w:fill="auto"/>
                  <w:vAlign w:val="center"/>
                </w:tcPr>
                <w:p w14:paraId="2096FB53">
                  <w:pPr>
                    <w:widowControl/>
                    <w:adjustRightInd w:val="0"/>
                    <w:snapToGrid w:val="0"/>
                    <w:jc w:val="center"/>
                    <w:textAlignment w:val="center"/>
                    <w:rPr>
                      <w:rFonts w:hint="default" w:ascii="Times New Roman" w:hAnsi="Times New Roman" w:eastAsia="宋体" w:cs="宋体"/>
                      <w:snapToGrid w:val="0"/>
                      <w:color w:val="auto"/>
                      <w:kern w:val="0"/>
                      <w:sz w:val="21"/>
                      <w:szCs w:val="21"/>
                      <w:shd w:val="clear" w:color="auto" w:fill="auto"/>
                      <w:lang w:val="en-US" w:eastAsia="zh-CN" w:bidi="ar-SA"/>
                    </w:rPr>
                  </w:pPr>
                  <w:r>
                    <w:rPr>
                      <w:rFonts w:hint="eastAsia" w:ascii="Times New Roman" w:hAnsi="Times New Roman" w:cs="宋体"/>
                      <w:snapToGrid w:val="0"/>
                      <w:color w:val="auto"/>
                      <w:kern w:val="0"/>
                      <w:sz w:val="21"/>
                      <w:szCs w:val="21"/>
                      <w:shd w:val="clear" w:color="auto" w:fill="auto"/>
                      <w:lang w:val="en-US" w:eastAsia="zh-CN" w:bidi="ar-SA"/>
                    </w:rPr>
                    <w:t>1.75</w:t>
                  </w:r>
                </w:p>
              </w:tc>
            </w:tr>
            <w:tr w14:paraId="4B881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2" w:hRule="atLeast"/>
                <w:jc w:val="center"/>
              </w:trPr>
              <w:tc>
                <w:tcPr>
                  <w:tcW w:w="347" w:type="pct"/>
                  <w:vMerge w:val="restart"/>
                  <w:tcBorders>
                    <w:tl2br w:val="nil"/>
                    <w:tr2bl w:val="nil"/>
                  </w:tcBorders>
                  <w:vAlign w:val="center"/>
                </w:tcPr>
                <w:p w14:paraId="3801CEE5">
                  <w:pPr>
                    <w:widowControl/>
                    <w:adjustRightInd w:val="0"/>
                    <w:snapToGrid w:val="0"/>
                    <w:jc w:val="center"/>
                    <w:textAlignment w:val="center"/>
                    <w:rPr>
                      <w:rFonts w:hint="default" w:eastAsia="宋体" w:cs="宋体"/>
                      <w:snapToGrid w:val="0"/>
                      <w:color w:val="auto"/>
                      <w:kern w:val="0"/>
                      <w:szCs w:val="21"/>
                      <w:shd w:val="clear" w:color="auto" w:fill="auto"/>
                      <w:lang w:val="en-US" w:eastAsia="zh-CN"/>
                    </w:rPr>
                  </w:pPr>
                  <w:r>
                    <w:rPr>
                      <w:rFonts w:hint="eastAsia" w:cs="宋体"/>
                      <w:snapToGrid w:val="0"/>
                      <w:color w:val="auto"/>
                      <w:kern w:val="0"/>
                      <w:szCs w:val="21"/>
                      <w:shd w:val="clear" w:color="auto" w:fill="auto"/>
                      <w:lang w:val="en-US" w:eastAsia="zh-CN"/>
                    </w:rPr>
                    <w:t>DA002排气筒</w:t>
                  </w:r>
                </w:p>
              </w:tc>
              <w:tc>
                <w:tcPr>
                  <w:tcW w:w="289" w:type="pct"/>
                  <w:vMerge w:val="restart"/>
                  <w:tcBorders>
                    <w:tl2br w:val="nil"/>
                    <w:tr2bl w:val="nil"/>
                  </w:tcBorders>
                  <w:vAlign w:val="center"/>
                </w:tcPr>
                <w:p w14:paraId="3FF4E932">
                  <w:pPr>
                    <w:widowControl/>
                    <w:adjustRightInd w:val="0"/>
                    <w:snapToGrid w:val="0"/>
                    <w:jc w:val="center"/>
                    <w:textAlignment w:val="center"/>
                    <w:rPr>
                      <w:rFonts w:hint="default" w:cs="宋体"/>
                      <w:snapToGrid w:val="0"/>
                      <w:color w:val="auto"/>
                      <w:kern w:val="0"/>
                      <w:szCs w:val="21"/>
                      <w:shd w:val="clear" w:color="auto" w:fill="auto"/>
                      <w:lang w:val="en-US" w:eastAsia="zh-CN"/>
                    </w:rPr>
                  </w:pPr>
                  <w:r>
                    <w:rPr>
                      <w:rFonts w:hint="eastAsia" w:cs="宋体"/>
                      <w:snapToGrid w:val="0"/>
                      <w:color w:val="auto"/>
                      <w:kern w:val="0"/>
                      <w:szCs w:val="21"/>
                      <w:shd w:val="clear" w:color="auto" w:fill="auto"/>
                      <w:lang w:val="en-US" w:eastAsia="zh-CN"/>
                    </w:rPr>
                    <w:t>14392</w:t>
                  </w:r>
                </w:p>
              </w:tc>
              <w:tc>
                <w:tcPr>
                  <w:tcW w:w="482" w:type="pct"/>
                  <w:tcBorders>
                    <w:tl2br w:val="nil"/>
                    <w:tr2bl w:val="nil"/>
                  </w:tcBorders>
                  <w:vAlign w:val="center"/>
                </w:tcPr>
                <w:p w14:paraId="49589057">
                  <w:pPr>
                    <w:widowControl/>
                    <w:adjustRightInd w:val="0"/>
                    <w:snapToGrid w:val="0"/>
                    <w:jc w:val="center"/>
                    <w:textAlignment w:val="center"/>
                    <w:rPr>
                      <w:rFonts w:hint="default" w:eastAsia="宋体" w:cs="宋体"/>
                      <w:snapToGrid w:val="0"/>
                      <w:color w:val="auto"/>
                      <w:kern w:val="0"/>
                      <w:szCs w:val="21"/>
                      <w:shd w:val="clear" w:color="auto" w:fill="auto"/>
                      <w:lang w:val="en-US" w:eastAsia="zh-CN"/>
                    </w:rPr>
                  </w:pPr>
                  <w:r>
                    <w:rPr>
                      <w:rFonts w:hint="eastAsia" w:cs="宋体"/>
                      <w:snapToGrid w:val="0"/>
                      <w:color w:val="auto"/>
                      <w:kern w:val="0"/>
                      <w:szCs w:val="21"/>
                      <w:shd w:val="clear" w:color="auto" w:fill="auto"/>
                      <w:lang w:val="en-US" w:eastAsia="zh-CN"/>
                    </w:rPr>
                    <w:t>非甲烷总烃</w:t>
                  </w:r>
                </w:p>
              </w:tc>
              <w:tc>
                <w:tcPr>
                  <w:tcW w:w="496" w:type="pct"/>
                  <w:tcBorders>
                    <w:tl2br w:val="nil"/>
                    <w:tr2bl w:val="nil"/>
                  </w:tcBorders>
                  <w:shd w:val="clear" w:color="auto" w:fill="auto"/>
                  <w:vAlign w:val="center"/>
                </w:tcPr>
                <w:p w14:paraId="7DD42B2F">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3.37</w:t>
                  </w:r>
                </w:p>
              </w:tc>
              <w:tc>
                <w:tcPr>
                  <w:tcW w:w="484" w:type="pct"/>
                  <w:tcBorders>
                    <w:tl2br w:val="nil"/>
                    <w:tr2bl w:val="nil"/>
                  </w:tcBorders>
                  <w:shd w:val="clear" w:color="auto" w:fill="auto"/>
                  <w:vAlign w:val="center"/>
                </w:tcPr>
                <w:p w14:paraId="3F4EEFAC">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1.4</w:t>
                  </w:r>
                </w:p>
              </w:tc>
              <w:tc>
                <w:tcPr>
                  <w:tcW w:w="563" w:type="pct"/>
                  <w:tcBorders>
                    <w:tl2br w:val="nil"/>
                    <w:tr2bl w:val="nil"/>
                  </w:tcBorders>
                  <w:shd w:val="clear" w:color="auto" w:fill="auto"/>
                  <w:vAlign w:val="center"/>
                </w:tcPr>
                <w:p w14:paraId="224F2191">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97.28</w:t>
                  </w:r>
                </w:p>
              </w:tc>
              <w:tc>
                <w:tcPr>
                  <w:tcW w:w="492" w:type="pct"/>
                  <w:tcBorders>
                    <w:tl2br w:val="nil"/>
                    <w:tr2bl w:val="nil"/>
                  </w:tcBorders>
                  <w:shd w:val="clear" w:color="auto" w:fill="auto"/>
                  <w:vAlign w:val="center"/>
                </w:tcPr>
                <w:p w14:paraId="34D2B656">
                  <w:pPr>
                    <w:widowControl/>
                    <w:snapToGrid w:val="0"/>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2.29</w:t>
                  </w:r>
                </w:p>
              </w:tc>
              <w:tc>
                <w:tcPr>
                  <w:tcW w:w="546" w:type="pct"/>
                  <w:tcBorders>
                    <w:tl2br w:val="nil"/>
                    <w:tr2bl w:val="nil"/>
                  </w:tcBorders>
                  <w:shd w:val="clear" w:color="auto" w:fill="auto"/>
                  <w:vAlign w:val="center"/>
                </w:tcPr>
                <w:p w14:paraId="27DD2165">
                  <w:pPr>
                    <w:widowControl/>
                    <w:snapToGrid w:val="0"/>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0.95</w:t>
                  </w:r>
                </w:p>
              </w:tc>
              <w:tc>
                <w:tcPr>
                  <w:tcW w:w="425" w:type="pct"/>
                  <w:tcBorders>
                    <w:tl2br w:val="nil"/>
                    <w:tr2bl w:val="nil"/>
                  </w:tcBorders>
                  <w:shd w:val="clear" w:color="auto" w:fill="auto"/>
                  <w:vAlign w:val="center"/>
                </w:tcPr>
                <w:p w14:paraId="6BF69CD8">
                  <w:pPr>
                    <w:widowControl/>
                    <w:snapToGrid w:val="0"/>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66.01</w:t>
                  </w:r>
                </w:p>
              </w:tc>
              <w:tc>
                <w:tcPr>
                  <w:tcW w:w="457" w:type="pct"/>
                  <w:tcBorders>
                    <w:tl2br w:val="nil"/>
                    <w:tr2bl w:val="nil"/>
                  </w:tcBorders>
                  <w:shd w:val="clear" w:color="auto" w:fill="auto"/>
                  <w:vAlign w:val="center"/>
                </w:tcPr>
                <w:p w14:paraId="0AE0DEC6">
                  <w:pPr>
                    <w:widowControl/>
                    <w:adjustRightInd w:val="0"/>
                    <w:snapToGrid w:val="0"/>
                    <w:jc w:val="center"/>
                    <w:textAlignment w:val="center"/>
                    <w:rPr>
                      <w:rFonts w:hint="default" w:ascii="Times New Roman" w:hAnsi="Times New Roman" w:eastAsia="宋体" w:cs="宋体"/>
                      <w:snapToGrid w:val="0"/>
                      <w:color w:val="auto"/>
                      <w:kern w:val="0"/>
                      <w:sz w:val="21"/>
                      <w:szCs w:val="21"/>
                      <w:shd w:val="clear" w:color="auto" w:fill="auto"/>
                      <w:lang w:val="en-US" w:eastAsia="zh-CN" w:bidi="ar-SA"/>
                    </w:rPr>
                  </w:pPr>
                  <w:r>
                    <w:rPr>
                      <w:rFonts w:hint="eastAsia" w:cs="宋体"/>
                      <w:snapToGrid w:val="0"/>
                      <w:color w:val="auto"/>
                      <w:kern w:val="0"/>
                      <w:sz w:val="21"/>
                      <w:szCs w:val="21"/>
                      <w:shd w:val="clear" w:color="auto" w:fill="auto"/>
                      <w:lang w:val="en-US" w:eastAsia="zh-CN" w:bidi="ar-SA"/>
                    </w:rPr>
                    <w:t>120</w:t>
                  </w:r>
                </w:p>
              </w:tc>
              <w:tc>
                <w:tcPr>
                  <w:tcW w:w="416" w:type="pct"/>
                  <w:tcBorders>
                    <w:tl2br w:val="nil"/>
                    <w:tr2bl w:val="nil"/>
                  </w:tcBorders>
                  <w:shd w:val="clear" w:color="auto" w:fill="auto"/>
                  <w:vAlign w:val="center"/>
                </w:tcPr>
                <w:p w14:paraId="0FF9ABA9">
                  <w:pPr>
                    <w:widowControl/>
                    <w:adjustRightInd w:val="0"/>
                    <w:snapToGrid w:val="0"/>
                    <w:jc w:val="center"/>
                    <w:textAlignment w:val="center"/>
                    <w:rPr>
                      <w:rFonts w:hint="default" w:ascii="Times New Roman" w:hAnsi="Times New Roman" w:eastAsia="宋体" w:cs="宋体"/>
                      <w:snapToGrid w:val="0"/>
                      <w:color w:val="auto"/>
                      <w:kern w:val="0"/>
                      <w:sz w:val="21"/>
                      <w:szCs w:val="21"/>
                      <w:shd w:val="clear" w:color="auto" w:fill="auto"/>
                      <w:lang w:val="en-US" w:eastAsia="zh-CN"/>
                    </w:rPr>
                  </w:pPr>
                  <w:r>
                    <w:rPr>
                      <w:rFonts w:hint="eastAsia" w:cs="宋体"/>
                      <w:snapToGrid w:val="0"/>
                      <w:color w:val="auto"/>
                      <w:kern w:val="0"/>
                      <w:sz w:val="21"/>
                      <w:szCs w:val="21"/>
                      <w:shd w:val="clear" w:color="auto" w:fill="auto"/>
                      <w:lang w:val="en-US" w:eastAsia="zh-CN"/>
                    </w:rPr>
                    <w:t>5</w:t>
                  </w:r>
                </w:p>
              </w:tc>
            </w:tr>
            <w:tr w14:paraId="09BA9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2" w:hRule="atLeast"/>
                <w:jc w:val="center"/>
              </w:trPr>
              <w:tc>
                <w:tcPr>
                  <w:tcW w:w="347" w:type="pct"/>
                  <w:vMerge w:val="continue"/>
                  <w:tcBorders>
                    <w:tl2br w:val="nil"/>
                    <w:tr2bl w:val="nil"/>
                  </w:tcBorders>
                  <w:vAlign w:val="center"/>
                </w:tcPr>
                <w:p w14:paraId="1253C14B">
                  <w:pPr>
                    <w:widowControl/>
                    <w:adjustRightInd w:val="0"/>
                    <w:snapToGrid w:val="0"/>
                    <w:jc w:val="center"/>
                    <w:textAlignment w:val="center"/>
                    <w:rPr>
                      <w:rFonts w:hint="eastAsia" w:cs="宋体"/>
                      <w:snapToGrid w:val="0"/>
                      <w:color w:val="auto"/>
                      <w:kern w:val="0"/>
                      <w:szCs w:val="21"/>
                      <w:shd w:val="clear" w:color="auto" w:fill="auto"/>
                      <w:lang w:val="en-US" w:eastAsia="zh-CN"/>
                    </w:rPr>
                  </w:pPr>
                </w:p>
              </w:tc>
              <w:tc>
                <w:tcPr>
                  <w:tcW w:w="289" w:type="pct"/>
                  <w:vMerge w:val="continue"/>
                  <w:tcBorders>
                    <w:tl2br w:val="nil"/>
                    <w:tr2bl w:val="nil"/>
                  </w:tcBorders>
                  <w:vAlign w:val="center"/>
                </w:tcPr>
                <w:p w14:paraId="60A503E4">
                  <w:pPr>
                    <w:widowControl/>
                    <w:adjustRightInd w:val="0"/>
                    <w:snapToGrid w:val="0"/>
                    <w:jc w:val="center"/>
                    <w:textAlignment w:val="center"/>
                    <w:rPr>
                      <w:rFonts w:hint="eastAsia" w:cs="宋体"/>
                      <w:snapToGrid w:val="0"/>
                      <w:color w:val="auto"/>
                      <w:kern w:val="0"/>
                      <w:szCs w:val="21"/>
                      <w:shd w:val="clear" w:color="auto" w:fill="auto"/>
                      <w:lang w:val="en-US" w:eastAsia="zh-CN"/>
                    </w:rPr>
                  </w:pPr>
                </w:p>
              </w:tc>
              <w:tc>
                <w:tcPr>
                  <w:tcW w:w="482" w:type="pct"/>
                  <w:tcBorders>
                    <w:tl2br w:val="nil"/>
                    <w:tr2bl w:val="nil"/>
                  </w:tcBorders>
                  <w:shd w:val="clear" w:color="auto" w:fill="auto"/>
                  <w:vAlign w:val="center"/>
                </w:tcPr>
                <w:p w14:paraId="39FECA47">
                  <w:pPr>
                    <w:widowControl/>
                    <w:adjustRightInd w:val="0"/>
                    <w:snapToGrid w:val="0"/>
                    <w:jc w:val="center"/>
                    <w:textAlignment w:val="center"/>
                    <w:rPr>
                      <w:rFonts w:hint="eastAsia" w:ascii="Times New Roman" w:hAnsi="Times New Roman" w:eastAsia="宋体" w:cs="宋体"/>
                      <w:snapToGrid w:val="0"/>
                      <w:color w:val="auto"/>
                      <w:kern w:val="0"/>
                      <w:sz w:val="21"/>
                      <w:szCs w:val="21"/>
                      <w:shd w:val="clear" w:color="auto" w:fill="auto"/>
                      <w:lang w:val="en-US" w:eastAsia="zh-CN" w:bidi="ar-SA"/>
                    </w:rPr>
                  </w:pPr>
                  <w:r>
                    <w:rPr>
                      <w:rFonts w:hint="eastAsia" w:cs="宋体"/>
                      <w:snapToGrid w:val="0"/>
                      <w:color w:val="auto"/>
                      <w:kern w:val="0"/>
                      <w:szCs w:val="21"/>
                      <w:shd w:val="clear" w:color="auto" w:fill="auto"/>
                      <w:lang w:val="en-US" w:eastAsia="zh-CN"/>
                    </w:rPr>
                    <w:t>颗粒物</w:t>
                  </w:r>
                </w:p>
              </w:tc>
              <w:tc>
                <w:tcPr>
                  <w:tcW w:w="496" w:type="pct"/>
                  <w:tcBorders>
                    <w:tl2br w:val="nil"/>
                    <w:tr2bl w:val="nil"/>
                  </w:tcBorders>
                  <w:shd w:val="clear" w:color="auto" w:fill="auto"/>
                  <w:vAlign w:val="center"/>
                </w:tcPr>
                <w:p w14:paraId="09FECC71">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15.892</w:t>
                  </w:r>
                </w:p>
              </w:tc>
              <w:tc>
                <w:tcPr>
                  <w:tcW w:w="484" w:type="pct"/>
                  <w:tcBorders>
                    <w:tl2br w:val="nil"/>
                    <w:tr2bl w:val="nil"/>
                  </w:tcBorders>
                  <w:shd w:val="clear" w:color="auto" w:fill="auto"/>
                  <w:vAlign w:val="center"/>
                </w:tcPr>
                <w:p w14:paraId="594F12EF">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6.62</w:t>
                  </w:r>
                </w:p>
              </w:tc>
              <w:tc>
                <w:tcPr>
                  <w:tcW w:w="563" w:type="pct"/>
                  <w:tcBorders>
                    <w:tl2br w:val="nil"/>
                    <w:tr2bl w:val="nil"/>
                  </w:tcBorders>
                  <w:shd w:val="clear" w:color="auto" w:fill="auto"/>
                  <w:vAlign w:val="center"/>
                </w:tcPr>
                <w:p w14:paraId="3E07A03D">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459.98</w:t>
                  </w:r>
                </w:p>
              </w:tc>
              <w:tc>
                <w:tcPr>
                  <w:tcW w:w="492" w:type="pct"/>
                  <w:tcBorders>
                    <w:tl2br w:val="nil"/>
                    <w:tr2bl w:val="nil"/>
                  </w:tcBorders>
                  <w:shd w:val="clear" w:color="auto" w:fill="auto"/>
                  <w:vAlign w:val="center"/>
                </w:tcPr>
                <w:p w14:paraId="2A04B7B0">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0.622</w:t>
                  </w:r>
                </w:p>
              </w:tc>
              <w:tc>
                <w:tcPr>
                  <w:tcW w:w="546" w:type="pct"/>
                  <w:tcBorders>
                    <w:tl2br w:val="nil"/>
                    <w:tr2bl w:val="nil"/>
                  </w:tcBorders>
                  <w:shd w:val="clear" w:color="auto" w:fill="auto"/>
                  <w:vAlign w:val="center"/>
                </w:tcPr>
                <w:p w14:paraId="5F3B6CF3">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0.26</w:t>
                  </w:r>
                </w:p>
              </w:tc>
              <w:tc>
                <w:tcPr>
                  <w:tcW w:w="425" w:type="pct"/>
                  <w:tcBorders>
                    <w:tl2br w:val="nil"/>
                    <w:tr2bl w:val="nil"/>
                  </w:tcBorders>
                  <w:shd w:val="clear" w:color="auto" w:fill="auto"/>
                  <w:vAlign w:val="center"/>
                </w:tcPr>
                <w:p w14:paraId="263EBFFF">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18.07</w:t>
                  </w:r>
                </w:p>
              </w:tc>
              <w:tc>
                <w:tcPr>
                  <w:tcW w:w="457" w:type="pct"/>
                  <w:tcBorders>
                    <w:tl2br w:val="nil"/>
                    <w:tr2bl w:val="nil"/>
                  </w:tcBorders>
                  <w:shd w:val="clear" w:color="auto" w:fill="auto"/>
                  <w:vAlign w:val="center"/>
                </w:tcPr>
                <w:p w14:paraId="0925AC43">
                  <w:pPr>
                    <w:widowControl/>
                    <w:adjustRightInd w:val="0"/>
                    <w:snapToGrid w:val="0"/>
                    <w:jc w:val="center"/>
                    <w:textAlignment w:val="center"/>
                    <w:rPr>
                      <w:rFonts w:hint="default" w:ascii="Times New Roman" w:hAnsi="Times New Roman" w:eastAsia="宋体" w:cs="宋体"/>
                      <w:snapToGrid w:val="0"/>
                      <w:color w:val="auto"/>
                      <w:kern w:val="0"/>
                      <w:sz w:val="21"/>
                      <w:szCs w:val="21"/>
                      <w:shd w:val="clear" w:color="auto" w:fill="auto"/>
                      <w:lang w:val="en-US" w:eastAsia="zh-CN" w:bidi="ar-SA"/>
                    </w:rPr>
                  </w:pPr>
                  <w:r>
                    <w:rPr>
                      <w:rFonts w:hint="eastAsia" w:cs="宋体"/>
                      <w:snapToGrid w:val="0"/>
                      <w:color w:val="auto"/>
                      <w:kern w:val="0"/>
                      <w:sz w:val="21"/>
                      <w:szCs w:val="21"/>
                      <w:shd w:val="clear" w:color="auto" w:fill="auto"/>
                      <w:lang w:val="en-US" w:eastAsia="zh-CN" w:bidi="ar-SA"/>
                    </w:rPr>
                    <w:t>120</w:t>
                  </w:r>
                </w:p>
              </w:tc>
              <w:tc>
                <w:tcPr>
                  <w:tcW w:w="416" w:type="pct"/>
                  <w:tcBorders>
                    <w:tl2br w:val="nil"/>
                    <w:tr2bl w:val="nil"/>
                  </w:tcBorders>
                  <w:shd w:val="clear" w:color="auto" w:fill="auto"/>
                  <w:vAlign w:val="center"/>
                </w:tcPr>
                <w:p w14:paraId="40B0F4FB">
                  <w:pPr>
                    <w:widowControl/>
                    <w:adjustRightInd w:val="0"/>
                    <w:snapToGrid w:val="0"/>
                    <w:jc w:val="center"/>
                    <w:textAlignment w:val="center"/>
                    <w:rPr>
                      <w:rFonts w:hint="default" w:ascii="Times New Roman" w:hAnsi="Times New Roman" w:eastAsia="宋体" w:cs="宋体"/>
                      <w:snapToGrid w:val="0"/>
                      <w:color w:val="auto"/>
                      <w:kern w:val="0"/>
                      <w:sz w:val="21"/>
                      <w:szCs w:val="21"/>
                      <w:shd w:val="clear" w:color="auto" w:fill="auto"/>
                      <w:lang w:val="en-US" w:eastAsia="zh-CN" w:bidi="ar-SA"/>
                    </w:rPr>
                  </w:pPr>
                  <w:r>
                    <w:rPr>
                      <w:rFonts w:hint="eastAsia" w:cs="宋体"/>
                      <w:snapToGrid w:val="0"/>
                      <w:color w:val="auto"/>
                      <w:kern w:val="0"/>
                      <w:sz w:val="21"/>
                      <w:szCs w:val="21"/>
                      <w:shd w:val="clear" w:color="auto" w:fill="auto"/>
                      <w:lang w:val="en-US" w:eastAsia="zh-CN" w:bidi="ar-SA"/>
                    </w:rPr>
                    <w:t>1.75</w:t>
                  </w:r>
                </w:p>
              </w:tc>
            </w:tr>
            <w:tr w14:paraId="51F5A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3" w:hRule="atLeast"/>
                <w:jc w:val="center"/>
              </w:trPr>
              <w:tc>
                <w:tcPr>
                  <w:tcW w:w="347" w:type="pct"/>
                  <w:vMerge w:val="continue"/>
                  <w:tcBorders>
                    <w:tl2br w:val="nil"/>
                    <w:tr2bl w:val="nil"/>
                  </w:tcBorders>
                  <w:vAlign w:val="center"/>
                </w:tcPr>
                <w:p w14:paraId="20CC5B21">
                  <w:pPr>
                    <w:widowControl/>
                    <w:adjustRightInd w:val="0"/>
                    <w:snapToGrid w:val="0"/>
                    <w:jc w:val="center"/>
                    <w:textAlignment w:val="center"/>
                    <w:rPr>
                      <w:color w:val="auto"/>
                    </w:rPr>
                  </w:pPr>
                </w:p>
              </w:tc>
              <w:tc>
                <w:tcPr>
                  <w:tcW w:w="289" w:type="pct"/>
                  <w:vMerge w:val="continue"/>
                  <w:tcBorders>
                    <w:tl2br w:val="nil"/>
                    <w:tr2bl w:val="nil"/>
                  </w:tcBorders>
                  <w:vAlign w:val="center"/>
                </w:tcPr>
                <w:p w14:paraId="4F44C64D">
                  <w:pPr>
                    <w:widowControl/>
                    <w:adjustRightInd w:val="0"/>
                    <w:snapToGrid w:val="0"/>
                    <w:jc w:val="center"/>
                    <w:textAlignment w:val="center"/>
                    <w:rPr>
                      <w:color w:val="auto"/>
                    </w:rPr>
                  </w:pPr>
                </w:p>
              </w:tc>
              <w:tc>
                <w:tcPr>
                  <w:tcW w:w="482" w:type="pct"/>
                  <w:tcBorders>
                    <w:tl2br w:val="nil"/>
                    <w:tr2bl w:val="nil"/>
                  </w:tcBorders>
                  <w:vAlign w:val="center"/>
                </w:tcPr>
                <w:p w14:paraId="243B6F10">
                  <w:pPr>
                    <w:widowControl/>
                    <w:adjustRightInd w:val="0"/>
                    <w:snapToGrid w:val="0"/>
                    <w:jc w:val="center"/>
                    <w:textAlignment w:val="center"/>
                    <w:rPr>
                      <w:rFonts w:hint="default" w:cs="宋体"/>
                      <w:snapToGrid w:val="0"/>
                      <w:color w:val="auto"/>
                      <w:kern w:val="0"/>
                      <w:szCs w:val="21"/>
                      <w:shd w:val="clear" w:color="auto" w:fill="auto"/>
                      <w:lang w:val="en-US" w:eastAsia="zh-CN"/>
                    </w:rPr>
                  </w:pPr>
                  <w:r>
                    <w:rPr>
                      <w:rFonts w:hint="eastAsia" w:cs="宋体"/>
                      <w:snapToGrid w:val="0"/>
                      <w:color w:val="auto"/>
                      <w:kern w:val="0"/>
                      <w:szCs w:val="21"/>
                      <w:shd w:val="clear" w:color="auto" w:fill="auto"/>
                      <w:lang w:val="en-US" w:eastAsia="zh-CN"/>
                    </w:rPr>
                    <w:t>二氧化硫</w:t>
                  </w:r>
                </w:p>
              </w:tc>
              <w:tc>
                <w:tcPr>
                  <w:tcW w:w="496" w:type="pct"/>
                  <w:tcBorders>
                    <w:tl2br w:val="nil"/>
                    <w:tr2bl w:val="nil"/>
                  </w:tcBorders>
                  <w:shd w:val="clear" w:color="auto" w:fill="auto"/>
                  <w:vAlign w:val="center"/>
                </w:tcPr>
                <w:p w14:paraId="2DB04A38">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0.02</w:t>
                  </w:r>
                </w:p>
              </w:tc>
              <w:tc>
                <w:tcPr>
                  <w:tcW w:w="484" w:type="pct"/>
                  <w:tcBorders>
                    <w:tl2br w:val="nil"/>
                    <w:tr2bl w:val="nil"/>
                  </w:tcBorders>
                  <w:shd w:val="clear" w:color="auto" w:fill="auto"/>
                  <w:vAlign w:val="center"/>
                </w:tcPr>
                <w:p w14:paraId="4A90581B">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0.0083</w:t>
                  </w:r>
                </w:p>
              </w:tc>
              <w:tc>
                <w:tcPr>
                  <w:tcW w:w="563" w:type="pct"/>
                  <w:tcBorders>
                    <w:tl2br w:val="nil"/>
                    <w:tr2bl w:val="nil"/>
                  </w:tcBorders>
                  <w:shd w:val="clear" w:color="auto" w:fill="auto"/>
                  <w:vAlign w:val="center"/>
                </w:tcPr>
                <w:p w14:paraId="47755B11">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0.58</w:t>
                  </w:r>
                </w:p>
              </w:tc>
              <w:tc>
                <w:tcPr>
                  <w:tcW w:w="492" w:type="pct"/>
                  <w:tcBorders>
                    <w:tl2br w:val="nil"/>
                    <w:tr2bl w:val="nil"/>
                  </w:tcBorders>
                  <w:shd w:val="clear" w:color="auto" w:fill="auto"/>
                  <w:vAlign w:val="center"/>
                </w:tcPr>
                <w:p w14:paraId="3E9727C5">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0.02</w:t>
                  </w:r>
                </w:p>
              </w:tc>
              <w:tc>
                <w:tcPr>
                  <w:tcW w:w="546" w:type="pct"/>
                  <w:tcBorders>
                    <w:tl2br w:val="nil"/>
                    <w:tr2bl w:val="nil"/>
                  </w:tcBorders>
                  <w:shd w:val="clear" w:color="auto" w:fill="auto"/>
                  <w:vAlign w:val="center"/>
                </w:tcPr>
                <w:p w14:paraId="25BD2E8F">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0.0083</w:t>
                  </w:r>
                </w:p>
              </w:tc>
              <w:tc>
                <w:tcPr>
                  <w:tcW w:w="425" w:type="pct"/>
                  <w:tcBorders>
                    <w:tl2br w:val="nil"/>
                    <w:tr2bl w:val="nil"/>
                  </w:tcBorders>
                  <w:shd w:val="clear" w:color="auto" w:fill="auto"/>
                  <w:vAlign w:val="center"/>
                </w:tcPr>
                <w:p w14:paraId="0D358473">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0.58</w:t>
                  </w:r>
                </w:p>
              </w:tc>
              <w:tc>
                <w:tcPr>
                  <w:tcW w:w="457" w:type="pct"/>
                  <w:tcBorders>
                    <w:tl2br w:val="nil"/>
                    <w:tr2bl w:val="nil"/>
                  </w:tcBorders>
                  <w:shd w:val="clear" w:color="auto" w:fill="auto"/>
                  <w:vAlign w:val="center"/>
                </w:tcPr>
                <w:p w14:paraId="105940FA">
                  <w:pPr>
                    <w:widowControl/>
                    <w:adjustRightInd w:val="0"/>
                    <w:snapToGrid w:val="0"/>
                    <w:jc w:val="center"/>
                    <w:textAlignment w:val="center"/>
                    <w:rPr>
                      <w:rFonts w:hint="default" w:cs="宋体"/>
                      <w:snapToGrid w:val="0"/>
                      <w:color w:val="auto"/>
                      <w:kern w:val="0"/>
                      <w:szCs w:val="21"/>
                      <w:shd w:val="clear" w:color="auto" w:fill="auto"/>
                      <w:lang w:val="en-US" w:eastAsia="zh-CN"/>
                    </w:rPr>
                  </w:pPr>
                  <w:r>
                    <w:rPr>
                      <w:rFonts w:hint="eastAsia" w:cs="宋体"/>
                      <w:snapToGrid w:val="0"/>
                      <w:color w:val="auto"/>
                      <w:kern w:val="0"/>
                      <w:szCs w:val="21"/>
                      <w:shd w:val="clear" w:color="auto" w:fill="auto"/>
                      <w:lang w:val="en-US" w:eastAsia="zh-CN"/>
                    </w:rPr>
                    <w:t>550</w:t>
                  </w:r>
                </w:p>
              </w:tc>
              <w:tc>
                <w:tcPr>
                  <w:tcW w:w="416" w:type="pct"/>
                  <w:tcBorders>
                    <w:tl2br w:val="nil"/>
                    <w:tr2bl w:val="nil"/>
                  </w:tcBorders>
                  <w:shd w:val="clear" w:color="auto" w:fill="auto"/>
                  <w:vAlign w:val="center"/>
                </w:tcPr>
                <w:p w14:paraId="6EDBCAB1">
                  <w:pPr>
                    <w:widowControl/>
                    <w:adjustRightInd w:val="0"/>
                    <w:snapToGrid w:val="0"/>
                    <w:jc w:val="center"/>
                    <w:textAlignment w:val="center"/>
                    <w:rPr>
                      <w:rFonts w:hint="default" w:cs="宋体"/>
                      <w:snapToGrid w:val="0"/>
                      <w:color w:val="auto"/>
                      <w:kern w:val="0"/>
                      <w:szCs w:val="21"/>
                      <w:shd w:val="clear" w:color="auto" w:fill="auto"/>
                      <w:lang w:val="en-US" w:eastAsia="zh-CN"/>
                    </w:rPr>
                  </w:pPr>
                  <w:r>
                    <w:rPr>
                      <w:rFonts w:hint="eastAsia" w:cs="宋体"/>
                      <w:snapToGrid w:val="0"/>
                      <w:color w:val="auto"/>
                      <w:kern w:val="0"/>
                      <w:szCs w:val="21"/>
                      <w:shd w:val="clear" w:color="auto" w:fill="auto"/>
                      <w:lang w:val="en-US" w:eastAsia="zh-CN"/>
                    </w:rPr>
                    <w:t>1.3</w:t>
                  </w:r>
                </w:p>
              </w:tc>
            </w:tr>
            <w:tr w14:paraId="17CA8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3" w:hRule="atLeast"/>
                <w:jc w:val="center"/>
              </w:trPr>
              <w:tc>
                <w:tcPr>
                  <w:tcW w:w="347" w:type="pct"/>
                  <w:vMerge w:val="continue"/>
                  <w:tcBorders>
                    <w:tl2br w:val="nil"/>
                    <w:tr2bl w:val="nil"/>
                  </w:tcBorders>
                  <w:vAlign w:val="center"/>
                </w:tcPr>
                <w:p w14:paraId="5017329C">
                  <w:pPr>
                    <w:widowControl/>
                    <w:adjustRightInd w:val="0"/>
                    <w:snapToGrid w:val="0"/>
                    <w:jc w:val="center"/>
                    <w:textAlignment w:val="center"/>
                    <w:rPr>
                      <w:color w:val="auto"/>
                    </w:rPr>
                  </w:pPr>
                </w:p>
              </w:tc>
              <w:tc>
                <w:tcPr>
                  <w:tcW w:w="289" w:type="pct"/>
                  <w:vMerge w:val="continue"/>
                  <w:tcBorders>
                    <w:tl2br w:val="nil"/>
                    <w:tr2bl w:val="nil"/>
                  </w:tcBorders>
                  <w:vAlign w:val="center"/>
                </w:tcPr>
                <w:p w14:paraId="46A16023">
                  <w:pPr>
                    <w:widowControl/>
                    <w:adjustRightInd w:val="0"/>
                    <w:snapToGrid w:val="0"/>
                    <w:jc w:val="center"/>
                    <w:textAlignment w:val="center"/>
                    <w:rPr>
                      <w:color w:val="auto"/>
                    </w:rPr>
                  </w:pPr>
                </w:p>
              </w:tc>
              <w:tc>
                <w:tcPr>
                  <w:tcW w:w="482" w:type="pct"/>
                  <w:tcBorders>
                    <w:tl2br w:val="nil"/>
                    <w:tr2bl w:val="nil"/>
                  </w:tcBorders>
                  <w:vAlign w:val="center"/>
                </w:tcPr>
                <w:p w14:paraId="783E5DAC">
                  <w:pPr>
                    <w:widowControl/>
                    <w:adjustRightInd w:val="0"/>
                    <w:snapToGrid w:val="0"/>
                    <w:jc w:val="center"/>
                    <w:textAlignment w:val="center"/>
                    <w:rPr>
                      <w:rFonts w:hint="default" w:cs="宋体"/>
                      <w:snapToGrid w:val="0"/>
                      <w:color w:val="auto"/>
                      <w:kern w:val="0"/>
                      <w:szCs w:val="21"/>
                      <w:shd w:val="clear" w:color="auto" w:fill="auto"/>
                      <w:lang w:val="en-US" w:eastAsia="zh-CN"/>
                    </w:rPr>
                  </w:pPr>
                  <w:r>
                    <w:rPr>
                      <w:rFonts w:hint="eastAsia" w:cs="宋体"/>
                      <w:snapToGrid w:val="0"/>
                      <w:color w:val="auto"/>
                      <w:kern w:val="0"/>
                      <w:szCs w:val="21"/>
                      <w:shd w:val="clear" w:color="auto" w:fill="auto"/>
                      <w:lang w:val="en-US" w:eastAsia="zh-CN"/>
                    </w:rPr>
                    <w:t>氮氧化物</w:t>
                  </w:r>
                </w:p>
              </w:tc>
              <w:tc>
                <w:tcPr>
                  <w:tcW w:w="496" w:type="pct"/>
                  <w:tcBorders>
                    <w:tl2br w:val="nil"/>
                    <w:tr2bl w:val="nil"/>
                  </w:tcBorders>
                  <w:shd w:val="clear" w:color="auto" w:fill="auto"/>
                  <w:vAlign w:val="center"/>
                </w:tcPr>
                <w:p w14:paraId="02C1C9E7">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0.6</w:t>
                  </w:r>
                </w:p>
              </w:tc>
              <w:tc>
                <w:tcPr>
                  <w:tcW w:w="484" w:type="pct"/>
                  <w:tcBorders>
                    <w:tl2br w:val="nil"/>
                    <w:tr2bl w:val="nil"/>
                  </w:tcBorders>
                  <w:shd w:val="clear" w:color="auto" w:fill="auto"/>
                  <w:vAlign w:val="center"/>
                </w:tcPr>
                <w:p w14:paraId="2145B9DF">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0.25</w:t>
                  </w:r>
                </w:p>
              </w:tc>
              <w:tc>
                <w:tcPr>
                  <w:tcW w:w="563" w:type="pct"/>
                  <w:tcBorders>
                    <w:tl2br w:val="nil"/>
                    <w:tr2bl w:val="nil"/>
                  </w:tcBorders>
                  <w:shd w:val="clear" w:color="auto" w:fill="auto"/>
                  <w:vAlign w:val="center"/>
                </w:tcPr>
                <w:p w14:paraId="4AE89C28">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17.37</w:t>
                  </w:r>
                </w:p>
              </w:tc>
              <w:tc>
                <w:tcPr>
                  <w:tcW w:w="492" w:type="pct"/>
                  <w:tcBorders>
                    <w:tl2br w:val="nil"/>
                    <w:tr2bl w:val="nil"/>
                  </w:tcBorders>
                  <w:shd w:val="clear" w:color="auto" w:fill="auto"/>
                  <w:vAlign w:val="center"/>
                </w:tcPr>
                <w:p w14:paraId="1D51DEC2">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0.6</w:t>
                  </w:r>
                </w:p>
              </w:tc>
              <w:tc>
                <w:tcPr>
                  <w:tcW w:w="546" w:type="pct"/>
                  <w:tcBorders>
                    <w:tl2br w:val="nil"/>
                    <w:tr2bl w:val="nil"/>
                  </w:tcBorders>
                  <w:shd w:val="clear" w:color="auto" w:fill="auto"/>
                  <w:vAlign w:val="center"/>
                </w:tcPr>
                <w:p w14:paraId="2037BECE">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0.25</w:t>
                  </w:r>
                </w:p>
              </w:tc>
              <w:tc>
                <w:tcPr>
                  <w:tcW w:w="425" w:type="pct"/>
                  <w:tcBorders>
                    <w:tl2br w:val="nil"/>
                    <w:tr2bl w:val="nil"/>
                  </w:tcBorders>
                  <w:shd w:val="clear" w:color="auto" w:fill="auto"/>
                  <w:vAlign w:val="center"/>
                </w:tcPr>
                <w:p w14:paraId="27374157">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17.37</w:t>
                  </w:r>
                </w:p>
              </w:tc>
              <w:tc>
                <w:tcPr>
                  <w:tcW w:w="457" w:type="pct"/>
                  <w:tcBorders>
                    <w:tl2br w:val="nil"/>
                    <w:tr2bl w:val="nil"/>
                  </w:tcBorders>
                  <w:shd w:val="clear" w:color="auto" w:fill="auto"/>
                  <w:vAlign w:val="center"/>
                </w:tcPr>
                <w:p w14:paraId="51D4906A">
                  <w:pPr>
                    <w:widowControl/>
                    <w:adjustRightInd w:val="0"/>
                    <w:snapToGrid w:val="0"/>
                    <w:jc w:val="center"/>
                    <w:textAlignment w:val="center"/>
                    <w:rPr>
                      <w:rFonts w:hint="default" w:cs="宋体"/>
                      <w:snapToGrid w:val="0"/>
                      <w:color w:val="auto"/>
                      <w:kern w:val="0"/>
                      <w:szCs w:val="21"/>
                      <w:shd w:val="clear" w:color="auto" w:fill="auto"/>
                      <w:lang w:val="en-US" w:eastAsia="zh-CN"/>
                    </w:rPr>
                  </w:pPr>
                  <w:r>
                    <w:rPr>
                      <w:rFonts w:hint="eastAsia" w:cs="宋体"/>
                      <w:snapToGrid w:val="0"/>
                      <w:color w:val="auto"/>
                      <w:kern w:val="0"/>
                      <w:szCs w:val="21"/>
                      <w:shd w:val="clear" w:color="auto" w:fill="auto"/>
                      <w:lang w:val="en-US" w:eastAsia="zh-CN"/>
                    </w:rPr>
                    <w:t>240</w:t>
                  </w:r>
                </w:p>
              </w:tc>
              <w:tc>
                <w:tcPr>
                  <w:tcW w:w="416" w:type="pct"/>
                  <w:tcBorders>
                    <w:tl2br w:val="nil"/>
                    <w:tr2bl w:val="nil"/>
                  </w:tcBorders>
                  <w:shd w:val="clear" w:color="auto" w:fill="auto"/>
                  <w:vAlign w:val="center"/>
                </w:tcPr>
                <w:p w14:paraId="6223ED83">
                  <w:pPr>
                    <w:widowControl/>
                    <w:adjustRightInd w:val="0"/>
                    <w:snapToGrid w:val="0"/>
                    <w:jc w:val="center"/>
                    <w:textAlignment w:val="center"/>
                    <w:rPr>
                      <w:rFonts w:hint="default" w:cs="宋体"/>
                      <w:snapToGrid w:val="0"/>
                      <w:color w:val="auto"/>
                      <w:kern w:val="0"/>
                      <w:szCs w:val="21"/>
                      <w:shd w:val="clear" w:color="auto" w:fill="auto"/>
                      <w:lang w:val="en-US" w:eastAsia="zh-CN"/>
                    </w:rPr>
                  </w:pPr>
                  <w:r>
                    <w:rPr>
                      <w:rFonts w:hint="eastAsia" w:cs="宋体"/>
                      <w:snapToGrid w:val="0"/>
                      <w:color w:val="auto"/>
                      <w:kern w:val="0"/>
                      <w:szCs w:val="21"/>
                      <w:shd w:val="clear" w:color="auto" w:fill="auto"/>
                      <w:lang w:val="en-US" w:eastAsia="zh-CN"/>
                    </w:rPr>
                    <w:t>0.39</w:t>
                  </w:r>
                </w:p>
              </w:tc>
            </w:tr>
            <w:tr w14:paraId="7CBA1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3" w:hRule="atLeast"/>
                <w:jc w:val="center"/>
              </w:trPr>
              <w:tc>
                <w:tcPr>
                  <w:tcW w:w="347" w:type="pct"/>
                  <w:vMerge w:val="restart"/>
                  <w:tcBorders>
                    <w:tl2br w:val="nil"/>
                    <w:tr2bl w:val="nil"/>
                  </w:tcBorders>
                  <w:vAlign w:val="center"/>
                </w:tcPr>
                <w:p w14:paraId="0F5E194F">
                  <w:pPr>
                    <w:widowControl/>
                    <w:adjustRightInd w:val="0"/>
                    <w:snapToGrid w:val="0"/>
                    <w:jc w:val="center"/>
                    <w:textAlignment w:val="center"/>
                    <w:rPr>
                      <w:rFonts w:hint="default" w:eastAsia="宋体" w:cs="宋体"/>
                      <w:snapToGrid w:val="0"/>
                      <w:color w:val="auto"/>
                      <w:kern w:val="0"/>
                      <w:szCs w:val="21"/>
                      <w:shd w:val="clear" w:color="auto" w:fill="auto"/>
                      <w:lang w:val="en-US" w:eastAsia="zh-CN"/>
                    </w:rPr>
                  </w:pPr>
                  <w:r>
                    <w:rPr>
                      <w:rFonts w:hint="eastAsia" w:cs="宋体"/>
                      <w:snapToGrid w:val="0"/>
                      <w:color w:val="auto"/>
                      <w:kern w:val="0"/>
                      <w:szCs w:val="21"/>
                      <w:shd w:val="clear" w:color="auto" w:fill="auto"/>
                      <w:lang w:val="en-US" w:eastAsia="zh-CN"/>
                    </w:rPr>
                    <w:t>无组织废气</w:t>
                  </w:r>
                </w:p>
              </w:tc>
              <w:tc>
                <w:tcPr>
                  <w:tcW w:w="289" w:type="pct"/>
                  <w:vMerge w:val="restart"/>
                  <w:tcBorders>
                    <w:tl2br w:val="nil"/>
                    <w:tr2bl w:val="nil"/>
                  </w:tcBorders>
                  <w:vAlign w:val="center"/>
                </w:tcPr>
                <w:p w14:paraId="63FBBA08">
                  <w:pPr>
                    <w:widowControl/>
                    <w:adjustRightInd w:val="0"/>
                    <w:snapToGrid w:val="0"/>
                    <w:jc w:val="center"/>
                    <w:textAlignment w:val="center"/>
                    <w:rPr>
                      <w:rFonts w:hint="default" w:eastAsia="宋体" w:cs="宋体"/>
                      <w:snapToGrid w:val="0"/>
                      <w:color w:val="auto"/>
                      <w:kern w:val="0"/>
                      <w:szCs w:val="21"/>
                      <w:shd w:val="clear" w:color="auto" w:fill="auto"/>
                      <w:lang w:val="en-US" w:eastAsia="zh-CN"/>
                    </w:rPr>
                  </w:pPr>
                  <w:r>
                    <w:rPr>
                      <w:rFonts w:hint="eastAsia" w:cs="宋体"/>
                      <w:snapToGrid w:val="0"/>
                      <w:color w:val="auto"/>
                      <w:kern w:val="0"/>
                      <w:szCs w:val="21"/>
                      <w:shd w:val="clear" w:color="auto" w:fill="auto"/>
                      <w:lang w:val="en-US" w:eastAsia="zh-CN"/>
                    </w:rPr>
                    <w:t>/</w:t>
                  </w:r>
                </w:p>
              </w:tc>
              <w:tc>
                <w:tcPr>
                  <w:tcW w:w="482" w:type="pct"/>
                  <w:tcBorders>
                    <w:tl2br w:val="nil"/>
                    <w:tr2bl w:val="nil"/>
                  </w:tcBorders>
                  <w:shd w:val="clear" w:color="auto" w:fill="auto"/>
                  <w:vAlign w:val="center"/>
                </w:tcPr>
                <w:p w14:paraId="0DD394A0">
                  <w:pPr>
                    <w:widowControl/>
                    <w:adjustRightInd w:val="0"/>
                    <w:snapToGrid w:val="0"/>
                    <w:jc w:val="center"/>
                    <w:textAlignment w:val="center"/>
                    <w:rPr>
                      <w:rFonts w:hint="eastAsia" w:ascii="Times New Roman" w:hAnsi="Times New Roman" w:eastAsia="宋体" w:cs="宋体"/>
                      <w:snapToGrid w:val="0"/>
                      <w:color w:val="auto"/>
                      <w:kern w:val="0"/>
                      <w:sz w:val="21"/>
                      <w:szCs w:val="21"/>
                      <w:shd w:val="clear" w:color="auto" w:fill="auto"/>
                      <w:lang w:val="en-US" w:eastAsia="zh-CN" w:bidi="ar-SA"/>
                    </w:rPr>
                  </w:pPr>
                  <w:r>
                    <w:rPr>
                      <w:rFonts w:hint="eastAsia" w:cs="宋体"/>
                      <w:snapToGrid w:val="0"/>
                      <w:color w:val="auto"/>
                      <w:kern w:val="0"/>
                      <w:szCs w:val="21"/>
                      <w:shd w:val="clear" w:color="auto" w:fill="auto"/>
                      <w:lang w:val="en-US" w:eastAsia="zh-CN"/>
                    </w:rPr>
                    <w:t>颗粒物</w:t>
                  </w:r>
                </w:p>
              </w:tc>
              <w:tc>
                <w:tcPr>
                  <w:tcW w:w="496" w:type="pct"/>
                  <w:tcBorders>
                    <w:tl2br w:val="nil"/>
                    <w:tr2bl w:val="nil"/>
                  </w:tcBorders>
                  <w:shd w:val="clear" w:color="auto" w:fill="auto"/>
                  <w:vAlign w:val="center"/>
                </w:tcPr>
                <w:p w14:paraId="1A4C8DD7">
                  <w:pPr>
                    <w:widowControl/>
                    <w:snapToGrid w:val="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15.33</w:t>
                  </w:r>
                </w:p>
              </w:tc>
              <w:tc>
                <w:tcPr>
                  <w:tcW w:w="484" w:type="pct"/>
                  <w:tcBorders>
                    <w:tl2br w:val="nil"/>
                    <w:tr2bl w:val="nil"/>
                  </w:tcBorders>
                  <w:shd w:val="clear" w:color="auto" w:fill="auto"/>
                  <w:vAlign w:val="center"/>
                </w:tcPr>
                <w:p w14:paraId="1B27018A">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6.39</w:t>
                  </w:r>
                </w:p>
              </w:tc>
              <w:tc>
                <w:tcPr>
                  <w:tcW w:w="563" w:type="pct"/>
                  <w:tcBorders>
                    <w:tl2br w:val="nil"/>
                    <w:tr2bl w:val="nil"/>
                  </w:tcBorders>
                  <w:vAlign w:val="center"/>
                </w:tcPr>
                <w:p w14:paraId="4C5FDD2F">
                  <w:pPr>
                    <w:widowControl/>
                    <w:adjustRightInd w:val="0"/>
                    <w:snapToGrid w:val="0"/>
                    <w:jc w:val="center"/>
                    <w:textAlignment w:val="center"/>
                    <w:rPr>
                      <w:rFonts w:hint="default" w:cs="宋体"/>
                      <w:color w:val="auto"/>
                      <w:kern w:val="0"/>
                      <w:szCs w:val="21"/>
                      <w:shd w:val="clear" w:color="auto" w:fill="auto"/>
                      <w:lang w:val="en-US" w:eastAsia="zh-CN"/>
                    </w:rPr>
                  </w:pPr>
                  <w:r>
                    <w:rPr>
                      <w:rFonts w:hint="eastAsia" w:cs="宋体"/>
                      <w:color w:val="auto"/>
                      <w:kern w:val="0"/>
                      <w:szCs w:val="21"/>
                      <w:shd w:val="clear" w:color="auto" w:fill="auto"/>
                      <w:lang w:val="en-US" w:eastAsia="zh-CN"/>
                    </w:rPr>
                    <w:t>/</w:t>
                  </w:r>
                </w:p>
              </w:tc>
              <w:tc>
                <w:tcPr>
                  <w:tcW w:w="492" w:type="pct"/>
                  <w:tcBorders>
                    <w:tl2br w:val="nil"/>
                    <w:tr2bl w:val="nil"/>
                  </w:tcBorders>
                  <w:shd w:val="clear" w:color="auto" w:fill="auto"/>
                  <w:vAlign w:val="center"/>
                </w:tcPr>
                <w:p w14:paraId="393D95BE">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8.53</w:t>
                  </w:r>
                </w:p>
              </w:tc>
              <w:tc>
                <w:tcPr>
                  <w:tcW w:w="546" w:type="pct"/>
                  <w:tcBorders>
                    <w:tl2br w:val="nil"/>
                    <w:tr2bl w:val="nil"/>
                  </w:tcBorders>
                  <w:shd w:val="clear" w:color="auto" w:fill="auto"/>
                  <w:vAlign w:val="center"/>
                </w:tcPr>
                <w:p w14:paraId="63DD5996">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3.55</w:t>
                  </w:r>
                </w:p>
              </w:tc>
              <w:tc>
                <w:tcPr>
                  <w:tcW w:w="425" w:type="pct"/>
                  <w:tcBorders>
                    <w:tl2br w:val="nil"/>
                    <w:tr2bl w:val="nil"/>
                  </w:tcBorders>
                  <w:shd w:val="clear" w:color="auto" w:fill="auto"/>
                  <w:vAlign w:val="center"/>
                </w:tcPr>
                <w:p w14:paraId="0E29D11D">
                  <w:pPr>
                    <w:widowControl/>
                    <w:adjustRightInd w:val="0"/>
                    <w:snapToGrid w:val="0"/>
                    <w:jc w:val="center"/>
                    <w:textAlignment w:val="center"/>
                    <w:rPr>
                      <w:rFonts w:hint="eastAsia" w:ascii="Times New Roman" w:hAnsi="Times New Roman" w:eastAsia="宋体" w:cs="宋体"/>
                      <w:color w:val="auto"/>
                      <w:kern w:val="0"/>
                      <w:sz w:val="21"/>
                      <w:szCs w:val="21"/>
                      <w:shd w:val="clear" w:color="auto" w:fill="auto"/>
                      <w:lang w:val="en-US" w:eastAsia="zh-CN"/>
                    </w:rPr>
                  </w:pPr>
                  <w:r>
                    <w:rPr>
                      <w:rFonts w:hint="eastAsia" w:cs="宋体"/>
                      <w:color w:val="auto"/>
                      <w:kern w:val="0"/>
                      <w:szCs w:val="21"/>
                      <w:shd w:val="clear" w:color="auto" w:fill="auto"/>
                      <w:lang w:val="en-US" w:eastAsia="zh-CN"/>
                    </w:rPr>
                    <w:t>/</w:t>
                  </w:r>
                </w:p>
              </w:tc>
              <w:tc>
                <w:tcPr>
                  <w:tcW w:w="457" w:type="pct"/>
                  <w:tcBorders>
                    <w:tl2br w:val="nil"/>
                    <w:tr2bl w:val="nil"/>
                  </w:tcBorders>
                  <w:shd w:val="clear" w:color="auto" w:fill="auto"/>
                  <w:vAlign w:val="center"/>
                </w:tcPr>
                <w:p w14:paraId="2C84FE18">
                  <w:pPr>
                    <w:widowControl/>
                    <w:adjustRightInd w:val="0"/>
                    <w:snapToGrid w:val="0"/>
                    <w:jc w:val="center"/>
                    <w:textAlignment w:val="center"/>
                    <w:rPr>
                      <w:rFonts w:hint="default" w:eastAsia="宋体" w:cs="宋体"/>
                      <w:color w:val="auto"/>
                      <w:kern w:val="0"/>
                      <w:szCs w:val="21"/>
                      <w:shd w:val="clear" w:color="auto" w:fill="auto"/>
                      <w:lang w:val="en-US" w:eastAsia="zh-CN"/>
                    </w:rPr>
                  </w:pPr>
                  <w:r>
                    <w:rPr>
                      <w:rFonts w:hint="eastAsia" w:eastAsia="宋体" w:cs="宋体"/>
                      <w:color w:val="auto"/>
                      <w:kern w:val="0"/>
                      <w:szCs w:val="21"/>
                      <w:shd w:val="clear" w:color="auto" w:fill="auto"/>
                      <w:lang w:val="en-US" w:eastAsia="zh-CN"/>
                    </w:rPr>
                    <w:t>1</w:t>
                  </w:r>
                </w:p>
              </w:tc>
              <w:tc>
                <w:tcPr>
                  <w:tcW w:w="416" w:type="pct"/>
                  <w:tcBorders>
                    <w:tl2br w:val="nil"/>
                    <w:tr2bl w:val="nil"/>
                  </w:tcBorders>
                  <w:shd w:val="clear" w:color="auto" w:fill="auto"/>
                  <w:vAlign w:val="center"/>
                </w:tcPr>
                <w:p w14:paraId="1AD8B9DF">
                  <w:pPr>
                    <w:widowControl/>
                    <w:adjustRightInd w:val="0"/>
                    <w:snapToGrid w:val="0"/>
                    <w:jc w:val="center"/>
                    <w:textAlignment w:val="center"/>
                    <w:rPr>
                      <w:rFonts w:hint="eastAsia" w:eastAsia="宋体" w:cs="宋体"/>
                      <w:color w:val="auto"/>
                      <w:kern w:val="0"/>
                      <w:szCs w:val="21"/>
                      <w:shd w:val="clear" w:color="auto" w:fill="auto"/>
                      <w:lang w:val="en-US" w:eastAsia="zh-CN"/>
                    </w:rPr>
                  </w:pPr>
                  <w:r>
                    <w:rPr>
                      <w:rFonts w:hint="eastAsia" w:cs="宋体"/>
                      <w:color w:val="auto"/>
                      <w:kern w:val="0"/>
                      <w:sz w:val="21"/>
                      <w:szCs w:val="21"/>
                      <w:shd w:val="clear" w:color="auto" w:fill="auto"/>
                      <w:lang w:val="en-US" w:eastAsia="zh-CN"/>
                    </w:rPr>
                    <w:t>/</w:t>
                  </w:r>
                </w:p>
              </w:tc>
            </w:tr>
            <w:tr w14:paraId="2141A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3" w:hRule="atLeast"/>
                <w:jc w:val="center"/>
              </w:trPr>
              <w:tc>
                <w:tcPr>
                  <w:tcW w:w="347" w:type="pct"/>
                  <w:vMerge w:val="continue"/>
                  <w:tcBorders>
                    <w:tl2br w:val="nil"/>
                    <w:tr2bl w:val="nil"/>
                  </w:tcBorders>
                  <w:vAlign w:val="center"/>
                </w:tcPr>
                <w:p w14:paraId="375BA2E5">
                  <w:pPr>
                    <w:widowControl/>
                    <w:adjustRightInd w:val="0"/>
                    <w:snapToGrid w:val="0"/>
                    <w:jc w:val="center"/>
                    <w:textAlignment w:val="center"/>
                    <w:rPr>
                      <w:color w:val="auto"/>
                    </w:rPr>
                  </w:pPr>
                </w:p>
              </w:tc>
              <w:tc>
                <w:tcPr>
                  <w:tcW w:w="289" w:type="pct"/>
                  <w:vMerge w:val="continue"/>
                  <w:tcBorders>
                    <w:tl2br w:val="nil"/>
                    <w:tr2bl w:val="nil"/>
                  </w:tcBorders>
                  <w:vAlign w:val="center"/>
                </w:tcPr>
                <w:p w14:paraId="7F116012">
                  <w:pPr>
                    <w:widowControl/>
                    <w:adjustRightInd w:val="0"/>
                    <w:snapToGrid w:val="0"/>
                    <w:jc w:val="center"/>
                    <w:textAlignment w:val="center"/>
                    <w:rPr>
                      <w:color w:val="auto"/>
                    </w:rPr>
                  </w:pPr>
                </w:p>
              </w:tc>
              <w:tc>
                <w:tcPr>
                  <w:tcW w:w="482" w:type="pct"/>
                  <w:tcBorders>
                    <w:tl2br w:val="nil"/>
                    <w:tr2bl w:val="nil"/>
                  </w:tcBorders>
                  <w:shd w:val="clear" w:color="auto" w:fill="auto"/>
                  <w:vAlign w:val="center"/>
                </w:tcPr>
                <w:p w14:paraId="59C25146">
                  <w:pPr>
                    <w:widowControl/>
                    <w:adjustRightInd w:val="0"/>
                    <w:snapToGrid w:val="0"/>
                    <w:jc w:val="center"/>
                    <w:textAlignment w:val="center"/>
                    <w:rPr>
                      <w:rFonts w:hint="eastAsia" w:ascii="Times New Roman" w:hAnsi="Times New Roman" w:eastAsia="宋体" w:cs="宋体"/>
                      <w:snapToGrid w:val="0"/>
                      <w:color w:val="auto"/>
                      <w:kern w:val="0"/>
                      <w:sz w:val="21"/>
                      <w:szCs w:val="21"/>
                      <w:shd w:val="clear" w:color="auto" w:fill="auto"/>
                      <w:lang w:val="en-US" w:eastAsia="zh-CN" w:bidi="ar-SA"/>
                    </w:rPr>
                  </w:pPr>
                  <w:r>
                    <w:rPr>
                      <w:rFonts w:hint="eastAsia" w:cs="宋体"/>
                      <w:snapToGrid w:val="0"/>
                      <w:color w:val="auto"/>
                      <w:kern w:val="0"/>
                      <w:szCs w:val="21"/>
                      <w:shd w:val="clear" w:color="auto" w:fill="auto"/>
                      <w:lang w:val="en-US" w:eastAsia="zh-CN"/>
                    </w:rPr>
                    <w:t>非甲烷总烃</w:t>
                  </w:r>
                </w:p>
              </w:tc>
              <w:tc>
                <w:tcPr>
                  <w:tcW w:w="496" w:type="pct"/>
                  <w:tcBorders>
                    <w:tl2br w:val="nil"/>
                    <w:tr2bl w:val="nil"/>
                  </w:tcBorders>
                  <w:shd w:val="clear" w:color="auto" w:fill="auto"/>
                  <w:vAlign w:val="center"/>
                </w:tcPr>
                <w:p w14:paraId="6B371E02">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1.81</w:t>
                  </w:r>
                </w:p>
              </w:tc>
              <w:tc>
                <w:tcPr>
                  <w:tcW w:w="484" w:type="pct"/>
                  <w:tcBorders>
                    <w:tl2br w:val="nil"/>
                    <w:tr2bl w:val="nil"/>
                  </w:tcBorders>
                  <w:shd w:val="clear" w:color="auto" w:fill="auto"/>
                  <w:vAlign w:val="center"/>
                </w:tcPr>
                <w:p w14:paraId="746E94FD">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0.75</w:t>
                  </w:r>
                </w:p>
              </w:tc>
              <w:tc>
                <w:tcPr>
                  <w:tcW w:w="563" w:type="pct"/>
                  <w:tcBorders>
                    <w:tl2br w:val="nil"/>
                    <w:tr2bl w:val="nil"/>
                  </w:tcBorders>
                  <w:vAlign w:val="center"/>
                </w:tcPr>
                <w:p w14:paraId="672A48D0">
                  <w:pPr>
                    <w:widowControl/>
                    <w:adjustRightInd w:val="0"/>
                    <w:snapToGrid w:val="0"/>
                    <w:jc w:val="center"/>
                    <w:textAlignment w:val="center"/>
                    <w:rPr>
                      <w:rFonts w:hint="eastAsia" w:cs="宋体"/>
                      <w:snapToGrid w:val="0"/>
                      <w:color w:val="auto"/>
                      <w:kern w:val="0"/>
                      <w:szCs w:val="21"/>
                      <w:shd w:val="clear" w:color="auto" w:fill="auto"/>
                      <w:lang w:val="en-US" w:eastAsia="zh-CN"/>
                    </w:rPr>
                  </w:pPr>
                  <w:r>
                    <w:rPr>
                      <w:rFonts w:hint="eastAsia" w:cs="宋体"/>
                      <w:color w:val="auto"/>
                      <w:kern w:val="0"/>
                      <w:szCs w:val="21"/>
                      <w:shd w:val="clear" w:color="auto" w:fill="auto"/>
                      <w:lang w:val="en-US" w:eastAsia="zh-CN"/>
                    </w:rPr>
                    <w:t>/</w:t>
                  </w:r>
                </w:p>
              </w:tc>
              <w:tc>
                <w:tcPr>
                  <w:tcW w:w="492" w:type="pct"/>
                  <w:tcBorders>
                    <w:tl2br w:val="nil"/>
                    <w:tr2bl w:val="nil"/>
                  </w:tcBorders>
                  <w:shd w:val="clear" w:color="auto" w:fill="auto"/>
                  <w:vAlign w:val="center"/>
                </w:tcPr>
                <w:p w14:paraId="56105948">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1.81</w:t>
                  </w:r>
                </w:p>
              </w:tc>
              <w:tc>
                <w:tcPr>
                  <w:tcW w:w="546" w:type="pct"/>
                  <w:tcBorders>
                    <w:tl2br w:val="nil"/>
                    <w:tr2bl w:val="nil"/>
                  </w:tcBorders>
                  <w:shd w:val="clear" w:color="auto" w:fill="auto"/>
                  <w:vAlign w:val="center"/>
                </w:tcPr>
                <w:p w14:paraId="7033556C">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0.75</w:t>
                  </w:r>
                </w:p>
              </w:tc>
              <w:tc>
                <w:tcPr>
                  <w:tcW w:w="425" w:type="pct"/>
                  <w:tcBorders>
                    <w:tl2br w:val="nil"/>
                    <w:tr2bl w:val="nil"/>
                  </w:tcBorders>
                  <w:shd w:val="clear" w:color="auto" w:fill="auto"/>
                  <w:vAlign w:val="center"/>
                </w:tcPr>
                <w:p w14:paraId="3791C556">
                  <w:pPr>
                    <w:widowControl/>
                    <w:adjustRightInd w:val="0"/>
                    <w:snapToGrid w:val="0"/>
                    <w:jc w:val="center"/>
                    <w:textAlignment w:val="center"/>
                    <w:rPr>
                      <w:rFonts w:hint="eastAsia" w:cs="宋体"/>
                      <w:snapToGrid w:val="0"/>
                      <w:color w:val="auto"/>
                      <w:kern w:val="0"/>
                      <w:szCs w:val="21"/>
                      <w:shd w:val="clear" w:color="auto" w:fill="auto"/>
                      <w:lang w:val="en-US" w:eastAsia="zh-CN"/>
                    </w:rPr>
                  </w:pPr>
                  <w:r>
                    <w:rPr>
                      <w:rFonts w:hint="eastAsia" w:cs="宋体"/>
                      <w:color w:val="auto"/>
                      <w:kern w:val="0"/>
                      <w:szCs w:val="21"/>
                      <w:shd w:val="clear" w:color="auto" w:fill="auto"/>
                      <w:lang w:val="en-US" w:eastAsia="zh-CN"/>
                    </w:rPr>
                    <w:t>/</w:t>
                  </w:r>
                </w:p>
              </w:tc>
              <w:tc>
                <w:tcPr>
                  <w:tcW w:w="457" w:type="pct"/>
                  <w:tcBorders>
                    <w:tl2br w:val="nil"/>
                    <w:tr2bl w:val="nil"/>
                  </w:tcBorders>
                  <w:shd w:val="clear" w:color="auto" w:fill="auto"/>
                  <w:vAlign w:val="center"/>
                </w:tcPr>
                <w:p w14:paraId="59380783">
                  <w:pPr>
                    <w:widowControl/>
                    <w:adjustRightInd w:val="0"/>
                    <w:snapToGrid w:val="0"/>
                    <w:jc w:val="center"/>
                    <w:textAlignment w:val="center"/>
                    <w:rPr>
                      <w:rFonts w:hint="default" w:cs="宋体"/>
                      <w:snapToGrid w:val="0"/>
                      <w:color w:val="auto"/>
                      <w:kern w:val="0"/>
                      <w:szCs w:val="21"/>
                      <w:shd w:val="clear" w:color="auto" w:fill="auto"/>
                      <w:lang w:val="en-US" w:eastAsia="zh-CN"/>
                    </w:rPr>
                  </w:pPr>
                  <w:r>
                    <w:rPr>
                      <w:rFonts w:hint="eastAsia" w:cs="宋体"/>
                      <w:snapToGrid w:val="0"/>
                      <w:color w:val="auto"/>
                      <w:kern w:val="0"/>
                      <w:szCs w:val="21"/>
                      <w:shd w:val="clear" w:color="auto" w:fill="auto"/>
                      <w:lang w:val="en-US" w:eastAsia="zh-CN"/>
                    </w:rPr>
                    <w:t>4</w:t>
                  </w:r>
                </w:p>
              </w:tc>
              <w:tc>
                <w:tcPr>
                  <w:tcW w:w="416" w:type="pct"/>
                  <w:tcBorders>
                    <w:tl2br w:val="nil"/>
                    <w:tr2bl w:val="nil"/>
                  </w:tcBorders>
                  <w:shd w:val="clear" w:color="auto" w:fill="auto"/>
                  <w:vAlign w:val="center"/>
                </w:tcPr>
                <w:p w14:paraId="28A91B5F">
                  <w:pPr>
                    <w:widowControl/>
                    <w:adjustRightInd w:val="0"/>
                    <w:snapToGrid w:val="0"/>
                    <w:jc w:val="center"/>
                    <w:textAlignment w:val="center"/>
                    <w:rPr>
                      <w:rFonts w:hint="eastAsia" w:cs="宋体"/>
                      <w:snapToGrid w:val="0"/>
                      <w:color w:val="auto"/>
                      <w:kern w:val="0"/>
                      <w:szCs w:val="21"/>
                      <w:shd w:val="clear" w:color="auto" w:fill="auto"/>
                      <w:lang w:val="en-US" w:eastAsia="zh-CN"/>
                    </w:rPr>
                  </w:pPr>
                  <w:r>
                    <w:rPr>
                      <w:rFonts w:hint="eastAsia" w:cs="宋体"/>
                      <w:color w:val="auto"/>
                      <w:kern w:val="0"/>
                      <w:szCs w:val="21"/>
                      <w:shd w:val="clear" w:color="auto" w:fill="auto"/>
                      <w:lang w:val="en-US" w:eastAsia="zh-CN"/>
                    </w:rPr>
                    <w:t>/</w:t>
                  </w:r>
                </w:p>
              </w:tc>
            </w:tr>
          </w:tbl>
          <w:p w14:paraId="3517FAA0">
            <w:pPr>
              <w:keepNext w:val="0"/>
              <w:keepLines w:val="0"/>
              <w:pageBreakBefore w:val="0"/>
              <w:widowControl w:val="0"/>
              <w:kinsoku/>
              <w:wordWrap/>
              <w:overflowPunct/>
              <w:topLinePunct w:val="0"/>
              <w:autoSpaceDE/>
              <w:autoSpaceDN/>
              <w:bidi w:val="0"/>
              <w:adjustRightInd/>
              <w:snapToGrid/>
              <w:spacing w:line="500" w:lineRule="exact"/>
              <w:ind w:firstLine="516" w:firstLineChars="200"/>
              <w:textAlignment w:val="auto"/>
              <w:rPr>
                <w:rFonts w:hint="eastAsia" w:eastAsia="宋体"/>
                <w:color w:val="auto"/>
                <w:sz w:val="24"/>
                <w:szCs w:val="24"/>
                <w:lang w:val="en-US" w:eastAsia="zh-CN"/>
              </w:rPr>
            </w:pPr>
            <w:r>
              <w:rPr>
                <w:rFonts w:ascii="宋体" w:hAnsi="宋体" w:eastAsia="宋体" w:cs="宋体"/>
                <w:color w:val="auto"/>
                <w:spacing w:val="9"/>
                <w:sz w:val="24"/>
                <w:szCs w:val="24"/>
              </w:rPr>
              <w:t>根据上表可知，</w:t>
            </w:r>
            <w:r>
              <w:rPr>
                <w:rFonts w:hint="eastAsia" w:cs="宋体"/>
                <w:color w:val="auto"/>
                <w:sz w:val="24"/>
              </w:rPr>
              <w:t>项目</w:t>
            </w:r>
            <w:r>
              <w:rPr>
                <w:rFonts w:hint="eastAsia" w:cs="宋体"/>
                <w:bCs/>
                <w:color w:val="auto"/>
                <w:kern w:val="0"/>
                <w:sz w:val="24"/>
                <w:lang w:val="en-US" w:eastAsia="zh-CN"/>
              </w:rPr>
              <w:t>DA001、DA002</w:t>
            </w:r>
            <w:r>
              <w:rPr>
                <w:rFonts w:hint="eastAsia" w:cs="宋体"/>
                <w:bCs/>
                <w:color w:val="auto"/>
                <w:kern w:val="0"/>
                <w:sz w:val="24"/>
              </w:rPr>
              <w:t>排气筒</w:t>
            </w:r>
            <w:r>
              <w:rPr>
                <w:rFonts w:hint="eastAsia" w:cs="宋体"/>
                <w:bCs/>
                <w:color w:val="auto"/>
                <w:kern w:val="0"/>
                <w:sz w:val="24"/>
                <w:lang w:val="en-US" w:eastAsia="zh-CN"/>
              </w:rPr>
              <w:t>各污染物</w:t>
            </w:r>
            <w:r>
              <w:rPr>
                <w:rFonts w:hint="eastAsia" w:cs="宋体"/>
                <w:color w:val="auto"/>
                <w:sz w:val="24"/>
              </w:rPr>
              <w:t>排放浓度</w:t>
            </w:r>
            <w:r>
              <w:rPr>
                <w:rFonts w:hint="eastAsia" w:cs="宋体"/>
                <w:color w:val="auto"/>
                <w:sz w:val="24"/>
                <w:lang w:val="en-US" w:eastAsia="zh-CN"/>
              </w:rPr>
              <w:t>均满足</w:t>
            </w:r>
            <w:r>
              <w:rPr>
                <w:rFonts w:ascii="宋体" w:hAnsi="宋体" w:eastAsia="宋体" w:cs="宋体"/>
                <w:color w:val="auto"/>
                <w:spacing w:val="9"/>
                <w:sz w:val="24"/>
                <w:szCs w:val="24"/>
              </w:rPr>
              <w:t>《大气污染物综合排</w:t>
            </w:r>
            <w:r>
              <w:rPr>
                <w:rFonts w:ascii="宋体" w:hAnsi="宋体" w:eastAsia="宋体" w:cs="宋体"/>
                <w:color w:val="auto"/>
                <w:spacing w:val="8"/>
                <w:sz w:val="24"/>
                <w:szCs w:val="24"/>
              </w:rPr>
              <w:t>放标准》</w:t>
            </w:r>
            <w:r>
              <w:rPr>
                <w:rFonts w:ascii="宋体" w:hAnsi="宋体" w:eastAsia="宋体" w:cs="宋体"/>
                <w:color w:val="auto"/>
                <w:sz w:val="24"/>
                <w:szCs w:val="24"/>
              </w:rPr>
              <w:t xml:space="preserve"> （</w:t>
            </w:r>
            <w:r>
              <w:rPr>
                <w:rFonts w:ascii="Times New Roman" w:hAnsi="Times New Roman" w:eastAsia="Times New Roman" w:cs="Times New Roman"/>
                <w:color w:val="auto"/>
                <w:sz w:val="24"/>
                <w:szCs w:val="24"/>
              </w:rPr>
              <w:t>GB16297-1996</w:t>
            </w:r>
            <w:r>
              <w:rPr>
                <w:rFonts w:ascii="宋体" w:hAnsi="宋体" w:eastAsia="宋体" w:cs="宋体"/>
                <w:color w:val="auto"/>
                <w:spacing w:val="-12"/>
                <w:sz w:val="24"/>
                <w:szCs w:val="24"/>
              </w:rPr>
              <w:t>）（</w:t>
            </w:r>
            <w:r>
              <w:rPr>
                <w:rFonts w:ascii="宋体" w:hAnsi="宋体" w:eastAsia="宋体" w:cs="宋体"/>
                <w:color w:val="auto"/>
                <w:sz w:val="24"/>
                <w:szCs w:val="24"/>
              </w:rPr>
              <w:t>新污染源）二级标准要求</w:t>
            </w:r>
            <w:r>
              <w:rPr>
                <w:rFonts w:hint="eastAsia" w:ascii="宋体" w:hAnsi="宋体" w:cs="宋体"/>
                <w:color w:val="auto"/>
                <w:sz w:val="24"/>
                <w:szCs w:val="24"/>
                <w:lang w:eastAsia="zh-CN"/>
              </w:rPr>
              <w:t>；</w:t>
            </w:r>
            <w:r>
              <w:rPr>
                <w:rFonts w:hint="default" w:ascii="Times New Roman" w:hAnsi="Times New Roman" w:cs="Times New Roman"/>
                <w:color w:val="auto"/>
                <w:sz w:val="24"/>
                <w:szCs w:val="24"/>
                <w:lang w:val="en-US" w:eastAsia="zh-CN"/>
              </w:rPr>
              <w:t>厂界无组织恶臭排放能满足</w:t>
            </w:r>
            <w:r>
              <w:rPr>
                <w:rFonts w:hint="default" w:ascii="Times New Roman" w:hAnsi="Times New Roman" w:cs="Times New Roman"/>
                <w:color w:val="auto"/>
                <w:sz w:val="24"/>
                <w:szCs w:val="24"/>
                <w:lang w:eastAsia="zh-CN"/>
              </w:rPr>
              <w:t>《恶臭污染物排放标准》（GB14554-93）表1恶臭污染物厂界标准值（二级）</w:t>
            </w:r>
            <w:r>
              <w:rPr>
                <w:rFonts w:hint="eastAsia" w:ascii="宋体" w:hAnsi="宋体" w:eastAsia="宋体" w:cs="宋体"/>
                <w:color w:val="auto"/>
                <w:sz w:val="24"/>
                <w:szCs w:val="24"/>
                <w:lang w:eastAsia="zh-CN"/>
              </w:rPr>
              <w:t>。</w:t>
            </w:r>
            <w:r>
              <w:rPr>
                <w:rFonts w:hint="eastAsia" w:cs="宋体"/>
                <w:color w:val="auto"/>
                <w:sz w:val="24"/>
                <w:shd w:val="clear" w:color="auto" w:fill="auto"/>
              </w:rPr>
              <w:t>未收集的部分废气在车间无组织排放，</w:t>
            </w:r>
            <w:r>
              <w:rPr>
                <w:rFonts w:hint="eastAsia" w:cs="宋体"/>
                <w:color w:val="auto"/>
                <w:sz w:val="24"/>
                <w:shd w:val="clear" w:color="auto" w:fill="auto"/>
              </w:rPr>
              <w:t>无组织排放的</w:t>
            </w:r>
            <w:r>
              <w:rPr>
                <w:rFonts w:hint="eastAsia" w:cs="宋体"/>
                <w:color w:val="auto"/>
                <w:sz w:val="24"/>
                <w:shd w:val="clear" w:color="auto" w:fill="auto"/>
                <w:lang w:val="en-US" w:eastAsia="zh-CN"/>
              </w:rPr>
              <w:t>颗粒物</w:t>
            </w:r>
            <w:r>
              <w:rPr>
                <w:rFonts w:hint="eastAsia" w:cs="宋体"/>
                <w:color w:val="auto"/>
                <w:sz w:val="24"/>
                <w:shd w:val="clear" w:color="auto" w:fill="auto"/>
              </w:rPr>
              <w:t>为</w:t>
            </w:r>
            <w:r>
              <w:rPr>
                <w:rFonts w:hint="eastAsia" w:cs="宋体"/>
                <w:color w:val="auto"/>
                <w:sz w:val="24"/>
                <w:shd w:val="clear" w:color="auto" w:fill="auto"/>
                <w:lang w:val="en-US" w:eastAsia="zh-CN"/>
              </w:rPr>
              <w:t>8.53</w:t>
            </w:r>
            <w:r>
              <w:rPr>
                <w:rFonts w:hint="eastAsia" w:cs="宋体"/>
                <w:color w:val="auto"/>
                <w:sz w:val="24"/>
                <w:shd w:val="clear" w:color="auto" w:fill="auto"/>
              </w:rPr>
              <w:t>t/a（无组织排放速率为</w:t>
            </w:r>
            <w:r>
              <w:rPr>
                <w:rFonts w:hint="eastAsia" w:cs="宋体"/>
                <w:color w:val="auto"/>
                <w:sz w:val="24"/>
                <w:shd w:val="clear" w:color="auto" w:fill="auto"/>
                <w:lang w:val="en-US" w:eastAsia="zh-CN"/>
              </w:rPr>
              <w:t>3.55</w:t>
            </w:r>
            <w:r>
              <w:rPr>
                <w:rFonts w:hint="eastAsia" w:cs="宋体"/>
                <w:color w:val="auto"/>
                <w:sz w:val="24"/>
                <w:shd w:val="clear" w:color="auto" w:fill="auto"/>
              </w:rPr>
              <w:t>kg/h）</w:t>
            </w:r>
            <w:r>
              <w:rPr>
                <w:rFonts w:hint="eastAsia" w:cs="宋体"/>
                <w:color w:val="auto"/>
                <w:sz w:val="24"/>
                <w:shd w:val="clear" w:color="auto" w:fill="auto"/>
                <w:lang w:eastAsia="zh-CN"/>
              </w:rPr>
              <w:t>、</w:t>
            </w:r>
            <w:r>
              <w:rPr>
                <w:rFonts w:hint="eastAsia" w:cs="宋体"/>
                <w:color w:val="auto"/>
                <w:sz w:val="24"/>
                <w:shd w:val="clear" w:color="auto" w:fill="auto"/>
                <w:lang w:val="en-US" w:eastAsia="zh-CN"/>
              </w:rPr>
              <w:t>非甲烷总烃为1.81</w:t>
            </w:r>
            <w:r>
              <w:rPr>
                <w:rFonts w:hint="eastAsia" w:cs="宋体"/>
                <w:color w:val="auto"/>
                <w:sz w:val="24"/>
                <w:shd w:val="clear" w:color="auto" w:fill="auto"/>
              </w:rPr>
              <w:t>t/a（无组织排放速率为</w:t>
            </w:r>
            <w:r>
              <w:rPr>
                <w:rFonts w:hint="eastAsia" w:cs="宋体"/>
                <w:color w:val="auto"/>
                <w:sz w:val="24"/>
                <w:shd w:val="clear" w:color="auto" w:fill="auto"/>
                <w:lang w:val="en-US" w:eastAsia="zh-CN"/>
              </w:rPr>
              <w:t>0.75</w:t>
            </w:r>
            <w:r>
              <w:rPr>
                <w:rFonts w:hint="eastAsia" w:cs="宋体"/>
                <w:color w:val="auto"/>
                <w:sz w:val="24"/>
                <w:shd w:val="clear" w:color="auto" w:fill="auto"/>
              </w:rPr>
              <w:t>kg/h</w:t>
            </w:r>
            <w:r>
              <w:rPr>
                <w:rFonts w:hint="eastAsia" w:cs="宋体"/>
                <w:color w:val="auto"/>
                <w:sz w:val="24"/>
                <w:shd w:val="clear" w:color="auto" w:fill="auto"/>
              </w:rPr>
              <w:t>）</w:t>
            </w:r>
            <w:r>
              <w:rPr>
                <w:rFonts w:hint="eastAsia" w:cs="宋体"/>
                <w:color w:val="auto"/>
                <w:sz w:val="24"/>
                <w:shd w:val="clear" w:color="auto" w:fill="auto"/>
                <w:lang w:eastAsia="zh-CN"/>
              </w:rPr>
              <w:t>。</w:t>
            </w:r>
          </w:p>
          <w:p w14:paraId="5ECD5A42">
            <w:pPr>
              <w:keepNext w:val="0"/>
              <w:keepLines w:val="0"/>
              <w:pageBreakBefore w:val="0"/>
              <w:widowControl w:val="0"/>
              <w:tabs>
                <w:tab w:val="left" w:pos="624"/>
              </w:tabs>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Times New Roman" w:hAnsi="Times New Roman" w:eastAsia="宋体" w:cs="Times New Roman"/>
                <w:b/>
                <w:bCs/>
                <w:color w:val="auto"/>
                <w:sz w:val="24"/>
                <w:szCs w:val="24"/>
                <w:shd w:val="clear" w:color="auto" w:fill="auto"/>
                <w:vertAlign w:val="baseline"/>
                <w:lang w:val="en-US" w:eastAsia="zh-CN"/>
              </w:rPr>
            </w:pPr>
            <w:r>
              <w:rPr>
                <w:rFonts w:hint="eastAsia"/>
                <w:b/>
                <w:bCs/>
                <w:color w:val="auto"/>
                <w:sz w:val="24"/>
                <w:szCs w:val="24"/>
                <w:lang w:val="en-US" w:eastAsia="zh-CN"/>
              </w:rPr>
              <w:t>3.</w:t>
            </w:r>
            <w:r>
              <w:rPr>
                <w:rFonts w:hint="eastAsia" w:ascii="Times New Roman" w:hAnsi="Times New Roman" w:eastAsia="宋体" w:cs="Times New Roman"/>
                <w:b/>
                <w:bCs/>
                <w:color w:val="auto"/>
                <w:sz w:val="24"/>
                <w:szCs w:val="24"/>
                <w:shd w:val="clear" w:color="auto" w:fill="auto"/>
                <w:vertAlign w:val="baseline"/>
                <w:lang w:val="en-US" w:eastAsia="zh-CN"/>
              </w:rPr>
              <w:t>排气筒设置合理性分析：</w:t>
            </w:r>
          </w:p>
          <w:p w14:paraId="2266B0AF">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b w:val="0"/>
                <w:bCs/>
                <w:color w:val="auto"/>
                <w:spacing w:val="0"/>
                <w:sz w:val="24"/>
                <w:szCs w:val="24"/>
                <w:highlight w:val="none"/>
                <w:u w:val="none" w:color="auto"/>
                <w:lang w:val="en-US" w:eastAsia="zh-CN"/>
              </w:rPr>
            </w:pPr>
            <w:r>
              <w:rPr>
                <w:rFonts w:hint="eastAsia"/>
                <w:color w:val="auto"/>
                <w:sz w:val="24"/>
                <w:szCs w:val="24"/>
                <w:highlight w:val="none"/>
                <w:shd w:val="clear" w:color="auto" w:fill="auto"/>
                <w:lang w:val="en-US" w:eastAsia="zh-CN"/>
              </w:rPr>
              <w:t>①</w:t>
            </w:r>
            <w:r>
              <w:rPr>
                <w:rFonts w:hint="eastAsia"/>
                <w:color w:val="auto"/>
                <w:sz w:val="24"/>
                <w:szCs w:val="24"/>
                <w:highlight w:val="none"/>
                <w:shd w:val="clear" w:color="auto" w:fill="auto"/>
              </w:rPr>
              <w:t>高度合理性分析</w:t>
            </w:r>
          </w:p>
          <w:p w14:paraId="3D9F8E94">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default" w:ascii="Times New Roman" w:hAnsi="Times New Roman" w:eastAsia="宋体" w:cs="Times New Roman"/>
                <w:b w:val="0"/>
                <w:bCs/>
                <w:color w:val="auto"/>
                <w:spacing w:val="0"/>
                <w:sz w:val="24"/>
                <w:szCs w:val="24"/>
                <w:highlight w:val="none"/>
                <w:u w:val="none" w:color="auto"/>
                <w:lang w:val="en-US" w:eastAsia="zh-CN"/>
              </w:rPr>
            </w:pPr>
            <w:r>
              <w:rPr>
                <w:rFonts w:ascii="宋体" w:hAnsi="宋体" w:eastAsia="宋体" w:cs="宋体"/>
                <w:color w:val="auto"/>
                <w:sz w:val="24"/>
                <w:szCs w:val="24"/>
              </w:rPr>
              <w:t>根据《大气污染物综合排放标准》（</w:t>
            </w:r>
            <w:r>
              <w:rPr>
                <w:rFonts w:ascii="Times New Roman" w:hAnsi="Times New Roman" w:eastAsia="Times New Roman" w:cs="Times New Roman"/>
                <w:color w:val="auto"/>
                <w:sz w:val="24"/>
                <w:szCs w:val="24"/>
              </w:rPr>
              <w:t>GB162</w:t>
            </w:r>
            <w:r>
              <w:rPr>
                <w:rFonts w:ascii="Times New Roman" w:hAnsi="Times New Roman" w:eastAsia="Times New Roman" w:cs="Times New Roman"/>
                <w:color w:val="auto"/>
                <w:spacing w:val="-1"/>
                <w:sz w:val="24"/>
                <w:szCs w:val="24"/>
              </w:rPr>
              <w:t>97-1996</w:t>
            </w:r>
            <w:r>
              <w:rPr>
                <w:rFonts w:ascii="宋体" w:hAnsi="宋体" w:eastAsia="宋体" w:cs="宋体"/>
                <w:color w:val="auto"/>
                <w:spacing w:val="4"/>
                <w:sz w:val="24"/>
                <w:szCs w:val="24"/>
              </w:rPr>
              <w:t>），</w:t>
            </w:r>
            <w:r>
              <w:rPr>
                <w:rFonts w:ascii="Times New Roman" w:hAnsi="Times New Roman" w:eastAsia="Times New Roman" w:cs="Times New Roman"/>
                <w:color w:val="auto"/>
                <w:spacing w:val="-1"/>
                <w:sz w:val="24"/>
                <w:szCs w:val="24"/>
              </w:rPr>
              <w:t>“</w:t>
            </w:r>
            <w:r>
              <w:rPr>
                <w:rFonts w:ascii="宋体" w:hAnsi="宋体" w:eastAsia="宋体" w:cs="宋体"/>
                <w:color w:val="auto"/>
                <w:spacing w:val="-1"/>
                <w:sz w:val="24"/>
                <w:szCs w:val="24"/>
              </w:rPr>
              <w:t>新污染源的排气筒不应低于</w:t>
            </w:r>
            <w:r>
              <w:rPr>
                <w:rFonts w:ascii="Times New Roman" w:hAnsi="Times New Roman" w:eastAsia="Times New Roman" w:cs="Times New Roman"/>
                <w:color w:val="auto"/>
                <w:spacing w:val="1"/>
                <w:sz w:val="24"/>
                <w:szCs w:val="24"/>
              </w:rPr>
              <w:t>15m</w:t>
            </w:r>
            <w:r>
              <w:rPr>
                <w:rFonts w:ascii="宋体" w:hAnsi="宋体" w:eastAsia="宋体" w:cs="宋体"/>
                <w:color w:val="auto"/>
                <w:spacing w:val="1"/>
                <w:sz w:val="24"/>
                <w:szCs w:val="24"/>
              </w:rPr>
              <w:t>；排气筒高度除须遵守表列排放速率标准值外，还应高出周围</w:t>
            </w:r>
            <w:r>
              <w:rPr>
                <w:rFonts w:ascii="Times New Roman" w:hAnsi="Times New Roman" w:eastAsia="Times New Roman" w:cs="Times New Roman"/>
                <w:color w:val="auto"/>
                <w:spacing w:val="1"/>
                <w:sz w:val="24"/>
                <w:szCs w:val="24"/>
              </w:rPr>
              <w:t>200m</w:t>
            </w:r>
            <w:r>
              <w:rPr>
                <w:rFonts w:ascii="宋体" w:hAnsi="宋体" w:eastAsia="宋体" w:cs="宋体"/>
                <w:color w:val="auto"/>
                <w:spacing w:val="1"/>
                <w:sz w:val="24"/>
                <w:szCs w:val="24"/>
              </w:rPr>
              <w:t>半径范围的建筑</w:t>
            </w:r>
            <w:r>
              <w:rPr>
                <w:rFonts w:ascii="Times New Roman" w:hAnsi="Times New Roman" w:eastAsia="Times New Roman" w:cs="Times New Roman"/>
                <w:color w:val="auto"/>
                <w:sz w:val="24"/>
                <w:szCs w:val="24"/>
              </w:rPr>
              <w:t>5m</w:t>
            </w:r>
            <w:r>
              <w:rPr>
                <w:rFonts w:ascii="宋体" w:hAnsi="宋体" w:eastAsia="宋体" w:cs="宋体"/>
                <w:color w:val="auto"/>
                <w:sz w:val="24"/>
                <w:szCs w:val="24"/>
              </w:rPr>
              <w:t>以上，不能达到该要求的排气筒，应按其高度对应的表列排放速率标准值严格</w:t>
            </w:r>
            <w:r>
              <w:rPr>
                <w:rFonts w:ascii="Times New Roman" w:hAnsi="Times New Roman" w:eastAsia="Times New Roman" w:cs="Times New Roman"/>
                <w:color w:val="auto"/>
                <w:sz w:val="24"/>
                <w:szCs w:val="24"/>
              </w:rPr>
              <w:t>50%</w:t>
            </w:r>
            <w:r>
              <w:rPr>
                <w:rFonts w:ascii="宋体" w:hAnsi="宋体" w:eastAsia="宋体" w:cs="宋体"/>
                <w:color w:val="auto"/>
                <w:sz w:val="24"/>
                <w:szCs w:val="24"/>
              </w:rPr>
              <w:t>执</w:t>
            </w:r>
            <w:r>
              <w:rPr>
                <w:rFonts w:ascii="宋体" w:hAnsi="宋体" w:eastAsia="宋体" w:cs="宋体"/>
                <w:color w:val="auto"/>
                <w:spacing w:val="-4"/>
                <w:sz w:val="24"/>
                <w:szCs w:val="24"/>
              </w:rPr>
              <w:t>行</w:t>
            </w:r>
            <w:r>
              <w:rPr>
                <w:rFonts w:ascii="Times New Roman" w:hAnsi="Times New Roman" w:eastAsia="Times New Roman" w:cs="Times New Roman"/>
                <w:color w:val="auto"/>
                <w:spacing w:val="-4"/>
                <w:sz w:val="24"/>
                <w:szCs w:val="24"/>
              </w:rPr>
              <w:t>”</w:t>
            </w:r>
          </w:p>
          <w:p w14:paraId="7BFE1F47">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olor w:val="auto"/>
                <w:sz w:val="24"/>
                <w:szCs w:val="24"/>
                <w:highlight w:val="none"/>
                <w:shd w:val="clear" w:color="auto" w:fill="auto"/>
              </w:rPr>
            </w:pPr>
            <w:r>
              <w:rPr>
                <w:rFonts w:hint="default" w:ascii="Times New Roman" w:hAnsi="Times New Roman" w:eastAsia="宋体" w:cs="Times New Roman"/>
                <w:color w:val="auto"/>
                <w:sz w:val="24"/>
                <w:szCs w:val="24"/>
                <w:lang w:val="en-US" w:eastAsia="zh-CN"/>
              </w:rPr>
              <w:t>企业</w:t>
            </w:r>
            <w:r>
              <w:rPr>
                <w:rFonts w:hint="default" w:ascii="Times New Roman" w:hAnsi="Times New Roman" w:eastAsia="宋体" w:cs="Times New Roman"/>
                <w:i w:val="0"/>
                <w:iCs w:val="0"/>
                <w:caps w:val="0"/>
                <w:color w:val="auto"/>
                <w:spacing w:val="0"/>
                <w:sz w:val="24"/>
                <w:szCs w:val="24"/>
                <w:shd w:val="clear" w:fill="FFFFFF"/>
                <w:lang w:val="en-US" w:eastAsia="zh-CN"/>
              </w:rPr>
              <w:t>考虑</w:t>
            </w:r>
            <w:r>
              <w:rPr>
                <w:rFonts w:hint="default" w:ascii="Times New Roman" w:hAnsi="Times New Roman" w:eastAsia="宋体" w:cs="Times New Roman"/>
                <w:i w:val="0"/>
                <w:iCs w:val="0"/>
                <w:caps w:val="0"/>
                <w:color w:val="auto"/>
                <w:spacing w:val="0"/>
                <w:sz w:val="24"/>
                <w:szCs w:val="24"/>
                <w:shd w:val="clear" w:fill="FFFFFF"/>
              </w:rPr>
              <w:t>在满足达标排放的前提下，15米</w:t>
            </w:r>
            <w:r>
              <w:rPr>
                <w:rFonts w:hint="default" w:ascii="Times New Roman" w:hAnsi="Times New Roman" w:eastAsia="宋体" w:cs="Times New Roman"/>
                <w:i w:val="0"/>
                <w:iCs w:val="0"/>
                <w:caps w:val="0"/>
                <w:color w:val="auto"/>
                <w:spacing w:val="0"/>
                <w:sz w:val="24"/>
                <w:szCs w:val="24"/>
                <w:shd w:val="clear" w:fill="FFFFFF"/>
                <w:lang w:val="en-US" w:eastAsia="zh-CN"/>
              </w:rPr>
              <w:t>排气筒</w:t>
            </w:r>
            <w:r>
              <w:rPr>
                <w:rFonts w:hint="default" w:ascii="Times New Roman" w:hAnsi="Times New Roman" w:eastAsia="宋体" w:cs="Times New Roman"/>
                <w:i w:val="0"/>
                <w:iCs w:val="0"/>
                <w:caps w:val="0"/>
                <w:color w:val="auto"/>
                <w:spacing w:val="0"/>
                <w:sz w:val="24"/>
                <w:szCs w:val="24"/>
                <w:shd w:val="clear" w:fill="FFFFFF"/>
              </w:rPr>
              <w:t>在投资成本、施工安全性和后期运维便捷性上更优，能够确保项目长期稳定运行</w:t>
            </w:r>
            <w:r>
              <w:rPr>
                <w:rFonts w:hint="default" w:ascii="Times New Roman" w:hAnsi="Times New Roman" w:eastAsia="宋体" w:cs="Times New Roman"/>
                <w:color w:val="auto"/>
                <w:sz w:val="24"/>
                <w:szCs w:val="24"/>
                <w:lang w:val="en-US" w:eastAsia="zh-CN"/>
              </w:rPr>
              <w:t>，因此选择建设15m排气筒</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本项目</w:t>
            </w:r>
            <w:r>
              <w:rPr>
                <w:rFonts w:hint="default" w:ascii="Times New Roman" w:hAnsi="Times New Roman" w:eastAsia="宋体" w:cs="Times New Roman"/>
                <w:color w:val="auto"/>
                <w:sz w:val="24"/>
                <w:szCs w:val="24"/>
                <w:highlight w:val="none"/>
                <w:lang w:val="en-US" w:eastAsia="zh-CN"/>
              </w:rPr>
              <w:t>DA001、DA002</w:t>
            </w:r>
            <w:r>
              <w:rPr>
                <w:rFonts w:hint="default" w:ascii="Times New Roman" w:hAnsi="Times New Roman" w:eastAsia="宋体" w:cs="Times New Roman"/>
                <w:color w:val="auto"/>
                <w:sz w:val="24"/>
                <w:szCs w:val="24"/>
                <w:highlight w:val="none"/>
              </w:rPr>
              <w:t>排气筒高度</w:t>
            </w:r>
            <w:r>
              <w:rPr>
                <w:rFonts w:hint="default" w:ascii="Times New Roman" w:hAnsi="Times New Roman" w:eastAsia="宋体" w:cs="Times New Roman"/>
                <w:color w:val="auto"/>
                <w:sz w:val="24"/>
                <w:szCs w:val="24"/>
                <w:highlight w:val="none"/>
                <w:lang w:val="en-US" w:eastAsia="zh-CN"/>
              </w:rPr>
              <w:t>均</w:t>
            </w:r>
            <w:r>
              <w:rPr>
                <w:rFonts w:hint="default" w:ascii="Times New Roman" w:hAnsi="Times New Roman" w:eastAsia="宋体" w:cs="Times New Roman"/>
                <w:color w:val="auto"/>
                <w:sz w:val="24"/>
                <w:szCs w:val="24"/>
                <w:highlight w:val="none"/>
              </w:rPr>
              <w:t>为</w:t>
            </w:r>
            <w:r>
              <w:rPr>
                <w:rFonts w:hint="default" w:ascii="Times New Roman" w:hAnsi="Times New Roman" w:eastAsia="宋体" w:cs="Times New Roman"/>
                <w:color w:val="auto"/>
                <w:sz w:val="24"/>
                <w:szCs w:val="24"/>
                <w:highlight w:val="none"/>
                <w:lang w:val="en-US" w:eastAsia="zh-CN"/>
              </w:rPr>
              <w:t>15</w:t>
            </w:r>
            <w:r>
              <w:rPr>
                <w:rFonts w:hint="default" w:ascii="Times New Roman" w:hAnsi="Times New Roman" w:eastAsia="宋体" w:cs="Times New Roman"/>
                <w:color w:val="auto"/>
                <w:sz w:val="24"/>
                <w:szCs w:val="24"/>
                <w:highlight w:val="none"/>
              </w:rPr>
              <w:t>m，项目周边200m范围内</w:t>
            </w:r>
            <w:r>
              <w:rPr>
                <w:rFonts w:hint="default" w:ascii="Times New Roman" w:hAnsi="Times New Roman" w:eastAsia="宋体" w:cs="Times New Roman"/>
                <w:color w:val="auto"/>
                <w:sz w:val="24"/>
                <w:szCs w:val="24"/>
                <w:highlight w:val="none"/>
                <w:lang w:val="en-US" w:eastAsia="zh-CN"/>
              </w:rPr>
              <w:t>已建</w:t>
            </w:r>
            <w:r>
              <w:rPr>
                <w:rFonts w:hint="default" w:ascii="Times New Roman" w:hAnsi="Times New Roman" w:eastAsia="宋体" w:cs="Times New Roman"/>
                <w:color w:val="auto"/>
                <w:sz w:val="24"/>
                <w:szCs w:val="24"/>
                <w:highlight w:val="none"/>
              </w:rPr>
              <w:t>最高建筑物</w:t>
            </w:r>
            <w:r>
              <w:rPr>
                <w:rFonts w:hint="default" w:ascii="Times New Roman" w:hAnsi="Times New Roman" w:eastAsia="宋体" w:cs="Times New Roman"/>
                <w:color w:val="auto"/>
                <w:sz w:val="24"/>
                <w:szCs w:val="24"/>
                <w:highlight w:val="none"/>
                <w:lang w:eastAsia="zh-CN"/>
              </w:rPr>
              <w:t>高度</w:t>
            </w:r>
            <w:r>
              <w:rPr>
                <w:rFonts w:hint="default" w:ascii="Times New Roman" w:hAnsi="Times New Roman" w:eastAsia="宋体" w:cs="Times New Roman"/>
                <w:color w:val="auto"/>
                <w:sz w:val="24"/>
                <w:szCs w:val="24"/>
                <w:highlight w:val="none"/>
              </w:rPr>
              <w:t>约</w:t>
            </w:r>
            <w:r>
              <w:rPr>
                <w:rFonts w:hint="default" w:ascii="Times New Roman" w:hAnsi="Times New Roman" w:eastAsia="宋体"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rPr>
              <w:t>m；因此，本项目</w:t>
            </w:r>
            <w:r>
              <w:rPr>
                <w:rFonts w:hint="default" w:ascii="Times New Roman" w:hAnsi="Times New Roman" w:eastAsia="宋体" w:cs="Times New Roman"/>
                <w:color w:val="auto"/>
                <w:sz w:val="24"/>
                <w:szCs w:val="24"/>
                <w:highlight w:val="none"/>
                <w:lang w:val="en-US" w:eastAsia="zh-CN"/>
              </w:rPr>
              <w:t>DA001、DA002</w:t>
            </w:r>
            <w:r>
              <w:rPr>
                <w:rFonts w:hint="default" w:ascii="Times New Roman" w:hAnsi="Times New Roman" w:eastAsia="宋体" w:cs="Times New Roman"/>
                <w:color w:val="auto"/>
                <w:sz w:val="24"/>
                <w:szCs w:val="24"/>
                <w:highlight w:val="none"/>
              </w:rPr>
              <w:t>排气筒排放的</w:t>
            </w:r>
            <w:r>
              <w:rPr>
                <w:rFonts w:hint="default" w:ascii="Times New Roman" w:hAnsi="Times New Roman" w:eastAsia="宋体" w:cs="Times New Roman"/>
                <w:color w:val="auto"/>
                <w:sz w:val="24"/>
                <w:szCs w:val="24"/>
                <w:highlight w:val="none"/>
                <w:lang w:val="en-US" w:eastAsia="zh-CN"/>
              </w:rPr>
              <w:t>污染物</w:t>
            </w:r>
            <w:r>
              <w:rPr>
                <w:rFonts w:hint="default" w:ascii="Times New Roman" w:hAnsi="Times New Roman" w:eastAsia="宋体" w:cs="Times New Roman"/>
                <w:color w:val="auto"/>
                <w:sz w:val="24"/>
                <w:szCs w:val="24"/>
                <w:highlight w:val="none"/>
              </w:rPr>
              <w:t>速率应严格50%执行</w:t>
            </w:r>
            <w:r>
              <w:rPr>
                <w:rFonts w:hint="default" w:ascii="Times New Roman" w:hAnsi="Times New Roman" w:eastAsia="宋体" w:cs="Times New Roman"/>
                <w:color w:val="auto"/>
                <w:sz w:val="24"/>
                <w:szCs w:val="24"/>
                <w:highlight w:val="none"/>
                <w:shd w:val="clear" w:color="auto" w:fill="auto"/>
              </w:rPr>
              <w:t>。</w:t>
            </w:r>
          </w:p>
          <w:p w14:paraId="111D53EB">
            <w:pPr>
              <w:keepNext w:val="0"/>
              <w:keepLines w:val="0"/>
              <w:pageBreakBefore w:val="0"/>
              <w:widowControl/>
              <w:kinsoku/>
              <w:wordWrap/>
              <w:overflowPunct/>
              <w:topLinePunct w:val="0"/>
              <w:autoSpaceDE/>
              <w:autoSpaceDN/>
              <w:bidi w:val="0"/>
              <w:spacing w:line="500" w:lineRule="exact"/>
              <w:ind w:firstLine="480" w:firstLineChars="200"/>
              <w:textAlignment w:val="auto"/>
              <w:rPr>
                <w:color w:val="auto"/>
                <w:sz w:val="24"/>
                <w:szCs w:val="24"/>
                <w:highlight w:val="none"/>
                <w:shd w:val="clear" w:color="auto" w:fill="auto"/>
              </w:rPr>
            </w:pPr>
            <w:r>
              <w:rPr>
                <w:rFonts w:hint="eastAsia"/>
                <w:color w:val="auto"/>
                <w:sz w:val="24"/>
                <w:szCs w:val="24"/>
                <w:highlight w:val="none"/>
                <w:shd w:val="clear" w:color="auto" w:fill="auto"/>
                <w:lang w:val="en-US" w:eastAsia="zh-CN"/>
              </w:rPr>
              <w:t>②</w:t>
            </w:r>
            <w:r>
              <w:rPr>
                <w:color w:val="auto"/>
                <w:sz w:val="24"/>
                <w:szCs w:val="24"/>
                <w:highlight w:val="none"/>
                <w:shd w:val="clear" w:color="auto" w:fill="auto"/>
              </w:rPr>
              <w:t>烟气出口速率合理性分析</w:t>
            </w:r>
          </w:p>
          <w:p w14:paraId="2BF75A7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ascii="Times New Roman" w:hAnsi="Times New Roman" w:eastAsia="宋体" w:cs="Times New Roman"/>
                <w:b w:val="0"/>
                <w:bCs/>
                <w:snapToGrid w:val="0"/>
                <w:color w:val="auto"/>
                <w:spacing w:val="0"/>
                <w:kern w:val="0"/>
                <w:sz w:val="24"/>
                <w:szCs w:val="24"/>
                <w:u w:val="none" w:color="auto"/>
                <w:shd w:val="clear" w:color="auto" w:fill="auto"/>
                <w:vertAlign w:val="baseline"/>
                <w:lang w:val="en-US" w:eastAsia="zh-CN"/>
              </w:rPr>
            </w:pPr>
            <w:r>
              <w:rPr>
                <w:color w:val="auto"/>
                <w:sz w:val="24"/>
                <w:szCs w:val="24"/>
                <w:highlight w:val="none"/>
                <w:shd w:val="clear" w:color="auto" w:fill="auto"/>
              </w:rPr>
              <w:t>根据工程分析的排放参数，项目</w:t>
            </w:r>
            <w:r>
              <w:rPr>
                <w:rFonts w:hint="eastAsia"/>
                <w:color w:val="auto"/>
                <w:sz w:val="24"/>
                <w:szCs w:val="24"/>
                <w:highlight w:val="none"/>
                <w:shd w:val="clear" w:color="auto" w:fill="auto"/>
              </w:rPr>
              <w:t>DA00</w:t>
            </w:r>
            <w:r>
              <w:rPr>
                <w:rFonts w:hint="eastAsia"/>
                <w:color w:val="auto"/>
                <w:sz w:val="24"/>
                <w:szCs w:val="24"/>
                <w:highlight w:val="none"/>
                <w:shd w:val="clear" w:color="auto" w:fill="auto"/>
                <w:lang w:val="en-US" w:eastAsia="zh-CN"/>
              </w:rPr>
              <w:t>1、DA002</w:t>
            </w:r>
            <w:r>
              <w:rPr>
                <w:color w:val="auto"/>
                <w:sz w:val="24"/>
                <w:szCs w:val="24"/>
                <w:highlight w:val="none"/>
                <w:shd w:val="clear" w:color="auto" w:fill="auto"/>
              </w:rPr>
              <w:t>排气筒风机风量</w:t>
            </w:r>
            <w:r>
              <w:rPr>
                <w:rFonts w:hint="eastAsia"/>
                <w:color w:val="auto"/>
                <w:sz w:val="24"/>
                <w:szCs w:val="24"/>
                <w:highlight w:val="none"/>
                <w:shd w:val="clear" w:color="auto" w:fill="auto"/>
                <w:lang w:val="en-US" w:eastAsia="zh-CN"/>
              </w:rPr>
              <w:t>分别</w:t>
            </w:r>
            <w:r>
              <w:rPr>
                <w:color w:val="auto"/>
                <w:sz w:val="24"/>
                <w:szCs w:val="24"/>
                <w:highlight w:val="none"/>
                <w:shd w:val="clear" w:color="auto" w:fill="auto"/>
              </w:rPr>
              <w:t>为</w:t>
            </w:r>
            <w:r>
              <w:rPr>
                <w:rFonts w:hint="eastAsia"/>
                <w:color w:val="auto"/>
                <w:sz w:val="24"/>
                <w:szCs w:val="24"/>
                <w:highlight w:val="none"/>
                <w:shd w:val="clear" w:color="auto" w:fill="auto"/>
                <w:lang w:val="en-US" w:eastAsia="zh-CN"/>
              </w:rPr>
              <w:t>2000</w:t>
            </w:r>
            <w:r>
              <w:rPr>
                <w:color w:val="auto"/>
                <w:sz w:val="24"/>
                <w:szCs w:val="24"/>
                <w:highlight w:val="none"/>
                <w:shd w:val="clear" w:color="auto" w:fill="auto"/>
              </w:rPr>
              <w:t>m</w:t>
            </w:r>
            <w:r>
              <w:rPr>
                <w:color w:val="auto"/>
                <w:sz w:val="24"/>
                <w:szCs w:val="24"/>
                <w:highlight w:val="none"/>
                <w:shd w:val="clear" w:color="auto" w:fill="auto"/>
                <w:vertAlign w:val="superscript"/>
              </w:rPr>
              <w:t>3</w:t>
            </w:r>
            <w:r>
              <w:rPr>
                <w:color w:val="auto"/>
                <w:sz w:val="24"/>
                <w:szCs w:val="24"/>
                <w:highlight w:val="none"/>
                <w:shd w:val="clear" w:color="auto" w:fill="auto"/>
              </w:rPr>
              <w:t>/h</w:t>
            </w:r>
            <w:r>
              <w:rPr>
                <w:rFonts w:hint="eastAsia"/>
                <w:color w:val="auto"/>
                <w:sz w:val="24"/>
                <w:szCs w:val="24"/>
                <w:highlight w:val="none"/>
                <w:shd w:val="clear" w:color="auto" w:fill="auto"/>
                <w:lang w:eastAsia="zh-CN"/>
              </w:rPr>
              <w:t>、14392</w:t>
            </w:r>
            <w:r>
              <w:rPr>
                <w:color w:val="auto"/>
                <w:sz w:val="24"/>
                <w:szCs w:val="24"/>
                <w:highlight w:val="none"/>
                <w:shd w:val="clear" w:color="auto" w:fill="auto"/>
              </w:rPr>
              <w:t>m</w:t>
            </w:r>
            <w:r>
              <w:rPr>
                <w:color w:val="auto"/>
                <w:sz w:val="24"/>
                <w:szCs w:val="24"/>
                <w:highlight w:val="none"/>
                <w:shd w:val="clear" w:color="auto" w:fill="auto"/>
                <w:vertAlign w:val="superscript"/>
              </w:rPr>
              <w:t>3</w:t>
            </w:r>
            <w:r>
              <w:rPr>
                <w:color w:val="auto"/>
                <w:sz w:val="24"/>
                <w:szCs w:val="24"/>
                <w:highlight w:val="none"/>
                <w:shd w:val="clear" w:color="auto" w:fill="auto"/>
              </w:rPr>
              <w:t>/h</w:t>
            </w:r>
            <w:r>
              <w:rPr>
                <w:rFonts w:hint="eastAsia"/>
                <w:color w:val="auto"/>
                <w:sz w:val="24"/>
                <w:szCs w:val="24"/>
                <w:highlight w:val="none"/>
                <w:shd w:val="clear" w:color="auto" w:fill="auto"/>
                <w:lang w:eastAsia="zh-CN"/>
              </w:rPr>
              <w:t>，</w:t>
            </w:r>
            <w:r>
              <w:rPr>
                <w:color w:val="auto"/>
                <w:sz w:val="24"/>
                <w:szCs w:val="24"/>
                <w:highlight w:val="none"/>
                <w:shd w:val="clear" w:color="auto" w:fill="auto"/>
              </w:rPr>
              <w:t>出口内径</w:t>
            </w:r>
            <w:r>
              <w:rPr>
                <w:rFonts w:hint="eastAsia"/>
                <w:color w:val="auto"/>
                <w:sz w:val="24"/>
                <w:szCs w:val="24"/>
                <w:highlight w:val="none"/>
                <w:shd w:val="clear" w:color="auto" w:fill="auto"/>
                <w:lang w:val="en-US" w:eastAsia="zh-CN"/>
              </w:rPr>
              <w:t>分别</w:t>
            </w:r>
            <w:r>
              <w:rPr>
                <w:color w:val="auto"/>
                <w:sz w:val="24"/>
                <w:szCs w:val="24"/>
                <w:highlight w:val="none"/>
                <w:shd w:val="clear" w:color="auto" w:fill="auto"/>
              </w:rPr>
              <w:t>为</w:t>
            </w:r>
            <w:r>
              <w:rPr>
                <w:rFonts w:hint="eastAsia"/>
                <w:color w:val="auto"/>
                <w:sz w:val="24"/>
                <w:szCs w:val="24"/>
                <w:highlight w:val="none"/>
                <w:shd w:val="clear" w:color="auto" w:fill="auto"/>
                <w:lang w:val="en-US" w:eastAsia="zh-CN"/>
              </w:rPr>
              <w:t>0.2m、0.6m</w:t>
            </w:r>
            <w:r>
              <w:rPr>
                <w:rFonts w:hint="eastAsia"/>
                <w:color w:val="auto"/>
                <w:sz w:val="24"/>
                <w:szCs w:val="24"/>
                <w:highlight w:val="none"/>
                <w:shd w:val="clear" w:color="auto" w:fill="auto"/>
                <w:lang w:eastAsia="zh-CN"/>
              </w:rPr>
              <w:t>，</w:t>
            </w:r>
            <w:r>
              <w:rPr>
                <w:color w:val="auto"/>
                <w:sz w:val="24"/>
                <w:szCs w:val="24"/>
                <w:highlight w:val="none"/>
                <w:shd w:val="clear" w:color="auto" w:fill="auto"/>
              </w:rPr>
              <w:t>计算得到排气筒烟气流速</w:t>
            </w:r>
            <w:r>
              <w:rPr>
                <w:rFonts w:hint="eastAsia"/>
                <w:color w:val="auto"/>
                <w:sz w:val="24"/>
                <w:szCs w:val="24"/>
                <w:highlight w:val="none"/>
                <w:shd w:val="clear" w:color="auto" w:fill="auto"/>
                <w:lang w:val="en-US" w:eastAsia="zh-CN"/>
              </w:rPr>
              <w:t>分别</w:t>
            </w:r>
            <w:r>
              <w:rPr>
                <w:color w:val="auto"/>
                <w:sz w:val="24"/>
                <w:szCs w:val="24"/>
                <w:highlight w:val="none"/>
                <w:shd w:val="clear" w:color="auto" w:fill="auto"/>
              </w:rPr>
              <w:t>为</w:t>
            </w:r>
            <w:r>
              <w:rPr>
                <w:rFonts w:hint="eastAsia"/>
                <w:color w:val="auto"/>
                <w:sz w:val="24"/>
                <w:szCs w:val="24"/>
                <w:highlight w:val="none"/>
                <w:shd w:val="clear" w:color="auto" w:fill="auto"/>
                <w:lang w:val="en-US" w:eastAsia="zh-CN"/>
              </w:rPr>
              <w:t>17.68</w:t>
            </w:r>
            <w:r>
              <w:rPr>
                <w:color w:val="auto"/>
                <w:sz w:val="24"/>
                <w:szCs w:val="24"/>
                <w:highlight w:val="none"/>
                <w:shd w:val="clear" w:color="auto" w:fill="auto"/>
              </w:rPr>
              <w:t>m/s</w:t>
            </w:r>
            <w:r>
              <w:rPr>
                <w:rFonts w:hint="eastAsia"/>
                <w:color w:val="auto"/>
                <w:sz w:val="24"/>
                <w:szCs w:val="24"/>
                <w:highlight w:val="none"/>
                <w:shd w:val="clear" w:color="auto" w:fill="auto"/>
                <w:lang w:eastAsia="zh-CN"/>
              </w:rPr>
              <w:t>、</w:t>
            </w:r>
            <w:r>
              <w:rPr>
                <w:rFonts w:hint="eastAsia"/>
                <w:color w:val="auto"/>
                <w:sz w:val="24"/>
                <w:szCs w:val="24"/>
                <w:highlight w:val="none"/>
                <w:shd w:val="clear" w:color="auto" w:fill="auto"/>
                <w:lang w:val="en-US" w:eastAsia="zh-CN"/>
              </w:rPr>
              <w:t>14.14</w:t>
            </w:r>
            <w:r>
              <w:rPr>
                <w:color w:val="auto"/>
                <w:sz w:val="24"/>
                <w:szCs w:val="24"/>
                <w:highlight w:val="none"/>
                <w:shd w:val="clear" w:color="auto" w:fill="auto"/>
              </w:rPr>
              <w:t>m/s。</w:t>
            </w:r>
            <w:r>
              <w:rPr>
                <w:rFonts w:hint="eastAsia"/>
                <w:color w:val="auto"/>
                <w:sz w:val="24"/>
                <w:szCs w:val="24"/>
                <w:highlight w:val="none"/>
                <w:shd w:val="clear" w:color="auto" w:fill="auto"/>
                <w:lang w:val="en-US" w:eastAsia="zh-CN"/>
              </w:rPr>
              <w:t>根</w:t>
            </w:r>
            <w:r>
              <w:rPr>
                <w:color w:val="auto"/>
                <w:sz w:val="24"/>
                <w:szCs w:val="24"/>
                <w:highlight w:val="none"/>
                <w:shd w:val="clear" w:color="auto" w:fill="auto"/>
              </w:rPr>
              <w:t>据《大气污染治理工程技术导则》</w:t>
            </w:r>
            <w:r>
              <w:rPr>
                <w:rFonts w:hint="eastAsia"/>
                <w:color w:val="auto"/>
                <w:sz w:val="24"/>
                <w:szCs w:val="24"/>
                <w:highlight w:val="none"/>
                <w:shd w:val="clear" w:color="auto" w:fill="auto"/>
                <w:lang w:eastAsia="zh-CN"/>
              </w:rPr>
              <w:t>（</w:t>
            </w:r>
            <w:r>
              <w:rPr>
                <w:color w:val="auto"/>
                <w:sz w:val="24"/>
                <w:szCs w:val="24"/>
                <w:highlight w:val="none"/>
                <w:shd w:val="clear" w:color="auto" w:fill="auto"/>
              </w:rPr>
              <w:t>HJ2000-2010</w:t>
            </w:r>
            <w:r>
              <w:rPr>
                <w:rFonts w:hint="eastAsia"/>
                <w:color w:val="auto"/>
                <w:sz w:val="24"/>
                <w:szCs w:val="24"/>
                <w:highlight w:val="none"/>
                <w:shd w:val="clear" w:color="auto" w:fill="auto"/>
                <w:lang w:eastAsia="zh-CN"/>
              </w:rPr>
              <w:t>）</w:t>
            </w:r>
            <w:r>
              <w:rPr>
                <w:color w:val="auto"/>
                <w:sz w:val="24"/>
                <w:szCs w:val="24"/>
                <w:highlight w:val="none"/>
                <w:shd w:val="clear" w:color="auto" w:fill="auto"/>
              </w:rPr>
              <w:t>“5.3.5排气筒的出口直径应根据出口流速确定，流速宜取15m/s左右”，本项目排气筒出口烟速是基本符合要求的</w:t>
            </w:r>
            <w:r>
              <w:rPr>
                <w:rFonts w:hint="eastAsia"/>
                <w:color w:val="auto"/>
                <w:sz w:val="24"/>
                <w:szCs w:val="24"/>
                <w:highlight w:val="none"/>
                <w:shd w:val="clear" w:color="auto" w:fill="auto"/>
                <w:lang w:eastAsia="zh-CN"/>
              </w:rPr>
              <w:t>。</w:t>
            </w:r>
          </w:p>
          <w:p w14:paraId="3EC3E176">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hint="default" w:ascii="Times New Roman" w:hAnsi="Times New Roman" w:cs="Times New Roman"/>
                <w:b w:val="0"/>
                <w:bCs w:val="0"/>
                <w:color w:val="auto"/>
                <w:sz w:val="24"/>
                <w:szCs w:val="24"/>
                <w:highlight w:val="none"/>
              </w:rPr>
            </w:pPr>
            <w:r>
              <w:rPr>
                <w:rFonts w:hint="eastAsia" w:cs="Times New Roman"/>
                <w:b/>
                <w:bCs/>
                <w:color w:val="auto"/>
                <w:sz w:val="24"/>
                <w:szCs w:val="24"/>
                <w:highlight w:val="none"/>
                <w:lang w:val="en-US" w:eastAsia="zh-CN"/>
              </w:rPr>
              <w:t>4.</w:t>
            </w:r>
            <w:r>
              <w:rPr>
                <w:rFonts w:hint="default" w:ascii="Times New Roman" w:hAnsi="Times New Roman" w:cs="Times New Roman"/>
                <w:b/>
                <w:bCs/>
                <w:color w:val="auto"/>
                <w:sz w:val="24"/>
                <w:szCs w:val="24"/>
                <w:highlight w:val="none"/>
              </w:rPr>
              <w:t>非正常排放工况分析</w:t>
            </w:r>
          </w:p>
          <w:p w14:paraId="439B28E9">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非正常排放情况主要考虑生产装置开停车、废气处理装置故障等情况，项目非正常排放情况主要考虑各排气筒的废气处理装置发生故障，处理效率降低，导致污染物排放量大幅增高的情况。</w:t>
            </w:r>
          </w:p>
          <w:p w14:paraId="695C5E08">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color w:val="auto"/>
                <w:sz w:val="24"/>
                <w:szCs w:val="24"/>
                <w:highlight w:val="none"/>
              </w:rPr>
              <w:t>本次</w:t>
            </w:r>
            <w:r>
              <w:rPr>
                <w:rFonts w:hint="default" w:ascii="Times New Roman" w:hAnsi="Times New Roman" w:cs="Times New Roman"/>
                <w:color w:val="auto"/>
                <w:sz w:val="24"/>
                <w:szCs w:val="24"/>
                <w:highlight w:val="none"/>
              </w:rPr>
              <w:t>评价考虑</w:t>
            </w:r>
            <w:r>
              <w:rPr>
                <w:rFonts w:hint="eastAsia" w:cs="Times New Roman"/>
                <w:color w:val="auto"/>
                <w:sz w:val="24"/>
                <w:szCs w:val="24"/>
                <w:highlight w:val="none"/>
                <w:lang w:val="en-US" w:eastAsia="zh-CN"/>
              </w:rPr>
              <w:t>污染物</w:t>
            </w:r>
            <w:r>
              <w:rPr>
                <w:rFonts w:hint="default" w:ascii="Times New Roman" w:hAnsi="Times New Roman" w:cs="Times New Roman"/>
                <w:color w:val="auto"/>
                <w:sz w:val="24"/>
                <w:szCs w:val="24"/>
                <w:highlight w:val="none"/>
              </w:rPr>
              <w:t>处理效率</w:t>
            </w:r>
            <w:r>
              <w:rPr>
                <w:rFonts w:hint="eastAsia" w:cs="Times New Roman"/>
                <w:color w:val="auto"/>
                <w:sz w:val="24"/>
                <w:szCs w:val="24"/>
                <w:highlight w:val="none"/>
                <w:lang w:val="en-US" w:eastAsia="zh-CN"/>
              </w:rPr>
              <w:t>为0</w:t>
            </w:r>
            <w:r>
              <w:rPr>
                <w:rFonts w:hint="default" w:ascii="Times New Roman" w:hAnsi="Times New Roman" w:cs="Times New Roman"/>
                <w:color w:val="auto"/>
                <w:sz w:val="24"/>
                <w:szCs w:val="24"/>
                <w:highlight w:val="none"/>
              </w:rPr>
              <w:t>，项目非正常工况污染物排放情况见下表</w:t>
            </w:r>
            <w:r>
              <w:rPr>
                <w:rFonts w:hint="default" w:ascii="Times New Roman" w:hAnsi="Times New Roman" w:cs="Times New Roman"/>
                <w:bCs/>
                <w:color w:val="auto"/>
                <w:sz w:val="24"/>
                <w:szCs w:val="24"/>
                <w:highlight w:val="none"/>
              </w:rPr>
              <w:t>。</w:t>
            </w:r>
          </w:p>
          <w:p w14:paraId="6A1685EC">
            <w:pPr>
              <w:keepNext w:val="0"/>
              <w:keepLines w:val="0"/>
              <w:pageBreakBefore w:val="0"/>
              <w:widowControl w:val="0"/>
              <w:kinsoku/>
              <w:wordWrap/>
              <w:overflowPunct/>
              <w:topLinePunct w:val="0"/>
              <w:autoSpaceDE/>
              <w:autoSpaceDN/>
              <w:bidi w:val="0"/>
              <w:adjustRightInd/>
              <w:snapToGrid/>
              <w:spacing w:line="500" w:lineRule="exact"/>
              <w:ind w:left="0" w:leftChars="0" w:firstLine="482"/>
              <w:jc w:val="center"/>
              <w:textAlignment w:val="auto"/>
              <w:rPr>
                <w:rFonts w:hint="default" w:ascii="Times New Roman" w:hAnsi="Times New Roman" w:cs="Times New Roman"/>
                <w:b/>
                <w:bCs/>
                <w:color w:val="auto"/>
                <w:sz w:val="24"/>
                <w:szCs w:val="24"/>
                <w:highlight w:val="none"/>
              </w:rPr>
            </w:pPr>
          </w:p>
          <w:p w14:paraId="3A6F4596">
            <w:pPr>
              <w:keepNext w:val="0"/>
              <w:keepLines w:val="0"/>
              <w:pageBreakBefore w:val="0"/>
              <w:widowControl w:val="0"/>
              <w:kinsoku/>
              <w:wordWrap/>
              <w:overflowPunct/>
              <w:topLinePunct w:val="0"/>
              <w:autoSpaceDE/>
              <w:autoSpaceDN/>
              <w:bidi w:val="0"/>
              <w:adjustRightInd/>
              <w:snapToGrid/>
              <w:spacing w:line="500" w:lineRule="exact"/>
              <w:ind w:left="0" w:leftChars="0" w:firstLine="482"/>
              <w:jc w:val="center"/>
              <w:textAlignment w:val="auto"/>
              <w:rPr>
                <w:rFonts w:hint="default" w:ascii="Times New Roman" w:hAnsi="Times New Roman" w:cs="Times New Roman"/>
                <w:b/>
                <w:bCs/>
                <w:color w:val="auto"/>
                <w:sz w:val="24"/>
                <w:szCs w:val="24"/>
                <w:highlight w:val="none"/>
              </w:rPr>
            </w:pPr>
          </w:p>
          <w:p w14:paraId="24F7AA46">
            <w:pPr>
              <w:keepNext w:val="0"/>
              <w:keepLines w:val="0"/>
              <w:pageBreakBefore w:val="0"/>
              <w:widowControl w:val="0"/>
              <w:kinsoku/>
              <w:wordWrap/>
              <w:overflowPunct/>
              <w:topLinePunct w:val="0"/>
              <w:autoSpaceDE/>
              <w:autoSpaceDN/>
              <w:bidi w:val="0"/>
              <w:adjustRightInd/>
              <w:snapToGrid/>
              <w:spacing w:line="500" w:lineRule="exact"/>
              <w:ind w:left="0" w:leftChars="0" w:firstLine="482"/>
              <w:jc w:val="center"/>
              <w:textAlignment w:val="auto"/>
              <w:rPr>
                <w:rFonts w:hint="default" w:ascii="Times New Roman" w:hAnsi="Times New Roman" w:cs="Times New Roman"/>
                <w:b/>
                <w:bCs/>
                <w:color w:val="auto"/>
                <w:sz w:val="24"/>
                <w:szCs w:val="24"/>
                <w:highlight w:val="none"/>
              </w:rPr>
            </w:pPr>
          </w:p>
          <w:p w14:paraId="15A80910">
            <w:pPr>
              <w:keepNext w:val="0"/>
              <w:keepLines w:val="0"/>
              <w:pageBreakBefore w:val="0"/>
              <w:widowControl w:val="0"/>
              <w:kinsoku/>
              <w:wordWrap/>
              <w:overflowPunct/>
              <w:topLinePunct w:val="0"/>
              <w:autoSpaceDE/>
              <w:autoSpaceDN/>
              <w:bidi w:val="0"/>
              <w:adjustRightInd/>
              <w:snapToGrid/>
              <w:spacing w:line="500" w:lineRule="exact"/>
              <w:ind w:left="0" w:leftChars="0" w:firstLine="482"/>
              <w:jc w:val="center"/>
              <w:textAlignment w:val="auto"/>
              <w:rPr>
                <w:rFonts w:hint="default" w:ascii="Times New Roman" w:hAnsi="Times New Roman" w:cs="Times New Roman"/>
                <w:b/>
                <w:bCs/>
                <w:color w:val="auto"/>
                <w:sz w:val="24"/>
                <w:szCs w:val="24"/>
                <w:highlight w:val="none"/>
              </w:rPr>
            </w:pPr>
          </w:p>
          <w:p w14:paraId="5F427316">
            <w:pPr>
              <w:keepNext w:val="0"/>
              <w:keepLines w:val="0"/>
              <w:pageBreakBefore w:val="0"/>
              <w:widowControl w:val="0"/>
              <w:kinsoku/>
              <w:wordWrap/>
              <w:overflowPunct/>
              <w:topLinePunct w:val="0"/>
              <w:autoSpaceDE/>
              <w:autoSpaceDN/>
              <w:bidi w:val="0"/>
              <w:adjustRightInd/>
              <w:snapToGrid/>
              <w:spacing w:line="500" w:lineRule="exact"/>
              <w:ind w:left="0" w:leftChars="0" w:firstLine="482"/>
              <w:jc w:val="center"/>
              <w:textAlignment w:val="auto"/>
              <w:rPr>
                <w:rFonts w:hint="default" w:ascii="Times New Roman" w:hAnsi="Times New Roman" w:cs="Times New Roman"/>
                <w:b/>
                <w:bCs/>
                <w:color w:val="auto"/>
                <w:kern w:val="0"/>
                <w:sz w:val="24"/>
                <w:szCs w:val="24"/>
                <w:highlight w:val="none"/>
              </w:rPr>
            </w:pPr>
            <w:r>
              <w:rPr>
                <w:rFonts w:hint="default" w:ascii="Times New Roman" w:hAnsi="Times New Roman" w:cs="Times New Roman"/>
                <w:b/>
                <w:bCs/>
                <w:color w:val="auto"/>
                <w:sz w:val="24"/>
                <w:szCs w:val="24"/>
                <w:highlight w:val="none"/>
              </w:rPr>
              <w:t>表4</w:t>
            </w:r>
            <w:r>
              <w:rPr>
                <w:rFonts w:hint="eastAsia" w:cs="Times New Roman"/>
                <w:b/>
                <w:bCs/>
                <w:color w:val="auto"/>
                <w:sz w:val="24"/>
                <w:szCs w:val="24"/>
                <w:highlight w:val="none"/>
                <w:lang w:val="en-US" w:eastAsia="zh-CN"/>
              </w:rPr>
              <w:t>-10</w:t>
            </w:r>
            <w:r>
              <w:rPr>
                <w:rFonts w:hint="default" w:ascii="Times New Roman" w:hAnsi="Times New Roman" w:cs="Times New Roman"/>
                <w:b/>
                <w:bCs/>
                <w:color w:val="auto"/>
                <w:sz w:val="24"/>
                <w:szCs w:val="24"/>
                <w:highlight w:val="none"/>
              </w:rPr>
              <w:t xml:space="preserve"> 废气非正常排放情况</w:t>
            </w:r>
          </w:p>
          <w:tbl>
            <w:tblPr>
              <w:tblStyle w:val="39"/>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937"/>
              <w:gridCol w:w="813"/>
              <w:gridCol w:w="889"/>
              <w:gridCol w:w="1046"/>
              <w:gridCol w:w="1126"/>
              <w:gridCol w:w="611"/>
              <w:gridCol w:w="765"/>
              <w:gridCol w:w="881"/>
            </w:tblGrid>
            <w:tr w14:paraId="0603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5" w:type="pct"/>
                  <w:tcBorders>
                    <w:tl2br w:val="nil"/>
                    <w:tr2bl w:val="nil"/>
                  </w:tcBorders>
                  <w:noWrap w:val="0"/>
                  <w:vAlign w:val="center"/>
                </w:tcPr>
                <w:p w14:paraId="03D97762">
                  <w:pPr>
                    <w:spacing w:line="240" w:lineRule="auto"/>
                    <w:ind w:firstLine="0" w:firstLineChars="0"/>
                    <w:jc w:val="center"/>
                    <w:rPr>
                      <w:rFonts w:hint="default" w:ascii="Times New Roman" w:hAnsi="Times New Roman" w:cs="Times New Roman"/>
                      <w:b/>
                      <w:bCs/>
                      <w:color w:val="auto"/>
                      <w:kern w:val="0"/>
                      <w:sz w:val="21"/>
                      <w:szCs w:val="21"/>
                      <w:highlight w:val="none"/>
                      <w:lang w:val="zh-CN"/>
                    </w:rPr>
                  </w:pPr>
                  <w:r>
                    <w:rPr>
                      <w:rFonts w:hint="default" w:ascii="Times New Roman" w:hAnsi="Times New Roman" w:cs="Times New Roman"/>
                      <w:b/>
                      <w:bCs/>
                      <w:color w:val="auto"/>
                      <w:kern w:val="0"/>
                      <w:sz w:val="21"/>
                      <w:szCs w:val="21"/>
                      <w:highlight w:val="none"/>
                      <w:lang w:val="zh-CN"/>
                    </w:rPr>
                    <w:t>污染源</w:t>
                  </w:r>
                </w:p>
              </w:tc>
              <w:tc>
                <w:tcPr>
                  <w:tcW w:w="590" w:type="pct"/>
                  <w:tcBorders>
                    <w:tl2br w:val="nil"/>
                    <w:tr2bl w:val="nil"/>
                  </w:tcBorders>
                  <w:noWrap w:val="0"/>
                  <w:vAlign w:val="center"/>
                </w:tcPr>
                <w:p w14:paraId="7C1B77CA">
                  <w:pPr>
                    <w:spacing w:line="240" w:lineRule="auto"/>
                    <w:ind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cs="Times New Roman"/>
                      <w:b/>
                      <w:bCs/>
                      <w:color w:val="auto"/>
                      <w:kern w:val="0"/>
                      <w:sz w:val="21"/>
                      <w:szCs w:val="21"/>
                      <w:highlight w:val="none"/>
                      <w:lang w:val="zh-CN"/>
                    </w:rPr>
                    <w:t>烟气</w:t>
                  </w:r>
                  <w:r>
                    <w:rPr>
                      <w:rFonts w:hint="default" w:ascii="Times New Roman" w:hAnsi="Times New Roman" w:cs="Times New Roman"/>
                      <w:b/>
                      <w:bCs/>
                      <w:color w:val="auto"/>
                      <w:kern w:val="0"/>
                      <w:sz w:val="21"/>
                      <w:szCs w:val="21"/>
                      <w:highlight w:val="none"/>
                      <w:lang w:val="en-US" w:eastAsia="zh-CN"/>
                    </w:rPr>
                    <w:t>量</w:t>
                  </w:r>
                </w:p>
                <w:p w14:paraId="61C7D852">
                  <w:pPr>
                    <w:spacing w:line="240" w:lineRule="auto"/>
                    <w:ind w:firstLine="0" w:firstLineChars="0"/>
                    <w:jc w:val="center"/>
                    <w:rPr>
                      <w:rFonts w:hint="default" w:ascii="Times New Roman" w:hAnsi="Times New Roman" w:cs="Times New Roman"/>
                      <w:b/>
                      <w:bCs/>
                      <w:color w:val="auto"/>
                      <w:kern w:val="0"/>
                      <w:sz w:val="21"/>
                      <w:szCs w:val="21"/>
                      <w:highlight w:val="none"/>
                      <w:lang w:val="zh-CN"/>
                    </w:rPr>
                  </w:pPr>
                  <w:r>
                    <w:rPr>
                      <w:rFonts w:hint="default" w:ascii="Times New Roman" w:hAnsi="Times New Roman" w:cs="Times New Roman"/>
                      <w:b/>
                      <w:bCs/>
                      <w:color w:val="auto"/>
                      <w:kern w:val="0"/>
                      <w:sz w:val="21"/>
                      <w:szCs w:val="21"/>
                      <w:highlight w:val="none"/>
                      <w:lang w:val="zh-CN"/>
                    </w:rPr>
                    <w:t>m</w:t>
                  </w:r>
                  <w:r>
                    <w:rPr>
                      <w:rFonts w:hint="default" w:ascii="Times New Roman" w:hAnsi="Times New Roman" w:cs="Times New Roman"/>
                      <w:b/>
                      <w:bCs/>
                      <w:color w:val="auto"/>
                      <w:kern w:val="0"/>
                      <w:sz w:val="21"/>
                      <w:szCs w:val="21"/>
                      <w:highlight w:val="none"/>
                      <w:vertAlign w:val="superscript"/>
                    </w:rPr>
                    <w:t>3</w:t>
                  </w:r>
                  <w:r>
                    <w:rPr>
                      <w:rFonts w:hint="default" w:ascii="Times New Roman" w:hAnsi="Times New Roman" w:cs="Times New Roman"/>
                      <w:b/>
                      <w:bCs/>
                      <w:color w:val="auto"/>
                      <w:kern w:val="0"/>
                      <w:sz w:val="21"/>
                      <w:szCs w:val="21"/>
                      <w:highlight w:val="none"/>
                      <w:lang w:val="zh-CN"/>
                    </w:rPr>
                    <w:t>/h</w:t>
                  </w:r>
                </w:p>
              </w:tc>
              <w:tc>
                <w:tcPr>
                  <w:tcW w:w="512" w:type="pct"/>
                  <w:tcBorders>
                    <w:tl2br w:val="nil"/>
                    <w:tr2bl w:val="nil"/>
                  </w:tcBorders>
                  <w:noWrap w:val="0"/>
                  <w:vAlign w:val="center"/>
                </w:tcPr>
                <w:p w14:paraId="55AAC013">
                  <w:pPr>
                    <w:spacing w:line="240" w:lineRule="auto"/>
                    <w:ind w:firstLine="0" w:firstLineChars="0"/>
                    <w:jc w:val="center"/>
                    <w:rPr>
                      <w:rFonts w:hint="default" w:ascii="Times New Roman" w:hAnsi="Times New Roman" w:cs="Times New Roman"/>
                      <w:b/>
                      <w:bCs/>
                      <w:color w:val="auto"/>
                      <w:kern w:val="0"/>
                      <w:sz w:val="21"/>
                      <w:szCs w:val="21"/>
                      <w:highlight w:val="none"/>
                      <w:lang w:val="zh-CN"/>
                    </w:rPr>
                  </w:pPr>
                  <w:r>
                    <w:rPr>
                      <w:rFonts w:hint="default" w:ascii="Times New Roman" w:hAnsi="Times New Roman" w:cs="Times New Roman"/>
                      <w:b/>
                      <w:bCs/>
                      <w:color w:val="auto"/>
                      <w:kern w:val="0"/>
                      <w:sz w:val="21"/>
                      <w:szCs w:val="21"/>
                      <w:highlight w:val="none"/>
                      <w:lang w:val="zh-CN"/>
                    </w:rPr>
                    <w:t>污染因子</w:t>
                  </w:r>
                </w:p>
              </w:tc>
              <w:tc>
                <w:tcPr>
                  <w:tcW w:w="560" w:type="pct"/>
                  <w:tcBorders>
                    <w:tl2br w:val="nil"/>
                    <w:tr2bl w:val="nil"/>
                  </w:tcBorders>
                  <w:noWrap w:val="0"/>
                  <w:vAlign w:val="center"/>
                </w:tcPr>
                <w:p w14:paraId="627EE413">
                  <w:pPr>
                    <w:spacing w:line="240" w:lineRule="auto"/>
                    <w:ind w:firstLine="0" w:firstLineChars="0"/>
                    <w:jc w:val="center"/>
                    <w:rPr>
                      <w:rFonts w:hint="default" w:ascii="Times New Roman" w:hAnsi="Times New Roman" w:cs="Times New Roman"/>
                      <w:b/>
                      <w:bCs/>
                      <w:color w:val="auto"/>
                      <w:kern w:val="0"/>
                      <w:sz w:val="21"/>
                      <w:szCs w:val="21"/>
                      <w:highlight w:val="none"/>
                      <w:lang w:val="zh-CN"/>
                    </w:rPr>
                  </w:pPr>
                  <w:r>
                    <w:rPr>
                      <w:rFonts w:hint="default" w:ascii="Times New Roman" w:hAnsi="Times New Roman" w:cs="Times New Roman"/>
                      <w:b/>
                      <w:bCs/>
                      <w:color w:val="auto"/>
                      <w:kern w:val="0"/>
                      <w:sz w:val="21"/>
                      <w:szCs w:val="21"/>
                      <w:highlight w:val="none"/>
                      <w:lang w:val="zh-CN"/>
                    </w:rPr>
                    <w:t>排放量（</w:t>
                  </w:r>
                  <w:r>
                    <w:rPr>
                      <w:rFonts w:hint="default" w:ascii="Times New Roman" w:hAnsi="Times New Roman" w:cs="Times New Roman"/>
                      <w:b/>
                      <w:bCs/>
                      <w:color w:val="auto"/>
                      <w:kern w:val="0"/>
                      <w:sz w:val="21"/>
                      <w:szCs w:val="21"/>
                      <w:highlight w:val="none"/>
                    </w:rPr>
                    <w:t>t/a</w:t>
                  </w:r>
                  <w:r>
                    <w:rPr>
                      <w:rFonts w:hint="default" w:ascii="Times New Roman" w:hAnsi="Times New Roman" w:cs="Times New Roman"/>
                      <w:b/>
                      <w:bCs/>
                      <w:color w:val="auto"/>
                      <w:kern w:val="0"/>
                      <w:sz w:val="21"/>
                      <w:szCs w:val="21"/>
                      <w:highlight w:val="none"/>
                      <w:lang w:val="zh-CN"/>
                    </w:rPr>
                    <w:t>）</w:t>
                  </w:r>
                </w:p>
              </w:tc>
              <w:tc>
                <w:tcPr>
                  <w:tcW w:w="659" w:type="pct"/>
                  <w:tcBorders>
                    <w:tl2br w:val="nil"/>
                    <w:tr2bl w:val="nil"/>
                  </w:tcBorders>
                  <w:noWrap w:val="0"/>
                  <w:vAlign w:val="center"/>
                </w:tcPr>
                <w:p w14:paraId="31E40E36">
                  <w:pPr>
                    <w:spacing w:line="240" w:lineRule="auto"/>
                    <w:ind w:firstLine="0" w:firstLineChars="0"/>
                    <w:jc w:val="center"/>
                    <w:rPr>
                      <w:rFonts w:hint="default" w:ascii="Times New Roman" w:hAnsi="Times New Roman" w:cs="Times New Roman"/>
                      <w:b/>
                      <w:bCs/>
                      <w:color w:val="auto"/>
                      <w:kern w:val="0"/>
                      <w:sz w:val="21"/>
                      <w:szCs w:val="21"/>
                      <w:highlight w:val="none"/>
                      <w:lang w:val="zh-CN"/>
                    </w:rPr>
                  </w:pPr>
                  <w:r>
                    <w:rPr>
                      <w:rFonts w:hint="default" w:ascii="Times New Roman" w:hAnsi="Times New Roman" w:cs="Times New Roman"/>
                      <w:b/>
                      <w:bCs/>
                      <w:color w:val="auto"/>
                      <w:kern w:val="0"/>
                      <w:sz w:val="21"/>
                      <w:szCs w:val="21"/>
                      <w:highlight w:val="none"/>
                      <w:lang w:val="zh-CN"/>
                    </w:rPr>
                    <w:t>排放</w:t>
                  </w:r>
                </w:p>
                <w:p w14:paraId="3E0E7987">
                  <w:pPr>
                    <w:spacing w:line="240" w:lineRule="auto"/>
                    <w:ind w:firstLine="0" w:firstLineChars="0"/>
                    <w:jc w:val="center"/>
                    <w:rPr>
                      <w:rFonts w:hint="default" w:ascii="Times New Roman" w:hAnsi="Times New Roman" w:cs="Times New Roman"/>
                      <w:b/>
                      <w:bCs/>
                      <w:color w:val="auto"/>
                      <w:kern w:val="0"/>
                      <w:sz w:val="21"/>
                      <w:szCs w:val="21"/>
                      <w:highlight w:val="none"/>
                      <w:lang w:val="zh-CN"/>
                    </w:rPr>
                  </w:pPr>
                  <w:r>
                    <w:rPr>
                      <w:rFonts w:hint="default" w:ascii="Times New Roman" w:hAnsi="Times New Roman" w:cs="Times New Roman"/>
                      <w:b/>
                      <w:bCs/>
                      <w:color w:val="auto"/>
                      <w:kern w:val="0"/>
                      <w:sz w:val="21"/>
                      <w:szCs w:val="21"/>
                      <w:highlight w:val="none"/>
                      <w:lang w:val="zh-CN"/>
                    </w:rPr>
                    <w:t>速率</w:t>
                  </w:r>
                </w:p>
                <w:p w14:paraId="280390C9">
                  <w:pPr>
                    <w:spacing w:line="240" w:lineRule="auto"/>
                    <w:ind w:firstLine="0" w:firstLineChars="0"/>
                    <w:jc w:val="center"/>
                    <w:rPr>
                      <w:rFonts w:hint="default" w:ascii="Times New Roman" w:hAnsi="Times New Roman" w:cs="Times New Roman"/>
                      <w:b/>
                      <w:bCs/>
                      <w:color w:val="auto"/>
                      <w:kern w:val="0"/>
                      <w:sz w:val="21"/>
                      <w:szCs w:val="21"/>
                      <w:highlight w:val="none"/>
                      <w:lang w:val="zh-CN"/>
                    </w:rPr>
                  </w:pPr>
                  <w:r>
                    <w:rPr>
                      <w:rFonts w:hint="eastAsia" w:cs="Times New Roman"/>
                      <w:b/>
                      <w:bCs/>
                      <w:color w:val="auto"/>
                      <w:kern w:val="0"/>
                      <w:sz w:val="21"/>
                      <w:szCs w:val="21"/>
                      <w:highlight w:val="none"/>
                      <w:lang w:eastAsia="zh-CN"/>
                    </w:rPr>
                    <w:t>(</w:t>
                  </w:r>
                  <w:r>
                    <w:rPr>
                      <w:rFonts w:hint="default" w:ascii="Times New Roman" w:hAnsi="Times New Roman" w:cs="Times New Roman"/>
                      <w:b/>
                      <w:bCs/>
                      <w:color w:val="auto"/>
                      <w:kern w:val="0"/>
                      <w:sz w:val="21"/>
                      <w:szCs w:val="21"/>
                      <w:highlight w:val="none"/>
                    </w:rPr>
                    <w:t>kg/h</w:t>
                  </w:r>
                  <w:r>
                    <w:rPr>
                      <w:rFonts w:hint="eastAsia" w:cs="Times New Roman"/>
                      <w:b/>
                      <w:bCs/>
                      <w:color w:val="auto"/>
                      <w:kern w:val="0"/>
                      <w:sz w:val="21"/>
                      <w:szCs w:val="21"/>
                      <w:highlight w:val="none"/>
                      <w:lang w:eastAsia="zh-CN"/>
                    </w:rPr>
                    <w:t>)</w:t>
                  </w:r>
                </w:p>
              </w:tc>
              <w:tc>
                <w:tcPr>
                  <w:tcW w:w="709" w:type="pct"/>
                  <w:tcBorders>
                    <w:tl2br w:val="nil"/>
                    <w:tr2bl w:val="nil"/>
                  </w:tcBorders>
                  <w:noWrap w:val="0"/>
                  <w:vAlign w:val="center"/>
                </w:tcPr>
                <w:p w14:paraId="6D2DDBF0">
                  <w:pPr>
                    <w:spacing w:line="240" w:lineRule="auto"/>
                    <w:ind w:firstLine="0" w:firstLineChars="0"/>
                    <w:jc w:val="center"/>
                    <w:rPr>
                      <w:rFonts w:hint="default" w:ascii="Times New Roman" w:hAnsi="Times New Roman" w:cs="Times New Roman"/>
                      <w:b/>
                      <w:bCs/>
                      <w:color w:val="auto"/>
                      <w:kern w:val="0"/>
                      <w:sz w:val="21"/>
                      <w:szCs w:val="21"/>
                      <w:highlight w:val="none"/>
                      <w:lang w:val="zh-CN"/>
                    </w:rPr>
                  </w:pPr>
                  <w:r>
                    <w:rPr>
                      <w:rFonts w:hint="default" w:ascii="Times New Roman" w:hAnsi="Times New Roman" w:cs="Times New Roman"/>
                      <w:b/>
                      <w:bCs/>
                      <w:color w:val="auto"/>
                      <w:kern w:val="0"/>
                      <w:sz w:val="21"/>
                      <w:szCs w:val="21"/>
                      <w:highlight w:val="none"/>
                      <w:lang w:val="zh-CN"/>
                    </w:rPr>
                    <w:t>排放浓度（</w:t>
                  </w:r>
                  <w:r>
                    <w:rPr>
                      <w:rFonts w:hint="default" w:ascii="Times New Roman" w:hAnsi="Times New Roman" w:cs="Times New Roman"/>
                      <w:b/>
                      <w:bCs/>
                      <w:color w:val="auto"/>
                      <w:kern w:val="0"/>
                      <w:sz w:val="21"/>
                      <w:szCs w:val="21"/>
                      <w:highlight w:val="none"/>
                    </w:rPr>
                    <w:t>mg/m</w:t>
                  </w:r>
                  <w:r>
                    <w:rPr>
                      <w:rFonts w:hint="default" w:ascii="Times New Roman" w:hAnsi="Times New Roman" w:cs="Times New Roman"/>
                      <w:b/>
                      <w:bCs/>
                      <w:color w:val="auto"/>
                      <w:kern w:val="0"/>
                      <w:sz w:val="21"/>
                      <w:szCs w:val="21"/>
                      <w:highlight w:val="none"/>
                      <w:vertAlign w:val="superscript"/>
                    </w:rPr>
                    <w:t>3</w:t>
                  </w:r>
                  <w:r>
                    <w:rPr>
                      <w:rFonts w:hint="default" w:ascii="Times New Roman" w:hAnsi="Times New Roman" w:cs="Times New Roman"/>
                      <w:b/>
                      <w:bCs/>
                      <w:color w:val="auto"/>
                      <w:kern w:val="0"/>
                      <w:sz w:val="21"/>
                      <w:szCs w:val="21"/>
                      <w:highlight w:val="none"/>
                      <w:lang w:val="zh-CN"/>
                    </w:rPr>
                    <w:t>）</w:t>
                  </w:r>
                </w:p>
              </w:tc>
              <w:tc>
                <w:tcPr>
                  <w:tcW w:w="385" w:type="pct"/>
                  <w:tcBorders>
                    <w:tl2br w:val="nil"/>
                    <w:tr2bl w:val="nil"/>
                  </w:tcBorders>
                  <w:noWrap w:val="0"/>
                  <w:vAlign w:val="center"/>
                </w:tcPr>
                <w:p w14:paraId="2A8D6DCB">
                  <w:pPr>
                    <w:spacing w:line="240" w:lineRule="auto"/>
                    <w:ind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cs="Times New Roman"/>
                      <w:b/>
                      <w:bCs/>
                      <w:color w:val="auto"/>
                      <w:kern w:val="0"/>
                      <w:sz w:val="21"/>
                      <w:szCs w:val="21"/>
                      <w:highlight w:val="none"/>
                      <w:lang w:val="en-US" w:eastAsia="zh-CN"/>
                    </w:rPr>
                    <w:t>年发生频次</w:t>
                  </w:r>
                </w:p>
              </w:tc>
              <w:tc>
                <w:tcPr>
                  <w:tcW w:w="482" w:type="pct"/>
                  <w:tcBorders>
                    <w:tl2br w:val="nil"/>
                    <w:tr2bl w:val="nil"/>
                  </w:tcBorders>
                  <w:noWrap w:val="0"/>
                  <w:vAlign w:val="center"/>
                </w:tcPr>
                <w:p w14:paraId="73BD8D37">
                  <w:pPr>
                    <w:spacing w:line="240" w:lineRule="auto"/>
                    <w:ind w:firstLine="0" w:firstLineChars="0"/>
                    <w:jc w:val="center"/>
                    <w:rPr>
                      <w:rFonts w:hint="default" w:ascii="Times New Roman" w:hAnsi="Times New Roman" w:cs="Times New Roman"/>
                      <w:b/>
                      <w:bCs/>
                      <w:color w:val="auto"/>
                      <w:kern w:val="0"/>
                      <w:sz w:val="21"/>
                      <w:szCs w:val="21"/>
                      <w:highlight w:val="none"/>
                      <w:lang w:val="en-US" w:eastAsia="zh-CN"/>
                    </w:rPr>
                  </w:pPr>
                  <w:r>
                    <w:rPr>
                      <w:rFonts w:hint="default" w:ascii="Times New Roman" w:hAnsi="Times New Roman" w:cs="Times New Roman"/>
                      <w:b/>
                      <w:bCs/>
                      <w:color w:val="auto"/>
                      <w:kern w:val="0"/>
                      <w:sz w:val="21"/>
                      <w:szCs w:val="21"/>
                      <w:highlight w:val="none"/>
                      <w:lang w:val="en-US" w:eastAsia="zh-CN"/>
                    </w:rPr>
                    <w:t>单次持续时间/h</w:t>
                  </w:r>
                </w:p>
              </w:tc>
              <w:tc>
                <w:tcPr>
                  <w:tcW w:w="555" w:type="pct"/>
                  <w:tcBorders>
                    <w:tl2br w:val="nil"/>
                    <w:tr2bl w:val="nil"/>
                  </w:tcBorders>
                  <w:noWrap w:val="0"/>
                  <w:vAlign w:val="center"/>
                </w:tcPr>
                <w:p w14:paraId="7E2A9012">
                  <w:pPr>
                    <w:spacing w:line="240" w:lineRule="auto"/>
                    <w:ind w:firstLine="0" w:firstLineChars="0"/>
                    <w:jc w:val="center"/>
                    <w:rPr>
                      <w:rFonts w:hint="default" w:ascii="Times New Roman" w:hAnsi="Times New Roman" w:cs="Times New Roman"/>
                      <w:b/>
                      <w:bCs/>
                      <w:color w:val="auto"/>
                      <w:kern w:val="0"/>
                      <w:sz w:val="21"/>
                      <w:szCs w:val="21"/>
                      <w:highlight w:val="none"/>
                      <w:lang w:val="en-US" w:eastAsia="zh-CN"/>
                    </w:rPr>
                  </w:pPr>
                  <w:r>
                    <w:rPr>
                      <w:rFonts w:hint="default" w:ascii="Times New Roman" w:hAnsi="Times New Roman" w:cs="Times New Roman"/>
                      <w:b/>
                      <w:bCs/>
                      <w:color w:val="auto"/>
                      <w:kern w:val="0"/>
                      <w:sz w:val="21"/>
                      <w:szCs w:val="21"/>
                      <w:highlight w:val="none"/>
                      <w:lang w:val="en-US" w:eastAsia="zh-CN"/>
                    </w:rPr>
                    <w:t>措施</w:t>
                  </w:r>
                </w:p>
              </w:tc>
            </w:tr>
            <w:tr w14:paraId="4C37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545" w:type="pct"/>
                  <w:tcBorders>
                    <w:tl2br w:val="nil"/>
                    <w:tr2bl w:val="nil"/>
                  </w:tcBorders>
                  <w:shd w:val="clear" w:color="auto" w:fill="auto"/>
                  <w:noWrap w:val="0"/>
                  <w:vAlign w:val="center"/>
                </w:tcPr>
                <w:p w14:paraId="6E08BFA1">
                  <w:pPr>
                    <w:widowControl/>
                    <w:adjustRightInd w:val="0"/>
                    <w:snapToGrid w:val="0"/>
                    <w:jc w:val="center"/>
                    <w:textAlignment w:val="center"/>
                    <w:rPr>
                      <w:rFonts w:hint="eastAsia" w:ascii="Times New Roman" w:hAnsi="Times New Roman" w:eastAsia="宋体" w:cs="Times New Roman"/>
                      <w:color w:val="auto"/>
                      <w:kern w:val="0"/>
                      <w:sz w:val="21"/>
                      <w:szCs w:val="21"/>
                      <w:highlight w:val="none"/>
                      <w:lang w:val="en-US" w:eastAsia="zh-CN" w:bidi="en-US"/>
                    </w:rPr>
                  </w:pPr>
                  <w:r>
                    <w:rPr>
                      <w:rFonts w:hint="eastAsia" w:cs="宋体"/>
                      <w:snapToGrid w:val="0"/>
                      <w:color w:val="auto"/>
                      <w:kern w:val="0"/>
                      <w:szCs w:val="21"/>
                      <w:shd w:val="clear" w:color="auto" w:fill="auto"/>
                      <w:lang w:val="en-US" w:eastAsia="zh-CN"/>
                    </w:rPr>
                    <w:t>DA001排气筒</w:t>
                  </w:r>
                </w:p>
              </w:tc>
              <w:tc>
                <w:tcPr>
                  <w:tcW w:w="590" w:type="pct"/>
                  <w:tcBorders>
                    <w:tl2br w:val="nil"/>
                    <w:tr2bl w:val="nil"/>
                  </w:tcBorders>
                  <w:shd w:val="clear" w:color="auto" w:fill="auto"/>
                  <w:noWrap w:val="0"/>
                  <w:vAlign w:val="center"/>
                </w:tcPr>
                <w:p w14:paraId="38812B52">
                  <w:pPr>
                    <w:spacing w:line="240" w:lineRule="auto"/>
                    <w:jc w:val="center"/>
                    <w:rPr>
                      <w:rFonts w:hint="default"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2000</w:t>
                  </w:r>
                </w:p>
              </w:tc>
              <w:tc>
                <w:tcPr>
                  <w:tcW w:w="512" w:type="pct"/>
                  <w:tcBorders>
                    <w:tl2br w:val="nil"/>
                    <w:tr2bl w:val="nil"/>
                  </w:tcBorders>
                  <w:shd w:val="clear" w:color="auto" w:fill="auto"/>
                  <w:noWrap w:val="0"/>
                  <w:vAlign w:val="center"/>
                </w:tcPr>
                <w:p w14:paraId="744D7139">
                  <w:pPr>
                    <w:widowControl/>
                    <w:adjustRightInd w:val="0"/>
                    <w:snapToGrid w:val="0"/>
                    <w:jc w:val="center"/>
                    <w:textAlignment w:val="center"/>
                    <w:rPr>
                      <w:rFonts w:hint="eastAsia" w:cs="宋体"/>
                      <w:snapToGrid w:val="0"/>
                      <w:color w:val="auto"/>
                      <w:kern w:val="0"/>
                      <w:szCs w:val="21"/>
                      <w:shd w:val="clear" w:color="auto" w:fill="auto"/>
                      <w:lang w:val="en-US" w:eastAsia="zh-CN"/>
                    </w:rPr>
                  </w:pPr>
                  <w:r>
                    <w:rPr>
                      <w:rFonts w:hint="eastAsia" w:cs="宋体"/>
                      <w:snapToGrid w:val="0"/>
                      <w:color w:val="auto"/>
                      <w:kern w:val="0"/>
                      <w:szCs w:val="21"/>
                      <w:shd w:val="clear" w:color="auto" w:fill="auto"/>
                      <w:lang w:val="en-US" w:eastAsia="zh-CN"/>
                    </w:rPr>
                    <w:t>颗粒物</w:t>
                  </w:r>
                </w:p>
              </w:tc>
              <w:tc>
                <w:tcPr>
                  <w:tcW w:w="560" w:type="pct"/>
                  <w:tcBorders>
                    <w:tl2br w:val="nil"/>
                    <w:tr2bl w:val="nil"/>
                  </w:tcBorders>
                  <w:shd w:val="clear" w:color="auto" w:fill="auto"/>
                  <w:noWrap w:val="0"/>
                  <w:vAlign w:val="center"/>
                </w:tcPr>
                <w:p w14:paraId="309CDCD0">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3.24</w:t>
                  </w:r>
                </w:p>
              </w:tc>
              <w:tc>
                <w:tcPr>
                  <w:tcW w:w="659" w:type="pct"/>
                  <w:tcBorders>
                    <w:tl2br w:val="nil"/>
                    <w:tr2bl w:val="nil"/>
                  </w:tcBorders>
                  <w:shd w:val="clear" w:color="auto" w:fill="auto"/>
                  <w:noWrap w:val="0"/>
                  <w:vAlign w:val="center"/>
                </w:tcPr>
                <w:p w14:paraId="168BE911">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1.35</w:t>
                  </w:r>
                </w:p>
              </w:tc>
              <w:tc>
                <w:tcPr>
                  <w:tcW w:w="709" w:type="pct"/>
                  <w:tcBorders>
                    <w:tl2br w:val="nil"/>
                    <w:tr2bl w:val="nil"/>
                  </w:tcBorders>
                  <w:shd w:val="clear" w:color="auto" w:fill="auto"/>
                  <w:noWrap w:val="0"/>
                  <w:vAlign w:val="center"/>
                </w:tcPr>
                <w:p w14:paraId="1D2929B8">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675</w:t>
                  </w:r>
                </w:p>
              </w:tc>
              <w:tc>
                <w:tcPr>
                  <w:tcW w:w="385" w:type="pct"/>
                  <w:vMerge w:val="restart"/>
                  <w:tcBorders>
                    <w:tl2br w:val="nil"/>
                    <w:tr2bl w:val="nil"/>
                  </w:tcBorders>
                  <w:noWrap w:val="0"/>
                  <w:vAlign w:val="center"/>
                </w:tcPr>
                <w:p w14:paraId="67C96BD6">
                  <w:pPr>
                    <w:widowControl/>
                    <w:spacing w:line="240" w:lineRule="auto"/>
                    <w:ind w:firstLine="0" w:firstLineChars="0"/>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1次/年</w:t>
                  </w:r>
                </w:p>
              </w:tc>
              <w:tc>
                <w:tcPr>
                  <w:tcW w:w="482" w:type="pct"/>
                  <w:vMerge w:val="restart"/>
                  <w:tcBorders>
                    <w:tl2br w:val="nil"/>
                    <w:tr2bl w:val="nil"/>
                  </w:tcBorders>
                  <w:noWrap w:val="0"/>
                  <w:vAlign w:val="center"/>
                </w:tcPr>
                <w:p w14:paraId="4406DDD3">
                  <w:pPr>
                    <w:widowControl/>
                    <w:spacing w:line="240" w:lineRule="auto"/>
                    <w:ind w:firstLine="0" w:firstLineChars="0"/>
                    <w:jc w:val="center"/>
                    <w:textAlignment w:val="center"/>
                    <w:rPr>
                      <w:rFonts w:hint="default" w:ascii="Times New Roman" w:hAnsi="Times New Roman"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0.5</w:t>
                  </w:r>
                </w:p>
              </w:tc>
              <w:tc>
                <w:tcPr>
                  <w:tcW w:w="555" w:type="pct"/>
                  <w:vMerge w:val="restart"/>
                  <w:tcBorders>
                    <w:tl2br w:val="nil"/>
                    <w:tr2bl w:val="nil"/>
                  </w:tcBorders>
                  <w:noWrap w:val="0"/>
                  <w:vAlign w:val="center"/>
                </w:tcPr>
                <w:p w14:paraId="4A857579">
                  <w:pPr>
                    <w:widowControl/>
                    <w:spacing w:line="240" w:lineRule="auto"/>
                    <w:ind w:firstLine="0" w:firstLineChars="0"/>
                    <w:jc w:val="center"/>
                    <w:textAlignment w:val="center"/>
                    <w:rPr>
                      <w:rFonts w:hint="default" w:ascii="Times New Roman" w:hAnsi="Times New Roman"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停止生产，立即维修</w:t>
                  </w:r>
                </w:p>
              </w:tc>
            </w:tr>
            <w:tr w14:paraId="64CA5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545" w:type="pct"/>
                  <w:vMerge w:val="restart"/>
                  <w:tcBorders>
                    <w:tl2br w:val="nil"/>
                    <w:tr2bl w:val="nil"/>
                  </w:tcBorders>
                  <w:shd w:val="clear" w:color="auto" w:fill="auto"/>
                  <w:noWrap w:val="0"/>
                  <w:vAlign w:val="center"/>
                </w:tcPr>
                <w:p w14:paraId="06EF0DA4">
                  <w:pPr>
                    <w:widowControl/>
                    <w:adjustRightInd w:val="0"/>
                    <w:snapToGrid w:val="0"/>
                    <w:jc w:val="center"/>
                    <w:textAlignment w:val="center"/>
                    <w:rPr>
                      <w:rFonts w:hint="default" w:ascii="Times New Roman" w:hAnsi="Times New Roman" w:eastAsia="宋体" w:cs="宋体"/>
                      <w:snapToGrid w:val="0"/>
                      <w:color w:val="auto"/>
                      <w:kern w:val="0"/>
                      <w:sz w:val="21"/>
                      <w:szCs w:val="21"/>
                      <w:shd w:val="clear" w:color="auto" w:fill="auto"/>
                      <w:lang w:val="en-US" w:eastAsia="zh-CN" w:bidi="ar-SA"/>
                    </w:rPr>
                  </w:pPr>
                  <w:r>
                    <w:rPr>
                      <w:rFonts w:hint="eastAsia" w:cs="宋体"/>
                      <w:snapToGrid w:val="0"/>
                      <w:color w:val="auto"/>
                      <w:kern w:val="0"/>
                      <w:szCs w:val="21"/>
                      <w:shd w:val="clear" w:color="auto" w:fill="auto"/>
                      <w:lang w:val="en-US" w:eastAsia="zh-CN"/>
                    </w:rPr>
                    <w:t>DA002排气筒</w:t>
                  </w:r>
                </w:p>
                <w:p w14:paraId="30002527">
                  <w:pPr>
                    <w:adjustRightInd w:val="0"/>
                    <w:snapToGrid w:val="0"/>
                    <w:spacing w:line="240" w:lineRule="auto"/>
                    <w:jc w:val="center"/>
                    <w:rPr>
                      <w:rFonts w:hint="eastAsia" w:ascii="Times New Roman" w:hAnsi="Times New Roman" w:eastAsia="宋体" w:cs="Times New Roman"/>
                      <w:color w:val="auto"/>
                      <w:kern w:val="0"/>
                      <w:sz w:val="21"/>
                      <w:szCs w:val="21"/>
                      <w:highlight w:val="none"/>
                      <w:lang w:val="en-US" w:eastAsia="zh-CN" w:bidi="en-US"/>
                    </w:rPr>
                  </w:pPr>
                </w:p>
              </w:tc>
              <w:tc>
                <w:tcPr>
                  <w:tcW w:w="590" w:type="pct"/>
                  <w:vMerge w:val="restart"/>
                  <w:tcBorders>
                    <w:tl2br w:val="nil"/>
                    <w:tr2bl w:val="nil"/>
                  </w:tcBorders>
                  <w:shd w:val="clear" w:color="auto" w:fill="auto"/>
                  <w:noWrap w:val="0"/>
                  <w:vAlign w:val="center"/>
                </w:tcPr>
                <w:p w14:paraId="52ABA9AC">
                  <w:pPr>
                    <w:spacing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14392</w:t>
                  </w:r>
                </w:p>
              </w:tc>
              <w:tc>
                <w:tcPr>
                  <w:tcW w:w="512" w:type="pct"/>
                  <w:tcBorders>
                    <w:tl2br w:val="nil"/>
                    <w:tr2bl w:val="nil"/>
                  </w:tcBorders>
                  <w:shd w:val="clear" w:color="auto" w:fill="auto"/>
                  <w:noWrap w:val="0"/>
                  <w:vAlign w:val="center"/>
                </w:tcPr>
                <w:p w14:paraId="1427A4FF">
                  <w:pPr>
                    <w:widowControl/>
                    <w:adjustRightInd w:val="0"/>
                    <w:snapToGrid w:val="0"/>
                    <w:jc w:val="center"/>
                    <w:textAlignment w:val="center"/>
                    <w:rPr>
                      <w:rFonts w:hint="eastAsia" w:ascii="Times New Roman" w:hAnsi="Times New Roman" w:eastAsia="宋体" w:cs="宋体"/>
                      <w:snapToGrid w:val="0"/>
                      <w:color w:val="auto"/>
                      <w:kern w:val="0"/>
                      <w:sz w:val="21"/>
                      <w:szCs w:val="21"/>
                      <w:shd w:val="clear" w:color="auto" w:fill="auto"/>
                      <w:lang w:val="en-US" w:eastAsia="zh-CN" w:bidi="ar-SA"/>
                    </w:rPr>
                  </w:pPr>
                  <w:r>
                    <w:rPr>
                      <w:rFonts w:hint="eastAsia" w:cs="宋体"/>
                      <w:snapToGrid w:val="0"/>
                      <w:color w:val="auto"/>
                      <w:kern w:val="0"/>
                      <w:szCs w:val="21"/>
                      <w:shd w:val="clear" w:color="auto" w:fill="auto"/>
                      <w:lang w:val="en-US" w:eastAsia="zh-CN"/>
                    </w:rPr>
                    <w:t>非甲烷总烃</w:t>
                  </w:r>
                </w:p>
              </w:tc>
              <w:tc>
                <w:tcPr>
                  <w:tcW w:w="560" w:type="pct"/>
                  <w:tcBorders>
                    <w:tl2br w:val="nil"/>
                    <w:tr2bl w:val="nil"/>
                  </w:tcBorders>
                  <w:shd w:val="clear" w:color="auto" w:fill="auto"/>
                  <w:noWrap w:val="0"/>
                  <w:vAlign w:val="center"/>
                </w:tcPr>
                <w:p w14:paraId="7B13C810">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3.37</w:t>
                  </w:r>
                </w:p>
              </w:tc>
              <w:tc>
                <w:tcPr>
                  <w:tcW w:w="659" w:type="pct"/>
                  <w:tcBorders>
                    <w:tl2br w:val="nil"/>
                    <w:tr2bl w:val="nil"/>
                  </w:tcBorders>
                  <w:shd w:val="clear" w:color="auto" w:fill="auto"/>
                  <w:noWrap w:val="0"/>
                  <w:vAlign w:val="center"/>
                </w:tcPr>
                <w:p w14:paraId="66EDFD9A">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1.4</w:t>
                  </w:r>
                </w:p>
              </w:tc>
              <w:tc>
                <w:tcPr>
                  <w:tcW w:w="709" w:type="pct"/>
                  <w:tcBorders>
                    <w:tl2br w:val="nil"/>
                    <w:tr2bl w:val="nil"/>
                  </w:tcBorders>
                  <w:shd w:val="clear" w:color="auto" w:fill="auto"/>
                  <w:noWrap w:val="0"/>
                  <w:vAlign w:val="center"/>
                </w:tcPr>
                <w:p w14:paraId="36439839">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97.28</w:t>
                  </w:r>
                </w:p>
              </w:tc>
              <w:tc>
                <w:tcPr>
                  <w:tcW w:w="385" w:type="pct"/>
                  <w:vMerge w:val="continue"/>
                  <w:tcBorders>
                    <w:tl2br w:val="nil"/>
                    <w:tr2bl w:val="nil"/>
                  </w:tcBorders>
                  <w:noWrap w:val="0"/>
                  <w:vAlign w:val="center"/>
                </w:tcPr>
                <w:p w14:paraId="1203E23E">
                  <w:pPr>
                    <w:widowControl/>
                    <w:spacing w:line="240" w:lineRule="auto"/>
                    <w:ind w:firstLine="0" w:firstLineChars="0"/>
                    <w:jc w:val="center"/>
                    <w:textAlignment w:val="center"/>
                    <w:rPr>
                      <w:rFonts w:hint="default" w:ascii="Times New Roman" w:hAnsi="Times New Roman" w:cs="Times New Roman"/>
                      <w:color w:val="auto"/>
                      <w:kern w:val="0"/>
                      <w:sz w:val="21"/>
                      <w:szCs w:val="21"/>
                      <w:highlight w:val="none"/>
                      <w:lang w:bidi="ar"/>
                    </w:rPr>
                  </w:pPr>
                </w:p>
              </w:tc>
              <w:tc>
                <w:tcPr>
                  <w:tcW w:w="482" w:type="pct"/>
                  <w:vMerge w:val="continue"/>
                  <w:tcBorders>
                    <w:tl2br w:val="nil"/>
                    <w:tr2bl w:val="nil"/>
                  </w:tcBorders>
                  <w:noWrap w:val="0"/>
                  <w:vAlign w:val="center"/>
                </w:tcPr>
                <w:p w14:paraId="0A4F4339">
                  <w:pPr>
                    <w:widowControl/>
                    <w:spacing w:line="240" w:lineRule="auto"/>
                    <w:ind w:firstLine="0" w:firstLineChars="0"/>
                    <w:jc w:val="center"/>
                    <w:textAlignment w:val="center"/>
                    <w:rPr>
                      <w:rFonts w:hint="default" w:ascii="Times New Roman" w:hAnsi="Times New Roman" w:cs="Times New Roman"/>
                      <w:color w:val="auto"/>
                      <w:kern w:val="0"/>
                      <w:sz w:val="21"/>
                      <w:szCs w:val="21"/>
                      <w:highlight w:val="none"/>
                      <w:lang w:val="en-US" w:eastAsia="zh-CN" w:bidi="ar"/>
                    </w:rPr>
                  </w:pPr>
                </w:p>
              </w:tc>
              <w:tc>
                <w:tcPr>
                  <w:tcW w:w="555" w:type="pct"/>
                  <w:vMerge w:val="continue"/>
                  <w:tcBorders>
                    <w:tl2br w:val="nil"/>
                    <w:tr2bl w:val="nil"/>
                  </w:tcBorders>
                  <w:noWrap w:val="0"/>
                  <w:vAlign w:val="center"/>
                </w:tcPr>
                <w:p w14:paraId="486A1CC4">
                  <w:pPr>
                    <w:widowControl/>
                    <w:spacing w:line="240" w:lineRule="auto"/>
                    <w:ind w:firstLine="0" w:firstLineChars="0"/>
                    <w:jc w:val="center"/>
                    <w:textAlignment w:val="center"/>
                    <w:rPr>
                      <w:rFonts w:hint="default" w:ascii="Times New Roman" w:hAnsi="Times New Roman" w:cs="Times New Roman"/>
                      <w:color w:val="auto"/>
                      <w:kern w:val="0"/>
                      <w:sz w:val="21"/>
                      <w:szCs w:val="21"/>
                      <w:highlight w:val="none"/>
                      <w:lang w:val="en-US" w:eastAsia="zh-CN" w:bidi="ar"/>
                    </w:rPr>
                  </w:pPr>
                </w:p>
              </w:tc>
            </w:tr>
            <w:tr w14:paraId="0323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545" w:type="pct"/>
                  <w:vMerge w:val="continue"/>
                  <w:tcBorders>
                    <w:tl2br w:val="nil"/>
                    <w:tr2bl w:val="nil"/>
                  </w:tcBorders>
                  <w:shd w:val="clear" w:color="auto" w:fill="auto"/>
                  <w:noWrap w:val="0"/>
                  <w:vAlign w:val="center"/>
                </w:tcPr>
                <w:p w14:paraId="74CB7B06">
                  <w:pPr>
                    <w:adjustRightInd w:val="0"/>
                    <w:snapToGrid w:val="0"/>
                    <w:spacing w:line="240" w:lineRule="auto"/>
                    <w:jc w:val="center"/>
                    <w:rPr>
                      <w:rFonts w:hint="eastAsia" w:ascii="Times New Roman" w:hAnsi="Times New Roman" w:eastAsia="宋体" w:cs="Times New Roman"/>
                      <w:color w:val="auto"/>
                      <w:kern w:val="0"/>
                      <w:sz w:val="21"/>
                      <w:szCs w:val="21"/>
                      <w:highlight w:val="none"/>
                      <w:lang w:val="en-US" w:eastAsia="zh-CN" w:bidi="en-US"/>
                    </w:rPr>
                  </w:pPr>
                </w:p>
              </w:tc>
              <w:tc>
                <w:tcPr>
                  <w:tcW w:w="590" w:type="pct"/>
                  <w:vMerge w:val="continue"/>
                  <w:tcBorders>
                    <w:tl2br w:val="nil"/>
                    <w:tr2bl w:val="nil"/>
                  </w:tcBorders>
                  <w:shd w:val="clear" w:color="auto" w:fill="auto"/>
                  <w:noWrap w:val="0"/>
                  <w:vAlign w:val="center"/>
                </w:tcPr>
                <w:p w14:paraId="2FBCAB64">
                  <w:pPr>
                    <w:spacing w:line="240" w:lineRule="auto"/>
                    <w:jc w:val="center"/>
                    <w:rPr>
                      <w:rFonts w:hint="default" w:ascii="Times New Roman" w:hAnsi="Times New Roman" w:eastAsia="宋体" w:cs="Times New Roman"/>
                      <w:color w:val="auto"/>
                      <w:kern w:val="0"/>
                      <w:sz w:val="21"/>
                      <w:szCs w:val="21"/>
                      <w:highlight w:val="none"/>
                      <w:lang w:val="en-US" w:eastAsia="zh-CN" w:bidi="ar-SA"/>
                    </w:rPr>
                  </w:pPr>
                </w:p>
              </w:tc>
              <w:tc>
                <w:tcPr>
                  <w:tcW w:w="512" w:type="pct"/>
                  <w:tcBorders>
                    <w:tl2br w:val="nil"/>
                    <w:tr2bl w:val="nil"/>
                  </w:tcBorders>
                  <w:shd w:val="clear" w:color="auto" w:fill="auto"/>
                  <w:noWrap w:val="0"/>
                  <w:vAlign w:val="center"/>
                </w:tcPr>
                <w:p w14:paraId="16B6D819">
                  <w:pPr>
                    <w:widowControl/>
                    <w:adjustRightInd w:val="0"/>
                    <w:snapToGrid w:val="0"/>
                    <w:jc w:val="center"/>
                    <w:textAlignment w:val="center"/>
                    <w:rPr>
                      <w:rFonts w:hint="eastAsia" w:ascii="Times New Roman" w:hAnsi="Times New Roman" w:eastAsia="宋体" w:cs="宋体"/>
                      <w:snapToGrid w:val="0"/>
                      <w:color w:val="auto"/>
                      <w:kern w:val="0"/>
                      <w:sz w:val="21"/>
                      <w:szCs w:val="21"/>
                      <w:shd w:val="clear" w:color="auto" w:fill="auto"/>
                      <w:lang w:val="en-US" w:eastAsia="zh-CN" w:bidi="ar-SA"/>
                    </w:rPr>
                  </w:pPr>
                  <w:r>
                    <w:rPr>
                      <w:rFonts w:hint="eastAsia" w:cs="宋体"/>
                      <w:snapToGrid w:val="0"/>
                      <w:color w:val="auto"/>
                      <w:kern w:val="0"/>
                      <w:szCs w:val="21"/>
                      <w:shd w:val="clear" w:color="auto" w:fill="auto"/>
                      <w:lang w:val="en-US" w:eastAsia="zh-CN"/>
                    </w:rPr>
                    <w:t>颗粒物</w:t>
                  </w:r>
                </w:p>
              </w:tc>
              <w:tc>
                <w:tcPr>
                  <w:tcW w:w="560" w:type="pct"/>
                  <w:tcBorders>
                    <w:tl2br w:val="nil"/>
                    <w:tr2bl w:val="nil"/>
                  </w:tcBorders>
                  <w:shd w:val="clear" w:color="auto" w:fill="auto"/>
                  <w:noWrap w:val="0"/>
                  <w:vAlign w:val="center"/>
                </w:tcPr>
                <w:p w14:paraId="2ABBEC04">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15.892</w:t>
                  </w:r>
                </w:p>
              </w:tc>
              <w:tc>
                <w:tcPr>
                  <w:tcW w:w="659" w:type="pct"/>
                  <w:tcBorders>
                    <w:tl2br w:val="nil"/>
                    <w:tr2bl w:val="nil"/>
                  </w:tcBorders>
                  <w:shd w:val="clear" w:color="auto" w:fill="auto"/>
                  <w:noWrap w:val="0"/>
                  <w:vAlign w:val="center"/>
                </w:tcPr>
                <w:p w14:paraId="13BF8D5A">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6.62</w:t>
                  </w:r>
                </w:p>
              </w:tc>
              <w:tc>
                <w:tcPr>
                  <w:tcW w:w="709" w:type="pct"/>
                  <w:tcBorders>
                    <w:tl2br w:val="nil"/>
                    <w:tr2bl w:val="nil"/>
                  </w:tcBorders>
                  <w:shd w:val="clear" w:color="auto" w:fill="auto"/>
                  <w:noWrap w:val="0"/>
                  <w:vAlign w:val="center"/>
                </w:tcPr>
                <w:p w14:paraId="1FB2AB3F">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459.98</w:t>
                  </w:r>
                </w:p>
              </w:tc>
              <w:tc>
                <w:tcPr>
                  <w:tcW w:w="385" w:type="pct"/>
                  <w:vMerge w:val="continue"/>
                  <w:tcBorders>
                    <w:tl2br w:val="nil"/>
                    <w:tr2bl w:val="nil"/>
                  </w:tcBorders>
                  <w:noWrap w:val="0"/>
                  <w:vAlign w:val="center"/>
                </w:tcPr>
                <w:p w14:paraId="60D205BB">
                  <w:pPr>
                    <w:widowControl/>
                    <w:spacing w:line="240" w:lineRule="auto"/>
                    <w:ind w:firstLine="0" w:firstLineChars="0"/>
                    <w:jc w:val="center"/>
                    <w:textAlignment w:val="center"/>
                    <w:rPr>
                      <w:rFonts w:hint="default" w:ascii="Times New Roman" w:hAnsi="Times New Roman" w:cs="Times New Roman"/>
                      <w:color w:val="auto"/>
                      <w:kern w:val="0"/>
                      <w:sz w:val="21"/>
                      <w:szCs w:val="21"/>
                      <w:highlight w:val="none"/>
                      <w:lang w:bidi="ar"/>
                    </w:rPr>
                  </w:pPr>
                </w:p>
              </w:tc>
              <w:tc>
                <w:tcPr>
                  <w:tcW w:w="482" w:type="pct"/>
                  <w:vMerge w:val="continue"/>
                  <w:tcBorders>
                    <w:tl2br w:val="nil"/>
                    <w:tr2bl w:val="nil"/>
                  </w:tcBorders>
                  <w:noWrap w:val="0"/>
                  <w:vAlign w:val="center"/>
                </w:tcPr>
                <w:p w14:paraId="4187CA7B">
                  <w:pPr>
                    <w:widowControl/>
                    <w:spacing w:line="240" w:lineRule="auto"/>
                    <w:ind w:firstLine="0" w:firstLineChars="0"/>
                    <w:jc w:val="center"/>
                    <w:textAlignment w:val="center"/>
                    <w:rPr>
                      <w:rFonts w:hint="default" w:ascii="Times New Roman" w:hAnsi="Times New Roman" w:cs="Times New Roman"/>
                      <w:color w:val="auto"/>
                      <w:kern w:val="0"/>
                      <w:sz w:val="21"/>
                      <w:szCs w:val="21"/>
                      <w:highlight w:val="none"/>
                      <w:lang w:val="en-US" w:eastAsia="zh-CN" w:bidi="ar"/>
                    </w:rPr>
                  </w:pPr>
                </w:p>
              </w:tc>
              <w:tc>
                <w:tcPr>
                  <w:tcW w:w="555" w:type="pct"/>
                  <w:vMerge w:val="continue"/>
                  <w:tcBorders>
                    <w:tl2br w:val="nil"/>
                    <w:tr2bl w:val="nil"/>
                  </w:tcBorders>
                  <w:noWrap w:val="0"/>
                  <w:vAlign w:val="center"/>
                </w:tcPr>
                <w:p w14:paraId="2500AE31">
                  <w:pPr>
                    <w:widowControl/>
                    <w:spacing w:line="240" w:lineRule="auto"/>
                    <w:ind w:firstLine="0" w:firstLineChars="0"/>
                    <w:jc w:val="center"/>
                    <w:textAlignment w:val="center"/>
                    <w:rPr>
                      <w:rFonts w:hint="default" w:ascii="Times New Roman" w:hAnsi="Times New Roman" w:cs="Times New Roman"/>
                      <w:color w:val="auto"/>
                      <w:kern w:val="0"/>
                      <w:sz w:val="21"/>
                      <w:szCs w:val="21"/>
                      <w:highlight w:val="none"/>
                      <w:lang w:val="en-US" w:eastAsia="zh-CN" w:bidi="ar"/>
                    </w:rPr>
                  </w:pPr>
                </w:p>
              </w:tc>
            </w:tr>
            <w:tr w14:paraId="0A085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545" w:type="pct"/>
                  <w:vMerge w:val="continue"/>
                  <w:tcBorders>
                    <w:tl2br w:val="nil"/>
                    <w:tr2bl w:val="nil"/>
                  </w:tcBorders>
                  <w:shd w:val="clear" w:color="auto" w:fill="auto"/>
                  <w:noWrap w:val="0"/>
                  <w:vAlign w:val="center"/>
                </w:tcPr>
                <w:p w14:paraId="3137A0AD">
                  <w:pPr>
                    <w:adjustRightInd w:val="0"/>
                    <w:snapToGrid w:val="0"/>
                    <w:spacing w:line="240" w:lineRule="auto"/>
                    <w:jc w:val="center"/>
                    <w:rPr>
                      <w:rFonts w:hint="eastAsia"/>
                      <w:color w:val="auto"/>
                      <w:kern w:val="0"/>
                      <w:sz w:val="21"/>
                      <w:szCs w:val="21"/>
                      <w:highlight w:val="none"/>
                      <w:lang w:val="en-US" w:eastAsia="zh-CN" w:bidi="en-US"/>
                    </w:rPr>
                  </w:pPr>
                </w:p>
              </w:tc>
              <w:tc>
                <w:tcPr>
                  <w:tcW w:w="590" w:type="pct"/>
                  <w:vMerge w:val="continue"/>
                  <w:tcBorders>
                    <w:tl2br w:val="nil"/>
                    <w:tr2bl w:val="nil"/>
                  </w:tcBorders>
                  <w:shd w:val="clear" w:color="auto" w:fill="auto"/>
                  <w:noWrap w:val="0"/>
                  <w:vAlign w:val="center"/>
                </w:tcPr>
                <w:p w14:paraId="5F2E337D">
                  <w:pPr>
                    <w:spacing w:line="240" w:lineRule="auto"/>
                    <w:jc w:val="center"/>
                    <w:rPr>
                      <w:rFonts w:hint="eastAsia"/>
                      <w:color w:val="auto"/>
                      <w:kern w:val="0"/>
                      <w:sz w:val="21"/>
                      <w:szCs w:val="21"/>
                      <w:highlight w:val="none"/>
                      <w:lang w:val="en-US" w:eastAsia="zh-CN"/>
                    </w:rPr>
                  </w:pPr>
                </w:p>
              </w:tc>
              <w:tc>
                <w:tcPr>
                  <w:tcW w:w="512" w:type="pct"/>
                  <w:tcBorders>
                    <w:tl2br w:val="nil"/>
                    <w:tr2bl w:val="nil"/>
                  </w:tcBorders>
                  <w:shd w:val="clear" w:color="auto" w:fill="auto"/>
                  <w:noWrap w:val="0"/>
                  <w:vAlign w:val="center"/>
                </w:tcPr>
                <w:p w14:paraId="166B121C">
                  <w:pPr>
                    <w:widowControl/>
                    <w:adjustRightInd w:val="0"/>
                    <w:snapToGrid w:val="0"/>
                    <w:jc w:val="center"/>
                    <w:textAlignment w:val="center"/>
                    <w:rPr>
                      <w:rFonts w:hint="eastAsia" w:ascii="Times New Roman" w:hAnsi="Times New Roman" w:eastAsia="宋体" w:cs="宋体"/>
                      <w:snapToGrid w:val="0"/>
                      <w:color w:val="auto"/>
                      <w:kern w:val="0"/>
                      <w:sz w:val="21"/>
                      <w:szCs w:val="21"/>
                      <w:shd w:val="clear" w:color="auto" w:fill="auto"/>
                      <w:lang w:val="en-US" w:eastAsia="zh-CN" w:bidi="ar-SA"/>
                    </w:rPr>
                  </w:pPr>
                  <w:r>
                    <w:rPr>
                      <w:rFonts w:hint="eastAsia" w:cs="宋体"/>
                      <w:snapToGrid w:val="0"/>
                      <w:color w:val="auto"/>
                      <w:kern w:val="0"/>
                      <w:szCs w:val="21"/>
                      <w:shd w:val="clear" w:color="auto" w:fill="auto"/>
                      <w:lang w:val="en-US" w:eastAsia="zh-CN"/>
                    </w:rPr>
                    <w:t>二氧化硫</w:t>
                  </w:r>
                </w:p>
              </w:tc>
              <w:tc>
                <w:tcPr>
                  <w:tcW w:w="560" w:type="pct"/>
                  <w:tcBorders>
                    <w:tl2br w:val="nil"/>
                    <w:tr2bl w:val="nil"/>
                  </w:tcBorders>
                  <w:shd w:val="clear" w:color="auto" w:fill="auto"/>
                  <w:noWrap w:val="0"/>
                  <w:vAlign w:val="center"/>
                </w:tcPr>
                <w:p w14:paraId="15305DF9">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0.02</w:t>
                  </w:r>
                </w:p>
              </w:tc>
              <w:tc>
                <w:tcPr>
                  <w:tcW w:w="659" w:type="pct"/>
                  <w:tcBorders>
                    <w:tl2br w:val="nil"/>
                    <w:tr2bl w:val="nil"/>
                  </w:tcBorders>
                  <w:shd w:val="clear" w:color="auto" w:fill="auto"/>
                  <w:noWrap w:val="0"/>
                  <w:vAlign w:val="center"/>
                </w:tcPr>
                <w:p w14:paraId="07095627">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0.0083</w:t>
                  </w:r>
                </w:p>
              </w:tc>
              <w:tc>
                <w:tcPr>
                  <w:tcW w:w="709" w:type="pct"/>
                  <w:tcBorders>
                    <w:tl2br w:val="nil"/>
                    <w:tr2bl w:val="nil"/>
                  </w:tcBorders>
                  <w:shd w:val="clear" w:color="auto" w:fill="auto"/>
                  <w:noWrap w:val="0"/>
                  <w:vAlign w:val="center"/>
                </w:tcPr>
                <w:p w14:paraId="78538CD2">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0.58</w:t>
                  </w:r>
                </w:p>
              </w:tc>
              <w:tc>
                <w:tcPr>
                  <w:tcW w:w="385" w:type="pct"/>
                  <w:vMerge w:val="continue"/>
                  <w:tcBorders>
                    <w:tl2br w:val="nil"/>
                    <w:tr2bl w:val="nil"/>
                  </w:tcBorders>
                  <w:noWrap w:val="0"/>
                  <w:vAlign w:val="center"/>
                </w:tcPr>
                <w:p w14:paraId="152DEF18">
                  <w:pPr>
                    <w:widowControl/>
                    <w:spacing w:line="240" w:lineRule="auto"/>
                    <w:ind w:firstLine="0" w:firstLineChars="0"/>
                    <w:jc w:val="center"/>
                    <w:textAlignment w:val="center"/>
                    <w:rPr>
                      <w:rFonts w:hint="default" w:ascii="Times New Roman" w:hAnsi="Times New Roman" w:cs="Times New Roman"/>
                      <w:color w:val="auto"/>
                      <w:kern w:val="0"/>
                      <w:sz w:val="21"/>
                      <w:szCs w:val="21"/>
                      <w:highlight w:val="none"/>
                      <w:lang w:bidi="ar"/>
                    </w:rPr>
                  </w:pPr>
                </w:p>
              </w:tc>
              <w:tc>
                <w:tcPr>
                  <w:tcW w:w="482" w:type="pct"/>
                  <w:vMerge w:val="continue"/>
                  <w:tcBorders>
                    <w:tl2br w:val="nil"/>
                    <w:tr2bl w:val="nil"/>
                  </w:tcBorders>
                  <w:noWrap w:val="0"/>
                  <w:vAlign w:val="center"/>
                </w:tcPr>
                <w:p w14:paraId="002D867E">
                  <w:pPr>
                    <w:widowControl/>
                    <w:spacing w:line="240" w:lineRule="auto"/>
                    <w:ind w:firstLine="0" w:firstLineChars="0"/>
                    <w:jc w:val="center"/>
                    <w:textAlignment w:val="center"/>
                    <w:rPr>
                      <w:rFonts w:hint="default" w:ascii="Times New Roman" w:hAnsi="Times New Roman" w:cs="Times New Roman"/>
                      <w:color w:val="auto"/>
                      <w:kern w:val="0"/>
                      <w:sz w:val="21"/>
                      <w:szCs w:val="21"/>
                      <w:highlight w:val="none"/>
                      <w:lang w:val="en-US" w:eastAsia="zh-CN" w:bidi="ar"/>
                    </w:rPr>
                  </w:pPr>
                </w:p>
              </w:tc>
              <w:tc>
                <w:tcPr>
                  <w:tcW w:w="555" w:type="pct"/>
                  <w:vMerge w:val="continue"/>
                  <w:tcBorders>
                    <w:tl2br w:val="nil"/>
                    <w:tr2bl w:val="nil"/>
                  </w:tcBorders>
                  <w:noWrap w:val="0"/>
                  <w:vAlign w:val="center"/>
                </w:tcPr>
                <w:p w14:paraId="5FC55CDC">
                  <w:pPr>
                    <w:widowControl/>
                    <w:spacing w:line="240" w:lineRule="auto"/>
                    <w:ind w:firstLine="0" w:firstLineChars="0"/>
                    <w:jc w:val="center"/>
                    <w:textAlignment w:val="center"/>
                    <w:rPr>
                      <w:rFonts w:hint="default" w:ascii="Times New Roman" w:hAnsi="Times New Roman" w:cs="Times New Roman"/>
                      <w:color w:val="auto"/>
                      <w:kern w:val="0"/>
                      <w:sz w:val="21"/>
                      <w:szCs w:val="21"/>
                      <w:highlight w:val="none"/>
                      <w:lang w:val="en-US" w:eastAsia="zh-CN" w:bidi="ar"/>
                    </w:rPr>
                  </w:pPr>
                </w:p>
              </w:tc>
            </w:tr>
            <w:tr w14:paraId="28D9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5" w:type="pct"/>
                  <w:vMerge w:val="continue"/>
                  <w:tcBorders>
                    <w:tl2br w:val="nil"/>
                    <w:tr2bl w:val="nil"/>
                  </w:tcBorders>
                  <w:shd w:val="clear" w:color="auto" w:fill="auto"/>
                  <w:noWrap w:val="0"/>
                  <w:vAlign w:val="center"/>
                </w:tcPr>
                <w:p w14:paraId="6CEA8331">
                  <w:pPr>
                    <w:adjustRightInd w:val="0"/>
                    <w:snapToGrid w:val="0"/>
                    <w:spacing w:line="240" w:lineRule="auto"/>
                    <w:jc w:val="center"/>
                    <w:rPr>
                      <w:rFonts w:hint="eastAsia"/>
                      <w:color w:val="auto"/>
                      <w:kern w:val="0"/>
                      <w:sz w:val="21"/>
                      <w:szCs w:val="21"/>
                      <w:highlight w:val="none"/>
                      <w:lang w:val="en-US" w:eastAsia="zh-CN" w:bidi="en-US"/>
                    </w:rPr>
                  </w:pPr>
                </w:p>
              </w:tc>
              <w:tc>
                <w:tcPr>
                  <w:tcW w:w="590" w:type="pct"/>
                  <w:vMerge w:val="continue"/>
                  <w:tcBorders>
                    <w:tl2br w:val="nil"/>
                    <w:tr2bl w:val="nil"/>
                  </w:tcBorders>
                  <w:shd w:val="clear" w:color="auto" w:fill="auto"/>
                  <w:noWrap w:val="0"/>
                  <w:vAlign w:val="center"/>
                </w:tcPr>
                <w:p w14:paraId="4D460D2B">
                  <w:pPr>
                    <w:spacing w:line="240" w:lineRule="auto"/>
                    <w:jc w:val="center"/>
                    <w:rPr>
                      <w:rFonts w:hint="eastAsia"/>
                      <w:color w:val="auto"/>
                      <w:kern w:val="0"/>
                      <w:sz w:val="21"/>
                      <w:szCs w:val="21"/>
                      <w:highlight w:val="none"/>
                      <w:lang w:val="en-US" w:eastAsia="zh-CN"/>
                    </w:rPr>
                  </w:pPr>
                </w:p>
              </w:tc>
              <w:tc>
                <w:tcPr>
                  <w:tcW w:w="512" w:type="pct"/>
                  <w:tcBorders>
                    <w:tl2br w:val="nil"/>
                    <w:tr2bl w:val="nil"/>
                  </w:tcBorders>
                  <w:shd w:val="clear" w:color="auto" w:fill="auto"/>
                  <w:noWrap w:val="0"/>
                  <w:vAlign w:val="center"/>
                </w:tcPr>
                <w:p w14:paraId="2D78D29C">
                  <w:pPr>
                    <w:widowControl/>
                    <w:adjustRightInd w:val="0"/>
                    <w:snapToGrid w:val="0"/>
                    <w:jc w:val="center"/>
                    <w:textAlignment w:val="center"/>
                    <w:rPr>
                      <w:rFonts w:hint="eastAsia" w:ascii="Times New Roman" w:hAnsi="Times New Roman" w:eastAsia="宋体" w:cs="宋体"/>
                      <w:snapToGrid w:val="0"/>
                      <w:color w:val="auto"/>
                      <w:kern w:val="0"/>
                      <w:sz w:val="21"/>
                      <w:szCs w:val="21"/>
                      <w:shd w:val="clear" w:color="auto" w:fill="auto"/>
                      <w:lang w:val="en-US" w:eastAsia="zh-CN" w:bidi="ar-SA"/>
                    </w:rPr>
                  </w:pPr>
                  <w:r>
                    <w:rPr>
                      <w:rFonts w:hint="eastAsia" w:cs="宋体"/>
                      <w:snapToGrid w:val="0"/>
                      <w:color w:val="auto"/>
                      <w:kern w:val="0"/>
                      <w:szCs w:val="21"/>
                      <w:shd w:val="clear" w:color="auto" w:fill="auto"/>
                      <w:lang w:val="en-US" w:eastAsia="zh-CN"/>
                    </w:rPr>
                    <w:t>氮氧化物</w:t>
                  </w:r>
                </w:p>
              </w:tc>
              <w:tc>
                <w:tcPr>
                  <w:tcW w:w="560" w:type="pct"/>
                  <w:tcBorders>
                    <w:tl2br w:val="nil"/>
                    <w:tr2bl w:val="nil"/>
                  </w:tcBorders>
                  <w:shd w:val="clear" w:color="auto" w:fill="auto"/>
                  <w:noWrap w:val="0"/>
                  <w:vAlign w:val="center"/>
                </w:tcPr>
                <w:p w14:paraId="6057FF10">
                  <w:pPr>
                    <w:widowControl/>
                    <w:snapToGrid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0.6</w:t>
                  </w:r>
                </w:p>
              </w:tc>
              <w:tc>
                <w:tcPr>
                  <w:tcW w:w="659" w:type="pct"/>
                  <w:tcBorders>
                    <w:tl2br w:val="nil"/>
                    <w:tr2bl w:val="nil"/>
                  </w:tcBorders>
                  <w:shd w:val="clear" w:color="auto" w:fill="auto"/>
                  <w:noWrap w:val="0"/>
                  <w:vAlign w:val="center"/>
                </w:tcPr>
                <w:p w14:paraId="6EA7508E">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0.25</w:t>
                  </w:r>
                </w:p>
              </w:tc>
              <w:tc>
                <w:tcPr>
                  <w:tcW w:w="709" w:type="pct"/>
                  <w:tcBorders>
                    <w:tl2br w:val="nil"/>
                    <w:tr2bl w:val="nil"/>
                  </w:tcBorders>
                  <w:shd w:val="clear" w:color="auto" w:fill="auto"/>
                  <w:noWrap w:val="0"/>
                  <w:vAlign w:val="center"/>
                </w:tcPr>
                <w:p w14:paraId="04FDBB1C">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17.37</w:t>
                  </w:r>
                </w:p>
              </w:tc>
              <w:tc>
                <w:tcPr>
                  <w:tcW w:w="385" w:type="pct"/>
                  <w:vMerge w:val="continue"/>
                  <w:tcBorders>
                    <w:tl2br w:val="nil"/>
                    <w:tr2bl w:val="nil"/>
                  </w:tcBorders>
                  <w:noWrap w:val="0"/>
                  <w:vAlign w:val="center"/>
                </w:tcPr>
                <w:p w14:paraId="7AF8D8EC">
                  <w:pPr>
                    <w:widowControl/>
                    <w:spacing w:line="240" w:lineRule="auto"/>
                    <w:ind w:firstLine="0" w:firstLineChars="0"/>
                    <w:jc w:val="center"/>
                    <w:textAlignment w:val="center"/>
                    <w:rPr>
                      <w:rFonts w:hint="default" w:ascii="Times New Roman" w:hAnsi="Times New Roman" w:cs="Times New Roman"/>
                      <w:color w:val="auto"/>
                      <w:kern w:val="0"/>
                      <w:sz w:val="21"/>
                      <w:szCs w:val="21"/>
                      <w:highlight w:val="none"/>
                      <w:lang w:bidi="ar"/>
                    </w:rPr>
                  </w:pPr>
                </w:p>
              </w:tc>
              <w:tc>
                <w:tcPr>
                  <w:tcW w:w="482" w:type="pct"/>
                  <w:vMerge w:val="continue"/>
                  <w:tcBorders>
                    <w:tl2br w:val="nil"/>
                    <w:tr2bl w:val="nil"/>
                  </w:tcBorders>
                  <w:noWrap w:val="0"/>
                  <w:vAlign w:val="center"/>
                </w:tcPr>
                <w:p w14:paraId="7185560D">
                  <w:pPr>
                    <w:widowControl/>
                    <w:spacing w:line="240" w:lineRule="auto"/>
                    <w:ind w:firstLine="0" w:firstLineChars="0"/>
                    <w:jc w:val="center"/>
                    <w:textAlignment w:val="center"/>
                    <w:rPr>
                      <w:rFonts w:hint="default" w:ascii="Times New Roman" w:hAnsi="Times New Roman" w:cs="Times New Roman"/>
                      <w:color w:val="auto"/>
                      <w:kern w:val="0"/>
                      <w:sz w:val="21"/>
                      <w:szCs w:val="21"/>
                      <w:highlight w:val="none"/>
                      <w:lang w:val="en-US" w:eastAsia="zh-CN" w:bidi="ar"/>
                    </w:rPr>
                  </w:pPr>
                </w:p>
              </w:tc>
              <w:tc>
                <w:tcPr>
                  <w:tcW w:w="555" w:type="pct"/>
                  <w:vMerge w:val="continue"/>
                  <w:tcBorders>
                    <w:tl2br w:val="nil"/>
                    <w:tr2bl w:val="nil"/>
                  </w:tcBorders>
                  <w:noWrap w:val="0"/>
                  <w:vAlign w:val="center"/>
                </w:tcPr>
                <w:p w14:paraId="368CBAD8">
                  <w:pPr>
                    <w:widowControl/>
                    <w:spacing w:line="240" w:lineRule="auto"/>
                    <w:ind w:firstLine="0" w:firstLineChars="0"/>
                    <w:jc w:val="center"/>
                    <w:textAlignment w:val="center"/>
                    <w:rPr>
                      <w:rFonts w:hint="default" w:ascii="Times New Roman" w:hAnsi="Times New Roman" w:cs="Times New Roman"/>
                      <w:color w:val="auto"/>
                      <w:kern w:val="0"/>
                      <w:sz w:val="21"/>
                      <w:szCs w:val="21"/>
                      <w:highlight w:val="none"/>
                      <w:lang w:val="en-US" w:eastAsia="zh-CN" w:bidi="ar"/>
                    </w:rPr>
                  </w:pPr>
                </w:p>
              </w:tc>
            </w:tr>
          </w:tbl>
          <w:p w14:paraId="2C1C71F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环保设施发生故障后，</w:t>
            </w:r>
            <w:r>
              <w:rPr>
                <w:rFonts w:hint="default" w:ascii="Times New Roman" w:hAnsi="Times New Roman" w:cs="Times New Roman"/>
                <w:color w:val="auto"/>
                <w:kern w:val="0"/>
                <w:sz w:val="24"/>
                <w:szCs w:val="24"/>
                <w:highlight w:val="none"/>
              </w:rPr>
              <w:t>项目排放的大气污染物与正常排放情况相比，占标率有</w:t>
            </w:r>
            <w:r>
              <w:rPr>
                <w:rFonts w:hint="eastAsia" w:cs="Times New Roman"/>
                <w:color w:val="auto"/>
                <w:kern w:val="0"/>
                <w:sz w:val="24"/>
                <w:szCs w:val="24"/>
                <w:highlight w:val="none"/>
                <w:lang w:val="en-US" w:eastAsia="zh-CN"/>
              </w:rPr>
              <w:t>大幅</w:t>
            </w:r>
            <w:r>
              <w:rPr>
                <w:rFonts w:hint="default" w:ascii="Times New Roman" w:hAnsi="Times New Roman" w:cs="Times New Roman"/>
                <w:color w:val="auto"/>
                <w:kern w:val="0"/>
                <w:sz w:val="24"/>
                <w:szCs w:val="24"/>
                <w:highlight w:val="none"/>
              </w:rPr>
              <w:t>的升高</w:t>
            </w:r>
            <w:r>
              <w:rPr>
                <w:rFonts w:hint="default" w:eastAsia="宋体"/>
                <w:b w:val="0"/>
                <w:bCs w:val="0"/>
                <w:color w:val="auto"/>
                <w:sz w:val="24"/>
                <w:lang w:val="en-US" w:eastAsia="zh-CN"/>
              </w:rPr>
              <w:t>，</w:t>
            </w:r>
            <w:r>
              <w:rPr>
                <w:rFonts w:hint="eastAsia" w:cs="Times New Roman"/>
                <w:color w:val="auto"/>
                <w:kern w:val="0"/>
                <w:sz w:val="24"/>
                <w:szCs w:val="24"/>
                <w:highlight w:val="none"/>
                <w:lang w:val="en-US" w:eastAsia="zh-CN"/>
              </w:rPr>
              <w:t>其中DA001排气筒颗粒物、</w:t>
            </w:r>
            <w:r>
              <w:rPr>
                <w:rFonts w:hint="eastAsia" w:ascii="Times New Roman" w:hAnsi="Times New Roman" w:cs="Times New Roman"/>
                <w:color w:val="auto"/>
                <w:sz w:val="24"/>
                <w:szCs w:val="24"/>
                <w:vertAlign w:val="baseline"/>
                <w:lang w:val="en-US" w:eastAsia="zh-CN"/>
              </w:rPr>
              <w:t>DA002排气筒</w:t>
            </w:r>
            <w:r>
              <w:rPr>
                <w:rFonts w:hint="eastAsia" w:cs="Times New Roman"/>
                <w:color w:val="auto"/>
                <w:sz w:val="24"/>
                <w:szCs w:val="24"/>
                <w:vertAlign w:val="baseline"/>
                <w:lang w:val="en-US" w:eastAsia="zh-CN"/>
              </w:rPr>
              <w:t>颗粒物</w:t>
            </w:r>
            <w:r>
              <w:rPr>
                <w:rFonts w:hint="eastAsia" w:cs="Times New Roman"/>
                <w:color w:val="auto"/>
                <w:kern w:val="0"/>
                <w:sz w:val="24"/>
                <w:szCs w:val="24"/>
                <w:highlight w:val="none"/>
                <w:lang w:val="en-US" w:eastAsia="zh-CN"/>
              </w:rPr>
              <w:t>排放浓度均不能满足</w:t>
            </w:r>
            <w:r>
              <w:rPr>
                <w:rFonts w:hint="eastAsia" w:ascii="Times New Roman" w:hAnsi="Times New Roman" w:eastAsia="宋体" w:cs="Times New Roman"/>
                <w:color w:val="auto"/>
                <w:sz w:val="24"/>
                <w:szCs w:val="24"/>
                <w:vertAlign w:val="baseline"/>
                <w:lang w:val="en-US" w:eastAsia="zh-CN"/>
              </w:rPr>
              <w:t>《大气污染物综合排放标准》（GB16297-1996）中二级标准限值</w:t>
            </w:r>
            <w:r>
              <w:rPr>
                <w:rFonts w:hint="eastAsia" w:ascii="Times New Roman" w:hAnsi="Times New Roman" w:cs="Times New Roman"/>
                <w:color w:val="auto"/>
                <w:sz w:val="24"/>
                <w:szCs w:val="24"/>
                <w:vertAlign w:val="baseline"/>
                <w:lang w:val="en-US" w:eastAsia="zh-CN"/>
              </w:rPr>
              <w:t>，DA002排气筒</w:t>
            </w:r>
            <w:r>
              <w:rPr>
                <w:rFonts w:hint="eastAsia" w:cs="Times New Roman"/>
                <w:color w:val="auto"/>
                <w:sz w:val="24"/>
                <w:szCs w:val="24"/>
                <w:vertAlign w:val="baseline"/>
                <w:lang w:val="en-US" w:eastAsia="zh-CN"/>
              </w:rPr>
              <w:t>非甲烷总烃</w:t>
            </w:r>
            <w:r>
              <w:rPr>
                <w:rFonts w:hint="eastAsia" w:cs="Times New Roman"/>
                <w:color w:val="auto"/>
                <w:kern w:val="0"/>
                <w:sz w:val="24"/>
                <w:szCs w:val="24"/>
                <w:highlight w:val="none"/>
                <w:lang w:val="en-US" w:eastAsia="zh-CN"/>
              </w:rPr>
              <w:t>、二氧化硫、氮氧化物排放浓度</w:t>
            </w:r>
            <w:r>
              <w:rPr>
                <w:rFonts w:hint="eastAsia"/>
                <w:color w:val="auto"/>
                <w:sz w:val="24"/>
                <w:szCs w:val="24"/>
                <w:lang w:val="en-US" w:eastAsia="zh-CN"/>
              </w:rPr>
              <w:t>及排放速率</w:t>
            </w:r>
            <w:r>
              <w:rPr>
                <w:rFonts w:hint="eastAsia" w:cs="Times New Roman"/>
                <w:color w:val="auto"/>
                <w:kern w:val="0"/>
                <w:sz w:val="24"/>
                <w:szCs w:val="24"/>
                <w:highlight w:val="none"/>
                <w:lang w:val="en-US" w:eastAsia="zh-CN"/>
              </w:rPr>
              <w:t>均能满足</w:t>
            </w:r>
            <w:r>
              <w:rPr>
                <w:rFonts w:hint="eastAsia" w:ascii="Times New Roman" w:hAnsi="Times New Roman" w:eastAsia="宋体" w:cs="Times New Roman"/>
                <w:color w:val="auto"/>
                <w:sz w:val="24"/>
                <w:szCs w:val="24"/>
                <w:vertAlign w:val="baseline"/>
                <w:lang w:val="en-US" w:eastAsia="zh-CN"/>
              </w:rPr>
              <w:t>《大气污染物综合排放标准》（GB16297-1996）中二级标准限值</w:t>
            </w:r>
            <w:r>
              <w:rPr>
                <w:rFonts w:hint="eastAsia" w:cs="Times New Roman"/>
                <w:color w:val="auto"/>
                <w:sz w:val="24"/>
                <w:szCs w:val="24"/>
                <w:vertAlign w:val="baseline"/>
                <w:lang w:val="en-US" w:eastAsia="zh-CN"/>
              </w:rPr>
              <w:t>，</w:t>
            </w:r>
            <w:r>
              <w:rPr>
                <w:rFonts w:hint="default" w:ascii="Times New Roman" w:hAnsi="Times New Roman" w:cs="Times New Roman"/>
                <w:color w:val="auto"/>
                <w:kern w:val="0"/>
                <w:sz w:val="24"/>
                <w:szCs w:val="24"/>
                <w:highlight w:val="none"/>
              </w:rPr>
              <w:t>对区域环境的影响</w:t>
            </w:r>
            <w:r>
              <w:rPr>
                <w:rFonts w:hint="eastAsia" w:cs="Times New Roman"/>
                <w:color w:val="auto"/>
                <w:kern w:val="0"/>
                <w:sz w:val="24"/>
                <w:szCs w:val="24"/>
                <w:highlight w:val="none"/>
                <w:lang w:eastAsia="zh-CN"/>
              </w:rPr>
              <w:t>会大</w:t>
            </w:r>
            <w:r>
              <w:rPr>
                <w:rFonts w:hint="default" w:ascii="Times New Roman" w:hAnsi="Times New Roman" w:cs="Times New Roman"/>
                <w:color w:val="auto"/>
                <w:kern w:val="0"/>
                <w:sz w:val="24"/>
                <w:szCs w:val="24"/>
                <w:highlight w:val="none"/>
              </w:rPr>
              <w:t>幅度增加</w:t>
            </w:r>
            <w:r>
              <w:rPr>
                <w:rFonts w:hint="default" w:ascii="Times New Roman" w:hAnsi="Times New Roman" w:cs="Times New Roman"/>
                <w:color w:val="auto"/>
                <w:sz w:val="24"/>
                <w:szCs w:val="24"/>
                <w:highlight w:val="none"/>
              </w:rPr>
              <w:t>，建设单位需要立即更换维修设施，控制和减少非正常排放情况的发生，采取有效措施后，环保设施发生故障时对周边环境影响不大</w:t>
            </w:r>
            <w:r>
              <w:rPr>
                <w:rFonts w:hint="eastAsia" w:ascii="Times New Roman" w:hAnsi="Times New Roman" w:cs="Times New Roman"/>
                <w:color w:val="auto"/>
                <w:sz w:val="24"/>
                <w:szCs w:val="24"/>
                <w:highlight w:val="none"/>
                <w:lang w:eastAsia="zh-CN"/>
              </w:rPr>
              <w:t>。</w:t>
            </w:r>
          </w:p>
          <w:p w14:paraId="09413E53">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eastAsia"/>
                <w:b/>
                <w:bCs/>
                <w:color w:val="auto"/>
                <w:sz w:val="24"/>
                <w:szCs w:val="24"/>
                <w:shd w:val="clear" w:color="auto" w:fill="auto"/>
              </w:rPr>
            </w:pPr>
            <w:r>
              <w:rPr>
                <w:rFonts w:hint="eastAsia"/>
                <w:b/>
                <w:bCs/>
                <w:color w:val="auto"/>
                <w:sz w:val="24"/>
                <w:szCs w:val="24"/>
                <w:shd w:val="clear" w:color="auto" w:fill="auto"/>
                <w:lang w:val="en-US" w:eastAsia="zh-CN"/>
              </w:rPr>
              <w:t>5.</w:t>
            </w:r>
            <w:r>
              <w:rPr>
                <w:rFonts w:hint="eastAsia"/>
                <w:b/>
                <w:bCs/>
                <w:color w:val="auto"/>
                <w:sz w:val="24"/>
                <w:szCs w:val="24"/>
                <w:shd w:val="clear" w:color="auto" w:fill="auto"/>
              </w:rPr>
              <w:t>监测要求</w:t>
            </w:r>
          </w:p>
          <w:p w14:paraId="150066C0">
            <w:pPr>
              <w:pStyle w:val="106"/>
              <w:keepNext/>
              <w:keepLines/>
              <w:pageBreakBefore w:val="0"/>
              <w:widowControl w:val="0"/>
              <w:kinsoku/>
              <w:wordWrap/>
              <w:overflowPunct/>
              <w:topLinePunct w:val="0"/>
              <w:autoSpaceDE/>
              <w:autoSpaceDN/>
              <w:bidi w:val="0"/>
              <w:adjustRightInd w:val="0"/>
              <w:snapToGrid w:val="0"/>
              <w:spacing w:before="0" w:line="500" w:lineRule="exact"/>
              <w:ind w:firstLine="480" w:firstLineChars="200"/>
              <w:textAlignment w:val="auto"/>
              <w:outlineLvl w:val="9"/>
              <w:rPr>
                <w:rFonts w:hint="eastAsia"/>
                <w:bCs/>
                <w:color w:val="auto"/>
                <w:sz w:val="24"/>
                <w:szCs w:val="24"/>
                <w:shd w:val="clear" w:color="auto" w:fill="auto"/>
              </w:rPr>
            </w:pPr>
            <w:bookmarkStart w:id="10" w:name="_Toc32722"/>
            <w:bookmarkStart w:id="11" w:name="_Toc29669"/>
            <w:r>
              <w:rPr>
                <w:rFonts w:hint="eastAsia"/>
                <w:b w:val="0"/>
                <w:color w:val="auto"/>
                <w:sz w:val="24"/>
                <w:szCs w:val="24"/>
                <w:shd w:val="clear" w:color="auto" w:fill="auto"/>
              </w:rPr>
              <w:t>按《排污许可证申请与核发技术规范 铁路、船舶、航空航天和其他运输设备制造业</w:t>
            </w:r>
            <w:r>
              <w:rPr>
                <w:rFonts w:hint="eastAsia"/>
                <w:b w:val="0"/>
                <w:color w:val="auto"/>
                <w:sz w:val="24"/>
                <w:szCs w:val="24"/>
                <w:shd w:val="clear" w:color="auto" w:fill="auto"/>
                <w:lang w:eastAsia="zh-CN"/>
              </w:rPr>
              <w:t>》</w:t>
            </w:r>
            <w:r>
              <w:rPr>
                <w:rFonts w:hint="eastAsia"/>
                <w:b w:val="0"/>
                <w:color w:val="auto"/>
                <w:sz w:val="24"/>
                <w:szCs w:val="24"/>
                <w:shd w:val="clear" w:color="auto" w:fill="auto"/>
              </w:rPr>
              <w:t>（HJ 1124—2020）、《排污单位自行监测技术指南 总则》（HJ819-2017）的要求，提出项目</w:t>
            </w:r>
            <w:r>
              <w:rPr>
                <w:rFonts w:hint="eastAsia"/>
                <w:b w:val="0"/>
                <w:color w:val="auto"/>
                <w:sz w:val="24"/>
                <w:szCs w:val="24"/>
                <w:shd w:val="clear" w:color="auto" w:fill="auto"/>
                <w:lang w:eastAsia="zh-CN"/>
              </w:rPr>
              <w:t>运营期</w:t>
            </w:r>
            <w:r>
              <w:rPr>
                <w:rFonts w:hint="eastAsia"/>
                <w:b w:val="0"/>
                <w:color w:val="auto"/>
                <w:sz w:val="24"/>
                <w:szCs w:val="24"/>
                <w:shd w:val="clear" w:color="auto" w:fill="auto"/>
              </w:rPr>
              <w:t>大气污染源监测计划，详见下表4</w:t>
            </w:r>
            <w:r>
              <w:rPr>
                <w:rFonts w:hint="eastAsia"/>
                <w:b w:val="0"/>
                <w:color w:val="auto"/>
                <w:sz w:val="24"/>
                <w:szCs w:val="24"/>
                <w:shd w:val="clear" w:color="auto" w:fill="auto"/>
                <w:lang w:val="en-US" w:eastAsia="zh-CN"/>
              </w:rPr>
              <w:t>-10</w:t>
            </w:r>
            <w:r>
              <w:rPr>
                <w:rFonts w:hint="eastAsia"/>
                <w:b w:val="0"/>
                <w:color w:val="auto"/>
                <w:sz w:val="24"/>
                <w:szCs w:val="24"/>
                <w:shd w:val="clear" w:color="auto" w:fill="auto"/>
              </w:rPr>
              <w:t>。</w:t>
            </w:r>
            <w:bookmarkEnd w:id="10"/>
            <w:bookmarkEnd w:id="11"/>
            <w:bookmarkStart w:id="12" w:name="_Toc30164"/>
            <w:bookmarkStart w:id="13" w:name="_Toc13483"/>
          </w:p>
          <w:p w14:paraId="279BE51F">
            <w:pPr>
              <w:pStyle w:val="106"/>
              <w:keepNext/>
              <w:keepLines/>
              <w:adjustRightInd w:val="0"/>
              <w:snapToGrid w:val="0"/>
              <w:spacing w:before="0" w:line="240" w:lineRule="auto"/>
              <w:jc w:val="center"/>
              <w:outlineLvl w:val="9"/>
              <w:rPr>
                <w:rFonts w:cs="宋体"/>
                <w:bCs/>
                <w:color w:val="auto"/>
                <w:sz w:val="24"/>
                <w:szCs w:val="24"/>
                <w:highlight w:val="none"/>
                <w:shd w:val="clear" w:color="auto" w:fill="auto"/>
              </w:rPr>
            </w:pPr>
            <w:r>
              <w:rPr>
                <w:rFonts w:hint="eastAsia"/>
                <w:bCs/>
                <w:color w:val="auto"/>
                <w:sz w:val="24"/>
                <w:szCs w:val="24"/>
                <w:highlight w:val="none"/>
                <w:shd w:val="clear" w:color="auto" w:fill="auto"/>
              </w:rPr>
              <w:t>表4</w:t>
            </w:r>
            <w:r>
              <w:rPr>
                <w:rFonts w:hint="eastAsia"/>
                <w:bCs/>
                <w:color w:val="auto"/>
                <w:sz w:val="24"/>
                <w:szCs w:val="24"/>
                <w:highlight w:val="none"/>
                <w:shd w:val="clear" w:color="auto" w:fill="auto"/>
                <w:lang w:val="en-US" w:eastAsia="zh-CN"/>
              </w:rPr>
              <w:t xml:space="preserve">-11 </w:t>
            </w:r>
            <w:r>
              <w:rPr>
                <w:rFonts w:hint="eastAsia"/>
                <w:bCs/>
                <w:color w:val="auto"/>
                <w:sz w:val="24"/>
                <w:szCs w:val="24"/>
                <w:highlight w:val="none"/>
                <w:shd w:val="clear" w:color="auto" w:fill="auto"/>
              </w:rPr>
              <w:t xml:space="preserve"> </w:t>
            </w:r>
            <w:bookmarkEnd w:id="12"/>
            <w:bookmarkEnd w:id="13"/>
            <w:r>
              <w:rPr>
                <w:rFonts w:hint="eastAsia"/>
                <w:bCs/>
                <w:color w:val="auto"/>
                <w:sz w:val="24"/>
                <w:szCs w:val="24"/>
                <w:highlight w:val="none"/>
                <w:shd w:val="clear" w:color="auto" w:fill="auto"/>
                <w:lang w:val="en-US" w:eastAsia="zh-CN"/>
              </w:rPr>
              <w:t>废气</w:t>
            </w:r>
            <w:r>
              <w:rPr>
                <w:rFonts w:hint="eastAsia" w:cs="宋体"/>
                <w:bCs/>
                <w:color w:val="auto"/>
                <w:sz w:val="24"/>
                <w:szCs w:val="24"/>
                <w:highlight w:val="none"/>
                <w:shd w:val="clear" w:color="auto" w:fill="auto"/>
              </w:rPr>
              <w:t>监测点位、监测因子和最低监测频次</w:t>
            </w:r>
          </w:p>
          <w:tbl>
            <w:tblPr>
              <w:tblStyle w:val="39"/>
              <w:tblW w:w="496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961"/>
              <w:gridCol w:w="3599"/>
              <w:gridCol w:w="1235"/>
            </w:tblGrid>
            <w:tr w14:paraId="287A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692" w:type="pct"/>
                  <w:vAlign w:val="center"/>
                </w:tcPr>
                <w:p w14:paraId="379A5A61">
                  <w:pPr>
                    <w:pStyle w:val="106"/>
                    <w:keepNext/>
                    <w:keepLines/>
                    <w:adjustRightInd w:val="0"/>
                    <w:snapToGrid w:val="0"/>
                    <w:spacing w:before="0" w:line="240" w:lineRule="auto"/>
                    <w:jc w:val="center"/>
                    <w:outlineLvl w:val="9"/>
                    <w:rPr>
                      <w:rFonts w:cs="宋体"/>
                      <w:b w:val="0"/>
                      <w:color w:val="auto"/>
                      <w:sz w:val="21"/>
                      <w:szCs w:val="21"/>
                      <w:shd w:val="clear" w:color="auto" w:fill="auto"/>
                    </w:rPr>
                  </w:pPr>
                  <w:r>
                    <w:rPr>
                      <w:rFonts w:hint="eastAsia" w:cs="宋体"/>
                      <w:b w:val="0"/>
                      <w:color w:val="auto"/>
                      <w:sz w:val="21"/>
                      <w:szCs w:val="21"/>
                      <w:shd w:val="clear" w:color="auto" w:fill="auto"/>
                    </w:rPr>
                    <w:t>排放形式</w:t>
                  </w:r>
                </w:p>
              </w:tc>
              <w:tc>
                <w:tcPr>
                  <w:tcW w:w="1243" w:type="pct"/>
                  <w:vAlign w:val="center"/>
                </w:tcPr>
                <w:p w14:paraId="5368D796">
                  <w:pPr>
                    <w:pStyle w:val="106"/>
                    <w:keepNext/>
                    <w:keepLines/>
                    <w:adjustRightInd w:val="0"/>
                    <w:snapToGrid w:val="0"/>
                    <w:spacing w:before="0" w:line="240" w:lineRule="auto"/>
                    <w:jc w:val="center"/>
                    <w:outlineLvl w:val="9"/>
                    <w:rPr>
                      <w:rFonts w:cs="宋体"/>
                      <w:b w:val="0"/>
                      <w:color w:val="auto"/>
                      <w:sz w:val="21"/>
                      <w:szCs w:val="21"/>
                      <w:shd w:val="clear" w:color="auto" w:fill="auto"/>
                    </w:rPr>
                  </w:pPr>
                  <w:bookmarkStart w:id="14" w:name="_Toc15327"/>
                  <w:bookmarkStart w:id="15" w:name="_Toc20297"/>
                  <w:bookmarkStart w:id="16" w:name="_Toc23255"/>
                  <w:bookmarkStart w:id="17" w:name="_Toc1241"/>
                  <w:r>
                    <w:rPr>
                      <w:rFonts w:hint="eastAsia" w:cs="宋体"/>
                      <w:b w:val="0"/>
                      <w:color w:val="auto"/>
                      <w:sz w:val="21"/>
                      <w:szCs w:val="21"/>
                      <w:shd w:val="clear" w:color="auto" w:fill="auto"/>
                    </w:rPr>
                    <w:t>监测点位</w:t>
                  </w:r>
                  <w:bookmarkEnd w:id="14"/>
                  <w:bookmarkEnd w:id="15"/>
                </w:p>
              </w:tc>
              <w:tc>
                <w:tcPr>
                  <w:tcW w:w="2281" w:type="pct"/>
                  <w:vAlign w:val="center"/>
                </w:tcPr>
                <w:p w14:paraId="0ADC4CAE">
                  <w:pPr>
                    <w:pStyle w:val="106"/>
                    <w:keepNext/>
                    <w:keepLines/>
                    <w:adjustRightInd w:val="0"/>
                    <w:snapToGrid w:val="0"/>
                    <w:spacing w:before="0" w:line="240" w:lineRule="auto"/>
                    <w:jc w:val="center"/>
                    <w:outlineLvl w:val="9"/>
                    <w:rPr>
                      <w:rFonts w:cs="宋体"/>
                      <w:b w:val="0"/>
                      <w:color w:val="auto"/>
                      <w:sz w:val="21"/>
                      <w:szCs w:val="21"/>
                      <w:shd w:val="clear" w:color="auto" w:fill="auto"/>
                    </w:rPr>
                  </w:pPr>
                  <w:r>
                    <w:rPr>
                      <w:rFonts w:hint="eastAsia" w:cs="宋体"/>
                      <w:b w:val="0"/>
                      <w:color w:val="auto"/>
                      <w:sz w:val="21"/>
                      <w:szCs w:val="21"/>
                      <w:shd w:val="clear" w:color="auto" w:fill="auto"/>
                    </w:rPr>
                    <w:t>监测</w:t>
                  </w:r>
                  <w:bookmarkEnd w:id="16"/>
                  <w:bookmarkEnd w:id="17"/>
                  <w:r>
                    <w:rPr>
                      <w:rFonts w:hint="eastAsia" w:cs="宋体"/>
                      <w:b w:val="0"/>
                      <w:color w:val="auto"/>
                      <w:sz w:val="21"/>
                      <w:szCs w:val="21"/>
                      <w:shd w:val="clear" w:color="auto" w:fill="auto"/>
                    </w:rPr>
                    <w:t>因子</w:t>
                  </w:r>
                </w:p>
              </w:tc>
              <w:tc>
                <w:tcPr>
                  <w:tcW w:w="782" w:type="pct"/>
                  <w:vAlign w:val="center"/>
                </w:tcPr>
                <w:p w14:paraId="56574646">
                  <w:pPr>
                    <w:pStyle w:val="106"/>
                    <w:keepNext/>
                    <w:keepLines/>
                    <w:adjustRightInd w:val="0"/>
                    <w:snapToGrid w:val="0"/>
                    <w:spacing w:before="0" w:line="240" w:lineRule="auto"/>
                    <w:jc w:val="center"/>
                    <w:outlineLvl w:val="9"/>
                    <w:rPr>
                      <w:rFonts w:cs="宋体"/>
                      <w:b w:val="0"/>
                      <w:color w:val="auto"/>
                      <w:sz w:val="21"/>
                      <w:szCs w:val="21"/>
                      <w:shd w:val="clear" w:color="auto" w:fill="auto"/>
                    </w:rPr>
                  </w:pPr>
                  <w:bookmarkStart w:id="18" w:name="_Toc5665"/>
                  <w:bookmarkStart w:id="19" w:name="_Toc28815"/>
                  <w:r>
                    <w:rPr>
                      <w:rFonts w:hint="eastAsia" w:cs="宋体"/>
                      <w:b w:val="0"/>
                      <w:color w:val="auto"/>
                      <w:sz w:val="21"/>
                      <w:szCs w:val="21"/>
                      <w:shd w:val="clear" w:color="auto" w:fill="auto"/>
                    </w:rPr>
                    <w:t>监测频次</w:t>
                  </w:r>
                  <w:bookmarkEnd w:id="18"/>
                  <w:bookmarkEnd w:id="19"/>
                </w:p>
              </w:tc>
            </w:tr>
            <w:tr w14:paraId="454C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692" w:type="pct"/>
                  <w:vMerge w:val="restart"/>
                  <w:vAlign w:val="center"/>
                </w:tcPr>
                <w:p w14:paraId="7655CF87">
                  <w:pPr>
                    <w:pStyle w:val="106"/>
                    <w:keepNext/>
                    <w:keepLines/>
                    <w:adjustRightInd w:val="0"/>
                    <w:snapToGrid w:val="0"/>
                    <w:spacing w:before="0" w:line="240" w:lineRule="auto"/>
                    <w:jc w:val="center"/>
                    <w:outlineLvl w:val="9"/>
                    <w:rPr>
                      <w:rFonts w:hint="eastAsia" w:cs="宋体"/>
                      <w:b w:val="0"/>
                      <w:color w:val="auto"/>
                      <w:sz w:val="21"/>
                      <w:szCs w:val="21"/>
                      <w:shd w:val="clear" w:color="auto" w:fill="auto"/>
                    </w:rPr>
                  </w:pPr>
                  <w:r>
                    <w:rPr>
                      <w:rFonts w:hint="eastAsia" w:cs="宋体"/>
                      <w:b w:val="0"/>
                      <w:color w:val="auto"/>
                      <w:sz w:val="21"/>
                      <w:szCs w:val="21"/>
                      <w:shd w:val="clear" w:color="auto" w:fill="auto"/>
                    </w:rPr>
                    <w:t>有组织</w:t>
                  </w:r>
                </w:p>
              </w:tc>
              <w:tc>
                <w:tcPr>
                  <w:tcW w:w="1243" w:type="pct"/>
                  <w:vAlign w:val="center"/>
                </w:tcPr>
                <w:p w14:paraId="2E42656E">
                  <w:pPr>
                    <w:pStyle w:val="106"/>
                    <w:keepNext/>
                    <w:keepLines/>
                    <w:adjustRightInd w:val="0"/>
                    <w:snapToGrid w:val="0"/>
                    <w:spacing w:before="0" w:line="240" w:lineRule="auto"/>
                    <w:jc w:val="center"/>
                    <w:outlineLvl w:val="9"/>
                    <w:rPr>
                      <w:rFonts w:cs="宋体"/>
                      <w:b w:val="0"/>
                      <w:color w:val="auto"/>
                      <w:sz w:val="21"/>
                      <w:szCs w:val="21"/>
                      <w:shd w:val="clear" w:color="auto" w:fill="auto"/>
                    </w:rPr>
                  </w:pPr>
                  <w:r>
                    <w:rPr>
                      <w:rFonts w:hint="eastAsia" w:cs="宋体"/>
                      <w:b w:val="0"/>
                      <w:color w:val="auto"/>
                      <w:sz w:val="21"/>
                      <w:szCs w:val="21"/>
                      <w:shd w:val="clear" w:color="auto" w:fill="auto"/>
                      <w:lang w:val="en-US" w:eastAsia="zh-CN"/>
                    </w:rPr>
                    <w:t>DA001</w:t>
                  </w:r>
                  <w:r>
                    <w:rPr>
                      <w:rFonts w:hint="eastAsia" w:cs="宋体"/>
                      <w:b w:val="0"/>
                      <w:color w:val="auto"/>
                      <w:sz w:val="21"/>
                      <w:szCs w:val="21"/>
                      <w:shd w:val="clear" w:color="auto" w:fill="auto"/>
                    </w:rPr>
                    <w:t>排气筒</w:t>
                  </w:r>
                </w:p>
              </w:tc>
              <w:tc>
                <w:tcPr>
                  <w:tcW w:w="2281" w:type="pct"/>
                  <w:vAlign w:val="center"/>
                </w:tcPr>
                <w:p w14:paraId="2C31D263">
                  <w:pPr>
                    <w:pStyle w:val="106"/>
                    <w:keepNext/>
                    <w:keepLines/>
                    <w:adjustRightInd w:val="0"/>
                    <w:snapToGrid w:val="0"/>
                    <w:spacing w:before="0" w:line="240" w:lineRule="auto"/>
                    <w:jc w:val="center"/>
                    <w:outlineLvl w:val="9"/>
                    <w:rPr>
                      <w:rFonts w:hint="default" w:eastAsia="宋体" w:cs="宋体"/>
                      <w:b w:val="0"/>
                      <w:color w:val="auto"/>
                      <w:sz w:val="21"/>
                      <w:szCs w:val="21"/>
                      <w:shd w:val="clear" w:color="auto" w:fill="auto"/>
                      <w:lang w:val="en-US" w:eastAsia="zh-CN"/>
                    </w:rPr>
                  </w:pPr>
                  <w:r>
                    <w:rPr>
                      <w:rFonts w:hint="eastAsia" w:cs="宋体"/>
                      <w:b w:val="0"/>
                      <w:color w:val="auto"/>
                      <w:sz w:val="21"/>
                      <w:szCs w:val="21"/>
                      <w:shd w:val="clear" w:color="auto" w:fill="auto"/>
                      <w:lang w:val="en-US" w:eastAsia="zh-CN"/>
                    </w:rPr>
                    <w:t>颗粒物、烟气黑度</w:t>
                  </w:r>
                </w:p>
              </w:tc>
              <w:tc>
                <w:tcPr>
                  <w:tcW w:w="782" w:type="pct"/>
                  <w:vAlign w:val="center"/>
                </w:tcPr>
                <w:p w14:paraId="4958F364">
                  <w:pPr>
                    <w:pStyle w:val="106"/>
                    <w:keepNext/>
                    <w:keepLines/>
                    <w:adjustRightInd w:val="0"/>
                    <w:snapToGrid w:val="0"/>
                    <w:spacing w:before="0" w:line="240" w:lineRule="auto"/>
                    <w:jc w:val="center"/>
                    <w:outlineLvl w:val="9"/>
                    <w:rPr>
                      <w:rFonts w:hint="default" w:eastAsia="宋体" w:cs="宋体"/>
                      <w:b w:val="0"/>
                      <w:color w:val="auto"/>
                      <w:sz w:val="21"/>
                      <w:szCs w:val="21"/>
                      <w:shd w:val="clear" w:color="auto" w:fill="auto"/>
                      <w:lang w:val="en-US" w:eastAsia="zh-CN"/>
                    </w:rPr>
                  </w:pPr>
                  <w:r>
                    <w:rPr>
                      <w:rFonts w:hint="eastAsia" w:eastAsia="宋体" w:cs="宋体"/>
                      <w:b w:val="0"/>
                      <w:color w:val="auto"/>
                      <w:sz w:val="21"/>
                      <w:szCs w:val="21"/>
                      <w:shd w:val="clear" w:color="auto" w:fill="auto"/>
                      <w:lang w:val="en-US" w:eastAsia="zh-CN"/>
                    </w:rPr>
                    <w:t>每</w:t>
                  </w:r>
                  <w:r>
                    <w:rPr>
                      <w:rFonts w:hint="eastAsia" w:cs="宋体"/>
                      <w:b w:val="0"/>
                      <w:color w:val="auto"/>
                      <w:sz w:val="21"/>
                      <w:szCs w:val="21"/>
                      <w:shd w:val="clear" w:color="auto" w:fill="auto"/>
                      <w:lang w:val="en-US" w:eastAsia="zh-CN"/>
                    </w:rPr>
                    <w:t>半年</w:t>
                  </w:r>
                  <w:r>
                    <w:rPr>
                      <w:rFonts w:hint="eastAsia" w:eastAsia="宋体" w:cs="宋体"/>
                      <w:b w:val="0"/>
                      <w:color w:val="auto"/>
                      <w:sz w:val="21"/>
                      <w:szCs w:val="21"/>
                      <w:shd w:val="clear" w:color="auto" w:fill="auto"/>
                      <w:lang w:val="en-US" w:eastAsia="zh-CN"/>
                    </w:rPr>
                    <w:t>/次</w:t>
                  </w:r>
                </w:p>
              </w:tc>
            </w:tr>
            <w:tr w14:paraId="2E62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692" w:type="pct"/>
                  <w:vMerge w:val="continue"/>
                  <w:vAlign w:val="center"/>
                </w:tcPr>
                <w:p w14:paraId="45B6D847">
                  <w:pPr>
                    <w:pStyle w:val="106"/>
                    <w:keepNext/>
                    <w:keepLines/>
                    <w:adjustRightInd w:val="0"/>
                    <w:snapToGrid w:val="0"/>
                    <w:spacing w:before="0" w:line="240" w:lineRule="auto"/>
                    <w:jc w:val="center"/>
                    <w:outlineLvl w:val="9"/>
                    <w:rPr>
                      <w:rFonts w:hint="eastAsia" w:cs="宋体"/>
                      <w:b w:val="0"/>
                      <w:color w:val="auto"/>
                      <w:sz w:val="21"/>
                      <w:szCs w:val="21"/>
                      <w:shd w:val="clear" w:color="auto" w:fill="auto"/>
                    </w:rPr>
                  </w:pPr>
                </w:p>
              </w:tc>
              <w:tc>
                <w:tcPr>
                  <w:tcW w:w="1243" w:type="pct"/>
                  <w:vAlign w:val="center"/>
                </w:tcPr>
                <w:p w14:paraId="5CB15AE7">
                  <w:pPr>
                    <w:pStyle w:val="106"/>
                    <w:keepNext/>
                    <w:keepLines/>
                    <w:adjustRightInd w:val="0"/>
                    <w:snapToGrid w:val="0"/>
                    <w:spacing w:before="0" w:line="240" w:lineRule="auto"/>
                    <w:jc w:val="center"/>
                    <w:outlineLvl w:val="9"/>
                    <w:rPr>
                      <w:rFonts w:hint="eastAsia" w:cs="宋体"/>
                      <w:b w:val="0"/>
                      <w:color w:val="auto"/>
                      <w:sz w:val="21"/>
                      <w:szCs w:val="21"/>
                      <w:shd w:val="clear" w:color="auto" w:fill="auto"/>
                      <w:lang w:val="en-US" w:eastAsia="zh-CN"/>
                    </w:rPr>
                  </w:pPr>
                  <w:r>
                    <w:rPr>
                      <w:rFonts w:hint="eastAsia" w:cs="宋体"/>
                      <w:b w:val="0"/>
                      <w:color w:val="auto"/>
                      <w:sz w:val="21"/>
                      <w:szCs w:val="21"/>
                      <w:shd w:val="clear" w:color="auto" w:fill="auto"/>
                      <w:lang w:val="en-US" w:eastAsia="zh-CN"/>
                    </w:rPr>
                    <w:t>DA002</w:t>
                  </w:r>
                  <w:r>
                    <w:rPr>
                      <w:rFonts w:hint="eastAsia" w:cs="宋体"/>
                      <w:b w:val="0"/>
                      <w:color w:val="auto"/>
                      <w:sz w:val="21"/>
                      <w:szCs w:val="21"/>
                      <w:shd w:val="clear" w:color="auto" w:fill="auto"/>
                    </w:rPr>
                    <w:t>排气筒</w:t>
                  </w:r>
                </w:p>
              </w:tc>
              <w:tc>
                <w:tcPr>
                  <w:tcW w:w="2281" w:type="pct"/>
                  <w:vAlign w:val="center"/>
                </w:tcPr>
                <w:p w14:paraId="0549EB4D">
                  <w:pPr>
                    <w:pStyle w:val="106"/>
                    <w:keepNext/>
                    <w:keepLines/>
                    <w:adjustRightInd w:val="0"/>
                    <w:snapToGrid w:val="0"/>
                    <w:spacing w:before="0" w:line="240" w:lineRule="auto"/>
                    <w:jc w:val="center"/>
                    <w:outlineLvl w:val="9"/>
                    <w:rPr>
                      <w:rFonts w:hint="eastAsia" w:cs="宋体"/>
                      <w:b w:val="0"/>
                      <w:color w:val="auto"/>
                      <w:sz w:val="21"/>
                      <w:szCs w:val="21"/>
                      <w:shd w:val="clear" w:color="auto" w:fill="auto"/>
                      <w:lang w:val="en-US" w:eastAsia="zh-CN"/>
                    </w:rPr>
                  </w:pPr>
                  <w:r>
                    <w:rPr>
                      <w:rFonts w:hint="eastAsia" w:cs="宋体"/>
                      <w:b w:val="0"/>
                      <w:color w:val="auto"/>
                      <w:sz w:val="21"/>
                      <w:szCs w:val="21"/>
                      <w:shd w:val="clear" w:color="auto" w:fill="auto"/>
                      <w:lang w:val="en-US" w:eastAsia="zh-CN"/>
                    </w:rPr>
                    <w:t>颗粒物、二氧化硫、氮氧化物、非甲烷总烃、烟气黑度</w:t>
                  </w:r>
                </w:p>
              </w:tc>
              <w:tc>
                <w:tcPr>
                  <w:tcW w:w="782" w:type="pct"/>
                  <w:vAlign w:val="center"/>
                </w:tcPr>
                <w:p w14:paraId="7EC21B84">
                  <w:pPr>
                    <w:pStyle w:val="106"/>
                    <w:keepNext/>
                    <w:keepLines/>
                    <w:adjustRightInd w:val="0"/>
                    <w:snapToGrid w:val="0"/>
                    <w:spacing w:before="0" w:line="240" w:lineRule="auto"/>
                    <w:jc w:val="center"/>
                    <w:outlineLvl w:val="9"/>
                    <w:rPr>
                      <w:rFonts w:hint="eastAsia" w:eastAsia="宋体" w:cs="宋体"/>
                      <w:b w:val="0"/>
                      <w:color w:val="auto"/>
                      <w:sz w:val="21"/>
                      <w:szCs w:val="21"/>
                      <w:shd w:val="clear" w:color="auto" w:fill="auto"/>
                      <w:lang w:val="en-US" w:eastAsia="zh-CN"/>
                    </w:rPr>
                  </w:pPr>
                  <w:r>
                    <w:rPr>
                      <w:rFonts w:hint="eastAsia" w:eastAsia="宋体" w:cs="宋体"/>
                      <w:b w:val="0"/>
                      <w:color w:val="auto"/>
                      <w:sz w:val="21"/>
                      <w:szCs w:val="21"/>
                      <w:shd w:val="clear" w:color="auto" w:fill="auto"/>
                      <w:lang w:val="en-US" w:eastAsia="zh-CN"/>
                    </w:rPr>
                    <w:t>每</w:t>
                  </w:r>
                  <w:r>
                    <w:rPr>
                      <w:rFonts w:hint="eastAsia" w:cs="宋体"/>
                      <w:b w:val="0"/>
                      <w:color w:val="auto"/>
                      <w:sz w:val="21"/>
                      <w:szCs w:val="21"/>
                      <w:shd w:val="clear" w:color="auto" w:fill="auto"/>
                      <w:lang w:val="en-US" w:eastAsia="zh-CN"/>
                    </w:rPr>
                    <w:t>半年</w:t>
                  </w:r>
                  <w:r>
                    <w:rPr>
                      <w:rFonts w:hint="eastAsia" w:eastAsia="宋体" w:cs="宋体"/>
                      <w:b w:val="0"/>
                      <w:color w:val="auto"/>
                      <w:sz w:val="21"/>
                      <w:szCs w:val="21"/>
                      <w:shd w:val="clear" w:color="auto" w:fill="auto"/>
                      <w:lang w:val="en-US" w:eastAsia="zh-CN"/>
                    </w:rPr>
                    <w:t>/次</w:t>
                  </w:r>
                </w:p>
              </w:tc>
            </w:tr>
            <w:tr w14:paraId="3ADD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692" w:type="pct"/>
                  <w:vAlign w:val="center"/>
                </w:tcPr>
                <w:p w14:paraId="65630AED">
                  <w:pPr>
                    <w:pStyle w:val="106"/>
                    <w:keepNext/>
                    <w:keepLines/>
                    <w:adjustRightInd w:val="0"/>
                    <w:snapToGrid w:val="0"/>
                    <w:spacing w:before="0" w:line="240" w:lineRule="auto"/>
                    <w:jc w:val="center"/>
                    <w:outlineLvl w:val="9"/>
                    <w:rPr>
                      <w:rFonts w:cs="宋体"/>
                      <w:b w:val="0"/>
                      <w:color w:val="auto"/>
                      <w:sz w:val="21"/>
                      <w:szCs w:val="21"/>
                      <w:shd w:val="clear" w:color="auto" w:fill="auto"/>
                    </w:rPr>
                  </w:pPr>
                  <w:r>
                    <w:rPr>
                      <w:rFonts w:hint="eastAsia" w:cs="宋体"/>
                      <w:b w:val="0"/>
                      <w:color w:val="auto"/>
                      <w:sz w:val="21"/>
                      <w:szCs w:val="21"/>
                      <w:shd w:val="clear" w:color="auto" w:fill="auto"/>
                    </w:rPr>
                    <w:t>无组织</w:t>
                  </w:r>
                </w:p>
              </w:tc>
              <w:tc>
                <w:tcPr>
                  <w:tcW w:w="1243" w:type="pct"/>
                  <w:vAlign w:val="center"/>
                </w:tcPr>
                <w:p w14:paraId="54185390">
                  <w:pPr>
                    <w:pStyle w:val="106"/>
                    <w:keepNext/>
                    <w:keepLines/>
                    <w:adjustRightInd w:val="0"/>
                    <w:snapToGrid w:val="0"/>
                    <w:spacing w:before="0" w:line="240" w:lineRule="auto"/>
                    <w:jc w:val="center"/>
                    <w:outlineLvl w:val="9"/>
                    <w:rPr>
                      <w:rFonts w:cs="宋体"/>
                      <w:b w:val="0"/>
                      <w:color w:val="auto"/>
                      <w:sz w:val="21"/>
                      <w:szCs w:val="21"/>
                      <w:shd w:val="clear" w:color="auto" w:fill="auto"/>
                    </w:rPr>
                  </w:pPr>
                  <w:r>
                    <w:rPr>
                      <w:rFonts w:hint="eastAsia" w:cs="宋体"/>
                      <w:b w:val="0"/>
                      <w:bCs/>
                      <w:color w:val="auto"/>
                      <w:sz w:val="21"/>
                      <w:szCs w:val="21"/>
                      <w:shd w:val="clear" w:color="auto" w:fill="auto"/>
                    </w:rPr>
                    <w:t>厂界</w:t>
                  </w:r>
                </w:p>
              </w:tc>
              <w:tc>
                <w:tcPr>
                  <w:tcW w:w="2281" w:type="pct"/>
                  <w:vAlign w:val="center"/>
                </w:tcPr>
                <w:p w14:paraId="446244B9">
                  <w:pPr>
                    <w:pStyle w:val="106"/>
                    <w:keepNext/>
                    <w:keepLines/>
                    <w:adjustRightInd w:val="0"/>
                    <w:snapToGrid w:val="0"/>
                    <w:spacing w:before="0" w:line="240" w:lineRule="auto"/>
                    <w:jc w:val="center"/>
                    <w:outlineLvl w:val="9"/>
                    <w:rPr>
                      <w:rFonts w:hint="default" w:cs="宋体"/>
                      <w:b w:val="0"/>
                      <w:color w:val="auto"/>
                      <w:sz w:val="21"/>
                      <w:szCs w:val="21"/>
                      <w:shd w:val="clear" w:color="auto" w:fill="auto"/>
                      <w:lang w:val="en-US"/>
                    </w:rPr>
                  </w:pPr>
                  <w:r>
                    <w:rPr>
                      <w:rFonts w:hint="eastAsia" w:cs="宋体"/>
                      <w:b w:val="0"/>
                      <w:color w:val="auto"/>
                      <w:sz w:val="21"/>
                      <w:szCs w:val="21"/>
                      <w:shd w:val="clear" w:color="auto" w:fill="auto"/>
                      <w:lang w:val="en-US" w:eastAsia="zh-CN"/>
                    </w:rPr>
                    <w:t>颗粒物、非甲烷总烃、臭气浓度</w:t>
                  </w:r>
                </w:p>
              </w:tc>
              <w:tc>
                <w:tcPr>
                  <w:tcW w:w="782" w:type="pct"/>
                  <w:vAlign w:val="center"/>
                </w:tcPr>
                <w:p w14:paraId="37EB3F96">
                  <w:pPr>
                    <w:pStyle w:val="106"/>
                    <w:keepNext/>
                    <w:keepLines/>
                    <w:adjustRightInd w:val="0"/>
                    <w:snapToGrid w:val="0"/>
                    <w:spacing w:before="0" w:line="240" w:lineRule="auto"/>
                    <w:jc w:val="center"/>
                    <w:outlineLvl w:val="9"/>
                    <w:rPr>
                      <w:rFonts w:hint="eastAsia" w:eastAsia="宋体" w:cs="宋体"/>
                      <w:b w:val="0"/>
                      <w:color w:val="auto"/>
                      <w:sz w:val="21"/>
                      <w:szCs w:val="21"/>
                      <w:shd w:val="clear" w:color="auto" w:fill="auto"/>
                      <w:lang w:val="en-US" w:eastAsia="zh-CN"/>
                    </w:rPr>
                  </w:pPr>
                  <w:r>
                    <w:rPr>
                      <w:rFonts w:hint="eastAsia" w:cs="宋体"/>
                      <w:b w:val="0"/>
                      <w:color w:val="auto"/>
                      <w:sz w:val="21"/>
                      <w:szCs w:val="21"/>
                      <w:shd w:val="clear" w:color="auto" w:fill="auto"/>
                      <w:lang w:val="en-US" w:eastAsia="zh-CN"/>
                    </w:rPr>
                    <w:t>每半年/次</w:t>
                  </w:r>
                </w:p>
              </w:tc>
            </w:tr>
          </w:tbl>
          <w:p w14:paraId="1A141BEF">
            <w:pPr>
              <w:pStyle w:val="37"/>
              <w:keepNext w:val="0"/>
              <w:keepLines w:val="0"/>
              <w:pageBreakBefore w:val="0"/>
              <w:widowControl w:val="0"/>
              <w:kinsoku/>
              <w:wordWrap/>
              <w:overflowPunct/>
              <w:topLinePunct w:val="0"/>
              <w:autoSpaceDE/>
              <w:autoSpaceDN/>
              <w:bidi w:val="0"/>
              <w:adjustRightInd w:val="0"/>
              <w:snapToGrid w:val="0"/>
              <w:spacing w:after="0" w:line="500" w:lineRule="exact"/>
              <w:ind w:left="0" w:leftChars="0" w:firstLine="482" w:firstLineChars="200"/>
              <w:textAlignment w:val="auto"/>
              <w:rPr>
                <w:rFonts w:hint="eastAsia" w:ascii="Times New Roman" w:hAnsi="Times New Roman" w:eastAsia="宋体"/>
                <w:b/>
                <w:bCs/>
                <w:color w:val="auto"/>
                <w:sz w:val="24"/>
                <w:szCs w:val="24"/>
                <w:u w:val="none" w:color="auto"/>
                <w:shd w:val="clear" w:color="auto" w:fill="auto"/>
                <w:lang w:val="en-US" w:eastAsia="zh-CN"/>
              </w:rPr>
            </w:pPr>
            <w:r>
              <w:rPr>
                <w:rFonts w:hint="eastAsia"/>
                <w:b/>
                <w:bCs/>
                <w:color w:val="auto"/>
                <w:sz w:val="24"/>
                <w:szCs w:val="24"/>
                <w:u w:val="none" w:color="auto"/>
                <w:shd w:val="clear" w:color="auto" w:fill="auto"/>
                <w:lang w:val="en-US" w:eastAsia="zh-CN"/>
              </w:rPr>
              <w:t>6.</w:t>
            </w:r>
            <w:r>
              <w:rPr>
                <w:rFonts w:hint="eastAsia" w:ascii="Times New Roman" w:hAnsi="Times New Roman" w:eastAsia="宋体"/>
                <w:b/>
                <w:bCs/>
                <w:color w:val="auto"/>
                <w:sz w:val="24"/>
                <w:szCs w:val="24"/>
                <w:u w:val="none" w:color="auto"/>
                <w:shd w:val="clear" w:color="auto" w:fill="auto"/>
                <w:lang w:val="en-US" w:eastAsia="zh-CN"/>
              </w:rPr>
              <w:t>废气排放达标情况及其环境影响分析</w:t>
            </w:r>
          </w:p>
          <w:p w14:paraId="391396C0">
            <w:pPr>
              <w:pStyle w:val="37"/>
              <w:keepNext w:val="0"/>
              <w:keepLines w:val="0"/>
              <w:pageBreakBefore w:val="0"/>
              <w:widowControl w:val="0"/>
              <w:kinsoku/>
              <w:wordWrap/>
              <w:overflowPunct/>
              <w:topLinePunct w:val="0"/>
              <w:autoSpaceDE/>
              <w:autoSpaceDN/>
              <w:bidi w:val="0"/>
              <w:adjustRightInd w:val="0"/>
              <w:snapToGrid w:val="0"/>
              <w:spacing w:after="0" w:line="500" w:lineRule="exact"/>
              <w:ind w:left="0" w:leftChars="0" w:firstLine="480" w:firstLineChars="200"/>
              <w:jc w:val="both"/>
              <w:textAlignment w:val="auto"/>
              <w:rPr>
                <w:rFonts w:hint="default" w:ascii="Times New Roman" w:hAnsi="Times New Roman" w:eastAsia="宋体" w:cs="Times New Roman"/>
                <w:color w:val="auto"/>
                <w:sz w:val="24"/>
                <w:szCs w:val="24"/>
                <w:u w:val="none" w:color="auto"/>
                <w:shd w:val="clear" w:color="auto" w:fill="auto"/>
                <w:lang w:val="en-US" w:eastAsia="zh-CN"/>
              </w:rPr>
            </w:pPr>
            <w:r>
              <w:rPr>
                <w:rFonts w:hint="eastAsia" w:ascii="Times New Roman" w:hAnsi="Times New Roman" w:eastAsia="宋体"/>
                <w:color w:val="auto"/>
                <w:sz w:val="24"/>
                <w:szCs w:val="24"/>
                <w:shd w:val="clear" w:color="auto" w:fill="auto"/>
                <w:lang w:val="en-US" w:eastAsia="zh-CN"/>
              </w:rPr>
              <w:t>项目所在区域（</w:t>
            </w:r>
            <w:r>
              <w:rPr>
                <w:rFonts w:hint="eastAsia"/>
                <w:color w:val="auto"/>
                <w:sz w:val="24"/>
                <w:szCs w:val="24"/>
                <w:shd w:val="clear" w:color="auto" w:fill="auto"/>
                <w:lang w:val="en-US" w:eastAsia="zh-CN"/>
              </w:rPr>
              <w:t>柳东新区</w:t>
            </w:r>
            <w:r>
              <w:rPr>
                <w:rFonts w:hint="eastAsia" w:ascii="Times New Roman" w:hAnsi="Times New Roman" w:eastAsia="宋体"/>
                <w:color w:val="auto"/>
                <w:sz w:val="24"/>
                <w:szCs w:val="24"/>
                <w:shd w:val="clear" w:color="auto" w:fill="auto"/>
                <w:lang w:val="en-US" w:eastAsia="zh-CN"/>
              </w:rPr>
              <w:t>）大气环境属于达标区，项目厂界外500m范围内无敏感点，</w:t>
            </w:r>
            <w:r>
              <w:rPr>
                <w:rFonts w:hint="eastAsia" w:ascii="Times New Roman" w:hAnsi="Times New Roman" w:eastAsia="宋体"/>
                <w:color w:val="auto"/>
                <w:sz w:val="24"/>
                <w:szCs w:val="24"/>
                <w:shd w:val="clear" w:color="auto" w:fill="auto"/>
                <w:lang w:val="en-US" w:eastAsia="zh-CN"/>
              </w:rPr>
              <w:t>项目采取的大气污染治理措施</w:t>
            </w:r>
            <w:r>
              <w:rPr>
                <w:rFonts w:hint="eastAsia"/>
                <w:color w:val="auto"/>
                <w:sz w:val="24"/>
                <w:szCs w:val="24"/>
                <w:shd w:val="clear" w:color="auto" w:fill="auto"/>
                <w:lang w:val="en-US" w:eastAsia="zh-CN"/>
              </w:rPr>
              <w:t>均不属于2025年《国家污染防治技术指导目录》中低效类技术，</w:t>
            </w:r>
            <w:r>
              <w:rPr>
                <w:rFonts w:hint="eastAsia" w:ascii="Times New Roman" w:hAnsi="Times New Roman" w:eastAsia="宋体"/>
                <w:color w:val="auto"/>
                <w:sz w:val="24"/>
                <w:szCs w:val="24"/>
                <w:shd w:val="clear" w:color="auto" w:fill="auto"/>
                <w:lang w:val="en-US" w:eastAsia="zh-CN"/>
              </w:rPr>
              <w:t>为可行技术</w:t>
            </w:r>
            <w:r>
              <w:rPr>
                <w:rFonts w:hint="eastAsia" w:ascii="Times New Roman" w:hAnsi="Times New Roman" w:eastAsia="宋体"/>
                <w:color w:val="auto"/>
                <w:sz w:val="24"/>
                <w:szCs w:val="24"/>
                <w:shd w:val="clear" w:color="auto" w:fill="auto"/>
                <w:lang w:val="en-US" w:eastAsia="zh-CN"/>
              </w:rPr>
              <w:t>。</w:t>
            </w:r>
            <w:r>
              <w:rPr>
                <w:rFonts w:hint="eastAsia" w:cs="宋体"/>
                <w:color w:val="auto"/>
                <w:sz w:val="24"/>
                <w:szCs w:val="24"/>
              </w:rPr>
              <w:t>项目</w:t>
            </w:r>
            <w:r>
              <w:rPr>
                <w:rFonts w:hint="eastAsia" w:cs="宋体"/>
                <w:bCs/>
                <w:color w:val="auto"/>
                <w:kern w:val="0"/>
                <w:sz w:val="24"/>
                <w:szCs w:val="24"/>
                <w:lang w:val="en-US" w:eastAsia="zh-CN"/>
              </w:rPr>
              <w:t>DA001、DA002</w:t>
            </w:r>
            <w:r>
              <w:rPr>
                <w:rFonts w:hint="eastAsia" w:cs="宋体"/>
                <w:bCs/>
                <w:color w:val="auto"/>
                <w:kern w:val="0"/>
                <w:sz w:val="24"/>
                <w:szCs w:val="24"/>
              </w:rPr>
              <w:t>排气筒</w:t>
            </w:r>
            <w:r>
              <w:rPr>
                <w:rFonts w:hint="eastAsia" w:cs="宋体"/>
                <w:bCs/>
                <w:color w:val="auto"/>
                <w:kern w:val="0"/>
                <w:sz w:val="24"/>
                <w:szCs w:val="24"/>
                <w:lang w:val="en-US" w:eastAsia="zh-CN"/>
              </w:rPr>
              <w:t>颗粒物、二氧化硫、氮氧化物、非甲烷总烃</w:t>
            </w:r>
            <w:r>
              <w:rPr>
                <w:rFonts w:hint="eastAsia" w:cs="宋体"/>
                <w:color w:val="auto"/>
                <w:sz w:val="24"/>
                <w:szCs w:val="24"/>
              </w:rPr>
              <w:t>排放浓度</w:t>
            </w:r>
            <w:r>
              <w:rPr>
                <w:rFonts w:hint="eastAsia" w:cs="宋体"/>
                <w:color w:val="auto"/>
                <w:sz w:val="24"/>
                <w:szCs w:val="24"/>
                <w:lang w:val="en-US" w:eastAsia="zh-CN"/>
              </w:rPr>
              <w:t>均满足</w:t>
            </w:r>
            <w:r>
              <w:rPr>
                <w:rFonts w:ascii="宋体" w:hAnsi="宋体" w:eastAsia="宋体" w:cs="宋体"/>
                <w:color w:val="auto"/>
                <w:spacing w:val="9"/>
                <w:sz w:val="24"/>
                <w:szCs w:val="24"/>
              </w:rPr>
              <w:t>《大气污染物综合排</w:t>
            </w:r>
            <w:r>
              <w:rPr>
                <w:rFonts w:ascii="宋体" w:hAnsi="宋体" w:eastAsia="宋体" w:cs="宋体"/>
                <w:color w:val="auto"/>
                <w:spacing w:val="8"/>
                <w:sz w:val="24"/>
                <w:szCs w:val="24"/>
              </w:rPr>
              <w:t>放标准》</w:t>
            </w:r>
            <w:r>
              <w:rPr>
                <w:rFonts w:ascii="宋体" w:hAnsi="宋体" w:eastAsia="宋体" w:cs="宋体"/>
                <w:color w:val="auto"/>
                <w:sz w:val="24"/>
                <w:szCs w:val="24"/>
              </w:rPr>
              <w:t xml:space="preserve"> （</w:t>
            </w:r>
            <w:r>
              <w:rPr>
                <w:rFonts w:ascii="Times New Roman" w:hAnsi="Times New Roman" w:eastAsia="Times New Roman" w:cs="Times New Roman"/>
                <w:color w:val="auto"/>
                <w:sz w:val="24"/>
                <w:szCs w:val="24"/>
              </w:rPr>
              <w:t>GB16297-1996</w:t>
            </w:r>
            <w:r>
              <w:rPr>
                <w:rFonts w:ascii="宋体" w:hAnsi="宋体" w:eastAsia="宋体" w:cs="宋体"/>
                <w:color w:val="auto"/>
                <w:spacing w:val="-12"/>
                <w:sz w:val="24"/>
                <w:szCs w:val="24"/>
              </w:rPr>
              <w:t>）（</w:t>
            </w:r>
            <w:r>
              <w:rPr>
                <w:rFonts w:ascii="宋体" w:hAnsi="宋体" w:eastAsia="宋体" w:cs="宋体"/>
                <w:color w:val="auto"/>
                <w:sz w:val="24"/>
                <w:szCs w:val="24"/>
              </w:rPr>
              <w:t>新污染源）二级标准要求</w:t>
            </w:r>
            <w:r>
              <w:rPr>
                <w:rFonts w:hint="eastAsia" w:ascii="Times New Roman" w:hAnsi="Times New Roman" w:eastAsia="宋体"/>
                <w:color w:val="auto"/>
                <w:sz w:val="24"/>
                <w:szCs w:val="24"/>
                <w:shd w:val="clear" w:color="auto" w:fill="auto"/>
                <w:lang w:val="en-US" w:eastAsia="zh-CN"/>
              </w:rPr>
              <w:t>。综上所述，本项目废气排放对环境影响不大。</w:t>
            </w:r>
          </w:p>
          <w:p w14:paraId="067A49AB">
            <w:pPr>
              <w:pStyle w:val="37"/>
              <w:keepNext w:val="0"/>
              <w:keepLines w:val="0"/>
              <w:pageBreakBefore w:val="0"/>
              <w:widowControl w:val="0"/>
              <w:kinsoku/>
              <w:wordWrap/>
              <w:overflowPunct/>
              <w:topLinePunct w:val="0"/>
              <w:autoSpaceDE/>
              <w:autoSpaceDN/>
              <w:bidi w:val="0"/>
              <w:adjustRightInd w:val="0"/>
              <w:snapToGrid w:val="0"/>
              <w:spacing w:after="0" w:line="500" w:lineRule="exact"/>
              <w:ind w:left="0" w:leftChars="0" w:firstLine="482" w:firstLineChars="200"/>
              <w:jc w:val="both"/>
              <w:textAlignment w:val="auto"/>
              <w:rPr>
                <w:rFonts w:hint="default" w:ascii="Times New Roman" w:hAnsi="Times New Roman" w:eastAsia="宋体" w:cs="Times New Roman"/>
                <w:b/>
                <w:bCs/>
                <w:color w:val="auto"/>
                <w:sz w:val="24"/>
                <w:szCs w:val="24"/>
                <w:u w:val="none" w:color="auto"/>
                <w:shd w:val="clear" w:color="auto" w:fill="auto"/>
                <w:lang w:val="en-US" w:eastAsia="zh-CN"/>
              </w:rPr>
            </w:pPr>
            <w:r>
              <w:rPr>
                <w:rFonts w:hint="eastAsia" w:cs="Times New Roman"/>
                <w:b/>
                <w:bCs/>
                <w:color w:val="auto"/>
                <w:sz w:val="24"/>
                <w:szCs w:val="24"/>
                <w:u w:val="none" w:color="auto"/>
                <w:shd w:val="clear" w:color="auto" w:fill="auto"/>
                <w:lang w:val="en-US" w:eastAsia="zh-CN"/>
              </w:rPr>
              <w:t>7.</w:t>
            </w:r>
            <w:r>
              <w:rPr>
                <w:rFonts w:hint="default" w:ascii="Times New Roman" w:hAnsi="Times New Roman" w:eastAsia="宋体" w:cs="Times New Roman"/>
                <w:b/>
                <w:bCs/>
                <w:color w:val="auto"/>
                <w:sz w:val="24"/>
                <w:szCs w:val="24"/>
                <w:u w:val="none" w:color="auto"/>
                <w:shd w:val="clear" w:color="auto" w:fill="auto"/>
                <w:lang w:val="en-US" w:eastAsia="zh-CN"/>
              </w:rPr>
              <w:t>废气治理措施可行性分析</w:t>
            </w:r>
          </w:p>
          <w:p w14:paraId="6F45B5AD">
            <w:pPr>
              <w:keepNext w:val="0"/>
              <w:keepLines w:val="0"/>
              <w:pageBreakBefore w:val="0"/>
              <w:widowControl w:val="0"/>
              <w:kinsoku/>
              <w:wordWrap/>
              <w:overflowPunct/>
              <w:topLinePunct w:val="0"/>
              <w:autoSpaceDE/>
              <w:autoSpaceDN/>
              <w:bidi w:val="0"/>
              <w:adjustRightInd/>
              <w:snapToGrid/>
              <w:spacing w:line="500" w:lineRule="exact"/>
              <w:ind w:left="0" w:firstLine="468" w:firstLineChars="200"/>
              <w:textAlignment w:val="auto"/>
              <w:rPr>
                <w:rFonts w:ascii="宋体" w:hAnsi="宋体" w:eastAsia="宋体" w:cs="宋体"/>
                <w:color w:val="auto"/>
                <w:sz w:val="24"/>
                <w:szCs w:val="24"/>
              </w:rPr>
            </w:pPr>
            <w:r>
              <w:rPr>
                <w:rFonts w:hint="default" w:ascii="Times New Roman" w:hAnsi="Times New Roman" w:eastAsia="宋体" w:cs="Times New Roman"/>
                <w:color w:val="auto"/>
                <w:spacing w:val="-3"/>
                <w:sz w:val="24"/>
                <w:szCs w:val="24"/>
              </w:rPr>
              <w:t>根据</w:t>
            </w:r>
            <w:r>
              <w:rPr>
                <w:rFonts w:hint="default" w:ascii="Times New Roman" w:hAnsi="Times New Roman" w:cs="Times New Roman"/>
                <w:b w:val="0"/>
                <w:color w:val="auto"/>
                <w:sz w:val="24"/>
                <w:szCs w:val="24"/>
                <w:shd w:val="clear" w:color="auto" w:fill="auto"/>
              </w:rPr>
              <w:t>《排污许可证申请与核发技术规范 铁路、船舶、航空航天和其他运输设备制造业</w:t>
            </w:r>
            <w:r>
              <w:rPr>
                <w:rFonts w:hint="default" w:ascii="Times New Roman" w:hAnsi="Times New Roman" w:cs="Times New Roman"/>
                <w:b w:val="0"/>
                <w:color w:val="auto"/>
                <w:sz w:val="24"/>
                <w:szCs w:val="24"/>
                <w:shd w:val="clear" w:color="auto" w:fill="auto"/>
                <w:lang w:eastAsia="zh-CN"/>
              </w:rPr>
              <w:t>》</w:t>
            </w:r>
            <w:r>
              <w:rPr>
                <w:rFonts w:hint="default" w:ascii="Times New Roman" w:hAnsi="Times New Roman" w:cs="Times New Roman"/>
                <w:b w:val="0"/>
                <w:color w:val="auto"/>
                <w:sz w:val="24"/>
                <w:szCs w:val="24"/>
                <w:shd w:val="clear" w:color="auto" w:fill="auto"/>
              </w:rPr>
              <w:t>（HJ 1124—2020）</w:t>
            </w:r>
            <w:r>
              <w:rPr>
                <w:rFonts w:hint="default" w:ascii="Times New Roman" w:hAnsi="Times New Roman" w:cs="Times New Roman"/>
                <w:b w:val="0"/>
                <w:color w:val="auto"/>
                <w:sz w:val="24"/>
                <w:szCs w:val="24"/>
                <w:shd w:val="clear" w:color="auto" w:fill="auto"/>
                <w:lang w:eastAsia="zh-CN"/>
              </w:rPr>
              <w:t>：“</w:t>
            </w:r>
            <w:r>
              <w:rPr>
                <w:rFonts w:hint="eastAsia" w:cs="Times New Roman"/>
                <w:b w:val="0"/>
                <w:color w:val="auto"/>
                <w:sz w:val="24"/>
                <w:szCs w:val="24"/>
                <w:shd w:val="clear" w:color="auto" w:fill="auto"/>
                <w:lang w:val="en-US" w:eastAsia="zh-CN"/>
              </w:rPr>
              <w:t>干式切割颗粒物</w:t>
            </w:r>
            <w:r>
              <w:rPr>
                <w:rFonts w:hint="default" w:ascii="Times New Roman" w:hAnsi="Times New Roman" w:cs="Times New Roman"/>
                <w:b w:val="0"/>
                <w:color w:val="auto"/>
                <w:sz w:val="24"/>
                <w:szCs w:val="24"/>
                <w:shd w:val="clear" w:color="auto" w:fill="auto"/>
                <w:lang w:val="en-US" w:eastAsia="zh-CN"/>
              </w:rPr>
              <w:t>污染防治设施包含</w:t>
            </w:r>
            <w:r>
              <w:rPr>
                <w:rFonts w:hint="eastAsia" w:ascii="Times New Roman" w:hAnsi="Times New Roman" w:cs="Times New Roman"/>
                <w:b w:val="0"/>
                <w:color w:val="auto"/>
                <w:sz w:val="24"/>
                <w:szCs w:val="24"/>
                <w:shd w:val="clear" w:color="auto" w:fill="auto"/>
                <w:lang w:val="en-US" w:eastAsia="zh-CN"/>
              </w:rPr>
              <w:t>除尘设施、袋式除尘、静电除尘</w:t>
            </w:r>
            <w:r>
              <w:rPr>
                <w:rFonts w:hint="eastAsia" w:cs="Times New Roman"/>
                <w:b w:val="0"/>
                <w:color w:val="auto"/>
                <w:sz w:val="24"/>
                <w:szCs w:val="24"/>
                <w:shd w:val="clear" w:color="auto" w:fill="auto"/>
                <w:lang w:val="en-US" w:eastAsia="zh-CN"/>
              </w:rPr>
              <w:t>；</w:t>
            </w:r>
            <w:r>
              <w:rPr>
                <w:rFonts w:hint="default" w:ascii="Times New Roman" w:hAnsi="Times New Roman" w:cs="Times New Roman"/>
                <w:b w:val="0"/>
                <w:color w:val="auto"/>
                <w:sz w:val="24"/>
                <w:szCs w:val="24"/>
                <w:shd w:val="clear" w:color="auto" w:fill="auto"/>
                <w:lang w:val="en-US" w:eastAsia="zh-CN"/>
              </w:rPr>
              <w:t>焊接颗粒物污染防治设施包含烟尘净化装置、袋式除尘，化学预处理污染防治设施包含喷淋塔、碱液吸收，涂装电泳挥发性有机物污染防治设施包</w:t>
            </w:r>
            <w:r>
              <w:rPr>
                <w:rFonts w:hint="eastAsia"/>
                <w:b w:val="0"/>
                <w:color w:val="auto"/>
                <w:sz w:val="24"/>
                <w:szCs w:val="24"/>
                <w:shd w:val="clear" w:color="auto" w:fill="auto"/>
                <w:lang w:val="en-US" w:eastAsia="zh-CN"/>
              </w:rPr>
              <w:t>含活性炭吸附，电泳及喷粉烘干挥发性有机物污染防治设施包含热力焚烧/催化氧化、吸附/浓缩+热力燃烧/催化氧化；粉末喷粉颗粒物污染防治设施包含除尘设施、袋式除尘</w:t>
            </w:r>
            <w:r>
              <w:rPr>
                <w:rFonts w:hint="eastAsia"/>
                <w:b w:val="0"/>
                <w:color w:val="auto"/>
                <w:sz w:val="24"/>
                <w:szCs w:val="24"/>
                <w:shd w:val="clear" w:color="auto" w:fill="auto"/>
                <w:lang w:eastAsia="zh-CN"/>
              </w:rPr>
              <w:t>”，</w:t>
            </w:r>
            <w:r>
              <w:rPr>
                <w:rFonts w:ascii="宋体" w:hAnsi="宋体" w:eastAsia="宋体" w:cs="宋体"/>
                <w:color w:val="auto"/>
                <w:spacing w:val="-1"/>
                <w:sz w:val="24"/>
                <w:szCs w:val="24"/>
              </w:rPr>
              <w:t>本项目</w:t>
            </w:r>
            <w:r>
              <w:rPr>
                <w:rFonts w:hint="eastAsia" w:ascii="宋体" w:hAnsi="宋体" w:cs="宋体"/>
                <w:color w:val="auto"/>
                <w:spacing w:val="-1"/>
                <w:sz w:val="24"/>
                <w:szCs w:val="24"/>
                <w:lang w:val="en-US" w:eastAsia="zh-CN"/>
              </w:rPr>
              <w:t>机加工废气及焊接废气采取移动式焊接烟尘净化器措施，喷砂、电泳、电泳烘干、喷粉烘干废气采用水喷淋+二级活性炭</w:t>
            </w:r>
            <w:r>
              <w:rPr>
                <w:rFonts w:hint="eastAsia" w:cs="Times New Roman"/>
                <w:color w:val="auto"/>
                <w:sz w:val="24"/>
                <w:szCs w:val="24"/>
                <w:highlight w:val="none"/>
                <w:lang w:val="en-US" w:eastAsia="zh-CN"/>
              </w:rPr>
              <w:t>（含干式过滤棉）</w:t>
            </w:r>
            <w:r>
              <w:rPr>
                <w:rFonts w:hint="eastAsia" w:ascii="宋体" w:hAnsi="宋体" w:cs="宋体"/>
                <w:color w:val="auto"/>
                <w:spacing w:val="-1"/>
                <w:sz w:val="24"/>
                <w:szCs w:val="24"/>
                <w:lang w:val="en-US" w:eastAsia="zh-CN"/>
              </w:rPr>
              <w:t>措施，喷粉废气采取粉料回收系统</w:t>
            </w:r>
            <w:r>
              <w:rPr>
                <w:rFonts w:ascii="宋体" w:hAnsi="宋体" w:eastAsia="宋体" w:cs="宋体"/>
                <w:color w:val="auto"/>
                <w:sz w:val="24"/>
                <w:szCs w:val="24"/>
              </w:rPr>
              <w:t>，属于</w:t>
            </w:r>
            <w:r>
              <w:rPr>
                <w:rFonts w:ascii="宋体" w:hAnsi="宋体" w:eastAsia="宋体" w:cs="宋体"/>
                <w:color w:val="auto"/>
                <w:spacing w:val="-37"/>
                <w:sz w:val="24"/>
                <w:szCs w:val="24"/>
              </w:rPr>
              <w:t xml:space="preserve"> </w:t>
            </w:r>
            <w:r>
              <w:rPr>
                <w:rFonts w:ascii="Times New Roman" w:hAnsi="Times New Roman" w:eastAsia="Times New Roman" w:cs="Times New Roman"/>
                <w:color w:val="auto"/>
                <w:sz w:val="24"/>
                <w:szCs w:val="24"/>
              </w:rPr>
              <w:t>HJ1032</w:t>
            </w:r>
            <w:r>
              <w:rPr>
                <w:rFonts w:ascii="宋体" w:hAnsi="宋体" w:eastAsia="宋体" w:cs="宋体"/>
                <w:color w:val="auto"/>
                <w:sz w:val="24"/>
                <w:szCs w:val="24"/>
              </w:rPr>
              <w:t>中可行的污染防治工艺。</w:t>
            </w:r>
          </w:p>
          <w:p w14:paraId="5B2B264F">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Times New Roman" w:hAnsi="Times New Roman" w:eastAsia="宋体" w:cs="Times New Roman"/>
                <w:color w:val="auto"/>
                <w:sz w:val="24"/>
                <w:szCs w:val="24"/>
                <w:shd w:val="clear" w:color="auto" w:fill="auto"/>
                <w:lang w:val="en-US" w:eastAsia="zh-CN"/>
              </w:rPr>
            </w:pPr>
            <w:r>
              <w:rPr>
                <w:rFonts w:ascii="宋体" w:hAnsi="宋体" w:eastAsia="宋体" w:cs="宋体"/>
                <w:color w:val="auto"/>
                <w:sz w:val="24"/>
                <w:szCs w:val="24"/>
              </w:rPr>
              <w:t>因此，</w:t>
            </w:r>
            <w:r>
              <w:rPr>
                <w:rFonts w:hint="eastAsia" w:ascii="宋体" w:hAnsi="宋体" w:cs="宋体"/>
                <w:color w:val="auto"/>
                <w:sz w:val="24"/>
                <w:szCs w:val="24"/>
                <w:lang w:val="en-US" w:eastAsia="zh-CN"/>
              </w:rPr>
              <w:t>本项目采取的</w:t>
            </w:r>
            <w:r>
              <w:rPr>
                <w:rFonts w:ascii="宋体" w:hAnsi="宋体" w:eastAsia="宋体" w:cs="宋体"/>
                <w:color w:val="auto"/>
                <w:spacing w:val="-1"/>
                <w:sz w:val="24"/>
                <w:szCs w:val="24"/>
              </w:rPr>
              <w:t>污染防治措施是可行的</w:t>
            </w:r>
            <w:r>
              <w:rPr>
                <w:rFonts w:hint="eastAsia" w:ascii="宋体" w:hAnsi="宋体" w:eastAsia="宋体" w:cs="宋体"/>
                <w:color w:val="auto"/>
                <w:spacing w:val="-1"/>
                <w:sz w:val="24"/>
                <w:szCs w:val="24"/>
                <w:lang w:eastAsia="zh-CN"/>
              </w:rPr>
              <w:t>。</w:t>
            </w:r>
          </w:p>
          <w:p w14:paraId="4D57A12F">
            <w:pPr>
              <w:pStyle w:val="37"/>
              <w:spacing w:after="0" w:line="240" w:lineRule="atLeast"/>
              <w:ind w:leftChars="0" w:firstLine="0" w:firstLineChars="0"/>
              <w:jc w:val="center"/>
              <w:rPr>
                <w:rFonts w:hint="default" w:ascii="Times New Roman" w:hAnsi="Times New Roman" w:eastAsia="宋体" w:cs="Times New Roman"/>
                <w:b/>
                <w:bCs/>
                <w:color w:val="auto"/>
                <w:sz w:val="24"/>
                <w:szCs w:val="24"/>
                <w:highlight w:val="none"/>
                <w:shd w:val="clear" w:color="auto" w:fill="auto"/>
              </w:rPr>
            </w:pPr>
          </w:p>
          <w:p w14:paraId="59423167">
            <w:pPr>
              <w:pStyle w:val="37"/>
              <w:spacing w:after="0" w:line="240" w:lineRule="atLeast"/>
              <w:ind w:leftChars="0" w:firstLine="0" w:firstLineChars="0"/>
              <w:jc w:val="center"/>
              <w:rPr>
                <w:rFonts w:hint="default" w:ascii="Times New Roman" w:hAnsi="Times New Roman" w:eastAsia="宋体" w:cs="Times New Roman"/>
                <w:b/>
                <w:bCs/>
                <w:color w:val="auto"/>
                <w:sz w:val="24"/>
                <w:szCs w:val="24"/>
                <w:highlight w:val="none"/>
                <w:shd w:val="clear" w:color="auto" w:fill="auto"/>
              </w:rPr>
            </w:pPr>
          </w:p>
          <w:p w14:paraId="5C74716F">
            <w:pPr>
              <w:pStyle w:val="37"/>
              <w:spacing w:after="0" w:line="240" w:lineRule="atLeast"/>
              <w:ind w:leftChars="0" w:firstLine="0" w:firstLineChars="0"/>
              <w:jc w:val="center"/>
              <w:rPr>
                <w:rFonts w:hint="default" w:ascii="Times New Roman" w:hAnsi="Times New Roman" w:eastAsia="宋体" w:cs="Times New Roman"/>
                <w:b/>
                <w:bCs/>
                <w:color w:val="auto"/>
                <w:sz w:val="24"/>
                <w:szCs w:val="24"/>
                <w:highlight w:val="none"/>
                <w:shd w:val="clear" w:color="auto" w:fill="auto"/>
              </w:rPr>
            </w:pPr>
          </w:p>
          <w:p w14:paraId="7BA6FA2D">
            <w:pPr>
              <w:pStyle w:val="37"/>
              <w:spacing w:after="0" w:line="240" w:lineRule="atLeast"/>
              <w:ind w:leftChars="0" w:firstLine="0" w:firstLineChars="0"/>
              <w:jc w:val="center"/>
              <w:rPr>
                <w:rFonts w:hint="default" w:ascii="Times New Roman" w:hAnsi="Times New Roman" w:eastAsia="宋体" w:cs="Times New Roman"/>
                <w:b/>
                <w:bCs/>
                <w:color w:val="auto"/>
                <w:sz w:val="24"/>
                <w:szCs w:val="24"/>
                <w:highlight w:val="none"/>
                <w:shd w:val="clear" w:color="auto" w:fill="auto"/>
              </w:rPr>
            </w:pPr>
          </w:p>
          <w:p w14:paraId="509EF9F8">
            <w:pPr>
              <w:pStyle w:val="37"/>
              <w:spacing w:after="0" w:line="240" w:lineRule="atLeast"/>
              <w:ind w:leftChars="0" w:firstLine="0" w:firstLineChars="0"/>
              <w:jc w:val="center"/>
              <w:rPr>
                <w:rFonts w:hint="default" w:ascii="Times New Roman" w:hAnsi="Times New Roman" w:eastAsia="宋体" w:cs="Times New Roman"/>
                <w:b/>
                <w:bCs/>
                <w:color w:val="auto"/>
                <w:sz w:val="24"/>
                <w:szCs w:val="24"/>
                <w:highlight w:val="none"/>
                <w:shd w:val="clear" w:color="auto" w:fill="auto"/>
              </w:rPr>
            </w:pPr>
          </w:p>
          <w:p w14:paraId="51A5C493">
            <w:pPr>
              <w:pStyle w:val="37"/>
              <w:spacing w:after="0" w:line="240" w:lineRule="atLeast"/>
              <w:ind w:leftChars="0" w:firstLine="0" w:firstLineChars="0"/>
              <w:jc w:val="center"/>
              <w:rPr>
                <w:rFonts w:hint="default" w:ascii="Times New Roman" w:hAnsi="Times New Roman" w:eastAsia="宋体" w:cs="Times New Roman"/>
                <w:b/>
                <w:bCs/>
                <w:color w:val="auto"/>
                <w:sz w:val="24"/>
                <w:szCs w:val="24"/>
                <w:highlight w:val="none"/>
                <w:shd w:val="clear" w:color="auto" w:fill="auto"/>
              </w:rPr>
            </w:pPr>
          </w:p>
          <w:p w14:paraId="28894F0C">
            <w:pPr>
              <w:pStyle w:val="37"/>
              <w:spacing w:after="0" w:line="240" w:lineRule="atLeast"/>
              <w:ind w:leftChars="0" w:firstLine="0" w:firstLineChars="0"/>
              <w:jc w:val="center"/>
              <w:rPr>
                <w:rFonts w:hint="default" w:ascii="Times New Roman" w:hAnsi="Times New Roman" w:eastAsia="宋体" w:cs="Times New Roman"/>
                <w:b/>
                <w:bCs/>
                <w:color w:val="auto"/>
                <w:sz w:val="24"/>
                <w:szCs w:val="24"/>
                <w:highlight w:val="none"/>
                <w:shd w:val="clear" w:color="auto" w:fill="auto"/>
              </w:rPr>
            </w:pPr>
          </w:p>
          <w:p w14:paraId="1AB2EB65">
            <w:pPr>
              <w:pStyle w:val="37"/>
              <w:spacing w:after="0" w:line="240" w:lineRule="atLeast"/>
              <w:ind w:leftChars="0" w:firstLine="0" w:firstLineChars="0"/>
              <w:jc w:val="center"/>
              <w:rPr>
                <w:rFonts w:hint="default" w:ascii="Times New Roman" w:hAnsi="Times New Roman" w:eastAsia="宋体" w:cs="Times New Roman"/>
                <w:b/>
                <w:bCs/>
                <w:color w:val="auto"/>
                <w:sz w:val="24"/>
                <w:szCs w:val="24"/>
                <w:highlight w:val="none"/>
                <w:shd w:val="clear" w:color="auto" w:fill="auto"/>
              </w:rPr>
            </w:pPr>
          </w:p>
          <w:p w14:paraId="6445FCB1">
            <w:pPr>
              <w:pStyle w:val="37"/>
              <w:spacing w:after="0" w:line="240" w:lineRule="atLeast"/>
              <w:ind w:leftChars="0" w:firstLine="0" w:firstLineChars="0"/>
              <w:jc w:val="center"/>
              <w:rPr>
                <w:rFonts w:hint="default" w:ascii="Times New Roman" w:hAnsi="Times New Roman" w:eastAsia="宋体" w:cs="Times New Roman"/>
                <w:b/>
                <w:bCs/>
                <w:color w:val="auto"/>
                <w:sz w:val="24"/>
                <w:szCs w:val="24"/>
                <w:highlight w:val="none"/>
                <w:shd w:val="clear" w:color="auto" w:fill="auto"/>
              </w:rPr>
            </w:pPr>
          </w:p>
          <w:p w14:paraId="6B1FC735">
            <w:pPr>
              <w:pStyle w:val="37"/>
              <w:spacing w:after="0" w:line="240" w:lineRule="atLeast"/>
              <w:ind w:leftChars="0" w:firstLine="0" w:firstLineChars="0"/>
              <w:jc w:val="center"/>
              <w:rPr>
                <w:rFonts w:hint="default" w:ascii="Times New Roman" w:hAnsi="Times New Roman" w:eastAsia="宋体" w:cs="Times New Roman"/>
                <w:b/>
                <w:bCs/>
                <w:color w:val="auto"/>
                <w:sz w:val="24"/>
                <w:szCs w:val="24"/>
                <w:highlight w:val="none"/>
                <w:shd w:val="clear" w:color="auto" w:fill="auto"/>
              </w:rPr>
            </w:pPr>
          </w:p>
          <w:p w14:paraId="750CE50C">
            <w:pPr>
              <w:pStyle w:val="37"/>
              <w:spacing w:after="0" w:line="240" w:lineRule="atLeast"/>
              <w:ind w:leftChars="0" w:firstLine="0" w:firstLineChars="0"/>
              <w:jc w:val="center"/>
              <w:rPr>
                <w:rFonts w:hint="default" w:ascii="Times New Roman" w:hAnsi="Times New Roman" w:eastAsia="宋体" w:cs="Times New Roman"/>
                <w:b/>
                <w:bCs/>
                <w:color w:val="auto"/>
                <w:sz w:val="24"/>
                <w:szCs w:val="24"/>
                <w:highlight w:val="none"/>
                <w:shd w:val="clear" w:color="auto" w:fill="auto"/>
              </w:rPr>
            </w:pPr>
          </w:p>
          <w:p w14:paraId="3CDCDE0D">
            <w:pPr>
              <w:pStyle w:val="37"/>
              <w:spacing w:after="0" w:line="240" w:lineRule="atLeast"/>
              <w:ind w:leftChars="0" w:firstLine="0" w:firstLineChars="0"/>
              <w:jc w:val="center"/>
              <w:rPr>
                <w:rFonts w:hint="default" w:ascii="Times New Roman" w:hAnsi="Times New Roman" w:eastAsia="宋体" w:cs="Times New Roman"/>
                <w:b/>
                <w:bCs/>
                <w:color w:val="auto"/>
                <w:sz w:val="24"/>
                <w:szCs w:val="24"/>
                <w:highlight w:val="none"/>
                <w:shd w:val="clear" w:color="auto" w:fill="auto"/>
              </w:rPr>
            </w:pPr>
          </w:p>
          <w:p w14:paraId="708B3D1F">
            <w:pPr>
              <w:pStyle w:val="37"/>
              <w:spacing w:after="0" w:line="240" w:lineRule="atLeast"/>
              <w:ind w:leftChars="0" w:firstLine="0" w:firstLineChars="0"/>
              <w:jc w:val="center"/>
              <w:rPr>
                <w:rFonts w:hint="default" w:ascii="Times New Roman" w:hAnsi="Times New Roman" w:eastAsia="宋体" w:cs="Times New Roman"/>
                <w:color w:val="auto"/>
                <w:sz w:val="24"/>
                <w:szCs w:val="24"/>
                <w:highlight w:val="none"/>
                <w:shd w:val="clear" w:color="auto" w:fill="auto"/>
              </w:rPr>
            </w:pPr>
            <w:r>
              <w:rPr>
                <w:rFonts w:hint="default" w:ascii="Times New Roman" w:hAnsi="Times New Roman" w:eastAsia="宋体" w:cs="Times New Roman"/>
                <w:b/>
                <w:bCs/>
                <w:color w:val="auto"/>
                <w:sz w:val="24"/>
                <w:szCs w:val="24"/>
                <w:highlight w:val="none"/>
                <w:shd w:val="clear" w:color="auto" w:fill="auto"/>
              </w:rPr>
              <w:t>表4</w:t>
            </w:r>
            <w:r>
              <w:rPr>
                <w:rFonts w:hint="eastAsia" w:cs="Times New Roman"/>
                <w:b/>
                <w:bCs/>
                <w:color w:val="auto"/>
                <w:sz w:val="24"/>
                <w:szCs w:val="24"/>
                <w:highlight w:val="none"/>
                <w:shd w:val="clear" w:color="auto" w:fill="auto"/>
                <w:lang w:val="en-US" w:eastAsia="zh-CN"/>
              </w:rPr>
              <w:t>-12</w:t>
            </w:r>
            <w:r>
              <w:rPr>
                <w:rFonts w:hint="default" w:ascii="Times New Roman" w:hAnsi="Times New Roman" w:eastAsia="宋体" w:cs="Times New Roman"/>
                <w:b/>
                <w:bCs/>
                <w:color w:val="auto"/>
                <w:sz w:val="24"/>
                <w:szCs w:val="24"/>
                <w:highlight w:val="none"/>
                <w:shd w:val="clear" w:color="auto" w:fill="auto"/>
              </w:rPr>
              <w:t xml:space="preserve">  </w:t>
            </w:r>
            <w:r>
              <w:rPr>
                <w:rFonts w:hint="default" w:ascii="Times New Roman" w:hAnsi="Times New Roman" w:eastAsia="宋体" w:cs="Times New Roman"/>
                <w:b/>
                <w:bCs/>
                <w:color w:val="auto"/>
                <w:sz w:val="24"/>
                <w:szCs w:val="24"/>
                <w:highlight w:val="none"/>
                <w:shd w:val="clear" w:color="auto" w:fill="auto"/>
              </w:rPr>
              <w:t>治理设施和排放口基本情况一览表</w:t>
            </w:r>
          </w:p>
          <w:tbl>
            <w:tblPr>
              <w:tblStyle w:val="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
              <w:gridCol w:w="656"/>
              <w:gridCol w:w="1060"/>
              <w:gridCol w:w="906"/>
              <w:gridCol w:w="405"/>
              <w:gridCol w:w="483"/>
              <w:gridCol w:w="748"/>
              <w:gridCol w:w="591"/>
              <w:gridCol w:w="355"/>
              <w:gridCol w:w="356"/>
              <w:gridCol w:w="664"/>
              <w:gridCol w:w="1259"/>
            </w:tblGrid>
            <w:tr w14:paraId="7F360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dxa"/>
                  <w:vMerge w:val="restart"/>
                  <w:vAlign w:val="center"/>
                </w:tcPr>
                <w:p w14:paraId="4A0E831C">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产排污环节</w:t>
                  </w:r>
                </w:p>
              </w:tc>
              <w:tc>
                <w:tcPr>
                  <w:tcW w:w="3027" w:type="dxa"/>
                  <w:gridSpan w:val="4"/>
                  <w:vAlign w:val="center"/>
                </w:tcPr>
                <w:p w14:paraId="117F66F2">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治理设施</w:t>
                  </w:r>
                </w:p>
              </w:tc>
              <w:tc>
                <w:tcPr>
                  <w:tcW w:w="4456" w:type="dxa"/>
                  <w:gridSpan w:val="7"/>
                  <w:vAlign w:val="center"/>
                </w:tcPr>
                <w:p w14:paraId="47A490BA">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排放口基本情况</w:t>
                  </w:r>
                </w:p>
              </w:tc>
            </w:tr>
            <w:tr w14:paraId="7A60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dxa"/>
                  <w:vMerge w:val="continue"/>
                  <w:vAlign w:val="center"/>
                </w:tcPr>
                <w:p w14:paraId="3F72F02E">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656" w:type="dxa"/>
                  <w:vAlign w:val="center"/>
                </w:tcPr>
                <w:p w14:paraId="7AB90167">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治理设施</w:t>
                  </w:r>
                </w:p>
              </w:tc>
              <w:tc>
                <w:tcPr>
                  <w:tcW w:w="1060" w:type="dxa"/>
                  <w:vAlign w:val="center"/>
                </w:tcPr>
                <w:p w14:paraId="70065F9B">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处理能力</w:t>
                  </w:r>
                </w:p>
              </w:tc>
              <w:tc>
                <w:tcPr>
                  <w:tcW w:w="906" w:type="dxa"/>
                  <w:vAlign w:val="center"/>
                </w:tcPr>
                <w:p w14:paraId="53DB98A6">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治理工艺去除率</w:t>
                  </w:r>
                </w:p>
              </w:tc>
              <w:tc>
                <w:tcPr>
                  <w:tcW w:w="405" w:type="dxa"/>
                  <w:vAlign w:val="center"/>
                </w:tcPr>
                <w:p w14:paraId="097838B3">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是否为可行技术</w:t>
                  </w:r>
                </w:p>
              </w:tc>
              <w:tc>
                <w:tcPr>
                  <w:tcW w:w="483" w:type="dxa"/>
                  <w:vAlign w:val="center"/>
                </w:tcPr>
                <w:p w14:paraId="4384C019">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高度</w:t>
                  </w:r>
                  <w:r>
                    <w:rPr>
                      <w:rFonts w:hint="eastAsia" w:cs="Times New Roman"/>
                      <w:color w:val="auto"/>
                      <w:sz w:val="21"/>
                      <w:szCs w:val="21"/>
                      <w:highlight w:val="none"/>
                      <w:shd w:val="clear" w:color="auto" w:fill="auto"/>
                      <w:lang w:eastAsia="zh-CN"/>
                    </w:rPr>
                    <w:t>（</w:t>
                  </w:r>
                  <w:r>
                    <w:rPr>
                      <w:rFonts w:hint="default" w:ascii="Times New Roman" w:hAnsi="Times New Roman" w:eastAsia="宋体" w:cs="Times New Roman"/>
                      <w:color w:val="auto"/>
                      <w:sz w:val="21"/>
                      <w:szCs w:val="21"/>
                      <w:highlight w:val="none"/>
                      <w:shd w:val="clear" w:color="auto" w:fill="auto"/>
                    </w:rPr>
                    <w:t>m</w:t>
                  </w:r>
                  <w:r>
                    <w:rPr>
                      <w:rFonts w:hint="eastAsia" w:cs="Times New Roman"/>
                      <w:color w:val="auto"/>
                      <w:sz w:val="21"/>
                      <w:szCs w:val="21"/>
                      <w:highlight w:val="none"/>
                      <w:shd w:val="clear" w:color="auto" w:fill="auto"/>
                      <w:lang w:eastAsia="zh-CN"/>
                    </w:rPr>
                    <w:t>）</w:t>
                  </w:r>
                </w:p>
              </w:tc>
              <w:tc>
                <w:tcPr>
                  <w:tcW w:w="748" w:type="dxa"/>
                  <w:vAlign w:val="center"/>
                </w:tcPr>
                <w:p w14:paraId="1A077354">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排气筒内径（m）</w:t>
                  </w:r>
                </w:p>
              </w:tc>
              <w:tc>
                <w:tcPr>
                  <w:tcW w:w="591" w:type="dxa"/>
                  <w:vAlign w:val="center"/>
                </w:tcPr>
                <w:p w14:paraId="4E331585">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温度℃</w:t>
                  </w:r>
                </w:p>
              </w:tc>
              <w:tc>
                <w:tcPr>
                  <w:tcW w:w="355" w:type="dxa"/>
                  <w:vAlign w:val="center"/>
                </w:tcPr>
                <w:p w14:paraId="13C1BAF3">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编号</w:t>
                  </w:r>
                </w:p>
              </w:tc>
              <w:tc>
                <w:tcPr>
                  <w:tcW w:w="356" w:type="dxa"/>
                  <w:vAlign w:val="center"/>
                </w:tcPr>
                <w:p w14:paraId="4FE2A049">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名称</w:t>
                  </w:r>
                </w:p>
              </w:tc>
              <w:tc>
                <w:tcPr>
                  <w:tcW w:w="664" w:type="dxa"/>
                  <w:vAlign w:val="center"/>
                </w:tcPr>
                <w:p w14:paraId="2705D8D3">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类型</w:t>
                  </w:r>
                </w:p>
              </w:tc>
              <w:tc>
                <w:tcPr>
                  <w:tcW w:w="1259" w:type="dxa"/>
                  <w:vAlign w:val="center"/>
                </w:tcPr>
                <w:p w14:paraId="28805FF3">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地理坐标</w:t>
                  </w:r>
                </w:p>
              </w:tc>
            </w:tr>
            <w:tr w14:paraId="329A0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dxa"/>
                  <w:vAlign w:val="center"/>
                </w:tcPr>
                <w:p w14:paraId="52C7B198">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焊接</w:t>
                  </w:r>
                </w:p>
              </w:tc>
              <w:tc>
                <w:tcPr>
                  <w:tcW w:w="656" w:type="dxa"/>
                  <w:vAlign w:val="center"/>
                </w:tcPr>
                <w:p w14:paraId="208BE7A9">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移动烟尘净化器</w:t>
                  </w:r>
                </w:p>
              </w:tc>
              <w:tc>
                <w:tcPr>
                  <w:tcW w:w="1060" w:type="dxa"/>
                  <w:vAlign w:val="center"/>
                </w:tcPr>
                <w:p w14:paraId="4AA1170D">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风量</w:t>
                  </w:r>
                  <w:r>
                    <w:rPr>
                      <w:rFonts w:hint="eastAsia" w:cs="Times New Roman"/>
                      <w:color w:val="auto"/>
                      <w:sz w:val="21"/>
                      <w:szCs w:val="21"/>
                      <w:highlight w:val="none"/>
                      <w:shd w:val="clear" w:color="auto" w:fill="auto"/>
                      <w:lang w:val="en-US" w:eastAsia="zh-CN"/>
                    </w:rPr>
                    <w:t>2000</w:t>
                  </w:r>
                  <w:r>
                    <w:rPr>
                      <w:rFonts w:hint="default" w:ascii="Times New Roman" w:hAnsi="Times New Roman" w:eastAsia="宋体" w:cs="Times New Roman"/>
                      <w:color w:val="auto"/>
                      <w:sz w:val="21"/>
                      <w:szCs w:val="21"/>
                      <w:highlight w:val="none"/>
                      <w:shd w:val="clear" w:color="auto" w:fill="auto"/>
                    </w:rPr>
                    <w:t>m</w:t>
                  </w:r>
                  <w:r>
                    <w:rPr>
                      <w:rFonts w:hint="default" w:ascii="Times New Roman" w:hAnsi="Times New Roman" w:eastAsia="宋体" w:cs="Times New Roman"/>
                      <w:color w:val="auto"/>
                      <w:sz w:val="21"/>
                      <w:szCs w:val="21"/>
                      <w:highlight w:val="none"/>
                      <w:shd w:val="clear" w:color="auto" w:fill="auto"/>
                      <w:vertAlign w:val="superscript"/>
                    </w:rPr>
                    <w:t>3</w:t>
                  </w:r>
                  <w:r>
                    <w:rPr>
                      <w:rFonts w:hint="default" w:ascii="Times New Roman" w:hAnsi="Times New Roman" w:eastAsia="宋体" w:cs="Times New Roman"/>
                      <w:color w:val="auto"/>
                      <w:sz w:val="21"/>
                      <w:szCs w:val="21"/>
                      <w:highlight w:val="none"/>
                      <w:shd w:val="clear" w:color="auto" w:fill="auto"/>
                    </w:rPr>
                    <w:t>/h</w:t>
                  </w:r>
                </w:p>
              </w:tc>
              <w:tc>
                <w:tcPr>
                  <w:tcW w:w="906" w:type="dxa"/>
                  <w:vAlign w:val="center"/>
                </w:tcPr>
                <w:p w14:paraId="4A284E78">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颗粒物去除效率95%</w:t>
                  </w:r>
                </w:p>
              </w:tc>
              <w:tc>
                <w:tcPr>
                  <w:tcW w:w="405" w:type="dxa"/>
                  <w:vAlign w:val="center"/>
                </w:tcPr>
                <w:p w14:paraId="0C706D89">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是</w:t>
                  </w:r>
                </w:p>
              </w:tc>
              <w:tc>
                <w:tcPr>
                  <w:tcW w:w="483" w:type="dxa"/>
                  <w:vAlign w:val="center"/>
                </w:tcPr>
                <w:p w14:paraId="3398B1AB">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15</w:t>
                  </w:r>
                </w:p>
              </w:tc>
              <w:tc>
                <w:tcPr>
                  <w:tcW w:w="748" w:type="dxa"/>
                  <w:vAlign w:val="center"/>
                </w:tcPr>
                <w:p w14:paraId="20384FE2">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0.2</w:t>
                  </w:r>
                </w:p>
              </w:tc>
              <w:tc>
                <w:tcPr>
                  <w:tcW w:w="591" w:type="dxa"/>
                  <w:vAlign w:val="center"/>
                </w:tcPr>
                <w:p w14:paraId="50DA2AFC">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25</w:t>
                  </w:r>
                </w:p>
              </w:tc>
              <w:tc>
                <w:tcPr>
                  <w:tcW w:w="355" w:type="dxa"/>
                  <w:vAlign w:val="center"/>
                </w:tcPr>
                <w:p w14:paraId="301A9AF4">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eastAsia" w:ascii="Times New Roman" w:hAnsi="Times New Roman" w:eastAsia="宋体" w:cs="Times New Roman"/>
                      <w:color w:val="auto"/>
                      <w:sz w:val="21"/>
                      <w:szCs w:val="21"/>
                      <w:highlight w:val="none"/>
                      <w:shd w:val="clear" w:color="auto" w:fill="auto"/>
                      <w:lang w:val="en-US" w:eastAsia="zh-CN"/>
                    </w:rPr>
                    <w:t>DA001</w:t>
                  </w:r>
                  <w:r>
                    <w:rPr>
                      <w:rFonts w:hint="default" w:ascii="Times New Roman" w:hAnsi="Times New Roman" w:eastAsia="宋体" w:cs="Times New Roman"/>
                      <w:color w:val="auto"/>
                      <w:sz w:val="21"/>
                      <w:szCs w:val="21"/>
                      <w:highlight w:val="none"/>
                      <w:shd w:val="clear" w:color="auto" w:fill="auto"/>
                    </w:rPr>
                    <w:t>排气筒</w:t>
                  </w:r>
                </w:p>
              </w:tc>
              <w:tc>
                <w:tcPr>
                  <w:tcW w:w="356" w:type="dxa"/>
                  <w:vAlign w:val="center"/>
                </w:tcPr>
                <w:p w14:paraId="5D88E4AE">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焊接废气排放口</w:t>
                  </w:r>
                </w:p>
              </w:tc>
              <w:tc>
                <w:tcPr>
                  <w:tcW w:w="664" w:type="dxa"/>
                  <w:vAlign w:val="center"/>
                </w:tcPr>
                <w:p w14:paraId="5A1644D0">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eastAsia" w:ascii="Times New Roman" w:hAnsi="Times New Roman" w:eastAsia="宋体" w:cs="Times New Roman"/>
                      <w:color w:val="auto"/>
                      <w:sz w:val="21"/>
                      <w:szCs w:val="21"/>
                      <w:highlight w:val="none"/>
                      <w:shd w:val="clear" w:color="auto" w:fill="auto"/>
                      <w:lang w:val="en-US" w:eastAsia="zh-CN"/>
                    </w:rPr>
                    <w:t>一般</w:t>
                  </w:r>
                  <w:r>
                    <w:rPr>
                      <w:rFonts w:hint="default" w:ascii="Times New Roman" w:hAnsi="Times New Roman" w:eastAsia="宋体" w:cs="Times New Roman"/>
                      <w:color w:val="auto"/>
                      <w:sz w:val="21"/>
                      <w:szCs w:val="21"/>
                      <w:highlight w:val="none"/>
                      <w:shd w:val="clear" w:color="auto" w:fill="auto"/>
                    </w:rPr>
                    <w:t>排放口</w:t>
                  </w:r>
                </w:p>
              </w:tc>
              <w:tc>
                <w:tcPr>
                  <w:tcW w:w="1259" w:type="dxa"/>
                  <w:vAlign w:val="center"/>
                </w:tcPr>
                <w:p w14:paraId="2962BCFE">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E109.57753479°</w:t>
                  </w:r>
                  <w:r>
                    <w:rPr>
                      <w:rFonts w:hint="eastAsia" w:cs="Times New Roman"/>
                      <w:color w:val="auto"/>
                      <w:sz w:val="21"/>
                      <w:szCs w:val="21"/>
                      <w:highlight w:val="none"/>
                      <w:shd w:val="clear" w:color="auto" w:fill="auto"/>
                      <w:lang w:eastAsia="zh-CN"/>
                    </w:rPr>
                    <w:t>,</w:t>
                  </w:r>
                </w:p>
                <w:p w14:paraId="6F4F34A7">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N24.43918196°</w:t>
                  </w:r>
                </w:p>
              </w:tc>
            </w:tr>
            <w:tr w14:paraId="00F9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dxa"/>
                  <w:vAlign w:val="center"/>
                </w:tcPr>
                <w:p w14:paraId="53FED090">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液化石油气燃烧、喷砂、电泳、电泳烘干、喷粉、喷粉烘干</w:t>
                  </w:r>
                </w:p>
              </w:tc>
              <w:tc>
                <w:tcPr>
                  <w:tcW w:w="656" w:type="dxa"/>
                  <w:vAlign w:val="center"/>
                </w:tcPr>
                <w:p w14:paraId="32CE104F">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eastAsia" w:cs="Times New Roman"/>
                      <w:color w:val="auto"/>
                      <w:sz w:val="21"/>
                      <w:szCs w:val="21"/>
                      <w:highlight w:val="none"/>
                      <w:shd w:val="clear" w:color="auto" w:fill="auto"/>
                      <w:lang w:val="en-US" w:eastAsia="zh-CN"/>
                    </w:rPr>
                    <w:t>粉料回收装置、水喷淋+二级活性炭（含干式过滤棉）、15</w:t>
                  </w:r>
                  <w:r>
                    <w:rPr>
                      <w:rFonts w:hint="default" w:ascii="Times New Roman" w:hAnsi="Times New Roman" w:eastAsia="宋体" w:cs="Times New Roman"/>
                      <w:color w:val="auto"/>
                      <w:sz w:val="21"/>
                      <w:szCs w:val="21"/>
                      <w:highlight w:val="none"/>
                      <w:shd w:val="clear" w:color="auto" w:fill="auto"/>
                    </w:rPr>
                    <w:t>m排气筒</w:t>
                  </w:r>
                </w:p>
              </w:tc>
              <w:tc>
                <w:tcPr>
                  <w:tcW w:w="1060" w:type="dxa"/>
                  <w:vAlign w:val="center"/>
                </w:tcPr>
                <w:p w14:paraId="5A81A39F">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风量</w:t>
                  </w:r>
                  <w:r>
                    <w:rPr>
                      <w:rFonts w:hint="eastAsia" w:cs="Times New Roman"/>
                      <w:color w:val="auto"/>
                      <w:sz w:val="21"/>
                      <w:szCs w:val="21"/>
                      <w:highlight w:val="none"/>
                      <w:shd w:val="clear" w:color="auto" w:fill="auto"/>
                      <w:lang w:val="en-US" w:eastAsia="zh-CN"/>
                    </w:rPr>
                    <w:t>14392</w:t>
                  </w:r>
                  <w:r>
                    <w:rPr>
                      <w:rFonts w:hint="default" w:ascii="Times New Roman" w:hAnsi="Times New Roman" w:eastAsia="宋体" w:cs="Times New Roman"/>
                      <w:color w:val="auto"/>
                      <w:sz w:val="21"/>
                      <w:szCs w:val="21"/>
                      <w:highlight w:val="none"/>
                      <w:shd w:val="clear" w:color="auto" w:fill="auto"/>
                    </w:rPr>
                    <w:t>m</w:t>
                  </w:r>
                  <w:r>
                    <w:rPr>
                      <w:rFonts w:hint="default" w:ascii="Times New Roman" w:hAnsi="Times New Roman" w:eastAsia="宋体" w:cs="Times New Roman"/>
                      <w:color w:val="auto"/>
                      <w:sz w:val="21"/>
                      <w:szCs w:val="21"/>
                      <w:highlight w:val="none"/>
                      <w:shd w:val="clear" w:color="auto" w:fill="auto"/>
                      <w:vertAlign w:val="superscript"/>
                    </w:rPr>
                    <w:t>3</w:t>
                  </w:r>
                  <w:r>
                    <w:rPr>
                      <w:rFonts w:hint="default" w:ascii="Times New Roman" w:hAnsi="Times New Roman" w:eastAsia="宋体" w:cs="Times New Roman"/>
                      <w:color w:val="auto"/>
                      <w:sz w:val="21"/>
                      <w:szCs w:val="21"/>
                      <w:highlight w:val="none"/>
                      <w:shd w:val="clear" w:color="auto" w:fill="auto"/>
                    </w:rPr>
                    <w:t>/h</w:t>
                  </w:r>
                </w:p>
              </w:tc>
              <w:tc>
                <w:tcPr>
                  <w:tcW w:w="906" w:type="dxa"/>
                  <w:vAlign w:val="center"/>
                </w:tcPr>
                <w:p w14:paraId="4FE2BBFA">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水喷淋颗粒物去除效率85，粉料回收装置颗粒物去除效率99%，非甲烷总烃</w:t>
                  </w:r>
                  <w:r>
                    <w:rPr>
                      <w:rFonts w:hint="default" w:ascii="Times New Roman" w:hAnsi="Times New Roman" w:eastAsia="宋体" w:cs="Times New Roman"/>
                      <w:color w:val="auto"/>
                      <w:sz w:val="21"/>
                      <w:szCs w:val="21"/>
                      <w:highlight w:val="none"/>
                      <w:shd w:val="clear" w:color="auto" w:fill="auto"/>
                      <w:lang w:val="en-US" w:eastAsia="zh-CN"/>
                    </w:rPr>
                    <w:t>去除效率</w:t>
                  </w:r>
                  <w:r>
                    <w:rPr>
                      <w:rFonts w:hint="eastAsia" w:cs="Times New Roman"/>
                      <w:color w:val="auto"/>
                      <w:sz w:val="21"/>
                      <w:szCs w:val="21"/>
                      <w:highlight w:val="none"/>
                      <w:shd w:val="clear" w:color="auto" w:fill="auto"/>
                      <w:lang w:val="en-US" w:eastAsia="zh-CN"/>
                    </w:rPr>
                    <w:t>32</w:t>
                  </w:r>
                  <w:r>
                    <w:rPr>
                      <w:rFonts w:hint="default" w:ascii="Times New Roman" w:hAnsi="Times New Roman" w:eastAsia="宋体" w:cs="Times New Roman"/>
                      <w:color w:val="auto"/>
                      <w:sz w:val="21"/>
                      <w:szCs w:val="21"/>
                      <w:highlight w:val="none"/>
                      <w:shd w:val="clear" w:color="auto" w:fill="auto"/>
                      <w:lang w:val="en-US" w:eastAsia="zh-CN"/>
                    </w:rPr>
                    <w:t>%</w:t>
                  </w:r>
                </w:p>
              </w:tc>
              <w:tc>
                <w:tcPr>
                  <w:tcW w:w="405" w:type="dxa"/>
                  <w:vAlign w:val="center"/>
                </w:tcPr>
                <w:p w14:paraId="281E6FED">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是</w:t>
                  </w:r>
                </w:p>
              </w:tc>
              <w:tc>
                <w:tcPr>
                  <w:tcW w:w="483" w:type="dxa"/>
                  <w:vAlign w:val="center"/>
                </w:tcPr>
                <w:p w14:paraId="40A5E169">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15</w:t>
                  </w:r>
                </w:p>
              </w:tc>
              <w:tc>
                <w:tcPr>
                  <w:tcW w:w="748" w:type="dxa"/>
                  <w:vAlign w:val="center"/>
                </w:tcPr>
                <w:p w14:paraId="712C9445">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w:t>
                  </w:r>
                  <w:r>
                    <w:rPr>
                      <w:rFonts w:hint="eastAsia" w:cs="Times New Roman"/>
                      <w:color w:val="auto"/>
                      <w:sz w:val="21"/>
                      <w:szCs w:val="21"/>
                      <w:highlight w:val="none"/>
                      <w:shd w:val="clear" w:color="auto" w:fill="auto"/>
                      <w:lang w:val="en-US" w:eastAsia="zh-CN"/>
                    </w:rPr>
                    <w:t>6</w:t>
                  </w:r>
                </w:p>
              </w:tc>
              <w:tc>
                <w:tcPr>
                  <w:tcW w:w="591" w:type="dxa"/>
                  <w:vAlign w:val="center"/>
                </w:tcPr>
                <w:p w14:paraId="0C265933">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50</w:t>
                  </w:r>
                </w:p>
              </w:tc>
              <w:tc>
                <w:tcPr>
                  <w:tcW w:w="355" w:type="dxa"/>
                  <w:vAlign w:val="center"/>
                </w:tcPr>
                <w:p w14:paraId="701790DD">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eastAsia" w:ascii="Times New Roman" w:hAnsi="Times New Roman" w:eastAsia="宋体" w:cs="Times New Roman"/>
                      <w:color w:val="auto"/>
                      <w:sz w:val="21"/>
                      <w:szCs w:val="21"/>
                      <w:highlight w:val="none"/>
                      <w:shd w:val="clear" w:color="auto" w:fill="auto"/>
                      <w:lang w:val="en-US" w:eastAsia="zh-CN"/>
                    </w:rPr>
                    <w:t>DA00</w:t>
                  </w:r>
                  <w:r>
                    <w:rPr>
                      <w:rFonts w:hint="eastAsia" w:cs="Times New Roman"/>
                      <w:color w:val="auto"/>
                      <w:sz w:val="21"/>
                      <w:szCs w:val="21"/>
                      <w:highlight w:val="none"/>
                      <w:shd w:val="clear" w:color="auto" w:fill="auto"/>
                      <w:lang w:val="en-US" w:eastAsia="zh-CN"/>
                    </w:rPr>
                    <w:t>2</w:t>
                  </w:r>
                  <w:r>
                    <w:rPr>
                      <w:rFonts w:hint="default" w:ascii="Times New Roman" w:hAnsi="Times New Roman" w:eastAsia="宋体" w:cs="Times New Roman"/>
                      <w:color w:val="auto"/>
                      <w:sz w:val="21"/>
                      <w:szCs w:val="21"/>
                      <w:highlight w:val="none"/>
                      <w:shd w:val="clear" w:color="auto" w:fill="auto"/>
                    </w:rPr>
                    <w:t>排气筒</w:t>
                  </w:r>
                </w:p>
              </w:tc>
              <w:tc>
                <w:tcPr>
                  <w:tcW w:w="356" w:type="dxa"/>
                  <w:vAlign w:val="center"/>
                </w:tcPr>
                <w:p w14:paraId="3DCD9792">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电泳、喷粉、燃气、喷粉、喷砂综合废气排气筒</w:t>
                  </w:r>
                </w:p>
              </w:tc>
              <w:tc>
                <w:tcPr>
                  <w:tcW w:w="664" w:type="dxa"/>
                  <w:vAlign w:val="center"/>
                </w:tcPr>
                <w:p w14:paraId="20D8CA70">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eastAsia" w:ascii="Times New Roman" w:hAnsi="Times New Roman" w:eastAsia="宋体" w:cs="Times New Roman"/>
                      <w:color w:val="auto"/>
                      <w:sz w:val="21"/>
                      <w:szCs w:val="21"/>
                      <w:highlight w:val="none"/>
                      <w:shd w:val="clear" w:color="auto" w:fill="auto"/>
                      <w:lang w:val="en-US" w:eastAsia="zh-CN"/>
                    </w:rPr>
                    <w:t>一般</w:t>
                  </w:r>
                  <w:r>
                    <w:rPr>
                      <w:rFonts w:hint="default" w:ascii="Times New Roman" w:hAnsi="Times New Roman" w:eastAsia="宋体" w:cs="Times New Roman"/>
                      <w:color w:val="auto"/>
                      <w:sz w:val="21"/>
                      <w:szCs w:val="21"/>
                      <w:highlight w:val="none"/>
                      <w:shd w:val="clear" w:color="auto" w:fill="auto"/>
                    </w:rPr>
                    <w:t>排放口</w:t>
                  </w:r>
                </w:p>
              </w:tc>
              <w:tc>
                <w:tcPr>
                  <w:tcW w:w="1259" w:type="dxa"/>
                  <w:vAlign w:val="center"/>
                </w:tcPr>
                <w:p w14:paraId="79DA6C62">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E109.57754552°</w:t>
                  </w:r>
                  <w:r>
                    <w:rPr>
                      <w:rFonts w:hint="eastAsia" w:cs="Times New Roman"/>
                      <w:color w:val="auto"/>
                      <w:sz w:val="21"/>
                      <w:szCs w:val="21"/>
                      <w:highlight w:val="none"/>
                      <w:shd w:val="clear" w:color="auto" w:fill="auto"/>
                      <w:lang w:eastAsia="zh-CN"/>
                    </w:rPr>
                    <w:t>,</w:t>
                  </w:r>
                </w:p>
                <w:p w14:paraId="65D43A4B">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N24.43893778°</w:t>
                  </w:r>
                </w:p>
              </w:tc>
            </w:tr>
          </w:tbl>
          <w:p w14:paraId="2CBCF4B9">
            <w:pPr>
              <w:keepNext w:val="0"/>
              <w:keepLines w:val="0"/>
              <w:pageBreakBefore w:val="0"/>
              <w:widowControl w:val="0"/>
              <w:kinsoku/>
              <w:wordWrap/>
              <w:overflowPunct/>
              <w:topLinePunct w:val="0"/>
              <w:autoSpaceDE/>
              <w:autoSpaceDN/>
              <w:bidi w:val="0"/>
              <w:adjustRightInd w:val="0"/>
              <w:snapToGrid w:val="0"/>
              <w:spacing w:line="500" w:lineRule="exact"/>
              <w:ind w:left="0" w:firstLine="482" w:firstLineChars="200"/>
              <w:textAlignment w:val="auto"/>
              <w:rPr>
                <w:rFonts w:hint="eastAsia" w:ascii="Times New Roman" w:hAnsi="Times New Roman" w:eastAsia="宋体"/>
                <w:b/>
                <w:bCs/>
                <w:color w:val="auto"/>
                <w:sz w:val="24"/>
                <w:szCs w:val="24"/>
                <w:highlight w:val="none"/>
                <w:lang w:val="en-US" w:eastAsia="zh-CN"/>
              </w:rPr>
            </w:pPr>
            <w:r>
              <w:rPr>
                <w:rFonts w:hint="eastAsia"/>
                <w:b/>
                <w:bCs/>
                <w:color w:val="auto"/>
                <w:sz w:val="24"/>
                <w:szCs w:val="24"/>
                <w:highlight w:val="none"/>
                <w:lang w:val="en-US" w:eastAsia="zh-CN"/>
              </w:rPr>
              <w:t>二、</w:t>
            </w:r>
            <w:r>
              <w:rPr>
                <w:rFonts w:hint="eastAsia" w:ascii="Times New Roman" w:hAnsi="Times New Roman"/>
                <w:b/>
                <w:bCs/>
                <w:color w:val="auto"/>
                <w:sz w:val="24"/>
                <w:szCs w:val="24"/>
                <w:highlight w:val="none"/>
                <w:lang w:val="en-US" w:eastAsia="zh-CN"/>
              </w:rPr>
              <w:t>废水</w:t>
            </w:r>
          </w:p>
          <w:p w14:paraId="37B8B07A">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olor w:val="auto"/>
                <w:kern w:val="0"/>
                <w:sz w:val="24"/>
                <w:szCs w:val="24"/>
                <w:highlight w:val="none"/>
                <w:lang w:val="en-US"/>
              </w:rPr>
            </w:pPr>
            <w:r>
              <w:rPr>
                <w:rFonts w:hint="eastAsia"/>
                <w:color w:val="auto"/>
                <w:sz w:val="24"/>
                <w:szCs w:val="24"/>
                <w:shd w:val="clear" w:color="auto" w:fill="auto"/>
                <w:lang w:val="en-US" w:eastAsia="zh-CN"/>
              </w:rPr>
              <w:t>1</w:t>
            </w:r>
            <w:r>
              <w:rPr>
                <w:rFonts w:hint="default" w:ascii="Times New Roman" w:hAnsi="Times New Roman" w:eastAsia="宋体" w:cs="Times New Roman"/>
                <w:color w:val="auto"/>
                <w:sz w:val="24"/>
                <w:szCs w:val="24"/>
                <w:shd w:val="clear" w:color="auto" w:fill="auto"/>
                <w:lang w:val="en-US" w:eastAsia="zh-CN"/>
              </w:rPr>
              <w:t>.</w:t>
            </w:r>
            <w:r>
              <w:rPr>
                <w:rFonts w:hint="eastAsia" w:cs="Times New Roman"/>
                <w:color w:val="auto"/>
                <w:sz w:val="24"/>
                <w:szCs w:val="24"/>
                <w:shd w:val="clear" w:color="auto" w:fill="auto"/>
                <w:lang w:val="en-US" w:eastAsia="zh-CN"/>
              </w:rPr>
              <w:t>表面处理废水</w:t>
            </w:r>
          </w:p>
          <w:p w14:paraId="00E900E8">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default"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根据前文可知，本项目生产外排废水为纯水制备废水、脱脂清洗废水、表调废水、磷化清洗废水、</w:t>
            </w:r>
            <w:r>
              <w:rPr>
                <w:rFonts w:hint="eastAsia" w:cs="Times New Roman"/>
                <w:color w:val="auto"/>
                <w:kern w:val="0"/>
                <w:sz w:val="24"/>
                <w:szCs w:val="24"/>
                <w:highlight w:val="none"/>
                <w:lang w:val="en-US" w:eastAsia="zh-CN"/>
              </w:rPr>
              <w:t>电泳超滤清洗废水、电泳喷淋清洗废水、废气喷淋废水</w:t>
            </w:r>
            <w:r>
              <w:rPr>
                <w:rFonts w:hint="eastAsia" w:cs="Times New Roman"/>
                <w:color w:val="auto"/>
                <w:kern w:val="0"/>
                <w:sz w:val="24"/>
                <w:szCs w:val="24"/>
                <w:highlight w:val="none"/>
                <w:lang w:val="en-US" w:eastAsia="zh-CN"/>
              </w:rPr>
              <w:t>。</w:t>
            </w:r>
          </w:p>
          <w:p w14:paraId="4A4D6B1C">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①脱脂清洗废水</w:t>
            </w:r>
          </w:p>
          <w:p w14:paraId="0F5756DA">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cs="Times New Roman"/>
                <w:color w:val="auto"/>
                <w:sz w:val="24"/>
                <w:highlight w:val="none"/>
                <w:lang w:eastAsia="zh-CN"/>
              </w:rPr>
              <w:t>根据建设单位提供信息，</w:t>
            </w:r>
            <w:r>
              <w:rPr>
                <w:rFonts w:hint="eastAsia" w:ascii="Times New Roman" w:hAnsi="Times New Roman" w:cs="Times New Roman"/>
                <w:color w:val="auto"/>
                <w:sz w:val="24"/>
                <w:highlight w:val="none"/>
                <w:lang w:val="en-US" w:eastAsia="zh-CN"/>
              </w:rPr>
              <w:t>脱脂清洗需要进行3次清洗，</w:t>
            </w:r>
            <w:r>
              <w:rPr>
                <w:rFonts w:hint="eastAsia" w:cs="Times New Roman"/>
                <w:color w:val="auto"/>
                <w:sz w:val="24"/>
                <w:highlight w:val="none"/>
                <w:lang w:val="en-US" w:eastAsia="zh-CN"/>
              </w:rPr>
              <w:t>根据前文可知，脱脂后清洗工段水槽容积总量为4.65m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，脱脂清洗工段废水每</w:t>
            </w:r>
            <w:r>
              <w:rPr>
                <w:rFonts w:hint="eastAsia" w:cs="Times New Roman"/>
                <w:color w:val="auto"/>
                <w:sz w:val="24"/>
                <w:highlight w:val="none"/>
                <w:lang w:val="en-US" w:eastAsia="zh-CN"/>
              </w:rPr>
              <w:t>周</w:t>
            </w:r>
            <w:r>
              <w:rPr>
                <w:rFonts w:hint="eastAsia" w:ascii="Times New Roman" w:hAnsi="Times New Roman" w:cs="Times New Roman"/>
                <w:color w:val="auto"/>
                <w:sz w:val="24"/>
                <w:highlight w:val="none"/>
                <w:lang w:val="en-US" w:eastAsia="zh-CN"/>
              </w:rPr>
              <w:t>排放一次，</w:t>
            </w:r>
            <w:r>
              <w:rPr>
                <w:rFonts w:hint="eastAsia" w:cs="Times New Roman"/>
                <w:color w:val="auto"/>
                <w:sz w:val="24"/>
                <w:highlight w:val="none"/>
                <w:lang w:val="en-US" w:eastAsia="zh-CN"/>
              </w:rPr>
              <w:t>项目年工作300天，则每年排放约43次，</w:t>
            </w:r>
            <w:r>
              <w:rPr>
                <w:rFonts w:hint="eastAsia" w:ascii="Times New Roman" w:hAnsi="Times New Roman" w:cs="Times New Roman"/>
                <w:color w:val="auto"/>
                <w:sz w:val="24"/>
                <w:highlight w:val="none"/>
                <w:lang w:val="en-US" w:eastAsia="zh-CN"/>
              </w:rPr>
              <w:t>脱脂清洗用水量为599.85</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/a，生产过程损耗量大约占用水量的2%，损耗量约为</w:t>
            </w:r>
            <w:r>
              <w:rPr>
                <w:rFonts w:hint="eastAsia" w:cs="Times New Roman"/>
                <w:color w:val="auto"/>
                <w:sz w:val="24"/>
                <w:highlight w:val="none"/>
                <w:lang w:val="en-US" w:eastAsia="zh-CN"/>
              </w:rPr>
              <w:t>12m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/a，脱脂清洗</w:t>
            </w:r>
            <w:r>
              <w:rPr>
                <w:rFonts w:hint="eastAsia" w:cs="Times New Roman"/>
                <w:color w:val="auto"/>
                <w:sz w:val="24"/>
                <w:highlight w:val="none"/>
                <w:lang w:val="en-US" w:eastAsia="zh-CN"/>
              </w:rPr>
              <w:t>总用水</w:t>
            </w:r>
            <w:r>
              <w:rPr>
                <w:rFonts w:hint="eastAsia" w:ascii="Times New Roman" w:hAnsi="Times New Roman" w:cs="Times New Roman"/>
                <w:color w:val="auto"/>
                <w:sz w:val="24"/>
                <w:highlight w:val="none"/>
                <w:lang w:val="en-US" w:eastAsia="zh-CN"/>
              </w:rPr>
              <w:t>量为611.85</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/a，脱脂清洗废水</w:t>
            </w:r>
            <w:r>
              <w:rPr>
                <w:rFonts w:hint="eastAsia" w:ascii="Times New Roman" w:hAnsi="Times New Roman" w:cs="Times New Roman"/>
                <w:color w:val="auto"/>
                <w:sz w:val="24"/>
                <w:highlight w:val="none"/>
                <w:lang w:eastAsia="zh-CN"/>
              </w:rPr>
              <w:t>清排入</w:t>
            </w:r>
            <w:r>
              <w:rPr>
                <w:rFonts w:hint="eastAsia" w:ascii="Times New Roman" w:hAnsi="Times New Roman" w:cs="Times New Roman"/>
                <w:color w:val="auto"/>
                <w:sz w:val="24"/>
                <w:highlight w:val="none"/>
                <w:lang w:val="en-US" w:eastAsia="zh-CN"/>
              </w:rPr>
              <w:t>厂内</w:t>
            </w:r>
            <w:r>
              <w:rPr>
                <w:rFonts w:hint="eastAsia" w:ascii="Times New Roman" w:hAnsi="Times New Roman" w:cs="Times New Roman"/>
                <w:color w:val="auto"/>
                <w:sz w:val="24"/>
                <w:highlight w:val="none"/>
                <w:lang w:eastAsia="zh-CN"/>
              </w:rPr>
              <w:t>污水处理</w:t>
            </w:r>
            <w:r>
              <w:rPr>
                <w:rFonts w:hint="eastAsia" w:ascii="Times New Roman" w:hAnsi="Times New Roman" w:cs="Times New Roman"/>
                <w:color w:val="auto"/>
                <w:sz w:val="24"/>
                <w:highlight w:val="none"/>
                <w:lang w:val="en-US" w:eastAsia="zh-CN"/>
              </w:rPr>
              <w:t>站</w:t>
            </w:r>
            <w:r>
              <w:rPr>
                <w:rFonts w:hint="eastAsia" w:ascii="Times New Roman" w:hAnsi="Times New Roman" w:cs="Times New Roman"/>
                <w:color w:val="auto"/>
                <w:sz w:val="24"/>
                <w:highlight w:val="none"/>
                <w:lang w:eastAsia="zh-CN"/>
              </w:rPr>
              <w:t>处理，通过</w:t>
            </w:r>
            <w:r>
              <w:rPr>
                <w:rFonts w:hint="eastAsia" w:cs="Times New Roman"/>
                <w:color w:val="auto"/>
                <w:sz w:val="24"/>
                <w:highlight w:val="none"/>
                <w:lang w:eastAsia="zh-CN"/>
              </w:rPr>
              <w:t>市政污水管网</w:t>
            </w:r>
            <w:r>
              <w:rPr>
                <w:rFonts w:hint="eastAsia" w:ascii="Times New Roman" w:hAnsi="Times New Roman" w:cs="Times New Roman"/>
                <w:color w:val="auto"/>
                <w:sz w:val="24"/>
                <w:highlight w:val="none"/>
                <w:lang w:eastAsia="zh-CN"/>
              </w:rPr>
              <w:t>排入</w:t>
            </w:r>
            <w:r>
              <w:rPr>
                <w:rFonts w:hint="eastAsia" w:ascii="Times New Roman" w:hAnsi="Times New Roman" w:cs="Times New Roman"/>
                <w:color w:val="auto"/>
                <w:sz w:val="24"/>
                <w:highlight w:val="none"/>
                <w:lang w:val="en-US" w:eastAsia="zh-CN"/>
              </w:rPr>
              <w:t>官塘</w:t>
            </w:r>
            <w:r>
              <w:rPr>
                <w:rFonts w:hint="eastAsia" w:ascii="Times New Roman" w:hAnsi="Times New Roman" w:cs="Times New Roman"/>
                <w:color w:val="auto"/>
                <w:sz w:val="24"/>
                <w:highlight w:val="none"/>
                <w:lang w:eastAsia="zh-CN"/>
              </w:rPr>
              <w:t>污水处理厂处理</w:t>
            </w:r>
            <w:r>
              <w:rPr>
                <w:rFonts w:hint="eastAsia" w:ascii="Times New Roman" w:hAnsi="Times New Roman" w:cs="Times New Roman"/>
                <w:color w:val="auto"/>
                <w:sz w:val="24"/>
                <w:highlight w:val="none"/>
                <w:lang w:eastAsia="zh-CN"/>
              </w:rPr>
              <w:t>。</w:t>
            </w:r>
          </w:p>
          <w:p w14:paraId="00A9DCD5">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②表调废水</w:t>
            </w:r>
          </w:p>
          <w:p w14:paraId="4B3770C7">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cs="Times New Roman"/>
                <w:color w:val="auto"/>
                <w:sz w:val="24"/>
                <w:highlight w:val="none"/>
                <w:lang w:eastAsia="zh-CN"/>
              </w:rPr>
              <w:t>根据建设单位提供信息，</w:t>
            </w:r>
            <w:r>
              <w:rPr>
                <w:rFonts w:hint="eastAsia" w:ascii="Times New Roman" w:hAnsi="Times New Roman" w:cs="Times New Roman"/>
                <w:color w:val="auto"/>
                <w:sz w:val="24"/>
                <w:highlight w:val="none"/>
                <w:lang w:val="en-US" w:eastAsia="zh-CN"/>
              </w:rPr>
              <w:t>表调工段废水每个月排放一次</w:t>
            </w:r>
            <w:r>
              <w:rPr>
                <w:rFonts w:hint="eastAsia" w:cs="Times New Roman"/>
                <w:color w:val="auto"/>
                <w:sz w:val="24"/>
                <w:highlight w:val="none"/>
                <w:lang w:val="en-US" w:eastAsia="zh-CN"/>
              </w:rPr>
              <w:t>，</w:t>
            </w:r>
            <w:r>
              <w:rPr>
                <w:rFonts w:hint="eastAsia" w:cs="Times New Roman"/>
                <w:color w:val="auto"/>
                <w:sz w:val="24"/>
                <w:highlight w:val="none"/>
                <w:lang w:val="en-US" w:eastAsia="zh-CN"/>
              </w:rPr>
              <w:t>根据前文可知，表调工段水槽容积总量为1.55m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，表调用水量为18.6</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/a，生产过程损耗量大约占用水量的2%，损耗量约为0.37</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/a，表调</w:t>
            </w:r>
            <w:r>
              <w:rPr>
                <w:rFonts w:hint="eastAsia" w:cs="Times New Roman"/>
                <w:color w:val="auto"/>
                <w:sz w:val="24"/>
                <w:highlight w:val="none"/>
                <w:lang w:val="en-US" w:eastAsia="zh-CN"/>
              </w:rPr>
              <w:t>总用水</w:t>
            </w:r>
            <w:r>
              <w:rPr>
                <w:rFonts w:hint="eastAsia" w:ascii="Times New Roman" w:hAnsi="Times New Roman" w:cs="Times New Roman"/>
                <w:color w:val="auto"/>
                <w:sz w:val="24"/>
                <w:highlight w:val="none"/>
                <w:lang w:val="en-US" w:eastAsia="zh-CN"/>
              </w:rPr>
              <w:t>量为18.</w:t>
            </w:r>
            <w:r>
              <w:rPr>
                <w:rFonts w:hint="eastAsia" w:cs="Times New Roman"/>
                <w:color w:val="auto"/>
                <w:sz w:val="24"/>
                <w:highlight w:val="none"/>
                <w:lang w:val="en-US" w:eastAsia="zh-CN"/>
              </w:rPr>
              <w:t>97</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w:t>
            </w:r>
            <w:r>
              <w:rPr>
                <w:rFonts w:hint="eastAsia" w:ascii="Times New Roman" w:hAnsi="Times New Roman" w:cs="Times New Roman"/>
                <w:color w:val="auto"/>
                <w:sz w:val="24"/>
                <w:highlight w:val="none"/>
                <w:lang w:val="en-US" w:eastAsia="zh-CN"/>
              </w:rPr>
              <w:t>表调废水</w:t>
            </w:r>
            <w:r>
              <w:rPr>
                <w:rFonts w:hint="eastAsia" w:ascii="Times New Roman" w:hAnsi="Times New Roman" w:cs="Times New Roman"/>
                <w:color w:val="auto"/>
                <w:sz w:val="24"/>
                <w:highlight w:val="none"/>
                <w:lang w:eastAsia="zh-CN"/>
              </w:rPr>
              <w:t>排入</w:t>
            </w:r>
            <w:r>
              <w:rPr>
                <w:rFonts w:hint="eastAsia" w:ascii="Times New Roman" w:hAnsi="Times New Roman" w:cs="Times New Roman"/>
                <w:color w:val="auto"/>
                <w:sz w:val="24"/>
                <w:highlight w:val="none"/>
                <w:lang w:val="en-US" w:eastAsia="zh-CN"/>
              </w:rPr>
              <w:t>厂内</w:t>
            </w:r>
            <w:r>
              <w:rPr>
                <w:rFonts w:hint="eastAsia" w:ascii="Times New Roman" w:hAnsi="Times New Roman" w:cs="Times New Roman"/>
                <w:color w:val="auto"/>
                <w:sz w:val="24"/>
                <w:highlight w:val="none"/>
                <w:lang w:eastAsia="zh-CN"/>
              </w:rPr>
              <w:t>污水处理</w:t>
            </w:r>
            <w:r>
              <w:rPr>
                <w:rFonts w:hint="eastAsia" w:ascii="Times New Roman" w:hAnsi="Times New Roman" w:cs="Times New Roman"/>
                <w:color w:val="auto"/>
                <w:sz w:val="24"/>
                <w:highlight w:val="none"/>
                <w:lang w:val="en-US" w:eastAsia="zh-CN"/>
              </w:rPr>
              <w:t>站</w:t>
            </w:r>
            <w:r>
              <w:rPr>
                <w:rFonts w:hint="eastAsia" w:ascii="Times New Roman" w:hAnsi="Times New Roman" w:cs="Times New Roman"/>
                <w:color w:val="auto"/>
                <w:sz w:val="24"/>
                <w:highlight w:val="none"/>
                <w:lang w:eastAsia="zh-CN"/>
              </w:rPr>
              <w:t>处理，通过</w:t>
            </w:r>
            <w:r>
              <w:rPr>
                <w:rFonts w:hint="eastAsia" w:cs="Times New Roman"/>
                <w:color w:val="auto"/>
                <w:sz w:val="24"/>
                <w:highlight w:val="none"/>
                <w:lang w:eastAsia="zh-CN"/>
              </w:rPr>
              <w:t>市政污水管网</w:t>
            </w:r>
            <w:r>
              <w:rPr>
                <w:rFonts w:hint="eastAsia" w:ascii="Times New Roman" w:hAnsi="Times New Roman" w:cs="Times New Roman"/>
                <w:color w:val="auto"/>
                <w:sz w:val="24"/>
                <w:highlight w:val="none"/>
                <w:lang w:eastAsia="zh-CN"/>
              </w:rPr>
              <w:t>排入</w:t>
            </w:r>
            <w:r>
              <w:rPr>
                <w:rFonts w:hint="eastAsia" w:ascii="Times New Roman" w:hAnsi="Times New Roman" w:cs="Times New Roman"/>
                <w:color w:val="auto"/>
                <w:sz w:val="24"/>
                <w:highlight w:val="none"/>
                <w:lang w:val="en-US" w:eastAsia="zh-CN"/>
              </w:rPr>
              <w:t>官塘</w:t>
            </w:r>
            <w:r>
              <w:rPr>
                <w:rFonts w:hint="eastAsia" w:ascii="Times New Roman" w:hAnsi="Times New Roman" w:cs="Times New Roman"/>
                <w:color w:val="auto"/>
                <w:sz w:val="24"/>
                <w:highlight w:val="none"/>
                <w:lang w:eastAsia="zh-CN"/>
              </w:rPr>
              <w:t>污水处理厂处理</w:t>
            </w:r>
            <w:r>
              <w:rPr>
                <w:rFonts w:hint="eastAsia" w:ascii="Times New Roman" w:hAnsi="Times New Roman" w:cs="Times New Roman"/>
                <w:color w:val="auto"/>
                <w:sz w:val="24"/>
                <w:highlight w:val="none"/>
                <w:lang w:eastAsia="zh-CN"/>
              </w:rPr>
              <w:t>。</w:t>
            </w:r>
          </w:p>
          <w:p w14:paraId="24B78E3B">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③磷化清洗废水</w:t>
            </w:r>
          </w:p>
          <w:p w14:paraId="3D9D8C41">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cs="Times New Roman"/>
                <w:color w:val="auto"/>
                <w:sz w:val="24"/>
                <w:highlight w:val="none"/>
                <w:lang w:eastAsia="zh-CN"/>
              </w:rPr>
              <w:t>根据建设单位提供信息，</w:t>
            </w:r>
            <w:r>
              <w:rPr>
                <w:rFonts w:hint="eastAsia" w:ascii="Times New Roman" w:hAnsi="Times New Roman" w:cs="Times New Roman"/>
                <w:color w:val="auto"/>
                <w:sz w:val="24"/>
                <w:highlight w:val="none"/>
                <w:lang w:val="en-US" w:eastAsia="zh-CN"/>
              </w:rPr>
              <w:t>磷化清洗需要进行3次</w:t>
            </w:r>
            <w:r>
              <w:rPr>
                <w:rFonts w:hint="eastAsia" w:cs="Times New Roman"/>
                <w:color w:val="auto"/>
                <w:sz w:val="24"/>
                <w:highlight w:val="none"/>
                <w:lang w:val="en-US" w:eastAsia="zh-CN"/>
              </w:rPr>
              <w:t>纯水</w:t>
            </w:r>
            <w:r>
              <w:rPr>
                <w:rFonts w:hint="eastAsia" w:ascii="Times New Roman" w:hAnsi="Times New Roman" w:cs="Times New Roman"/>
                <w:color w:val="auto"/>
                <w:sz w:val="24"/>
                <w:highlight w:val="none"/>
                <w:lang w:val="en-US" w:eastAsia="zh-CN"/>
              </w:rPr>
              <w:t>清洗，</w:t>
            </w:r>
            <w:r>
              <w:rPr>
                <w:rFonts w:hint="eastAsia" w:cs="Times New Roman"/>
                <w:color w:val="auto"/>
                <w:sz w:val="24"/>
                <w:highlight w:val="none"/>
                <w:lang w:val="en-US" w:eastAsia="zh-CN"/>
              </w:rPr>
              <w:t>根据前文可知，磷化后清洗工段水槽容积总量为4.65m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磷化清洗工段废水每</w:t>
            </w:r>
            <w:r>
              <w:rPr>
                <w:rFonts w:hint="eastAsia" w:cs="Times New Roman"/>
                <w:color w:val="auto"/>
                <w:sz w:val="24"/>
                <w:highlight w:val="none"/>
                <w:lang w:val="en-US" w:eastAsia="zh-CN"/>
              </w:rPr>
              <w:t>周</w:t>
            </w:r>
            <w:r>
              <w:rPr>
                <w:rFonts w:hint="eastAsia" w:ascii="Times New Roman" w:hAnsi="Times New Roman" w:cs="Times New Roman"/>
                <w:color w:val="auto"/>
                <w:sz w:val="24"/>
                <w:highlight w:val="none"/>
                <w:lang w:val="en-US" w:eastAsia="zh-CN"/>
              </w:rPr>
              <w:t>排放一次</w:t>
            </w:r>
            <w:r>
              <w:rPr>
                <w:rFonts w:hint="eastAsia" w:cs="Times New Roman"/>
                <w:color w:val="auto"/>
                <w:sz w:val="24"/>
                <w:highlight w:val="none"/>
                <w:lang w:val="en-US" w:eastAsia="zh-CN"/>
              </w:rPr>
              <w:t>，项目年工作300天，则每年排放约43次</w:t>
            </w:r>
            <w:r>
              <w:rPr>
                <w:rFonts w:hint="eastAsia" w:ascii="Times New Roman" w:hAnsi="Times New Roman" w:cs="Times New Roman"/>
                <w:color w:val="auto"/>
                <w:sz w:val="24"/>
                <w:highlight w:val="none"/>
                <w:lang w:val="en-US" w:eastAsia="zh-CN"/>
              </w:rPr>
              <w:t>，磷化清洗用水量为599.85</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/a，生产过程损耗量大约占用水量的2%，损耗量约为</w:t>
            </w:r>
            <w:r>
              <w:rPr>
                <w:rFonts w:hint="eastAsia" w:cs="Times New Roman"/>
                <w:color w:val="auto"/>
                <w:sz w:val="24"/>
                <w:highlight w:val="none"/>
                <w:lang w:val="en-US" w:eastAsia="zh-CN"/>
              </w:rPr>
              <w:t>12m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/a，磷化清洗</w:t>
            </w:r>
            <w:r>
              <w:rPr>
                <w:rFonts w:hint="eastAsia" w:cs="Times New Roman"/>
                <w:color w:val="auto"/>
                <w:sz w:val="24"/>
                <w:highlight w:val="none"/>
                <w:lang w:val="en-US" w:eastAsia="zh-CN"/>
              </w:rPr>
              <w:t>总用水</w:t>
            </w:r>
            <w:r>
              <w:rPr>
                <w:rFonts w:hint="eastAsia" w:ascii="Times New Roman" w:hAnsi="Times New Roman" w:cs="Times New Roman"/>
                <w:color w:val="auto"/>
                <w:sz w:val="24"/>
                <w:highlight w:val="none"/>
                <w:lang w:val="en-US" w:eastAsia="zh-CN"/>
              </w:rPr>
              <w:t>量为611.85</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/a，磷化清洗废水</w:t>
            </w:r>
            <w:r>
              <w:rPr>
                <w:rFonts w:hint="eastAsia" w:ascii="Times New Roman" w:hAnsi="Times New Roman" w:cs="Times New Roman"/>
                <w:color w:val="auto"/>
                <w:sz w:val="24"/>
                <w:highlight w:val="none"/>
                <w:lang w:eastAsia="zh-CN"/>
              </w:rPr>
              <w:t>清排</w:t>
            </w:r>
            <w:r>
              <w:rPr>
                <w:rFonts w:hint="eastAsia"/>
                <w:color w:val="auto"/>
                <w:sz w:val="24"/>
                <w:highlight w:val="none"/>
                <w:lang w:eastAsia="zh-CN"/>
              </w:rPr>
              <w:t>至</w:t>
            </w:r>
            <w:r>
              <w:rPr>
                <w:rFonts w:hint="eastAsia" w:ascii="Times New Roman" w:hAnsi="Times New Roman" w:cs="Times New Roman"/>
                <w:color w:val="auto"/>
                <w:sz w:val="24"/>
                <w:highlight w:val="none"/>
                <w:lang w:val="en-US" w:eastAsia="zh-CN"/>
              </w:rPr>
              <w:t>厂内</w:t>
            </w:r>
            <w:r>
              <w:rPr>
                <w:rFonts w:hint="eastAsia" w:ascii="Times New Roman" w:hAnsi="Times New Roman" w:cs="Times New Roman"/>
                <w:color w:val="auto"/>
                <w:sz w:val="24"/>
                <w:highlight w:val="none"/>
                <w:lang w:eastAsia="zh-CN"/>
              </w:rPr>
              <w:t>污水处理</w:t>
            </w:r>
            <w:r>
              <w:rPr>
                <w:rFonts w:hint="eastAsia" w:ascii="Times New Roman" w:hAnsi="Times New Roman" w:cs="Times New Roman"/>
                <w:color w:val="auto"/>
                <w:sz w:val="24"/>
                <w:highlight w:val="none"/>
                <w:lang w:val="en-US" w:eastAsia="zh-CN"/>
              </w:rPr>
              <w:t>站</w:t>
            </w:r>
            <w:r>
              <w:rPr>
                <w:rFonts w:hint="eastAsia" w:ascii="Times New Roman" w:hAnsi="Times New Roman" w:cs="Times New Roman"/>
                <w:color w:val="auto"/>
                <w:sz w:val="24"/>
                <w:highlight w:val="none"/>
                <w:lang w:eastAsia="zh-CN"/>
              </w:rPr>
              <w:t>处理，通过</w:t>
            </w:r>
            <w:r>
              <w:rPr>
                <w:rFonts w:hint="eastAsia" w:cs="Times New Roman"/>
                <w:color w:val="auto"/>
                <w:sz w:val="24"/>
                <w:highlight w:val="none"/>
                <w:lang w:eastAsia="zh-CN"/>
              </w:rPr>
              <w:t>市政污水管网</w:t>
            </w:r>
            <w:r>
              <w:rPr>
                <w:rFonts w:hint="eastAsia" w:ascii="Times New Roman" w:hAnsi="Times New Roman" w:cs="Times New Roman"/>
                <w:color w:val="auto"/>
                <w:sz w:val="24"/>
                <w:highlight w:val="none"/>
                <w:lang w:eastAsia="zh-CN"/>
              </w:rPr>
              <w:t>排入</w:t>
            </w:r>
            <w:r>
              <w:rPr>
                <w:rFonts w:hint="eastAsia" w:ascii="Times New Roman" w:hAnsi="Times New Roman" w:cs="Times New Roman"/>
                <w:color w:val="auto"/>
                <w:sz w:val="24"/>
                <w:highlight w:val="none"/>
                <w:lang w:val="en-US" w:eastAsia="zh-CN"/>
              </w:rPr>
              <w:t>官塘</w:t>
            </w:r>
            <w:r>
              <w:rPr>
                <w:rFonts w:hint="eastAsia" w:ascii="Times New Roman" w:hAnsi="Times New Roman" w:cs="Times New Roman"/>
                <w:color w:val="auto"/>
                <w:sz w:val="24"/>
                <w:highlight w:val="none"/>
                <w:lang w:eastAsia="zh-CN"/>
              </w:rPr>
              <w:t>污水处理厂处理</w:t>
            </w:r>
            <w:r>
              <w:rPr>
                <w:rFonts w:hint="eastAsia" w:ascii="Times New Roman" w:hAnsi="Times New Roman" w:cs="Times New Roman"/>
                <w:color w:val="auto"/>
                <w:sz w:val="24"/>
                <w:highlight w:val="none"/>
                <w:lang w:eastAsia="zh-CN"/>
              </w:rPr>
              <w:t>。</w:t>
            </w:r>
          </w:p>
          <w:p w14:paraId="28F65288">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④电泳超滤清洗废水</w:t>
            </w:r>
          </w:p>
          <w:p w14:paraId="1C496950">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textAlignment w:val="auto"/>
              <w:rPr>
                <w:rFonts w:hint="default" w:ascii="Times New Roman" w:hAnsi="Times New Roman" w:eastAsia="宋体"/>
                <w:caps w:val="0"/>
                <w:smallCaps w:val="0"/>
                <w:color w:val="auto"/>
                <w:sz w:val="24"/>
                <w:szCs w:val="24"/>
                <w:highlight w:val="none"/>
                <w:u w:val="none" w:color="auto"/>
                <w:shd w:val="clear" w:color="auto" w:fill="auto"/>
                <w:lang w:val="en-US" w:eastAsia="zh-CN"/>
              </w:rPr>
            </w:pPr>
            <w:r>
              <w:rPr>
                <w:rFonts w:hint="eastAsia" w:ascii="Times New Roman" w:hAnsi="Times New Roman" w:cs="Times New Roman"/>
                <w:color w:val="auto"/>
                <w:sz w:val="24"/>
                <w:highlight w:val="none"/>
                <w:lang w:val="en-US" w:eastAsia="zh-CN"/>
              </w:rPr>
              <w:t>根据建设单位提供信息，项目电泳</w:t>
            </w:r>
            <w:r>
              <w:rPr>
                <w:rFonts w:hint="eastAsia" w:cs="Times New Roman"/>
                <w:color w:val="auto"/>
                <w:sz w:val="24"/>
                <w:highlight w:val="none"/>
                <w:lang w:val="en-US" w:eastAsia="zh-CN"/>
              </w:rPr>
              <w:t>超滤</w:t>
            </w:r>
            <w:r>
              <w:rPr>
                <w:rFonts w:hint="eastAsia" w:ascii="Times New Roman" w:hAnsi="Times New Roman" w:cs="Times New Roman"/>
                <w:color w:val="auto"/>
                <w:sz w:val="24"/>
                <w:highlight w:val="none"/>
                <w:lang w:val="en-US" w:eastAsia="zh-CN"/>
              </w:rPr>
              <w:t>清洗需要进行</w:t>
            </w:r>
            <w:r>
              <w:rPr>
                <w:rFonts w:hint="eastAsia" w:cs="Times New Roman"/>
                <w:color w:val="auto"/>
                <w:sz w:val="24"/>
                <w:highlight w:val="none"/>
                <w:lang w:val="en-US" w:eastAsia="zh-CN"/>
              </w:rPr>
              <w:t>2</w:t>
            </w:r>
            <w:r>
              <w:rPr>
                <w:rFonts w:hint="eastAsia" w:ascii="Times New Roman" w:hAnsi="Times New Roman" w:cs="Times New Roman"/>
                <w:color w:val="auto"/>
                <w:sz w:val="24"/>
                <w:highlight w:val="none"/>
                <w:lang w:val="en-US" w:eastAsia="zh-CN"/>
              </w:rPr>
              <w:t>次清洗，</w:t>
            </w:r>
            <w:r>
              <w:rPr>
                <w:rFonts w:hint="eastAsia" w:cs="Times New Roman"/>
                <w:color w:val="auto"/>
                <w:sz w:val="24"/>
                <w:highlight w:val="none"/>
                <w:lang w:val="en-US" w:eastAsia="zh-CN"/>
              </w:rPr>
              <w:t>根据前文可知，超滤水槽容积总量为2.24m</w:t>
            </w:r>
            <w:r>
              <w:rPr>
                <w:rFonts w:hint="eastAsia" w:cs="Times New Roman"/>
                <w:color w:val="auto"/>
                <w:sz w:val="24"/>
                <w:highlight w:val="none"/>
                <w:vertAlign w:val="superscript"/>
                <w:lang w:val="en-US" w:eastAsia="zh-CN"/>
              </w:rPr>
              <w:t>3</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超滤清洗每年排放一次，电泳</w:t>
            </w:r>
            <w:r>
              <w:rPr>
                <w:rFonts w:hint="eastAsia" w:cs="Times New Roman"/>
                <w:color w:val="auto"/>
                <w:sz w:val="24"/>
                <w:highlight w:val="none"/>
                <w:lang w:val="en-US" w:eastAsia="zh-CN"/>
              </w:rPr>
              <w:t>超滤</w:t>
            </w:r>
            <w:r>
              <w:rPr>
                <w:rFonts w:hint="eastAsia" w:ascii="Times New Roman" w:hAnsi="Times New Roman" w:cs="Times New Roman"/>
                <w:color w:val="auto"/>
                <w:sz w:val="24"/>
                <w:highlight w:val="none"/>
                <w:lang w:val="en-US" w:eastAsia="zh-CN"/>
              </w:rPr>
              <w:t>清洗用水量为</w:t>
            </w:r>
            <w:r>
              <w:rPr>
                <w:rFonts w:hint="eastAsia" w:cs="Times New Roman"/>
                <w:color w:val="auto"/>
                <w:sz w:val="24"/>
                <w:highlight w:val="none"/>
                <w:lang w:val="en-US" w:eastAsia="zh-CN"/>
              </w:rPr>
              <w:t>2.24</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/a，生产过程损耗量大约占用水量的2%，损耗量约为</w:t>
            </w:r>
            <w:r>
              <w:rPr>
                <w:rFonts w:hint="eastAsia" w:cs="Times New Roman"/>
                <w:color w:val="auto"/>
                <w:sz w:val="24"/>
                <w:highlight w:val="none"/>
                <w:lang w:val="en-US" w:eastAsia="zh-CN"/>
              </w:rPr>
              <w:t>0.045</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/a，电泳清洗</w:t>
            </w:r>
            <w:r>
              <w:rPr>
                <w:rFonts w:hint="eastAsia" w:cs="Times New Roman"/>
                <w:color w:val="auto"/>
                <w:sz w:val="24"/>
                <w:highlight w:val="none"/>
                <w:lang w:val="en-US" w:eastAsia="zh-CN"/>
              </w:rPr>
              <w:t>总用水</w:t>
            </w:r>
            <w:r>
              <w:rPr>
                <w:rFonts w:hint="eastAsia" w:ascii="Times New Roman" w:hAnsi="Times New Roman" w:cs="Times New Roman"/>
                <w:color w:val="auto"/>
                <w:sz w:val="24"/>
                <w:highlight w:val="none"/>
                <w:lang w:val="en-US" w:eastAsia="zh-CN"/>
              </w:rPr>
              <w:t>量为2.285</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/a，电泳</w:t>
            </w:r>
            <w:r>
              <w:rPr>
                <w:rFonts w:hint="eastAsia" w:cs="Times New Roman"/>
                <w:color w:val="auto"/>
                <w:sz w:val="24"/>
                <w:highlight w:val="none"/>
                <w:lang w:val="en-US" w:eastAsia="zh-CN"/>
              </w:rPr>
              <w:t>超滤</w:t>
            </w:r>
            <w:r>
              <w:rPr>
                <w:rFonts w:hint="eastAsia" w:ascii="Times New Roman" w:hAnsi="Times New Roman" w:cs="Times New Roman"/>
                <w:color w:val="auto"/>
                <w:sz w:val="24"/>
                <w:highlight w:val="none"/>
                <w:lang w:val="en-US" w:eastAsia="zh-CN"/>
              </w:rPr>
              <w:t>清洗废水</w:t>
            </w:r>
            <w:r>
              <w:rPr>
                <w:rFonts w:hint="eastAsia" w:ascii="Times New Roman" w:hAnsi="Times New Roman" w:cs="Times New Roman"/>
                <w:color w:val="auto"/>
                <w:sz w:val="24"/>
                <w:highlight w:val="none"/>
                <w:lang w:eastAsia="zh-CN"/>
              </w:rPr>
              <w:t>清排</w:t>
            </w:r>
            <w:r>
              <w:rPr>
                <w:rFonts w:hint="eastAsia"/>
                <w:color w:val="auto"/>
                <w:sz w:val="24"/>
                <w:highlight w:val="none"/>
                <w:lang w:eastAsia="zh-CN"/>
              </w:rPr>
              <w:t>至</w:t>
            </w:r>
            <w:r>
              <w:rPr>
                <w:rFonts w:hint="eastAsia" w:ascii="Times New Roman" w:hAnsi="Times New Roman" w:cs="Times New Roman"/>
                <w:color w:val="auto"/>
                <w:sz w:val="24"/>
                <w:highlight w:val="none"/>
                <w:lang w:val="en-US" w:eastAsia="zh-CN"/>
              </w:rPr>
              <w:t>厂内</w:t>
            </w:r>
            <w:r>
              <w:rPr>
                <w:rFonts w:hint="eastAsia" w:ascii="Times New Roman" w:hAnsi="Times New Roman" w:cs="Times New Roman"/>
                <w:color w:val="auto"/>
                <w:sz w:val="24"/>
                <w:highlight w:val="none"/>
                <w:lang w:eastAsia="zh-CN"/>
              </w:rPr>
              <w:t>污水处理</w:t>
            </w:r>
            <w:r>
              <w:rPr>
                <w:rFonts w:hint="eastAsia" w:ascii="Times New Roman" w:hAnsi="Times New Roman" w:cs="Times New Roman"/>
                <w:color w:val="auto"/>
                <w:sz w:val="24"/>
                <w:highlight w:val="none"/>
                <w:lang w:val="en-US" w:eastAsia="zh-CN"/>
              </w:rPr>
              <w:t>站</w:t>
            </w:r>
            <w:r>
              <w:rPr>
                <w:rFonts w:hint="eastAsia" w:ascii="Times New Roman" w:hAnsi="Times New Roman" w:cs="Times New Roman"/>
                <w:color w:val="auto"/>
                <w:sz w:val="24"/>
                <w:highlight w:val="none"/>
                <w:lang w:eastAsia="zh-CN"/>
              </w:rPr>
              <w:t>处理，通过</w:t>
            </w:r>
            <w:r>
              <w:rPr>
                <w:rFonts w:hint="eastAsia" w:cs="Times New Roman"/>
                <w:color w:val="auto"/>
                <w:sz w:val="24"/>
                <w:highlight w:val="none"/>
                <w:lang w:eastAsia="zh-CN"/>
              </w:rPr>
              <w:t>市政污水管网</w:t>
            </w:r>
            <w:r>
              <w:rPr>
                <w:rFonts w:hint="eastAsia" w:ascii="Times New Roman" w:hAnsi="Times New Roman" w:cs="Times New Roman"/>
                <w:color w:val="auto"/>
                <w:sz w:val="24"/>
                <w:highlight w:val="none"/>
                <w:lang w:eastAsia="zh-CN"/>
              </w:rPr>
              <w:t>排入</w:t>
            </w:r>
            <w:r>
              <w:rPr>
                <w:rFonts w:hint="eastAsia" w:ascii="Times New Roman" w:hAnsi="Times New Roman" w:cs="Times New Roman"/>
                <w:color w:val="auto"/>
                <w:sz w:val="24"/>
                <w:highlight w:val="none"/>
                <w:lang w:val="en-US" w:eastAsia="zh-CN"/>
              </w:rPr>
              <w:t>官塘</w:t>
            </w:r>
            <w:r>
              <w:rPr>
                <w:rFonts w:hint="eastAsia" w:ascii="Times New Roman" w:hAnsi="Times New Roman" w:cs="Times New Roman"/>
                <w:color w:val="auto"/>
                <w:sz w:val="24"/>
                <w:highlight w:val="none"/>
                <w:lang w:eastAsia="zh-CN"/>
              </w:rPr>
              <w:t>污水处理厂处理</w:t>
            </w:r>
            <w:r>
              <w:rPr>
                <w:rFonts w:hint="eastAsia"/>
                <w:caps w:val="0"/>
                <w:smallCaps w:val="0"/>
                <w:color w:val="auto"/>
                <w:sz w:val="24"/>
                <w:szCs w:val="24"/>
                <w:highlight w:val="none"/>
                <w:u w:val="none" w:color="auto"/>
                <w:shd w:val="clear" w:color="auto" w:fill="auto"/>
                <w:lang w:val="en-US" w:eastAsia="zh-CN"/>
              </w:rPr>
              <w:t>。</w:t>
            </w:r>
          </w:p>
          <w:p w14:paraId="373A64CA">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textAlignment w:val="auto"/>
              <w:rPr>
                <w:rFonts w:hint="default" w:cs="宋体"/>
                <w:color w:val="auto"/>
                <w:sz w:val="24"/>
                <w:szCs w:val="24"/>
                <w:lang w:val="en-US" w:eastAsia="zh-CN"/>
              </w:rPr>
            </w:pPr>
            <w:r>
              <w:rPr>
                <w:rFonts w:hint="eastAsia" w:cs="宋体"/>
                <w:color w:val="auto"/>
                <w:sz w:val="24"/>
                <w:szCs w:val="24"/>
                <w:lang w:val="en-US" w:eastAsia="zh-CN"/>
              </w:rPr>
              <w:t>⑤电泳喷淋清洗废水</w:t>
            </w:r>
          </w:p>
          <w:p w14:paraId="06A0E9E5">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textAlignment w:val="auto"/>
              <w:rPr>
                <w:rFonts w:hint="eastAsia" w:cs="宋体"/>
                <w:color w:val="auto"/>
                <w:sz w:val="24"/>
                <w:szCs w:val="24"/>
                <w:lang w:val="en-US" w:eastAsia="zh-CN"/>
              </w:rPr>
            </w:pPr>
            <w:r>
              <w:rPr>
                <w:rFonts w:hint="eastAsia" w:ascii="Times New Roman" w:hAnsi="Times New Roman" w:cs="Times New Roman"/>
                <w:color w:val="auto"/>
                <w:sz w:val="24"/>
                <w:highlight w:val="none"/>
                <w:lang w:val="en-US" w:eastAsia="zh-CN"/>
              </w:rPr>
              <w:t>根据建设单位提供信息，项目电泳</w:t>
            </w:r>
            <w:r>
              <w:rPr>
                <w:rFonts w:hint="eastAsia" w:cs="Times New Roman"/>
                <w:color w:val="auto"/>
                <w:sz w:val="24"/>
                <w:highlight w:val="none"/>
                <w:lang w:val="en-US" w:eastAsia="zh-CN"/>
              </w:rPr>
              <w:t>喷淋</w:t>
            </w:r>
            <w:r>
              <w:rPr>
                <w:rFonts w:hint="eastAsia" w:ascii="Times New Roman" w:hAnsi="Times New Roman" w:cs="Times New Roman"/>
                <w:color w:val="auto"/>
                <w:sz w:val="24"/>
                <w:highlight w:val="none"/>
                <w:lang w:val="en-US" w:eastAsia="zh-CN"/>
              </w:rPr>
              <w:t>清洗需要进行</w:t>
            </w:r>
            <w:r>
              <w:rPr>
                <w:rFonts w:hint="eastAsia" w:cs="Times New Roman"/>
                <w:color w:val="auto"/>
                <w:sz w:val="24"/>
                <w:highlight w:val="none"/>
                <w:lang w:val="en-US" w:eastAsia="zh-CN"/>
              </w:rPr>
              <w:t>1</w:t>
            </w:r>
            <w:r>
              <w:rPr>
                <w:rFonts w:hint="eastAsia" w:ascii="Times New Roman" w:hAnsi="Times New Roman" w:cs="Times New Roman"/>
                <w:color w:val="auto"/>
                <w:sz w:val="24"/>
                <w:highlight w:val="none"/>
                <w:lang w:val="en-US" w:eastAsia="zh-CN"/>
              </w:rPr>
              <w:t>次清洗，</w:t>
            </w:r>
            <w:r>
              <w:rPr>
                <w:rFonts w:hint="eastAsia" w:cs="Times New Roman"/>
                <w:color w:val="auto"/>
                <w:sz w:val="24"/>
                <w:highlight w:val="none"/>
                <w:lang w:val="en-US" w:eastAsia="zh-CN"/>
              </w:rPr>
              <w:t>根据前文可知，</w:t>
            </w:r>
            <w:r>
              <w:rPr>
                <w:rFonts w:hint="eastAsia" w:cs="宋体"/>
                <w:color w:val="auto"/>
                <w:sz w:val="24"/>
                <w:szCs w:val="24"/>
                <w:lang w:val="en-US" w:eastAsia="zh-CN"/>
              </w:rPr>
              <w:t>电泳</w:t>
            </w:r>
            <w:r>
              <w:rPr>
                <w:rFonts w:hint="eastAsia" w:cs="Times New Roman"/>
                <w:color w:val="auto"/>
                <w:sz w:val="24"/>
                <w:highlight w:val="none"/>
                <w:lang w:val="en-US" w:eastAsia="zh-CN"/>
              </w:rPr>
              <w:t>喷淋水槽容积1.55m</w:t>
            </w:r>
            <w:r>
              <w:rPr>
                <w:rFonts w:hint="eastAsia" w:cs="Times New Roman"/>
                <w:color w:val="auto"/>
                <w:sz w:val="24"/>
                <w:highlight w:val="none"/>
                <w:vertAlign w:val="superscript"/>
                <w:lang w:val="en-US" w:eastAsia="zh-CN"/>
              </w:rPr>
              <w:t>3</w:t>
            </w:r>
            <w:r>
              <w:rPr>
                <w:rFonts w:hint="eastAsia" w:cs="Times New Roman"/>
                <w:color w:val="auto"/>
                <w:sz w:val="24"/>
                <w:highlight w:val="none"/>
                <w:lang w:val="en-US" w:eastAsia="zh-CN"/>
              </w:rPr>
              <w:t>，</w:t>
            </w:r>
            <w:r>
              <w:rPr>
                <w:rFonts w:hint="eastAsia" w:cs="宋体"/>
                <w:color w:val="auto"/>
                <w:sz w:val="24"/>
                <w:szCs w:val="24"/>
                <w:lang w:val="en-US" w:eastAsia="zh-CN"/>
              </w:rPr>
              <w:t>电泳</w:t>
            </w:r>
            <w:r>
              <w:rPr>
                <w:rFonts w:hint="eastAsia" w:cs="Times New Roman"/>
                <w:color w:val="auto"/>
                <w:sz w:val="24"/>
                <w:highlight w:val="none"/>
                <w:lang w:val="en-US" w:eastAsia="zh-CN"/>
              </w:rPr>
              <w:t>喷淋清洗废水</w:t>
            </w:r>
            <w:r>
              <w:rPr>
                <w:rFonts w:hint="eastAsia" w:ascii="Times New Roman" w:hAnsi="Times New Roman" w:cs="Times New Roman"/>
                <w:color w:val="auto"/>
                <w:sz w:val="24"/>
                <w:highlight w:val="none"/>
                <w:lang w:val="en-US" w:eastAsia="zh-CN"/>
              </w:rPr>
              <w:t>每</w:t>
            </w:r>
            <w:r>
              <w:rPr>
                <w:rFonts w:hint="eastAsia" w:cs="Times New Roman"/>
                <w:color w:val="auto"/>
                <w:sz w:val="24"/>
                <w:highlight w:val="none"/>
                <w:lang w:val="en-US" w:eastAsia="zh-CN"/>
              </w:rPr>
              <w:t>周</w:t>
            </w:r>
            <w:r>
              <w:rPr>
                <w:rFonts w:hint="eastAsia" w:ascii="Times New Roman" w:hAnsi="Times New Roman" w:cs="Times New Roman"/>
                <w:color w:val="auto"/>
                <w:sz w:val="24"/>
                <w:highlight w:val="none"/>
                <w:lang w:val="en-US" w:eastAsia="zh-CN"/>
              </w:rPr>
              <w:t>排放一次</w:t>
            </w:r>
            <w:r>
              <w:rPr>
                <w:rFonts w:hint="eastAsia" w:cs="Times New Roman"/>
                <w:color w:val="auto"/>
                <w:sz w:val="24"/>
                <w:highlight w:val="none"/>
                <w:lang w:val="en-US" w:eastAsia="zh-CN"/>
              </w:rPr>
              <w:t>，项</w:t>
            </w:r>
            <w:r>
              <w:rPr>
                <w:rFonts w:hint="eastAsia" w:ascii="Times New Roman" w:hAnsi="Times New Roman" w:cs="Times New Roman"/>
                <w:color w:val="auto"/>
                <w:sz w:val="24"/>
                <w:highlight w:val="none"/>
                <w:lang w:val="en-US" w:eastAsia="zh-CN"/>
              </w:rPr>
              <w:t>目年工作300天，则每年排放约43次，电泳</w:t>
            </w:r>
            <w:r>
              <w:rPr>
                <w:rFonts w:hint="eastAsia" w:cs="Times New Roman"/>
                <w:color w:val="auto"/>
                <w:sz w:val="24"/>
                <w:highlight w:val="none"/>
                <w:lang w:val="en-US" w:eastAsia="zh-CN"/>
              </w:rPr>
              <w:t>喷淋</w:t>
            </w:r>
            <w:r>
              <w:rPr>
                <w:rFonts w:hint="eastAsia" w:ascii="Times New Roman" w:hAnsi="Times New Roman" w:cs="Times New Roman"/>
                <w:color w:val="auto"/>
                <w:sz w:val="24"/>
                <w:highlight w:val="none"/>
                <w:lang w:val="en-US" w:eastAsia="zh-CN"/>
              </w:rPr>
              <w:t>清洗用水量为66.65</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/a，生产过程损耗量大约占用水量的2%，损耗量约为</w:t>
            </w:r>
            <w:r>
              <w:rPr>
                <w:rFonts w:hint="eastAsia" w:cs="Times New Roman"/>
                <w:color w:val="auto"/>
                <w:sz w:val="24"/>
                <w:highlight w:val="none"/>
                <w:lang w:val="en-US" w:eastAsia="zh-CN"/>
              </w:rPr>
              <w:t>1.33</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/a，电泳</w:t>
            </w:r>
            <w:r>
              <w:rPr>
                <w:rFonts w:hint="eastAsia" w:cs="Times New Roman"/>
                <w:color w:val="auto"/>
                <w:sz w:val="24"/>
                <w:highlight w:val="none"/>
                <w:lang w:val="en-US" w:eastAsia="zh-CN"/>
              </w:rPr>
              <w:t>喷淋</w:t>
            </w:r>
            <w:r>
              <w:rPr>
                <w:rFonts w:hint="eastAsia" w:ascii="Times New Roman" w:hAnsi="Times New Roman" w:cs="Times New Roman"/>
                <w:color w:val="auto"/>
                <w:sz w:val="24"/>
                <w:highlight w:val="none"/>
                <w:lang w:val="en-US" w:eastAsia="zh-CN"/>
              </w:rPr>
              <w:t>清洗</w:t>
            </w:r>
            <w:r>
              <w:rPr>
                <w:rFonts w:hint="eastAsia" w:cs="Times New Roman"/>
                <w:color w:val="auto"/>
                <w:sz w:val="24"/>
                <w:highlight w:val="none"/>
                <w:lang w:val="en-US" w:eastAsia="zh-CN"/>
              </w:rPr>
              <w:t>总用水</w:t>
            </w:r>
            <w:r>
              <w:rPr>
                <w:rFonts w:hint="eastAsia" w:ascii="Times New Roman" w:hAnsi="Times New Roman" w:cs="Times New Roman"/>
                <w:color w:val="auto"/>
                <w:sz w:val="24"/>
                <w:highlight w:val="none"/>
                <w:lang w:val="en-US" w:eastAsia="zh-CN"/>
              </w:rPr>
              <w:t>量为67.98</w:t>
            </w:r>
            <w:r>
              <w:rPr>
                <w:rFonts w:hint="eastAsia" w:cs="Times New Roman"/>
                <w:color w:val="auto"/>
                <w:sz w:val="24"/>
                <w:highlight w:val="none"/>
                <w:lang w:val="en-US" w:eastAsia="zh-CN"/>
              </w:rPr>
              <w:t>m</w:t>
            </w:r>
            <w:r>
              <w:rPr>
                <w:rFonts w:hint="eastAsia" w:cs="Times New Roman"/>
                <w:color w:val="auto"/>
                <w:sz w:val="24"/>
                <w:highlight w:val="none"/>
                <w:vertAlign w:val="superscript"/>
                <w:lang w:val="en-US" w:eastAsia="zh-CN"/>
              </w:rPr>
              <w:t>3</w:t>
            </w:r>
            <w:r>
              <w:rPr>
                <w:rFonts w:hint="eastAsia" w:ascii="Times New Roman" w:hAnsi="Times New Roman" w:cs="Times New Roman"/>
                <w:color w:val="auto"/>
                <w:sz w:val="24"/>
                <w:highlight w:val="none"/>
                <w:lang w:val="en-US" w:eastAsia="zh-CN"/>
              </w:rPr>
              <w:t>/a，电泳</w:t>
            </w:r>
            <w:r>
              <w:rPr>
                <w:rFonts w:hint="eastAsia" w:cs="Times New Roman"/>
                <w:color w:val="auto"/>
                <w:sz w:val="24"/>
                <w:highlight w:val="none"/>
                <w:lang w:val="en-US" w:eastAsia="zh-CN"/>
              </w:rPr>
              <w:t>喷淋</w:t>
            </w:r>
            <w:r>
              <w:rPr>
                <w:rFonts w:hint="eastAsia" w:ascii="Times New Roman" w:hAnsi="Times New Roman" w:cs="Times New Roman"/>
                <w:color w:val="auto"/>
                <w:sz w:val="24"/>
                <w:highlight w:val="none"/>
                <w:lang w:val="en-US" w:eastAsia="zh-CN"/>
              </w:rPr>
              <w:t>清洗废水</w:t>
            </w:r>
            <w:r>
              <w:rPr>
                <w:rFonts w:hint="eastAsia" w:ascii="Times New Roman" w:hAnsi="Times New Roman" w:cs="Times New Roman"/>
                <w:color w:val="auto"/>
                <w:sz w:val="24"/>
                <w:highlight w:val="none"/>
                <w:lang w:eastAsia="zh-CN"/>
              </w:rPr>
              <w:t>清排</w:t>
            </w:r>
            <w:r>
              <w:rPr>
                <w:rFonts w:hint="eastAsia"/>
                <w:color w:val="auto"/>
                <w:sz w:val="24"/>
                <w:highlight w:val="none"/>
                <w:lang w:eastAsia="zh-CN"/>
              </w:rPr>
              <w:t>至</w:t>
            </w:r>
            <w:r>
              <w:rPr>
                <w:rFonts w:hint="eastAsia" w:ascii="Times New Roman" w:hAnsi="Times New Roman" w:cs="Times New Roman"/>
                <w:color w:val="auto"/>
                <w:sz w:val="24"/>
                <w:highlight w:val="none"/>
                <w:lang w:val="en-US" w:eastAsia="zh-CN"/>
              </w:rPr>
              <w:t>厂内</w:t>
            </w:r>
            <w:r>
              <w:rPr>
                <w:rFonts w:hint="eastAsia" w:ascii="Times New Roman" w:hAnsi="Times New Roman" w:cs="Times New Roman"/>
                <w:color w:val="auto"/>
                <w:sz w:val="24"/>
                <w:highlight w:val="none"/>
                <w:lang w:eastAsia="zh-CN"/>
              </w:rPr>
              <w:t>污水处理</w:t>
            </w:r>
            <w:r>
              <w:rPr>
                <w:rFonts w:hint="eastAsia" w:ascii="Times New Roman" w:hAnsi="Times New Roman" w:cs="Times New Roman"/>
                <w:color w:val="auto"/>
                <w:sz w:val="24"/>
                <w:highlight w:val="none"/>
                <w:lang w:val="en-US" w:eastAsia="zh-CN"/>
              </w:rPr>
              <w:t>站</w:t>
            </w:r>
            <w:r>
              <w:rPr>
                <w:rFonts w:hint="eastAsia" w:ascii="Times New Roman" w:hAnsi="Times New Roman" w:cs="Times New Roman"/>
                <w:color w:val="auto"/>
                <w:sz w:val="24"/>
                <w:highlight w:val="none"/>
                <w:lang w:eastAsia="zh-CN"/>
              </w:rPr>
              <w:t>处理，通过</w:t>
            </w:r>
            <w:r>
              <w:rPr>
                <w:rFonts w:hint="eastAsia" w:cs="Times New Roman"/>
                <w:color w:val="auto"/>
                <w:sz w:val="24"/>
                <w:highlight w:val="none"/>
                <w:lang w:eastAsia="zh-CN"/>
              </w:rPr>
              <w:t>市政污水管网</w:t>
            </w:r>
            <w:r>
              <w:rPr>
                <w:rFonts w:hint="eastAsia" w:ascii="Times New Roman" w:hAnsi="Times New Roman" w:cs="Times New Roman"/>
                <w:color w:val="auto"/>
                <w:sz w:val="24"/>
                <w:highlight w:val="none"/>
                <w:lang w:eastAsia="zh-CN"/>
              </w:rPr>
              <w:t>排入</w:t>
            </w:r>
            <w:r>
              <w:rPr>
                <w:rFonts w:hint="eastAsia" w:ascii="Times New Roman" w:hAnsi="Times New Roman" w:cs="Times New Roman"/>
                <w:color w:val="auto"/>
                <w:sz w:val="24"/>
                <w:highlight w:val="none"/>
                <w:lang w:val="en-US" w:eastAsia="zh-CN"/>
              </w:rPr>
              <w:t>官塘</w:t>
            </w:r>
            <w:r>
              <w:rPr>
                <w:rFonts w:hint="eastAsia" w:ascii="Times New Roman" w:hAnsi="Times New Roman" w:cs="Times New Roman"/>
                <w:color w:val="auto"/>
                <w:sz w:val="24"/>
                <w:highlight w:val="none"/>
                <w:lang w:eastAsia="zh-CN"/>
              </w:rPr>
              <w:t>污水处理厂处理</w:t>
            </w:r>
            <w:r>
              <w:rPr>
                <w:rFonts w:hint="eastAsia" w:cs="Times New Roman"/>
                <w:color w:val="auto"/>
                <w:sz w:val="24"/>
                <w:highlight w:val="none"/>
                <w:lang w:eastAsia="zh-CN"/>
              </w:rPr>
              <w:t>。</w:t>
            </w:r>
          </w:p>
          <w:p w14:paraId="75806E71">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textAlignment w:val="auto"/>
              <w:rPr>
                <w:rFonts w:hint="default" w:cs="宋体"/>
                <w:color w:val="auto"/>
                <w:sz w:val="24"/>
                <w:szCs w:val="24"/>
                <w:lang w:val="en-US" w:eastAsia="zh-CN"/>
              </w:rPr>
            </w:pPr>
            <w:r>
              <w:rPr>
                <w:rFonts w:hint="eastAsia" w:cs="宋体"/>
                <w:color w:val="auto"/>
                <w:sz w:val="24"/>
                <w:szCs w:val="24"/>
                <w:lang w:val="en-US" w:eastAsia="zh-CN"/>
              </w:rPr>
              <w:t>⑥纯水制备</w:t>
            </w:r>
            <w:r>
              <w:rPr>
                <w:rFonts w:hint="eastAsia" w:cs="Times New Roman"/>
                <w:color w:val="auto"/>
                <w:kern w:val="0"/>
                <w:sz w:val="24"/>
                <w:szCs w:val="24"/>
                <w:highlight w:val="none"/>
                <w:lang w:val="en-US" w:eastAsia="zh-CN"/>
              </w:rPr>
              <w:t>废</w:t>
            </w:r>
            <w:r>
              <w:rPr>
                <w:rFonts w:hint="eastAsia" w:cs="宋体"/>
                <w:color w:val="auto"/>
                <w:sz w:val="24"/>
                <w:szCs w:val="24"/>
                <w:lang w:val="en-US" w:eastAsia="zh-CN"/>
              </w:rPr>
              <w:t>水</w:t>
            </w:r>
          </w:p>
          <w:p w14:paraId="71A84A57">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eastAsia"/>
                <w:b w:val="0"/>
                <w:bCs w:val="0"/>
                <w:color w:val="auto"/>
                <w:sz w:val="24"/>
                <w:highlight w:val="none"/>
                <w:u w:val="none"/>
                <w:lang w:val="en-US" w:eastAsia="zh-CN"/>
              </w:rPr>
            </w:pPr>
            <w:r>
              <w:rPr>
                <w:rFonts w:hint="eastAsia" w:cs="宋体"/>
                <w:color w:val="auto"/>
                <w:sz w:val="24"/>
                <w:szCs w:val="24"/>
                <w:lang w:val="en-US" w:eastAsia="zh-CN"/>
              </w:rPr>
              <w:t>根据前文分析，项目磷化后清洗、电泳、电泳超滤清洗、电泳喷淋清洗均使用纯水，</w:t>
            </w:r>
            <w:r>
              <w:rPr>
                <w:rFonts w:hint="eastAsia" w:cs="宋体"/>
                <w:color w:val="auto"/>
                <w:sz w:val="24"/>
                <w:szCs w:val="24"/>
                <w:lang w:val="en-US" w:eastAsia="zh-CN"/>
              </w:rPr>
              <w:t>项目纯水需求量为682.355</w:t>
            </w:r>
            <w:r>
              <w:rPr>
                <w:rFonts w:hint="eastAsia" w:cs="Times New Roman"/>
                <w:color w:val="auto"/>
                <w:kern w:val="0"/>
                <w:sz w:val="24"/>
                <w:szCs w:val="24"/>
                <w:highlight w:val="none"/>
                <w:lang w:val="en-US" w:eastAsia="zh-CN"/>
              </w:rPr>
              <w:t>m</w:t>
            </w:r>
            <w:r>
              <w:rPr>
                <w:rFonts w:hint="eastAsia" w:cs="Times New Roman"/>
                <w:color w:val="auto"/>
                <w:kern w:val="0"/>
                <w:sz w:val="24"/>
                <w:szCs w:val="24"/>
                <w:highlight w:val="none"/>
                <w:vertAlign w:val="superscript"/>
                <w:lang w:val="en-US" w:eastAsia="zh-CN"/>
              </w:rPr>
              <w:t>3</w:t>
            </w:r>
            <w:r>
              <w:rPr>
                <w:rFonts w:hint="eastAsia" w:cs="宋体"/>
                <w:color w:val="auto"/>
                <w:sz w:val="24"/>
                <w:szCs w:val="24"/>
                <w:lang w:val="en-US" w:eastAsia="zh-CN"/>
              </w:rPr>
              <w:t>/a，自来水制作纯水出水率以75%计，则纯水制备工序用水量约909.81</w:t>
            </w:r>
            <w:r>
              <w:rPr>
                <w:rFonts w:hint="eastAsia" w:cs="Times New Roman"/>
                <w:color w:val="auto"/>
                <w:kern w:val="0"/>
                <w:sz w:val="24"/>
                <w:szCs w:val="24"/>
                <w:highlight w:val="none"/>
                <w:lang w:val="en-US" w:eastAsia="zh-CN"/>
              </w:rPr>
              <w:t>m</w:t>
            </w:r>
            <w:r>
              <w:rPr>
                <w:rFonts w:hint="eastAsia" w:cs="Times New Roman"/>
                <w:color w:val="auto"/>
                <w:kern w:val="0"/>
                <w:sz w:val="24"/>
                <w:szCs w:val="24"/>
                <w:highlight w:val="none"/>
                <w:vertAlign w:val="superscript"/>
                <w:lang w:val="en-US" w:eastAsia="zh-CN"/>
              </w:rPr>
              <w:t>3</w:t>
            </w:r>
            <w:r>
              <w:rPr>
                <w:rFonts w:hint="eastAsia" w:cs="宋体"/>
                <w:color w:val="auto"/>
                <w:sz w:val="24"/>
                <w:szCs w:val="24"/>
                <w:lang w:val="en-US" w:eastAsia="zh-CN"/>
              </w:rPr>
              <w:t>/a，纯水制备废水产生量为227.455</w:t>
            </w:r>
            <w:r>
              <w:rPr>
                <w:rFonts w:hint="eastAsia" w:cs="Times New Roman"/>
                <w:color w:val="auto"/>
                <w:kern w:val="0"/>
                <w:sz w:val="24"/>
                <w:szCs w:val="24"/>
                <w:highlight w:val="none"/>
                <w:lang w:val="en-US" w:eastAsia="zh-CN"/>
              </w:rPr>
              <w:t>m</w:t>
            </w:r>
            <w:r>
              <w:rPr>
                <w:rFonts w:hint="eastAsia" w:cs="Times New Roman"/>
                <w:color w:val="auto"/>
                <w:kern w:val="0"/>
                <w:sz w:val="24"/>
                <w:szCs w:val="24"/>
                <w:highlight w:val="none"/>
                <w:vertAlign w:val="superscript"/>
                <w:lang w:val="en-US" w:eastAsia="zh-CN"/>
              </w:rPr>
              <w:t>3</w:t>
            </w:r>
            <w:r>
              <w:rPr>
                <w:rFonts w:hint="eastAsia" w:cs="宋体"/>
                <w:color w:val="auto"/>
                <w:sz w:val="24"/>
                <w:szCs w:val="24"/>
                <w:lang w:val="en-US" w:eastAsia="zh-CN"/>
              </w:rPr>
              <w:t>/a，废水直接排入市政污水管网</w:t>
            </w:r>
            <w:r>
              <w:rPr>
                <w:rFonts w:hint="eastAsia" w:cs="宋体"/>
                <w:color w:val="auto"/>
                <w:sz w:val="24"/>
                <w:szCs w:val="24"/>
                <w:lang w:val="en-US" w:eastAsia="zh-CN"/>
              </w:rPr>
              <w:t>。</w:t>
            </w:r>
          </w:p>
          <w:p w14:paraId="13D51AD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default" w:ascii="Times New Roman" w:hAnsi="Times New Roman" w:eastAsia="宋体" w:cs="宋体"/>
                <w:color w:val="auto"/>
                <w:sz w:val="24"/>
                <w:szCs w:val="24"/>
                <w:lang w:val="en-US" w:eastAsia="zh-CN"/>
              </w:rPr>
            </w:pPr>
            <w:r>
              <w:rPr>
                <w:rFonts w:hint="eastAsia"/>
                <w:b w:val="0"/>
                <w:bCs w:val="0"/>
                <w:color w:val="auto"/>
                <w:sz w:val="24"/>
                <w:highlight w:val="none"/>
                <w:u w:val="none"/>
                <w:lang w:val="en-US" w:eastAsia="zh-CN"/>
              </w:rPr>
              <w:t>⑦</w:t>
            </w:r>
            <w:r>
              <w:rPr>
                <w:rFonts w:hint="eastAsia" w:cs="宋体"/>
                <w:color w:val="auto"/>
                <w:sz w:val="24"/>
                <w:szCs w:val="24"/>
                <w:lang w:val="en-US" w:eastAsia="zh-CN"/>
              </w:rPr>
              <w:t>废气喷淋用水</w:t>
            </w:r>
          </w:p>
          <w:p w14:paraId="4D2B224D">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default"/>
                <w:b w:val="0"/>
                <w:bCs w:val="0"/>
                <w:color w:val="auto"/>
                <w:sz w:val="24"/>
                <w:highlight w:val="none"/>
                <w:u w:val="none"/>
                <w:lang w:val="en-US" w:eastAsia="zh-CN"/>
              </w:rPr>
            </w:pPr>
            <w:r>
              <w:rPr>
                <w:rFonts w:hint="eastAsia" w:cs="Times New Roman"/>
                <w:color w:val="auto"/>
                <w:kern w:val="0"/>
                <w:sz w:val="24"/>
                <w:szCs w:val="24"/>
                <w:highlight w:val="none"/>
                <w:lang w:val="en-US" w:eastAsia="zh-CN"/>
              </w:rPr>
              <w:t>项目废气处理设置水喷淋塔，喷淋塔处理用水为循环用水，参考《三废处理工程技术手册 废气卷》填料塔洗涤除尘器液气比一般取1.3~3L/m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lang w:val="en-US" w:eastAsia="zh-CN"/>
              </w:rPr>
              <w:t>，本项目取值3L/m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vertAlign w:val="baseline"/>
                <w:lang w:val="en-US" w:eastAsia="zh-CN"/>
              </w:rPr>
              <w:t>，根据后文废气源强计算，项目通过喷淋塔的烟尘</w:t>
            </w:r>
            <w:r>
              <w:rPr>
                <w:rFonts w:hint="default" w:ascii="Times New Roman" w:hAnsi="Times New Roman" w:eastAsia="宋体" w:cs="Times New Roman"/>
                <w:color w:val="auto"/>
                <w:kern w:val="0"/>
                <w:sz w:val="24"/>
                <w:szCs w:val="24"/>
                <w:highlight w:val="none"/>
              </w:rPr>
              <w:t>量约为</w:t>
            </w:r>
            <w:r>
              <w:rPr>
                <w:rFonts w:hint="eastAsia" w:cs="Times New Roman"/>
                <w:color w:val="auto"/>
                <w:kern w:val="0"/>
                <w:sz w:val="24"/>
                <w:szCs w:val="24"/>
                <w:highlight w:val="none"/>
                <w:lang w:val="en-US" w:eastAsia="zh-CN"/>
              </w:rPr>
              <w:t>14392</w:t>
            </w:r>
            <w:r>
              <w:rPr>
                <w:rFonts w:hint="default" w:ascii="Times New Roman" w:hAnsi="Times New Roman" w:eastAsia="宋体" w:cs="Times New Roman"/>
                <w:color w:val="auto"/>
                <w:kern w:val="0"/>
                <w:sz w:val="24"/>
                <w:szCs w:val="24"/>
                <w:highlight w:val="none"/>
              </w:rPr>
              <w:t>m</w:t>
            </w:r>
            <w:r>
              <w:rPr>
                <w:rFonts w:hint="default" w:ascii="Times New Roman" w:hAnsi="Times New Roman" w:eastAsia="宋体" w:cs="Times New Roman"/>
                <w:color w:val="auto"/>
                <w:kern w:val="0"/>
                <w:sz w:val="24"/>
                <w:szCs w:val="24"/>
                <w:highlight w:val="none"/>
                <w:vertAlign w:val="superscript"/>
              </w:rPr>
              <w:t>3</w:t>
            </w:r>
            <w:r>
              <w:rPr>
                <w:rFonts w:hint="default" w:ascii="Times New Roman" w:hAnsi="Times New Roman" w:eastAsia="宋体" w:cs="Times New Roman"/>
                <w:color w:val="auto"/>
                <w:kern w:val="0"/>
                <w:sz w:val="24"/>
                <w:szCs w:val="24"/>
                <w:highlight w:val="none"/>
              </w:rPr>
              <w:t>/h，</w:t>
            </w:r>
            <w:r>
              <w:rPr>
                <w:rFonts w:hint="eastAsia" w:ascii="Times New Roman" w:hAnsi="Times New Roman" w:cs="Times New Roman"/>
                <w:color w:val="auto"/>
                <w:kern w:val="0"/>
                <w:sz w:val="24"/>
                <w:szCs w:val="24"/>
                <w:highlight w:val="none"/>
                <w:lang w:val="en-US" w:eastAsia="zh-CN"/>
              </w:rPr>
              <w:t>则循环水量约345.4</w:t>
            </w:r>
            <w:r>
              <w:rPr>
                <w:rFonts w:hint="eastAsia" w:cs="Times New Roman"/>
                <w:color w:val="auto"/>
                <w:kern w:val="0"/>
                <w:sz w:val="24"/>
                <w:szCs w:val="24"/>
                <w:highlight w:val="none"/>
                <w:lang w:val="en-US" w:eastAsia="zh-CN"/>
              </w:rPr>
              <w:t>1m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lang w:val="en-US" w:eastAsia="zh-CN"/>
              </w:rPr>
              <w:t>/d（103623</w:t>
            </w:r>
            <w:r>
              <w:rPr>
                <w:rFonts w:hint="default" w:ascii="Times New Roman" w:hAnsi="Times New Roman" w:eastAsia="宋体" w:cs="Times New Roman"/>
                <w:color w:val="auto"/>
                <w:kern w:val="0"/>
                <w:sz w:val="24"/>
                <w:szCs w:val="24"/>
                <w:highlight w:val="none"/>
              </w:rPr>
              <w:t>m</w:t>
            </w:r>
            <w:r>
              <w:rPr>
                <w:rFonts w:hint="default" w:ascii="Times New Roman" w:hAnsi="Times New Roman" w:eastAsia="宋体" w:cs="Times New Roman"/>
                <w:color w:val="auto"/>
                <w:kern w:val="0"/>
                <w:sz w:val="24"/>
                <w:szCs w:val="24"/>
                <w:highlight w:val="none"/>
                <w:vertAlign w:val="superscript"/>
              </w:rPr>
              <w:t>3</w:t>
            </w:r>
            <w:r>
              <w:rPr>
                <w:rFonts w:hint="default" w:ascii="Times New Roman" w:hAnsi="Times New Roman" w:eastAsia="宋体" w:cs="Times New Roman"/>
                <w:color w:val="auto"/>
                <w:kern w:val="0"/>
                <w:sz w:val="24"/>
                <w:szCs w:val="24"/>
                <w:highlight w:val="none"/>
              </w:rPr>
              <w:t>/a</w:t>
            </w:r>
            <w:r>
              <w:rPr>
                <w:rFonts w:hint="eastAsia" w:cs="Times New Roman"/>
                <w:color w:val="auto"/>
                <w:kern w:val="0"/>
                <w:sz w:val="24"/>
                <w:szCs w:val="24"/>
                <w:highlight w:val="none"/>
                <w:lang w:val="en-US" w:eastAsia="zh-CN"/>
              </w:rPr>
              <w:t>）</w:t>
            </w:r>
            <w:r>
              <w:rPr>
                <w:rFonts w:hint="eastAsia" w:cs="Times New Roman"/>
                <w:color w:val="auto"/>
                <w:kern w:val="0"/>
                <w:sz w:val="24"/>
                <w:szCs w:val="24"/>
                <w:highlight w:val="none"/>
                <w:lang w:val="en-US" w:eastAsia="zh-CN"/>
              </w:rPr>
              <w:t>，</w:t>
            </w:r>
            <w:r>
              <w:rPr>
                <w:rFonts w:hint="eastAsia" w:cs="Times New Roman"/>
                <w:color w:val="auto"/>
                <w:kern w:val="0"/>
                <w:sz w:val="24"/>
                <w:szCs w:val="24"/>
                <w:highlight w:val="none"/>
                <w:lang w:val="en-US" w:eastAsia="zh-CN"/>
              </w:rPr>
              <w:t>循环水以自然蒸发方式损耗，损耗量以循环水量的0.5%计，</w:t>
            </w:r>
            <w:r>
              <w:rPr>
                <w:rFonts w:hint="eastAsia" w:cs="Times New Roman"/>
                <w:color w:val="auto"/>
                <w:kern w:val="0"/>
                <w:sz w:val="24"/>
                <w:szCs w:val="24"/>
                <w:highlight w:val="none"/>
                <w:lang w:val="en-US" w:eastAsia="zh-CN"/>
              </w:rPr>
              <w:t>则喷淋补水量为1.73m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lang w:val="en-US" w:eastAsia="zh-CN"/>
              </w:rPr>
              <w:t>/d</w:t>
            </w:r>
            <w:r>
              <w:rPr>
                <w:rFonts w:hint="default" w:ascii="Times New Roman" w:hAnsi="Times New Roman" w:eastAsia="宋体" w:cs="Times New Roman"/>
                <w:color w:val="auto"/>
                <w:kern w:val="0"/>
                <w:sz w:val="24"/>
                <w:szCs w:val="24"/>
                <w:highlight w:val="none"/>
              </w:rPr>
              <w:t>（</w:t>
            </w:r>
            <w:r>
              <w:rPr>
                <w:rFonts w:hint="eastAsia" w:ascii="Times New Roman" w:hAnsi="Times New Roman" w:eastAsia="宋体" w:cs="Times New Roman"/>
                <w:color w:val="auto"/>
                <w:kern w:val="0"/>
                <w:sz w:val="24"/>
                <w:szCs w:val="24"/>
                <w:highlight w:val="none"/>
                <w:lang w:val="en-US" w:eastAsia="zh-CN"/>
              </w:rPr>
              <w:t>519</w:t>
            </w:r>
            <w:r>
              <w:rPr>
                <w:rFonts w:hint="default" w:ascii="Times New Roman" w:hAnsi="Times New Roman" w:eastAsia="宋体" w:cs="Times New Roman"/>
                <w:color w:val="auto"/>
                <w:kern w:val="0"/>
                <w:sz w:val="24"/>
                <w:szCs w:val="24"/>
                <w:highlight w:val="none"/>
              </w:rPr>
              <w:t>m</w:t>
            </w:r>
            <w:r>
              <w:rPr>
                <w:rFonts w:hint="default" w:ascii="Times New Roman" w:hAnsi="Times New Roman" w:eastAsia="宋体" w:cs="Times New Roman"/>
                <w:color w:val="auto"/>
                <w:kern w:val="0"/>
                <w:sz w:val="24"/>
                <w:szCs w:val="24"/>
                <w:highlight w:val="none"/>
                <w:vertAlign w:val="superscript"/>
              </w:rPr>
              <w:t>3</w:t>
            </w:r>
            <w:r>
              <w:rPr>
                <w:rFonts w:hint="default" w:ascii="Times New Roman" w:hAnsi="Times New Roman" w:eastAsia="宋体" w:cs="Times New Roman"/>
                <w:color w:val="auto"/>
                <w:kern w:val="0"/>
                <w:sz w:val="24"/>
                <w:szCs w:val="24"/>
                <w:highlight w:val="none"/>
              </w:rPr>
              <w:t>/a）</w:t>
            </w:r>
            <w:r>
              <w:rPr>
                <w:rFonts w:hint="default" w:ascii="Times New Roman" w:hAnsi="Times New Roman" w:eastAsia="宋体" w:cs="Times New Roman"/>
                <w:color w:val="auto"/>
                <w:kern w:val="0"/>
                <w:sz w:val="24"/>
                <w:szCs w:val="24"/>
                <w:highlight w:val="none"/>
              </w:rPr>
              <w:t>，喷</w:t>
            </w:r>
            <w:r>
              <w:rPr>
                <w:rFonts w:hint="eastAsia" w:cs="Times New Roman"/>
                <w:color w:val="auto"/>
                <w:kern w:val="0"/>
                <w:sz w:val="24"/>
                <w:szCs w:val="24"/>
                <w:highlight w:val="none"/>
                <w:lang w:val="en-US" w:eastAsia="zh-CN"/>
              </w:rPr>
              <w:t>循环水以自然蒸发方式损耗，损耗量以循环水量的0.5%计，</w:t>
            </w:r>
            <w:r>
              <w:rPr>
                <w:rFonts w:hint="eastAsia" w:cs="Times New Roman"/>
                <w:color w:val="auto"/>
                <w:kern w:val="0"/>
                <w:sz w:val="24"/>
                <w:szCs w:val="24"/>
                <w:highlight w:val="none"/>
                <w:lang w:val="en-US" w:eastAsia="zh-CN"/>
              </w:rPr>
              <w:t>则喷淋补水量为1.73m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lang w:val="en-US" w:eastAsia="zh-CN"/>
              </w:rPr>
              <w:t>/d</w:t>
            </w:r>
            <w:r>
              <w:rPr>
                <w:rFonts w:hint="default" w:ascii="Times New Roman" w:hAnsi="Times New Roman" w:eastAsia="宋体" w:cs="Times New Roman"/>
                <w:color w:val="auto"/>
                <w:kern w:val="0"/>
                <w:sz w:val="24"/>
                <w:szCs w:val="24"/>
                <w:highlight w:val="none"/>
              </w:rPr>
              <w:t>（</w:t>
            </w:r>
            <w:r>
              <w:rPr>
                <w:rFonts w:hint="eastAsia" w:ascii="Times New Roman" w:hAnsi="Times New Roman" w:eastAsia="宋体" w:cs="Times New Roman"/>
                <w:color w:val="auto"/>
                <w:kern w:val="0"/>
                <w:sz w:val="24"/>
                <w:szCs w:val="24"/>
                <w:highlight w:val="none"/>
                <w:lang w:val="en-US" w:eastAsia="zh-CN"/>
              </w:rPr>
              <w:t>519</w:t>
            </w:r>
            <w:r>
              <w:rPr>
                <w:rFonts w:hint="default" w:ascii="Times New Roman" w:hAnsi="Times New Roman" w:eastAsia="宋体" w:cs="Times New Roman"/>
                <w:color w:val="auto"/>
                <w:kern w:val="0"/>
                <w:sz w:val="24"/>
                <w:szCs w:val="24"/>
                <w:highlight w:val="none"/>
              </w:rPr>
              <w:t>m</w:t>
            </w:r>
            <w:r>
              <w:rPr>
                <w:rFonts w:hint="default" w:ascii="Times New Roman" w:hAnsi="Times New Roman" w:eastAsia="宋体" w:cs="Times New Roman"/>
                <w:color w:val="auto"/>
                <w:kern w:val="0"/>
                <w:sz w:val="24"/>
                <w:szCs w:val="24"/>
                <w:highlight w:val="none"/>
                <w:vertAlign w:val="superscript"/>
              </w:rPr>
              <w:t>3</w:t>
            </w:r>
            <w:r>
              <w:rPr>
                <w:rFonts w:hint="default" w:ascii="Times New Roman" w:hAnsi="Times New Roman" w:eastAsia="宋体" w:cs="Times New Roman"/>
                <w:color w:val="auto"/>
                <w:kern w:val="0"/>
                <w:sz w:val="24"/>
                <w:szCs w:val="24"/>
                <w:highlight w:val="none"/>
              </w:rPr>
              <w:t>/a）</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kern w:val="0"/>
                <w:sz w:val="24"/>
                <w:szCs w:val="24"/>
                <w:highlight w:val="none"/>
              </w:rPr>
              <w:t>喷淋废水</w:t>
            </w:r>
            <w:r>
              <w:rPr>
                <w:rFonts w:hint="eastAsia" w:cs="Times New Roman"/>
                <w:color w:val="auto"/>
                <w:kern w:val="0"/>
                <w:sz w:val="24"/>
                <w:szCs w:val="24"/>
                <w:highlight w:val="none"/>
                <w:lang w:val="en-US" w:eastAsia="zh-CN"/>
              </w:rPr>
              <w:t>每个月排放一次，一年排放12次，</w:t>
            </w:r>
            <w:r>
              <w:rPr>
                <w:rFonts w:hint="eastAsia"/>
                <w:color w:val="auto"/>
                <w:sz w:val="24"/>
                <w:szCs w:val="24"/>
                <w:lang w:val="en-US" w:eastAsia="zh-CN"/>
              </w:rPr>
              <w:t>根据建设单位提供信息，项目水喷淋塔水箱容积为1.5</w:t>
            </w:r>
            <w:r>
              <w:rPr>
                <w:rFonts w:hint="default" w:ascii="Times New Roman" w:hAnsi="Times New Roman" w:eastAsia="宋体" w:cs="Times New Roman"/>
                <w:color w:val="auto"/>
                <w:kern w:val="0"/>
                <w:sz w:val="24"/>
                <w:szCs w:val="24"/>
                <w:highlight w:val="none"/>
              </w:rPr>
              <w:t>m</w:t>
            </w:r>
            <w:r>
              <w:rPr>
                <w:rFonts w:hint="default" w:ascii="Times New Roman" w:hAnsi="Times New Roman" w:eastAsia="宋体" w:cs="Times New Roman"/>
                <w:color w:val="auto"/>
                <w:kern w:val="0"/>
                <w:sz w:val="24"/>
                <w:szCs w:val="24"/>
                <w:highlight w:val="none"/>
                <w:vertAlign w:val="superscript"/>
              </w:rPr>
              <w:t>3</w:t>
            </w:r>
            <w:r>
              <w:rPr>
                <w:rFonts w:hint="eastAsia"/>
                <w:color w:val="auto"/>
                <w:sz w:val="24"/>
                <w:szCs w:val="24"/>
                <w:lang w:eastAsia="zh-CN"/>
              </w:rPr>
              <w:t>，</w:t>
            </w:r>
            <w:r>
              <w:rPr>
                <w:rFonts w:hint="eastAsia"/>
                <w:color w:val="auto"/>
                <w:sz w:val="24"/>
                <w:szCs w:val="24"/>
                <w:lang w:val="en-US" w:eastAsia="zh-CN"/>
              </w:rPr>
              <w:t>则喷淋废水总补充量约为</w:t>
            </w:r>
            <w:r>
              <w:rPr>
                <w:rFonts w:hint="eastAsia" w:cs="Times New Roman"/>
                <w:color w:val="auto"/>
                <w:kern w:val="0"/>
                <w:sz w:val="24"/>
                <w:szCs w:val="24"/>
                <w:highlight w:val="none"/>
                <w:lang w:val="en-US" w:eastAsia="zh-CN"/>
              </w:rPr>
              <w:t>1.79m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lang w:val="en-US" w:eastAsia="zh-CN"/>
              </w:rPr>
              <w:t>/d</w:t>
            </w:r>
            <w:r>
              <w:rPr>
                <w:rFonts w:hint="default" w:ascii="Times New Roman" w:hAnsi="Times New Roman" w:eastAsia="宋体" w:cs="Times New Roman"/>
                <w:color w:val="auto"/>
                <w:kern w:val="0"/>
                <w:sz w:val="24"/>
                <w:szCs w:val="24"/>
                <w:highlight w:val="none"/>
              </w:rPr>
              <w:t>（537m</w:t>
            </w:r>
            <w:r>
              <w:rPr>
                <w:rFonts w:hint="default" w:ascii="Times New Roman" w:hAnsi="Times New Roman" w:eastAsia="宋体" w:cs="Times New Roman"/>
                <w:color w:val="auto"/>
                <w:kern w:val="0"/>
                <w:sz w:val="24"/>
                <w:szCs w:val="24"/>
                <w:highlight w:val="none"/>
                <w:vertAlign w:val="superscript"/>
              </w:rPr>
              <w:t>3</w:t>
            </w:r>
            <w:r>
              <w:rPr>
                <w:rFonts w:hint="default" w:ascii="Times New Roman" w:hAnsi="Times New Roman" w:eastAsia="宋体" w:cs="Times New Roman"/>
                <w:color w:val="auto"/>
                <w:kern w:val="0"/>
                <w:sz w:val="24"/>
                <w:szCs w:val="24"/>
                <w:highlight w:val="none"/>
              </w:rPr>
              <w:t>/a）</w:t>
            </w:r>
            <w:r>
              <w:rPr>
                <w:rFonts w:hint="eastAsia"/>
                <w:color w:val="auto"/>
                <w:sz w:val="24"/>
                <w:szCs w:val="24"/>
                <w:lang w:val="en-US" w:eastAsia="zh-CN"/>
              </w:rPr>
              <w:t>，</w:t>
            </w:r>
            <w:r>
              <w:rPr>
                <w:rFonts w:hint="default" w:ascii="Times New Roman" w:hAnsi="Times New Roman" w:eastAsia="宋体" w:cs="Times New Roman"/>
                <w:color w:val="auto"/>
                <w:kern w:val="0"/>
                <w:sz w:val="24"/>
                <w:szCs w:val="24"/>
                <w:highlight w:val="none"/>
              </w:rPr>
              <w:t>喷淋废水</w:t>
            </w:r>
            <w:r>
              <w:rPr>
                <w:rFonts w:hint="eastAsia" w:cs="Times New Roman"/>
                <w:color w:val="auto"/>
                <w:kern w:val="0"/>
                <w:sz w:val="24"/>
                <w:szCs w:val="24"/>
                <w:highlight w:val="none"/>
                <w:lang w:val="en-US" w:eastAsia="zh-CN"/>
              </w:rPr>
              <w:t>排入</w:t>
            </w:r>
            <w:r>
              <w:rPr>
                <w:rFonts w:hint="eastAsia" w:ascii="Times New Roman" w:hAnsi="Times New Roman" w:cs="Times New Roman"/>
                <w:color w:val="auto"/>
                <w:sz w:val="24"/>
                <w:szCs w:val="24"/>
                <w:highlight w:val="none"/>
                <w:lang w:val="en-US" w:eastAsia="zh-CN"/>
              </w:rPr>
              <w:t>厂内</w:t>
            </w:r>
            <w:r>
              <w:rPr>
                <w:rFonts w:hint="eastAsia" w:ascii="Times New Roman" w:hAnsi="Times New Roman" w:cs="Times New Roman"/>
                <w:color w:val="auto"/>
                <w:sz w:val="24"/>
                <w:szCs w:val="24"/>
                <w:highlight w:val="none"/>
                <w:lang w:eastAsia="zh-CN"/>
              </w:rPr>
              <w:t>污水处理</w:t>
            </w:r>
            <w:r>
              <w:rPr>
                <w:rFonts w:hint="eastAsia" w:ascii="Times New Roman" w:hAnsi="Times New Roman" w:cs="Times New Roman"/>
                <w:color w:val="auto"/>
                <w:sz w:val="24"/>
                <w:szCs w:val="24"/>
                <w:highlight w:val="none"/>
                <w:lang w:val="en-US" w:eastAsia="zh-CN"/>
              </w:rPr>
              <w:t>站</w:t>
            </w:r>
            <w:r>
              <w:rPr>
                <w:rFonts w:hint="eastAsia" w:ascii="Times New Roman" w:hAnsi="Times New Roman" w:cs="Times New Roman"/>
                <w:color w:val="auto"/>
                <w:sz w:val="24"/>
                <w:szCs w:val="24"/>
                <w:highlight w:val="none"/>
                <w:lang w:eastAsia="zh-CN"/>
              </w:rPr>
              <w:t>处理，通过</w:t>
            </w:r>
            <w:r>
              <w:rPr>
                <w:rFonts w:hint="eastAsia" w:cs="Times New Roman"/>
                <w:color w:val="auto"/>
                <w:sz w:val="24"/>
                <w:szCs w:val="24"/>
                <w:highlight w:val="none"/>
                <w:lang w:eastAsia="zh-CN"/>
              </w:rPr>
              <w:t>市政污水管网</w:t>
            </w:r>
            <w:r>
              <w:rPr>
                <w:rFonts w:hint="eastAsia" w:ascii="Times New Roman" w:hAnsi="Times New Roman" w:cs="Times New Roman"/>
                <w:color w:val="auto"/>
                <w:sz w:val="24"/>
                <w:szCs w:val="24"/>
                <w:highlight w:val="none"/>
                <w:lang w:eastAsia="zh-CN"/>
              </w:rPr>
              <w:t>排入</w:t>
            </w:r>
            <w:r>
              <w:rPr>
                <w:rFonts w:hint="eastAsia" w:ascii="Times New Roman" w:hAnsi="Times New Roman" w:cs="Times New Roman"/>
                <w:color w:val="auto"/>
                <w:sz w:val="24"/>
                <w:szCs w:val="24"/>
                <w:highlight w:val="none"/>
                <w:lang w:val="en-US" w:eastAsia="zh-CN"/>
              </w:rPr>
              <w:t>官塘</w:t>
            </w:r>
            <w:r>
              <w:rPr>
                <w:rFonts w:hint="eastAsia" w:ascii="Times New Roman" w:hAnsi="Times New Roman" w:cs="Times New Roman"/>
                <w:color w:val="auto"/>
                <w:sz w:val="24"/>
                <w:szCs w:val="24"/>
                <w:highlight w:val="none"/>
                <w:lang w:eastAsia="zh-CN"/>
              </w:rPr>
              <w:t>污水处理厂处</w:t>
            </w:r>
            <w:r>
              <w:rPr>
                <w:rFonts w:hint="eastAsia" w:ascii="Times New Roman" w:hAnsi="Times New Roman" w:cs="Times New Roman"/>
                <w:color w:val="auto"/>
                <w:sz w:val="24"/>
                <w:highlight w:val="none"/>
                <w:lang w:eastAsia="zh-CN"/>
              </w:rPr>
              <w:t>理</w:t>
            </w:r>
            <w:r>
              <w:rPr>
                <w:rFonts w:hint="eastAsia" w:cs="Times New Roman"/>
                <w:color w:val="auto"/>
                <w:sz w:val="24"/>
                <w:highlight w:val="none"/>
                <w:lang w:eastAsia="zh-CN"/>
              </w:rPr>
              <w:t>。</w:t>
            </w:r>
          </w:p>
          <w:p w14:paraId="3902535C">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default"/>
                <w:b w:val="0"/>
                <w:bCs w:val="0"/>
                <w:color w:val="auto"/>
                <w:sz w:val="24"/>
                <w:szCs w:val="24"/>
                <w:highlight w:val="none"/>
                <w:u w:val="none"/>
                <w:lang w:val="en-US" w:eastAsia="zh-CN"/>
              </w:rPr>
            </w:pPr>
            <w:r>
              <w:rPr>
                <w:rFonts w:hint="eastAsia"/>
                <w:b w:val="0"/>
                <w:bCs w:val="0"/>
                <w:color w:val="auto"/>
                <w:sz w:val="24"/>
                <w:highlight w:val="none"/>
                <w:u w:val="none"/>
                <w:lang w:val="en-US" w:eastAsia="zh-CN"/>
              </w:rPr>
              <w:t>参考《汽车涂装废水水质特征分析及处理工艺》（2011年 段晶晶）、《汽车工业污染防治可行技术指南》（HJ 1181—2021）表E.2，本项目</w:t>
            </w:r>
            <w:r>
              <w:rPr>
                <w:rFonts w:hint="eastAsia"/>
                <w:b w:val="0"/>
                <w:bCs w:val="0"/>
                <w:color w:val="auto"/>
                <w:sz w:val="24"/>
                <w:szCs w:val="24"/>
                <w:highlight w:val="none"/>
                <w:u w:val="none"/>
                <w:lang w:val="en-US" w:eastAsia="zh-CN"/>
              </w:rPr>
              <w:t>脱脂清洗废水</w:t>
            </w:r>
            <w:r>
              <w:rPr>
                <w:rFonts w:hint="eastAsia"/>
                <w:b w:val="0"/>
                <w:bCs w:val="0"/>
                <w:color w:val="auto"/>
                <w:sz w:val="24"/>
                <w:highlight w:val="none"/>
                <w:u w:val="none"/>
                <w:lang w:val="en-US" w:eastAsia="zh-CN"/>
              </w:rPr>
              <w:t>各污染物浓度约为COD1250</w:t>
            </w:r>
            <w:r>
              <w:rPr>
                <w:rFonts w:hint="eastAsia"/>
                <w:b w:val="0"/>
                <w:bCs w:val="0"/>
                <w:color w:val="auto"/>
                <w:sz w:val="24"/>
                <w:szCs w:val="24"/>
                <w:highlight w:val="none"/>
                <w:u w:val="none"/>
                <w:lang w:val="en-US" w:eastAsia="zh-CN"/>
              </w:rPr>
              <w:t>mg/L、石油类75mg/L、悬浮物1000mg/L、磷酸盐50mg/L；表调废水</w:t>
            </w:r>
            <w:r>
              <w:rPr>
                <w:rFonts w:hint="eastAsia"/>
                <w:b w:val="0"/>
                <w:bCs w:val="0"/>
                <w:color w:val="auto"/>
                <w:sz w:val="24"/>
                <w:highlight w:val="none"/>
                <w:u w:val="none"/>
                <w:lang w:val="en-US" w:eastAsia="zh-CN"/>
              </w:rPr>
              <w:t>各污染物浓度约为COD500</w:t>
            </w:r>
            <w:r>
              <w:rPr>
                <w:rFonts w:hint="eastAsia"/>
                <w:b w:val="0"/>
                <w:bCs w:val="0"/>
                <w:color w:val="auto"/>
                <w:sz w:val="24"/>
                <w:szCs w:val="24"/>
                <w:highlight w:val="none"/>
                <w:u w:val="none"/>
                <w:lang w:val="en-US" w:eastAsia="zh-CN"/>
              </w:rPr>
              <w:t>mg/L</w:t>
            </w:r>
            <w:r>
              <w:rPr>
                <w:rFonts w:hint="eastAsia"/>
                <w:b w:val="0"/>
                <w:bCs w:val="0"/>
                <w:color w:val="auto"/>
                <w:sz w:val="24"/>
                <w:highlight w:val="none"/>
                <w:u w:val="none"/>
                <w:lang w:val="en-US" w:eastAsia="zh-CN"/>
              </w:rPr>
              <w:t>、悬浮物800</w:t>
            </w:r>
            <w:r>
              <w:rPr>
                <w:rFonts w:hint="eastAsia"/>
                <w:b w:val="0"/>
                <w:bCs w:val="0"/>
                <w:color w:val="auto"/>
                <w:sz w:val="24"/>
                <w:szCs w:val="24"/>
                <w:highlight w:val="none"/>
                <w:u w:val="none"/>
                <w:lang w:val="en-US" w:eastAsia="zh-CN"/>
              </w:rPr>
              <w:t>mg/L</w:t>
            </w:r>
            <w:r>
              <w:rPr>
                <w:rFonts w:hint="eastAsia"/>
                <w:b w:val="0"/>
                <w:bCs w:val="0"/>
                <w:color w:val="auto"/>
                <w:sz w:val="24"/>
                <w:highlight w:val="none"/>
                <w:u w:val="none"/>
                <w:lang w:val="en-US" w:eastAsia="zh-CN"/>
              </w:rPr>
              <w:t>、磷酸盐500</w:t>
            </w:r>
            <w:r>
              <w:rPr>
                <w:rFonts w:hint="eastAsia"/>
                <w:b w:val="0"/>
                <w:bCs w:val="0"/>
                <w:color w:val="auto"/>
                <w:sz w:val="24"/>
                <w:szCs w:val="24"/>
                <w:highlight w:val="none"/>
                <w:u w:val="none"/>
                <w:lang w:val="en-US" w:eastAsia="zh-CN"/>
              </w:rPr>
              <w:t>mg/L；磷化清洗废水</w:t>
            </w:r>
            <w:r>
              <w:rPr>
                <w:rFonts w:hint="eastAsia"/>
                <w:b w:val="0"/>
                <w:bCs w:val="0"/>
                <w:color w:val="auto"/>
                <w:sz w:val="24"/>
                <w:highlight w:val="none"/>
                <w:u w:val="none"/>
                <w:lang w:val="en-US" w:eastAsia="zh-CN"/>
              </w:rPr>
              <w:t>各污染物浓度约为COD200</w:t>
            </w:r>
            <w:r>
              <w:rPr>
                <w:rFonts w:hint="eastAsia"/>
                <w:b w:val="0"/>
                <w:bCs w:val="0"/>
                <w:color w:val="auto"/>
                <w:sz w:val="24"/>
                <w:szCs w:val="24"/>
                <w:highlight w:val="none"/>
                <w:u w:val="none"/>
                <w:lang w:val="en-US" w:eastAsia="zh-CN"/>
              </w:rPr>
              <w:t>mg/L</w:t>
            </w:r>
            <w:r>
              <w:rPr>
                <w:rFonts w:hint="eastAsia"/>
                <w:b w:val="0"/>
                <w:bCs w:val="0"/>
                <w:color w:val="auto"/>
                <w:sz w:val="24"/>
                <w:highlight w:val="none"/>
                <w:u w:val="none"/>
                <w:lang w:val="en-US" w:eastAsia="zh-CN"/>
              </w:rPr>
              <w:t>、悬浮物100</w:t>
            </w:r>
            <w:r>
              <w:rPr>
                <w:rFonts w:hint="eastAsia"/>
                <w:b w:val="0"/>
                <w:bCs w:val="0"/>
                <w:color w:val="auto"/>
                <w:sz w:val="24"/>
                <w:szCs w:val="24"/>
                <w:highlight w:val="none"/>
                <w:u w:val="none"/>
                <w:lang w:val="en-US" w:eastAsia="zh-CN"/>
              </w:rPr>
              <w:t>mg/L</w:t>
            </w:r>
            <w:r>
              <w:rPr>
                <w:rFonts w:hint="eastAsia"/>
                <w:b w:val="0"/>
                <w:bCs w:val="0"/>
                <w:color w:val="auto"/>
                <w:sz w:val="24"/>
                <w:highlight w:val="none"/>
                <w:u w:val="none"/>
                <w:lang w:val="en-US" w:eastAsia="zh-CN"/>
              </w:rPr>
              <w:t>、磷酸盐50</w:t>
            </w:r>
            <w:r>
              <w:rPr>
                <w:rFonts w:hint="eastAsia"/>
                <w:b w:val="0"/>
                <w:bCs w:val="0"/>
                <w:color w:val="auto"/>
                <w:sz w:val="24"/>
                <w:szCs w:val="24"/>
                <w:highlight w:val="none"/>
                <w:u w:val="none"/>
                <w:lang w:val="en-US" w:eastAsia="zh-CN"/>
              </w:rPr>
              <w:t>mg/L、总锌20mg/L；电泳超滤及喷淋清洗废水</w:t>
            </w:r>
            <w:r>
              <w:rPr>
                <w:rFonts w:hint="eastAsia"/>
                <w:b w:val="0"/>
                <w:bCs w:val="0"/>
                <w:color w:val="auto"/>
                <w:sz w:val="24"/>
                <w:highlight w:val="none"/>
                <w:u w:val="none"/>
                <w:lang w:val="en-US" w:eastAsia="zh-CN"/>
              </w:rPr>
              <w:t>各污染物浓度约为COD1500</w:t>
            </w:r>
            <w:r>
              <w:rPr>
                <w:rFonts w:hint="eastAsia"/>
                <w:b w:val="0"/>
                <w:bCs w:val="0"/>
                <w:color w:val="auto"/>
                <w:sz w:val="24"/>
                <w:szCs w:val="24"/>
                <w:highlight w:val="none"/>
                <w:u w:val="none"/>
                <w:lang w:val="en-US" w:eastAsia="zh-CN"/>
              </w:rPr>
              <w:t>mg/L</w:t>
            </w:r>
            <w:r>
              <w:rPr>
                <w:rFonts w:hint="eastAsia"/>
                <w:b w:val="0"/>
                <w:bCs w:val="0"/>
                <w:color w:val="auto"/>
                <w:sz w:val="24"/>
                <w:highlight w:val="none"/>
                <w:u w:val="none"/>
                <w:lang w:val="en-US" w:eastAsia="zh-CN"/>
              </w:rPr>
              <w:t>、悬浮物1500</w:t>
            </w:r>
            <w:r>
              <w:rPr>
                <w:rFonts w:hint="eastAsia"/>
                <w:b w:val="0"/>
                <w:bCs w:val="0"/>
                <w:color w:val="auto"/>
                <w:sz w:val="24"/>
                <w:szCs w:val="24"/>
                <w:highlight w:val="none"/>
                <w:u w:val="none"/>
                <w:lang w:val="en-US" w:eastAsia="zh-CN"/>
              </w:rPr>
              <w:t>mg/L；废气喷淋废水</w:t>
            </w:r>
            <w:r>
              <w:rPr>
                <w:rFonts w:hint="eastAsia"/>
                <w:b w:val="0"/>
                <w:bCs w:val="0"/>
                <w:color w:val="auto"/>
                <w:sz w:val="24"/>
                <w:highlight w:val="none"/>
                <w:u w:val="none"/>
                <w:lang w:val="en-US" w:eastAsia="zh-CN"/>
              </w:rPr>
              <w:t>各污染物浓度约为</w:t>
            </w:r>
            <w:r>
              <w:rPr>
                <w:rFonts w:hint="eastAsia"/>
                <w:b w:val="0"/>
                <w:bCs w:val="0"/>
                <w:color w:val="auto"/>
                <w:sz w:val="24"/>
                <w:szCs w:val="24"/>
                <w:highlight w:val="none"/>
                <w:u w:val="none"/>
                <w:lang w:val="en-US" w:eastAsia="zh-CN"/>
              </w:rPr>
              <w:t>COD500mg/L</w:t>
            </w:r>
            <w:r>
              <w:rPr>
                <w:rFonts w:hint="eastAsia"/>
                <w:b w:val="0"/>
                <w:bCs w:val="0"/>
                <w:color w:val="auto"/>
                <w:sz w:val="24"/>
                <w:highlight w:val="none"/>
                <w:u w:val="none"/>
                <w:lang w:val="en-US" w:eastAsia="zh-CN"/>
              </w:rPr>
              <w:t>、悬浮物1000</w:t>
            </w:r>
            <w:r>
              <w:rPr>
                <w:rFonts w:hint="eastAsia"/>
                <w:b w:val="0"/>
                <w:bCs w:val="0"/>
                <w:color w:val="auto"/>
                <w:sz w:val="24"/>
                <w:szCs w:val="24"/>
                <w:highlight w:val="none"/>
                <w:u w:val="none"/>
                <w:lang w:val="en-US" w:eastAsia="zh-CN"/>
              </w:rPr>
              <w:t>mg/L；</w:t>
            </w:r>
            <w:r>
              <w:rPr>
                <w:rFonts w:hint="eastAsia"/>
                <w:b w:val="0"/>
                <w:bCs w:val="0"/>
                <w:color w:val="auto"/>
                <w:sz w:val="24"/>
                <w:szCs w:val="24"/>
                <w:highlight w:val="none"/>
                <w:u w:val="none"/>
                <w:lang w:val="en-US" w:eastAsia="zh-CN"/>
              </w:rPr>
              <w:t>纯水制备废水COD50mg/L</w:t>
            </w:r>
            <w:r>
              <w:rPr>
                <w:rFonts w:hint="eastAsia"/>
                <w:b w:val="0"/>
                <w:bCs w:val="0"/>
                <w:color w:val="auto"/>
                <w:sz w:val="24"/>
                <w:szCs w:val="24"/>
                <w:highlight w:val="none"/>
                <w:u w:val="none"/>
                <w:lang w:val="en-US" w:eastAsia="zh-CN"/>
              </w:rPr>
              <w:t>。</w:t>
            </w:r>
          </w:p>
          <w:p w14:paraId="3065E75B">
            <w:pPr>
              <w:keepNext w:val="0"/>
              <w:keepLines w:val="0"/>
              <w:pageBreakBefore w:val="0"/>
              <w:widowControl w:val="0"/>
              <w:kinsoku/>
              <w:wordWrap/>
              <w:overflowPunct/>
              <w:topLinePunct w:val="0"/>
              <w:autoSpaceDE/>
              <w:autoSpaceDN/>
              <w:bidi w:val="0"/>
              <w:spacing w:line="500" w:lineRule="exact"/>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项目污水处理站采取“气浮+三级沉淀+MBR”技术，参考《某汽车生产企业废水处理工程实例》（张敏.工业用水与废水，2026,57(1)84-89.）、《喷粉前处理线清洗废水处理工程实例》（杨靖，黄焕转.节能与环保，2021,(4):63-64.），参考项目企业生产工艺包含脱脂、表调、磷化、电泳及各类清洗，针对这几类废水采用混凝沉淀、气浮、MBR措施进行处理，与本项目废水处理情况相似，因此，本项目污水处理站去除各污染物效率参考企业实测数据，企业实测污水处理效率分别为COD82.8%、SS98.2%、磷酸盐97%、总锌90%、石油类96.2%</w:t>
            </w:r>
            <w:r>
              <w:rPr>
                <w:rFonts w:hint="eastAsia"/>
                <w:color w:val="auto"/>
                <w:sz w:val="24"/>
                <w:szCs w:val="24"/>
                <w:lang w:eastAsia="zh-CN"/>
              </w:rPr>
              <w:t>，</w:t>
            </w:r>
            <w:r>
              <w:rPr>
                <w:rFonts w:hint="eastAsia"/>
                <w:color w:val="auto"/>
                <w:sz w:val="24"/>
                <w:szCs w:val="24"/>
                <w:lang w:val="en-US" w:eastAsia="zh-CN"/>
              </w:rPr>
              <w:t>则本项目污水处理站处理效率取值</w:t>
            </w:r>
            <w:r>
              <w:rPr>
                <w:rFonts w:hint="eastAsia" w:cs="Times New Roman"/>
                <w:color w:val="auto"/>
                <w:kern w:val="0"/>
                <w:sz w:val="24"/>
                <w:szCs w:val="24"/>
                <w:highlight w:val="none"/>
                <w:lang w:val="en-US" w:eastAsia="zh-CN"/>
              </w:rPr>
              <w:t>COD80%、SS95%、磷酸盐97%、总锌90%、石油类95%</w:t>
            </w:r>
            <w:r>
              <w:rPr>
                <w:rFonts w:hint="eastAsia"/>
                <w:color w:val="auto"/>
                <w:sz w:val="24"/>
                <w:szCs w:val="24"/>
                <w:lang w:eastAsia="zh-CN"/>
              </w:rPr>
              <w:t>。</w:t>
            </w:r>
          </w:p>
          <w:p w14:paraId="7A02796B">
            <w:pPr>
              <w:jc w:val="center"/>
              <w:rPr>
                <w:rFonts w:hint="eastAsia" w:ascii="Times New Roman" w:hAnsi="Times New Roman" w:eastAsia="宋体" w:cs="Times New Roman"/>
                <w:b/>
                <w:bCs/>
                <w:caps w:val="0"/>
                <w:color w:val="auto"/>
                <w:sz w:val="24"/>
                <w:szCs w:val="24"/>
                <w:u w:val="none" w:color="auto"/>
                <w:lang w:val="en-US" w:eastAsia="zh-CN"/>
              </w:rPr>
            </w:pPr>
            <w:r>
              <w:rPr>
                <w:rFonts w:hint="eastAsia" w:ascii="Times New Roman" w:hAnsi="Times New Roman" w:eastAsia="宋体" w:cs="Times New Roman"/>
                <w:b/>
                <w:bCs/>
                <w:caps w:val="0"/>
                <w:color w:val="auto"/>
                <w:sz w:val="24"/>
                <w:szCs w:val="24"/>
                <w:u w:val="none" w:color="auto"/>
                <w:lang w:val="en-US" w:eastAsia="zh-CN"/>
              </w:rPr>
              <w:t>表4-1</w:t>
            </w:r>
            <w:r>
              <w:rPr>
                <w:rFonts w:hint="eastAsia" w:cs="Times New Roman"/>
                <w:b/>
                <w:bCs/>
                <w:caps w:val="0"/>
                <w:color w:val="auto"/>
                <w:sz w:val="24"/>
                <w:szCs w:val="24"/>
                <w:u w:val="none" w:color="auto"/>
                <w:lang w:val="en-US" w:eastAsia="zh-CN"/>
              </w:rPr>
              <w:t>3</w:t>
            </w:r>
            <w:r>
              <w:rPr>
                <w:rFonts w:hint="eastAsia" w:ascii="Times New Roman" w:hAnsi="Times New Roman" w:eastAsia="宋体" w:cs="Times New Roman"/>
                <w:b/>
                <w:bCs/>
                <w:caps w:val="0"/>
                <w:color w:val="auto"/>
                <w:sz w:val="24"/>
                <w:szCs w:val="24"/>
                <w:u w:val="none" w:color="auto"/>
                <w:lang w:val="en-US" w:eastAsia="zh-CN"/>
              </w:rPr>
              <w:t xml:space="preserve"> 项目污水处理站废水产生情况    单位：mg/L， pH除外</w:t>
            </w:r>
          </w:p>
          <w:tbl>
            <w:tblPr>
              <w:tblStyle w:val="39"/>
              <w:tblW w:w="4996"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1"/>
              <w:gridCol w:w="973"/>
              <w:gridCol w:w="1141"/>
              <w:gridCol w:w="1211"/>
              <w:gridCol w:w="870"/>
              <w:gridCol w:w="1484"/>
              <w:gridCol w:w="1100"/>
            </w:tblGrid>
            <w:tr w14:paraId="35AA4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pct"/>
                  <w:tcBorders>
                    <w:tl2br w:val="nil"/>
                    <w:tr2bl w:val="nil"/>
                  </w:tcBorders>
                  <w:vAlign w:val="center"/>
                </w:tcPr>
                <w:p w14:paraId="3FD18FA8">
                  <w:pPr>
                    <w:spacing w:line="240" w:lineRule="auto"/>
                    <w:jc w:val="center"/>
                    <w:rPr>
                      <w:color w:val="auto"/>
                      <w:sz w:val="21"/>
                      <w:szCs w:val="21"/>
                      <w:highlight w:val="none"/>
                    </w:rPr>
                  </w:pPr>
                  <w:r>
                    <w:rPr>
                      <w:color w:val="auto"/>
                      <w:sz w:val="21"/>
                      <w:szCs w:val="21"/>
                      <w:highlight w:val="none"/>
                    </w:rPr>
                    <w:t>废水类别</w:t>
                  </w:r>
                </w:p>
              </w:tc>
              <w:tc>
                <w:tcPr>
                  <w:tcW w:w="613" w:type="pct"/>
                  <w:tcBorders>
                    <w:tl2br w:val="nil"/>
                    <w:tr2bl w:val="nil"/>
                  </w:tcBorders>
                  <w:vAlign w:val="center"/>
                </w:tcPr>
                <w:p w14:paraId="1A24FD93">
                  <w:pPr>
                    <w:spacing w:line="240" w:lineRule="auto"/>
                    <w:jc w:val="center"/>
                    <w:rPr>
                      <w:color w:val="auto"/>
                      <w:sz w:val="21"/>
                      <w:szCs w:val="21"/>
                      <w:highlight w:val="none"/>
                    </w:rPr>
                  </w:pPr>
                  <w:r>
                    <w:rPr>
                      <w:color w:val="auto"/>
                      <w:sz w:val="21"/>
                      <w:szCs w:val="21"/>
                      <w:highlight w:val="none"/>
                    </w:rPr>
                    <w:t>废水排放量</w:t>
                  </w:r>
                </w:p>
                <w:p w14:paraId="0CDB09A5">
                  <w:pPr>
                    <w:spacing w:line="240" w:lineRule="auto"/>
                    <w:jc w:val="center"/>
                    <w:rPr>
                      <w:color w:val="auto"/>
                      <w:sz w:val="21"/>
                      <w:szCs w:val="21"/>
                      <w:highlight w:val="none"/>
                    </w:rPr>
                  </w:pPr>
                  <w:r>
                    <w:rPr>
                      <w:rFonts w:hint="eastAsia"/>
                      <w:color w:val="auto"/>
                      <w:sz w:val="21"/>
                      <w:szCs w:val="21"/>
                      <w:highlight w:val="none"/>
                      <w:lang w:eastAsia="zh-CN"/>
                    </w:rPr>
                    <w:t>(</w:t>
                  </w:r>
                  <w:r>
                    <w:rPr>
                      <w:color w:val="auto"/>
                      <w:sz w:val="21"/>
                      <w:szCs w:val="21"/>
                      <w:highlight w:val="none"/>
                    </w:rPr>
                    <w:t>m</w:t>
                  </w:r>
                  <w:r>
                    <w:rPr>
                      <w:color w:val="auto"/>
                      <w:sz w:val="21"/>
                      <w:szCs w:val="21"/>
                      <w:highlight w:val="none"/>
                      <w:vertAlign w:val="superscript"/>
                    </w:rPr>
                    <w:t>3</w:t>
                  </w:r>
                  <w:r>
                    <w:rPr>
                      <w:rFonts w:hint="eastAsia"/>
                      <w:color w:val="auto"/>
                      <w:sz w:val="21"/>
                      <w:szCs w:val="21"/>
                      <w:highlight w:val="none"/>
                    </w:rPr>
                    <w:t>/a</w:t>
                  </w:r>
                  <w:r>
                    <w:rPr>
                      <w:rFonts w:hint="eastAsia"/>
                      <w:color w:val="auto"/>
                      <w:sz w:val="21"/>
                      <w:szCs w:val="21"/>
                      <w:highlight w:val="none"/>
                      <w:lang w:eastAsia="zh-CN"/>
                    </w:rPr>
                    <w:t>)</w:t>
                  </w:r>
                </w:p>
              </w:tc>
              <w:tc>
                <w:tcPr>
                  <w:tcW w:w="719" w:type="pct"/>
                  <w:tcBorders>
                    <w:tl2br w:val="nil"/>
                    <w:tr2bl w:val="nil"/>
                  </w:tcBorders>
                  <w:vAlign w:val="center"/>
                </w:tcPr>
                <w:p w14:paraId="70D602ED">
                  <w:pPr>
                    <w:spacing w:line="240" w:lineRule="auto"/>
                    <w:jc w:val="center"/>
                    <w:rPr>
                      <w:color w:val="auto"/>
                      <w:sz w:val="21"/>
                      <w:szCs w:val="21"/>
                      <w:highlight w:val="none"/>
                    </w:rPr>
                  </w:pPr>
                  <w:r>
                    <w:rPr>
                      <w:color w:val="auto"/>
                      <w:sz w:val="21"/>
                      <w:szCs w:val="21"/>
                      <w:highlight w:val="none"/>
                    </w:rPr>
                    <w:t>污染物</w:t>
                  </w:r>
                </w:p>
              </w:tc>
              <w:tc>
                <w:tcPr>
                  <w:tcW w:w="763" w:type="pct"/>
                  <w:tcBorders>
                    <w:tl2br w:val="nil"/>
                    <w:tr2bl w:val="nil"/>
                  </w:tcBorders>
                  <w:vAlign w:val="center"/>
                </w:tcPr>
                <w:p w14:paraId="5675945A">
                  <w:pPr>
                    <w:spacing w:line="240" w:lineRule="auto"/>
                    <w:jc w:val="center"/>
                    <w:rPr>
                      <w:color w:val="auto"/>
                      <w:sz w:val="21"/>
                      <w:szCs w:val="21"/>
                      <w:highlight w:val="none"/>
                    </w:rPr>
                  </w:pPr>
                  <w:r>
                    <w:rPr>
                      <w:rFonts w:hint="eastAsia"/>
                      <w:color w:val="auto"/>
                      <w:sz w:val="21"/>
                      <w:szCs w:val="21"/>
                      <w:highlight w:val="none"/>
                    </w:rPr>
                    <w:t>排放浓度</w:t>
                  </w:r>
                </w:p>
                <w:p w14:paraId="77DC0418">
                  <w:pPr>
                    <w:spacing w:line="240" w:lineRule="auto"/>
                    <w:jc w:val="center"/>
                    <w:rPr>
                      <w:color w:val="auto"/>
                      <w:sz w:val="21"/>
                      <w:szCs w:val="21"/>
                      <w:highlight w:val="none"/>
                    </w:rPr>
                  </w:pPr>
                  <w:r>
                    <w:rPr>
                      <w:rFonts w:hint="eastAsia"/>
                      <w:color w:val="auto"/>
                      <w:sz w:val="21"/>
                      <w:szCs w:val="21"/>
                      <w:highlight w:val="none"/>
                      <w:lang w:eastAsia="zh-CN"/>
                    </w:rPr>
                    <w:t>(</w:t>
                  </w:r>
                  <w:r>
                    <w:rPr>
                      <w:color w:val="auto"/>
                      <w:sz w:val="21"/>
                      <w:szCs w:val="21"/>
                      <w:highlight w:val="none"/>
                    </w:rPr>
                    <w:t>mg/L</w:t>
                  </w:r>
                  <w:r>
                    <w:rPr>
                      <w:rFonts w:hint="eastAsia"/>
                      <w:color w:val="auto"/>
                      <w:sz w:val="21"/>
                      <w:szCs w:val="21"/>
                      <w:highlight w:val="none"/>
                      <w:lang w:eastAsia="zh-CN"/>
                    </w:rPr>
                    <w:t>)</w:t>
                  </w:r>
                </w:p>
              </w:tc>
              <w:tc>
                <w:tcPr>
                  <w:tcW w:w="548" w:type="pct"/>
                  <w:tcBorders>
                    <w:tl2br w:val="nil"/>
                    <w:tr2bl w:val="nil"/>
                  </w:tcBorders>
                  <w:vAlign w:val="center"/>
                </w:tcPr>
                <w:p w14:paraId="1D3582BB">
                  <w:pPr>
                    <w:spacing w:line="240" w:lineRule="auto"/>
                    <w:jc w:val="center"/>
                    <w:rPr>
                      <w:color w:val="auto"/>
                      <w:sz w:val="21"/>
                      <w:szCs w:val="21"/>
                      <w:highlight w:val="none"/>
                    </w:rPr>
                  </w:pPr>
                  <w:r>
                    <w:rPr>
                      <w:color w:val="auto"/>
                      <w:sz w:val="21"/>
                      <w:szCs w:val="21"/>
                      <w:highlight w:val="none"/>
                    </w:rPr>
                    <w:t>排放方式</w:t>
                  </w:r>
                </w:p>
              </w:tc>
              <w:tc>
                <w:tcPr>
                  <w:tcW w:w="935" w:type="pct"/>
                  <w:tcBorders>
                    <w:tl2br w:val="nil"/>
                    <w:tr2bl w:val="nil"/>
                  </w:tcBorders>
                  <w:vAlign w:val="center"/>
                </w:tcPr>
                <w:p w14:paraId="7C922036">
                  <w:pPr>
                    <w:spacing w:line="240" w:lineRule="auto"/>
                    <w:jc w:val="center"/>
                    <w:rPr>
                      <w:color w:val="auto"/>
                      <w:sz w:val="21"/>
                      <w:szCs w:val="21"/>
                      <w:highlight w:val="none"/>
                    </w:rPr>
                  </w:pPr>
                  <w:r>
                    <w:rPr>
                      <w:rFonts w:hint="eastAsia"/>
                      <w:color w:val="auto"/>
                      <w:sz w:val="21"/>
                      <w:szCs w:val="21"/>
                      <w:highlight w:val="none"/>
                    </w:rPr>
                    <w:t>混合浓度</w:t>
                  </w:r>
                  <w:r>
                    <w:rPr>
                      <w:color w:val="auto"/>
                      <w:sz w:val="21"/>
                      <w:szCs w:val="21"/>
                      <w:highlight w:val="none"/>
                    </w:rPr>
                    <w:t>（mg/L）</w:t>
                  </w:r>
                </w:p>
              </w:tc>
              <w:tc>
                <w:tcPr>
                  <w:tcW w:w="693" w:type="pct"/>
                  <w:tcBorders>
                    <w:tl2br w:val="nil"/>
                    <w:tr2bl w:val="nil"/>
                  </w:tcBorders>
                  <w:vAlign w:val="center"/>
                </w:tcPr>
                <w:p w14:paraId="55CDE814">
                  <w:pPr>
                    <w:spacing w:line="240" w:lineRule="auto"/>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排放量（t/a）</w:t>
                  </w:r>
                </w:p>
              </w:tc>
            </w:tr>
            <w:tr w14:paraId="6871F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725" w:type="pct"/>
                  <w:vMerge w:val="restart"/>
                  <w:tcBorders>
                    <w:tl2br w:val="nil"/>
                    <w:tr2bl w:val="nil"/>
                  </w:tcBorders>
                  <w:shd w:val="clear" w:color="auto" w:fill="auto"/>
                  <w:vAlign w:val="center"/>
                </w:tcPr>
                <w:p w14:paraId="05E7DB00">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s="Times New Roman"/>
                      <w:b w:val="0"/>
                      <w:bCs/>
                      <w:color w:val="auto"/>
                      <w:sz w:val="21"/>
                      <w:szCs w:val="21"/>
                      <w:lang w:val="en-US" w:eastAsia="zh-CN"/>
                    </w:rPr>
                    <w:t>脱脂清洗废水</w:t>
                  </w:r>
                </w:p>
              </w:tc>
              <w:tc>
                <w:tcPr>
                  <w:tcW w:w="613" w:type="pct"/>
                  <w:vMerge w:val="restart"/>
                  <w:tcBorders>
                    <w:tl2br w:val="nil"/>
                    <w:tr2bl w:val="nil"/>
                  </w:tcBorders>
                  <w:shd w:val="clear" w:color="auto" w:fill="auto"/>
                  <w:vAlign w:val="center"/>
                </w:tcPr>
                <w:p w14:paraId="7A490799">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599.85</w:t>
                  </w:r>
                </w:p>
              </w:tc>
              <w:tc>
                <w:tcPr>
                  <w:tcW w:w="719" w:type="pct"/>
                  <w:tcBorders>
                    <w:tl2br w:val="nil"/>
                    <w:tr2bl w:val="nil"/>
                  </w:tcBorders>
                  <w:shd w:val="clear" w:color="auto" w:fill="auto"/>
                  <w:vAlign w:val="center"/>
                </w:tcPr>
                <w:p w14:paraId="0533C0CC">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黑体" w:cs="宋体"/>
                      <w:color w:val="auto"/>
                      <w:kern w:val="2"/>
                      <w:sz w:val="21"/>
                      <w:szCs w:val="20"/>
                      <w:lang w:val="en-US" w:eastAsia="zh-CN" w:bidi="ar-SA"/>
                    </w:rPr>
                  </w:pPr>
                  <w:r>
                    <w:rPr>
                      <w:rFonts w:hint="default" w:ascii="Times New Roman" w:hAnsi="Times New Roman" w:eastAsia="宋体" w:cs="Times New Roman"/>
                      <w:b w:val="0"/>
                      <w:bCs/>
                      <w:color w:val="auto"/>
                      <w:sz w:val="21"/>
                      <w:szCs w:val="21"/>
                    </w:rPr>
                    <w:t>COD</w:t>
                  </w:r>
                  <w:r>
                    <w:rPr>
                      <w:rFonts w:hint="eastAsia" w:eastAsia="宋体" w:cs="Times New Roman"/>
                      <w:b w:val="0"/>
                      <w:bCs/>
                      <w:color w:val="auto"/>
                      <w:sz w:val="21"/>
                      <w:szCs w:val="21"/>
                      <w:vertAlign w:val="subscript"/>
                      <w:lang w:val="en-US" w:eastAsia="zh-CN"/>
                    </w:rPr>
                    <w:t>Cr</w:t>
                  </w:r>
                </w:p>
              </w:tc>
              <w:tc>
                <w:tcPr>
                  <w:tcW w:w="763" w:type="pct"/>
                  <w:tcBorders>
                    <w:tl2br w:val="nil"/>
                    <w:tr2bl w:val="nil"/>
                  </w:tcBorders>
                  <w:shd w:val="clear" w:color="auto" w:fill="auto"/>
                  <w:vAlign w:val="center"/>
                </w:tcPr>
                <w:p w14:paraId="5CA34A03">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1250</w:t>
                  </w:r>
                </w:p>
              </w:tc>
              <w:tc>
                <w:tcPr>
                  <w:tcW w:w="548" w:type="pct"/>
                  <w:vMerge w:val="restart"/>
                  <w:tcBorders>
                    <w:tl2br w:val="nil"/>
                    <w:tr2bl w:val="nil"/>
                  </w:tcBorders>
                  <w:vAlign w:val="center"/>
                </w:tcPr>
                <w:p w14:paraId="5246A072">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排入厂内污水处理站</w:t>
                  </w:r>
                </w:p>
              </w:tc>
              <w:tc>
                <w:tcPr>
                  <w:tcW w:w="935" w:type="pct"/>
                  <w:vMerge w:val="restart"/>
                  <w:tcBorders>
                    <w:tl2br w:val="nil"/>
                    <w:tr2bl w:val="nil"/>
                  </w:tcBorders>
                  <w:vAlign w:val="center"/>
                </w:tcPr>
                <w:p w14:paraId="7C88F943">
                  <w:pPr>
                    <w:spacing w:line="240" w:lineRule="auto"/>
                    <w:jc w:val="center"/>
                    <w:rPr>
                      <w:rFonts w:hint="default"/>
                      <w:color w:val="auto"/>
                      <w:sz w:val="21"/>
                      <w:szCs w:val="21"/>
                      <w:highlight w:val="none"/>
                      <w:lang w:val="en-US" w:eastAsia="zh-CN"/>
                    </w:rPr>
                  </w:pPr>
                  <w:r>
                    <w:rPr>
                      <w:rFonts w:hint="eastAsia"/>
                      <w:color w:val="auto"/>
                      <w:sz w:val="21"/>
                      <w:szCs w:val="21"/>
                      <w:highlight w:val="none"/>
                    </w:rPr>
                    <w:t>COD</w:t>
                  </w:r>
                  <w:r>
                    <w:rPr>
                      <w:rFonts w:hint="eastAsia"/>
                      <w:color w:val="auto"/>
                      <w:sz w:val="21"/>
                      <w:szCs w:val="21"/>
                      <w:highlight w:val="none"/>
                      <w:lang w:eastAsia="zh-CN"/>
                    </w:rPr>
                    <w:t>:</w:t>
                  </w:r>
                  <w:r>
                    <w:rPr>
                      <w:rFonts w:hint="eastAsia"/>
                      <w:color w:val="auto"/>
                      <w:sz w:val="21"/>
                      <w:szCs w:val="21"/>
                      <w:highlight w:val="none"/>
                      <w:lang w:val="en-US" w:eastAsia="zh-CN"/>
                    </w:rPr>
                    <w:t>760.38</w:t>
                  </w:r>
                </w:p>
                <w:p w14:paraId="12F2F264">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SS:610.85</w:t>
                  </w:r>
                </w:p>
                <w:p w14:paraId="7E3ABE21">
                  <w:pPr>
                    <w:spacing w:line="240" w:lineRule="auto"/>
                    <w:jc w:val="center"/>
                    <w:rPr>
                      <w:rFonts w:hint="eastAsia"/>
                      <w:color w:val="auto"/>
                      <w:sz w:val="21"/>
                      <w:szCs w:val="21"/>
                      <w:highlight w:val="none"/>
                    </w:rPr>
                  </w:pPr>
                  <w:r>
                    <w:rPr>
                      <w:rFonts w:hint="eastAsia"/>
                      <w:color w:val="auto"/>
                      <w:sz w:val="21"/>
                      <w:szCs w:val="21"/>
                      <w:highlight w:val="none"/>
                      <w:lang w:val="en-US" w:eastAsia="zh-CN"/>
                    </w:rPr>
                    <w:t>磷酸盐：</w:t>
                  </w:r>
                </w:p>
                <w:p w14:paraId="2769AA7B">
                  <w:pPr>
                    <w:spacing w:line="240"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53.03</w:t>
                  </w:r>
                </w:p>
                <w:p w14:paraId="3DCF057F">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石油类：34.43</w:t>
                  </w:r>
                </w:p>
                <w:p w14:paraId="0064F67E">
                  <w:pPr>
                    <w:spacing w:line="240"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总锌：9.18</w:t>
                  </w:r>
                </w:p>
              </w:tc>
              <w:tc>
                <w:tcPr>
                  <w:tcW w:w="693" w:type="pct"/>
                  <w:vMerge w:val="restart"/>
                  <w:tcBorders>
                    <w:tl2br w:val="nil"/>
                    <w:tr2bl w:val="nil"/>
                  </w:tcBorders>
                  <w:vAlign w:val="center"/>
                </w:tcPr>
                <w:p w14:paraId="7B07DDEE">
                  <w:pPr>
                    <w:spacing w:line="240" w:lineRule="auto"/>
                    <w:jc w:val="center"/>
                    <w:rPr>
                      <w:rFonts w:hint="default"/>
                      <w:color w:val="auto"/>
                      <w:sz w:val="21"/>
                      <w:szCs w:val="21"/>
                      <w:highlight w:val="none"/>
                      <w:lang w:val="en-US" w:eastAsia="zh-CN"/>
                    </w:rPr>
                  </w:pPr>
                  <w:r>
                    <w:rPr>
                      <w:rFonts w:hint="eastAsia"/>
                      <w:color w:val="auto"/>
                      <w:sz w:val="21"/>
                      <w:szCs w:val="21"/>
                      <w:highlight w:val="none"/>
                    </w:rPr>
                    <w:t>COD</w:t>
                  </w:r>
                  <w:r>
                    <w:rPr>
                      <w:rFonts w:hint="eastAsia"/>
                      <w:color w:val="auto"/>
                      <w:sz w:val="21"/>
                      <w:szCs w:val="21"/>
                      <w:highlight w:val="none"/>
                      <w:lang w:eastAsia="zh-CN"/>
                    </w:rPr>
                    <w:t>:</w:t>
                  </w:r>
                  <w:r>
                    <w:rPr>
                      <w:rFonts w:hint="eastAsia"/>
                      <w:color w:val="auto"/>
                      <w:sz w:val="21"/>
                      <w:szCs w:val="21"/>
                      <w:highlight w:val="none"/>
                      <w:lang w:val="en-US" w:eastAsia="zh-CN"/>
                    </w:rPr>
                    <w:t>0.99</w:t>
                  </w:r>
                </w:p>
                <w:p w14:paraId="35445DED">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SS:0.8</w:t>
                  </w:r>
                </w:p>
                <w:p w14:paraId="29F05035">
                  <w:pPr>
                    <w:spacing w:line="240" w:lineRule="auto"/>
                    <w:jc w:val="center"/>
                    <w:rPr>
                      <w:rFonts w:hint="eastAsia"/>
                      <w:color w:val="auto"/>
                      <w:sz w:val="21"/>
                      <w:szCs w:val="21"/>
                      <w:highlight w:val="none"/>
                    </w:rPr>
                  </w:pPr>
                  <w:r>
                    <w:rPr>
                      <w:rFonts w:hint="eastAsia"/>
                      <w:color w:val="auto"/>
                      <w:sz w:val="21"/>
                      <w:szCs w:val="21"/>
                      <w:highlight w:val="none"/>
                      <w:lang w:val="en-US" w:eastAsia="zh-CN"/>
                    </w:rPr>
                    <w:t>磷酸盐：</w:t>
                  </w:r>
                </w:p>
                <w:p w14:paraId="46284089">
                  <w:pPr>
                    <w:spacing w:line="240"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0.069</w:t>
                  </w:r>
                </w:p>
                <w:p w14:paraId="4D17C824">
                  <w:pPr>
                    <w:spacing w:line="240" w:lineRule="auto"/>
                    <w:jc w:val="center"/>
                    <w:rPr>
                      <w:rFonts w:hint="eastAsia"/>
                      <w:color w:val="auto"/>
                      <w:sz w:val="21"/>
                      <w:szCs w:val="21"/>
                      <w:highlight w:val="none"/>
                    </w:rPr>
                  </w:pPr>
                  <w:r>
                    <w:rPr>
                      <w:rFonts w:hint="eastAsia"/>
                      <w:color w:val="auto"/>
                      <w:sz w:val="21"/>
                      <w:szCs w:val="21"/>
                      <w:highlight w:val="none"/>
                      <w:lang w:val="en-US" w:eastAsia="zh-CN"/>
                    </w:rPr>
                    <w:t>石油类：</w:t>
                  </w:r>
                </w:p>
                <w:p w14:paraId="44538C42">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0.045</w:t>
                  </w:r>
                </w:p>
                <w:p w14:paraId="0AE5B124">
                  <w:pPr>
                    <w:spacing w:line="240"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总锌：0.012</w:t>
                  </w:r>
                </w:p>
              </w:tc>
            </w:tr>
            <w:tr w14:paraId="6040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pct"/>
                  <w:vMerge w:val="continue"/>
                  <w:tcBorders>
                    <w:tl2br w:val="nil"/>
                    <w:tr2bl w:val="nil"/>
                  </w:tcBorders>
                  <w:vAlign w:val="center"/>
                </w:tcPr>
                <w:p w14:paraId="464850A3">
                  <w:pPr>
                    <w:spacing w:line="240" w:lineRule="auto"/>
                    <w:jc w:val="center"/>
                    <w:rPr>
                      <w:color w:val="auto"/>
                      <w:sz w:val="21"/>
                      <w:szCs w:val="21"/>
                      <w:highlight w:val="none"/>
                    </w:rPr>
                  </w:pPr>
                </w:p>
              </w:tc>
              <w:tc>
                <w:tcPr>
                  <w:tcW w:w="613" w:type="pct"/>
                  <w:vMerge w:val="continue"/>
                  <w:tcBorders>
                    <w:tl2br w:val="nil"/>
                    <w:tr2bl w:val="nil"/>
                  </w:tcBorders>
                  <w:vAlign w:val="center"/>
                </w:tcPr>
                <w:p w14:paraId="70AC9EFE">
                  <w:pPr>
                    <w:pStyle w:val="107"/>
                    <w:rPr>
                      <w:b w:val="0"/>
                      <w:bCs/>
                      <w:color w:val="auto"/>
                      <w:szCs w:val="21"/>
                      <w:highlight w:val="none"/>
                    </w:rPr>
                  </w:pPr>
                </w:p>
              </w:tc>
              <w:tc>
                <w:tcPr>
                  <w:tcW w:w="719" w:type="pct"/>
                  <w:tcBorders>
                    <w:tl2br w:val="nil"/>
                    <w:tr2bl w:val="nil"/>
                  </w:tcBorders>
                  <w:shd w:val="clear" w:color="auto" w:fill="auto"/>
                  <w:vAlign w:val="center"/>
                </w:tcPr>
                <w:p w14:paraId="1D8ED4D3">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SS</w:t>
                  </w:r>
                </w:p>
              </w:tc>
              <w:tc>
                <w:tcPr>
                  <w:tcW w:w="763" w:type="pct"/>
                  <w:tcBorders>
                    <w:tl2br w:val="nil"/>
                    <w:tr2bl w:val="nil"/>
                  </w:tcBorders>
                  <w:shd w:val="clear" w:color="auto" w:fill="auto"/>
                  <w:vAlign w:val="center"/>
                </w:tcPr>
                <w:p w14:paraId="57A28692">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1000</w:t>
                  </w:r>
                </w:p>
              </w:tc>
              <w:tc>
                <w:tcPr>
                  <w:tcW w:w="548" w:type="pct"/>
                  <w:vMerge w:val="continue"/>
                  <w:tcBorders>
                    <w:tl2br w:val="nil"/>
                    <w:tr2bl w:val="nil"/>
                  </w:tcBorders>
                  <w:vAlign w:val="center"/>
                </w:tcPr>
                <w:p w14:paraId="715E6FDF">
                  <w:pPr>
                    <w:spacing w:line="240" w:lineRule="auto"/>
                    <w:jc w:val="center"/>
                    <w:rPr>
                      <w:color w:val="auto"/>
                      <w:sz w:val="21"/>
                      <w:szCs w:val="21"/>
                      <w:highlight w:val="none"/>
                    </w:rPr>
                  </w:pPr>
                </w:p>
              </w:tc>
              <w:tc>
                <w:tcPr>
                  <w:tcW w:w="935" w:type="pct"/>
                  <w:vMerge w:val="continue"/>
                  <w:tcBorders>
                    <w:tl2br w:val="nil"/>
                    <w:tr2bl w:val="nil"/>
                  </w:tcBorders>
                  <w:vAlign w:val="center"/>
                </w:tcPr>
                <w:p w14:paraId="48F63275">
                  <w:pPr>
                    <w:spacing w:line="240" w:lineRule="auto"/>
                    <w:jc w:val="center"/>
                    <w:rPr>
                      <w:color w:val="auto"/>
                      <w:sz w:val="21"/>
                      <w:szCs w:val="21"/>
                      <w:highlight w:val="none"/>
                    </w:rPr>
                  </w:pPr>
                </w:p>
              </w:tc>
              <w:tc>
                <w:tcPr>
                  <w:tcW w:w="693" w:type="pct"/>
                  <w:vMerge w:val="continue"/>
                  <w:tcBorders>
                    <w:tl2br w:val="nil"/>
                    <w:tr2bl w:val="nil"/>
                  </w:tcBorders>
                  <w:vAlign w:val="center"/>
                </w:tcPr>
                <w:p w14:paraId="5ED4B6F4">
                  <w:pPr>
                    <w:spacing w:line="240" w:lineRule="auto"/>
                    <w:jc w:val="center"/>
                    <w:rPr>
                      <w:color w:val="auto"/>
                      <w:sz w:val="21"/>
                      <w:szCs w:val="21"/>
                      <w:highlight w:val="none"/>
                    </w:rPr>
                  </w:pPr>
                </w:p>
              </w:tc>
            </w:tr>
            <w:tr w14:paraId="3F8E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pct"/>
                  <w:vMerge w:val="continue"/>
                  <w:tcBorders>
                    <w:tl2br w:val="nil"/>
                    <w:tr2bl w:val="nil"/>
                  </w:tcBorders>
                  <w:vAlign w:val="center"/>
                </w:tcPr>
                <w:p w14:paraId="39A947CF">
                  <w:pPr>
                    <w:spacing w:line="240" w:lineRule="auto"/>
                    <w:jc w:val="center"/>
                    <w:rPr>
                      <w:color w:val="auto"/>
                      <w:sz w:val="21"/>
                      <w:szCs w:val="21"/>
                      <w:highlight w:val="none"/>
                    </w:rPr>
                  </w:pPr>
                </w:p>
              </w:tc>
              <w:tc>
                <w:tcPr>
                  <w:tcW w:w="613" w:type="pct"/>
                  <w:vMerge w:val="continue"/>
                  <w:tcBorders>
                    <w:tl2br w:val="nil"/>
                    <w:tr2bl w:val="nil"/>
                  </w:tcBorders>
                  <w:vAlign w:val="center"/>
                </w:tcPr>
                <w:p w14:paraId="2B0C33A9">
                  <w:pPr>
                    <w:pStyle w:val="107"/>
                    <w:rPr>
                      <w:b w:val="0"/>
                      <w:bCs/>
                      <w:color w:val="auto"/>
                      <w:szCs w:val="21"/>
                      <w:highlight w:val="none"/>
                    </w:rPr>
                  </w:pPr>
                </w:p>
              </w:tc>
              <w:tc>
                <w:tcPr>
                  <w:tcW w:w="719" w:type="pct"/>
                  <w:tcBorders>
                    <w:tl2br w:val="nil"/>
                    <w:tr2bl w:val="nil"/>
                  </w:tcBorders>
                  <w:shd w:val="clear" w:color="auto" w:fill="auto"/>
                  <w:vAlign w:val="center"/>
                </w:tcPr>
                <w:p w14:paraId="5CE787BE">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磷酸盐</w:t>
                  </w:r>
                </w:p>
              </w:tc>
              <w:tc>
                <w:tcPr>
                  <w:tcW w:w="763" w:type="pct"/>
                  <w:tcBorders>
                    <w:tl2br w:val="nil"/>
                    <w:tr2bl w:val="nil"/>
                  </w:tcBorders>
                  <w:shd w:val="clear" w:color="auto" w:fill="auto"/>
                  <w:vAlign w:val="center"/>
                </w:tcPr>
                <w:p w14:paraId="7A4D3D55">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50</w:t>
                  </w:r>
                </w:p>
              </w:tc>
              <w:tc>
                <w:tcPr>
                  <w:tcW w:w="548" w:type="pct"/>
                  <w:vMerge w:val="continue"/>
                  <w:tcBorders>
                    <w:tl2br w:val="nil"/>
                    <w:tr2bl w:val="nil"/>
                  </w:tcBorders>
                  <w:vAlign w:val="center"/>
                </w:tcPr>
                <w:p w14:paraId="796EA1F0">
                  <w:pPr>
                    <w:spacing w:line="240" w:lineRule="auto"/>
                    <w:jc w:val="center"/>
                    <w:rPr>
                      <w:color w:val="auto"/>
                      <w:sz w:val="21"/>
                      <w:szCs w:val="21"/>
                      <w:highlight w:val="none"/>
                    </w:rPr>
                  </w:pPr>
                </w:p>
              </w:tc>
              <w:tc>
                <w:tcPr>
                  <w:tcW w:w="935" w:type="pct"/>
                  <w:vMerge w:val="continue"/>
                  <w:tcBorders>
                    <w:tl2br w:val="nil"/>
                    <w:tr2bl w:val="nil"/>
                  </w:tcBorders>
                  <w:vAlign w:val="center"/>
                </w:tcPr>
                <w:p w14:paraId="1E634311">
                  <w:pPr>
                    <w:spacing w:line="240" w:lineRule="auto"/>
                    <w:jc w:val="center"/>
                    <w:rPr>
                      <w:color w:val="auto"/>
                      <w:sz w:val="21"/>
                      <w:szCs w:val="21"/>
                      <w:highlight w:val="none"/>
                    </w:rPr>
                  </w:pPr>
                </w:p>
              </w:tc>
              <w:tc>
                <w:tcPr>
                  <w:tcW w:w="693" w:type="pct"/>
                  <w:vMerge w:val="continue"/>
                  <w:tcBorders>
                    <w:tl2br w:val="nil"/>
                    <w:tr2bl w:val="nil"/>
                  </w:tcBorders>
                  <w:vAlign w:val="center"/>
                </w:tcPr>
                <w:p w14:paraId="6EBFCC78">
                  <w:pPr>
                    <w:spacing w:line="240" w:lineRule="auto"/>
                    <w:jc w:val="center"/>
                    <w:rPr>
                      <w:color w:val="auto"/>
                      <w:sz w:val="21"/>
                      <w:szCs w:val="21"/>
                      <w:highlight w:val="none"/>
                    </w:rPr>
                  </w:pPr>
                </w:p>
              </w:tc>
            </w:tr>
            <w:tr w14:paraId="7511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pct"/>
                  <w:vMerge w:val="continue"/>
                  <w:tcBorders>
                    <w:tl2br w:val="nil"/>
                    <w:tr2bl w:val="nil"/>
                  </w:tcBorders>
                  <w:vAlign w:val="center"/>
                </w:tcPr>
                <w:p w14:paraId="61234C0A">
                  <w:pPr>
                    <w:spacing w:line="240" w:lineRule="auto"/>
                    <w:jc w:val="center"/>
                    <w:rPr>
                      <w:color w:val="auto"/>
                      <w:sz w:val="21"/>
                      <w:szCs w:val="21"/>
                      <w:highlight w:val="none"/>
                    </w:rPr>
                  </w:pPr>
                </w:p>
              </w:tc>
              <w:tc>
                <w:tcPr>
                  <w:tcW w:w="613" w:type="pct"/>
                  <w:vMerge w:val="continue"/>
                  <w:tcBorders>
                    <w:tl2br w:val="nil"/>
                    <w:tr2bl w:val="nil"/>
                  </w:tcBorders>
                  <w:vAlign w:val="center"/>
                </w:tcPr>
                <w:p w14:paraId="00374B83">
                  <w:pPr>
                    <w:pStyle w:val="107"/>
                    <w:rPr>
                      <w:b w:val="0"/>
                      <w:bCs/>
                      <w:color w:val="auto"/>
                      <w:szCs w:val="21"/>
                      <w:highlight w:val="none"/>
                    </w:rPr>
                  </w:pPr>
                </w:p>
              </w:tc>
              <w:tc>
                <w:tcPr>
                  <w:tcW w:w="719" w:type="pct"/>
                  <w:tcBorders>
                    <w:tl2br w:val="nil"/>
                    <w:tr2bl w:val="nil"/>
                  </w:tcBorders>
                  <w:shd w:val="clear" w:color="auto" w:fill="auto"/>
                  <w:vAlign w:val="center"/>
                </w:tcPr>
                <w:p w14:paraId="566D128E">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石油类</w:t>
                  </w:r>
                </w:p>
              </w:tc>
              <w:tc>
                <w:tcPr>
                  <w:tcW w:w="763" w:type="pct"/>
                  <w:tcBorders>
                    <w:tl2br w:val="nil"/>
                    <w:tr2bl w:val="nil"/>
                  </w:tcBorders>
                  <w:shd w:val="clear" w:color="auto" w:fill="auto"/>
                  <w:vAlign w:val="center"/>
                </w:tcPr>
                <w:p w14:paraId="6F632244">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75</w:t>
                  </w:r>
                </w:p>
              </w:tc>
              <w:tc>
                <w:tcPr>
                  <w:tcW w:w="548" w:type="pct"/>
                  <w:vMerge w:val="continue"/>
                  <w:tcBorders>
                    <w:tl2br w:val="nil"/>
                    <w:tr2bl w:val="nil"/>
                  </w:tcBorders>
                  <w:vAlign w:val="center"/>
                </w:tcPr>
                <w:p w14:paraId="67F37212">
                  <w:pPr>
                    <w:spacing w:line="240" w:lineRule="auto"/>
                    <w:jc w:val="center"/>
                    <w:rPr>
                      <w:color w:val="auto"/>
                      <w:sz w:val="21"/>
                      <w:szCs w:val="21"/>
                      <w:highlight w:val="none"/>
                    </w:rPr>
                  </w:pPr>
                </w:p>
              </w:tc>
              <w:tc>
                <w:tcPr>
                  <w:tcW w:w="935" w:type="pct"/>
                  <w:vMerge w:val="continue"/>
                  <w:tcBorders>
                    <w:tl2br w:val="nil"/>
                    <w:tr2bl w:val="nil"/>
                  </w:tcBorders>
                  <w:vAlign w:val="center"/>
                </w:tcPr>
                <w:p w14:paraId="0D77DAC4">
                  <w:pPr>
                    <w:spacing w:line="240" w:lineRule="auto"/>
                    <w:jc w:val="center"/>
                    <w:rPr>
                      <w:color w:val="auto"/>
                      <w:sz w:val="21"/>
                      <w:szCs w:val="21"/>
                      <w:highlight w:val="none"/>
                    </w:rPr>
                  </w:pPr>
                </w:p>
              </w:tc>
              <w:tc>
                <w:tcPr>
                  <w:tcW w:w="693" w:type="pct"/>
                  <w:vMerge w:val="continue"/>
                  <w:tcBorders>
                    <w:tl2br w:val="nil"/>
                    <w:tr2bl w:val="nil"/>
                  </w:tcBorders>
                  <w:vAlign w:val="center"/>
                </w:tcPr>
                <w:p w14:paraId="7420315C">
                  <w:pPr>
                    <w:spacing w:line="240" w:lineRule="auto"/>
                    <w:jc w:val="center"/>
                    <w:rPr>
                      <w:color w:val="auto"/>
                      <w:sz w:val="21"/>
                      <w:szCs w:val="21"/>
                      <w:highlight w:val="none"/>
                    </w:rPr>
                  </w:pPr>
                </w:p>
              </w:tc>
            </w:tr>
            <w:tr w14:paraId="267F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25" w:type="pct"/>
                  <w:vMerge w:val="restart"/>
                  <w:shd w:val="clear" w:color="auto" w:fill="auto"/>
                  <w:vAlign w:val="center"/>
                </w:tcPr>
                <w:p w14:paraId="4255B81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eastAsia"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表调废水</w:t>
                  </w:r>
                </w:p>
              </w:tc>
              <w:tc>
                <w:tcPr>
                  <w:tcW w:w="613" w:type="pct"/>
                  <w:vMerge w:val="restart"/>
                  <w:shd w:val="clear" w:color="auto" w:fill="auto"/>
                  <w:vAlign w:val="center"/>
                </w:tcPr>
                <w:p w14:paraId="1E44503B">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kern w:val="2"/>
                      <w:sz w:val="21"/>
                      <w:szCs w:val="21"/>
                      <w:lang w:val="en-US" w:eastAsia="zh-CN" w:bidi="ar-SA"/>
                    </w:rPr>
                    <w:t>18.6</w:t>
                  </w:r>
                </w:p>
              </w:tc>
              <w:tc>
                <w:tcPr>
                  <w:tcW w:w="719" w:type="pct"/>
                  <w:shd w:val="clear" w:color="auto" w:fill="auto"/>
                  <w:vAlign w:val="center"/>
                </w:tcPr>
                <w:p w14:paraId="415A7ACE">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黑体" w:cs="宋体"/>
                      <w:color w:val="auto"/>
                      <w:kern w:val="2"/>
                      <w:sz w:val="21"/>
                      <w:szCs w:val="20"/>
                      <w:lang w:val="en-US" w:eastAsia="zh-CN" w:bidi="ar-SA"/>
                    </w:rPr>
                  </w:pPr>
                  <w:r>
                    <w:rPr>
                      <w:rFonts w:hint="default" w:ascii="Times New Roman" w:hAnsi="Times New Roman" w:eastAsia="宋体" w:cs="Times New Roman"/>
                      <w:b w:val="0"/>
                      <w:bCs/>
                      <w:color w:val="auto"/>
                      <w:sz w:val="21"/>
                      <w:szCs w:val="21"/>
                    </w:rPr>
                    <w:t>COD</w:t>
                  </w:r>
                  <w:r>
                    <w:rPr>
                      <w:rFonts w:hint="eastAsia" w:eastAsia="宋体" w:cs="Times New Roman"/>
                      <w:b w:val="0"/>
                      <w:bCs/>
                      <w:color w:val="auto"/>
                      <w:sz w:val="21"/>
                      <w:szCs w:val="21"/>
                      <w:vertAlign w:val="subscript"/>
                      <w:lang w:val="en-US" w:eastAsia="zh-CN"/>
                    </w:rPr>
                    <w:t>Cr</w:t>
                  </w:r>
                </w:p>
              </w:tc>
              <w:tc>
                <w:tcPr>
                  <w:tcW w:w="763" w:type="pct"/>
                  <w:shd w:val="clear" w:color="auto" w:fill="auto"/>
                  <w:vAlign w:val="center"/>
                </w:tcPr>
                <w:p w14:paraId="77255261">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500</w:t>
                  </w:r>
                </w:p>
              </w:tc>
              <w:tc>
                <w:tcPr>
                  <w:tcW w:w="548" w:type="pct"/>
                  <w:vMerge w:val="continue"/>
                </w:tcPr>
                <w:p w14:paraId="0B867360">
                  <w:pPr>
                    <w:spacing w:line="240" w:lineRule="auto"/>
                    <w:jc w:val="center"/>
                    <w:rPr>
                      <w:rFonts w:hint="eastAsia"/>
                      <w:color w:val="auto"/>
                      <w:sz w:val="21"/>
                      <w:szCs w:val="21"/>
                      <w:highlight w:val="none"/>
                      <w:lang w:val="en-US" w:eastAsia="zh-CN"/>
                    </w:rPr>
                  </w:pPr>
                </w:p>
              </w:tc>
              <w:tc>
                <w:tcPr>
                  <w:tcW w:w="935" w:type="pct"/>
                  <w:vMerge w:val="continue"/>
                </w:tcPr>
                <w:p w14:paraId="4DFF4483">
                  <w:pPr>
                    <w:spacing w:line="240" w:lineRule="auto"/>
                    <w:jc w:val="center"/>
                    <w:rPr>
                      <w:rFonts w:hint="eastAsia"/>
                      <w:color w:val="auto"/>
                      <w:sz w:val="21"/>
                      <w:szCs w:val="21"/>
                      <w:highlight w:val="none"/>
                      <w:lang w:val="en-US" w:eastAsia="zh-CN"/>
                    </w:rPr>
                  </w:pPr>
                </w:p>
              </w:tc>
              <w:tc>
                <w:tcPr>
                  <w:tcW w:w="693" w:type="pct"/>
                  <w:vMerge w:val="continue"/>
                </w:tcPr>
                <w:p w14:paraId="6789D678">
                  <w:pPr>
                    <w:spacing w:line="240" w:lineRule="auto"/>
                    <w:jc w:val="center"/>
                    <w:rPr>
                      <w:rFonts w:hint="eastAsia"/>
                      <w:color w:val="auto"/>
                      <w:sz w:val="21"/>
                      <w:szCs w:val="21"/>
                      <w:highlight w:val="none"/>
                      <w:lang w:val="en-US" w:eastAsia="zh-CN"/>
                    </w:rPr>
                  </w:pPr>
                </w:p>
              </w:tc>
            </w:tr>
            <w:tr w14:paraId="2AAB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25" w:type="pct"/>
                  <w:vMerge w:val="continue"/>
                </w:tcPr>
                <w:p w14:paraId="6DE9BFB8">
                  <w:pPr>
                    <w:spacing w:line="240" w:lineRule="auto"/>
                    <w:jc w:val="center"/>
                    <w:rPr>
                      <w:color w:val="auto"/>
                    </w:rPr>
                  </w:pPr>
                </w:p>
              </w:tc>
              <w:tc>
                <w:tcPr>
                  <w:tcW w:w="613" w:type="pct"/>
                  <w:vMerge w:val="continue"/>
                </w:tcPr>
                <w:p w14:paraId="23C58D0F">
                  <w:pPr>
                    <w:spacing w:line="240" w:lineRule="auto"/>
                    <w:jc w:val="center"/>
                    <w:rPr>
                      <w:color w:val="auto"/>
                    </w:rPr>
                  </w:pPr>
                </w:p>
              </w:tc>
              <w:tc>
                <w:tcPr>
                  <w:tcW w:w="719" w:type="pct"/>
                  <w:shd w:val="clear" w:color="auto" w:fill="auto"/>
                  <w:vAlign w:val="center"/>
                </w:tcPr>
                <w:p w14:paraId="77719E0B">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SS</w:t>
                  </w:r>
                </w:p>
              </w:tc>
              <w:tc>
                <w:tcPr>
                  <w:tcW w:w="763" w:type="pct"/>
                  <w:shd w:val="clear" w:color="auto" w:fill="auto"/>
                  <w:vAlign w:val="center"/>
                </w:tcPr>
                <w:p w14:paraId="7377A3D4">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800</w:t>
                  </w:r>
                </w:p>
              </w:tc>
              <w:tc>
                <w:tcPr>
                  <w:tcW w:w="548" w:type="pct"/>
                  <w:vMerge w:val="continue"/>
                </w:tcPr>
                <w:p w14:paraId="556D82B9">
                  <w:pPr>
                    <w:spacing w:line="240" w:lineRule="auto"/>
                    <w:jc w:val="center"/>
                    <w:rPr>
                      <w:rFonts w:hint="eastAsia"/>
                      <w:color w:val="auto"/>
                      <w:sz w:val="21"/>
                      <w:szCs w:val="21"/>
                      <w:highlight w:val="none"/>
                      <w:lang w:val="en-US" w:eastAsia="zh-CN"/>
                    </w:rPr>
                  </w:pPr>
                </w:p>
              </w:tc>
              <w:tc>
                <w:tcPr>
                  <w:tcW w:w="935" w:type="pct"/>
                  <w:vMerge w:val="continue"/>
                </w:tcPr>
                <w:p w14:paraId="337A679B">
                  <w:pPr>
                    <w:spacing w:line="240" w:lineRule="auto"/>
                    <w:jc w:val="center"/>
                    <w:rPr>
                      <w:rFonts w:hint="eastAsia"/>
                      <w:color w:val="auto"/>
                      <w:sz w:val="21"/>
                      <w:szCs w:val="21"/>
                      <w:highlight w:val="none"/>
                      <w:lang w:val="en-US" w:eastAsia="zh-CN"/>
                    </w:rPr>
                  </w:pPr>
                </w:p>
              </w:tc>
              <w:tc>
                <w:tcPr>
                  <w:tcW w:w="693" w:type="pct"/>
                  <w:vMerge w:val="continue"/>
                </w:tcPr>
                <w:p w14:paraId="1F98D430">
                  <w:pPr>
                    <w:spacing w:line="240" w:lineRule="auto"/>
                    <w:jc w:val="center"/>
                    <w:rPr>
                      <w:rFonts w:hint="eastAsia"/>
                      <w:color w:val="auto"/>
                      <w:sz w:val="21"/>
                      <w:szCs w:val="21"/>
                      <w:highlight w:val="none"/>
                      <w:lang w:val="en-US" w:eastAsia="zh-CN"/>
                    </w:rPr>
                  </w:pPr>
                </w:p>
              </w:tc>
            </w:tr>
            <w:tr w14:paraId="3C9D9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25" w:type="pct"/>
                  <w:vMerge w:val="continue"/>
                </w:tcPr>
                <w:p w14:paraId="1A2F22F1">
                  <w:pPr>
                    <w:spacing w:line="240" w:lineRule="auto"/>
                    <w:jc w:val="center"/>
                    <w:rPr>
                      <w:color w:val="auto"/>
                    </w:rPr>
                  </w:pPr>
                </w:p>
              </w:tc>
              <w:tc>
                <w:tcPr>
                  <w:tcW w:w="613" w:type="pct"/>
                  <w:vMerge w:val="continue"/>
                </w:tcPr>
                <w:p w14:paraId="59800D00">
                  <w:pPr>
                    <w:spacing w:line="240" w:lineRule="auto"/>
                    <w:jc w:val="center"/>
                    <w:rPr>
                      <w:color w:val="auto"/>
                    </w:rPr>
                  </w:pPr>
                </w:p>
              </w:tc>
              <w:tc>
                <w:tcPr>
                  <w:tcW w:w="719" w:type="pct"/>
                  <w:shd w:val="clear" w:color="auto" w:fill="auto"/>
                  <w:vAlign w:val="center"/>
                </w:tcPr>
                <w:p w14:paraId="262514F2">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磷酸盐</w:t>
                  </w:r>
                </w:p>
              </w:tc>
              <w:tc>
                <w:tcPr>
                  <w:tcW w:w="763" w:type="pct"/>
                  <w:shd w:val="clear" w:color="auto" w:fill="auto"/>
                  <w:vAlign w:val="center"/>
                </w:tcPr>
                <w:p w14:paraId="59EEE401">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500</w:t>
                  </w:r>
                </w:p>
              </w:tc>
              <w:tc>
                <w:tcPr>
                  <w:tcW w:w="548" w:type="pct"/>
                  <w:vMerge w:val="continue"/>
                </w:tcPr>
                <w:p w14:paraId="6733350D">
                  <w:pPr>
                    <w:spacing w:line="240" w:lineRule="auto"/>
                    <w:jc w:val="center"/>
                    <w:rPr>
                      <w:rFonts w:hint="eastAsia"/>
                      <w:color w:val="auto"/>
                      <w:sz w:val="21"/>
                      <w:szCs w:val="21"/>
                      <w:highlight w:val="none"/>
                      <w:lang w:val="en-US" w:eastAsia="zh-CN"/>
                    </w:rPr>
                  </w:pPr>
                </w:p>
              </w:tc>
              <w:tc>
                <w:tcPr>
                  <w:tcW w:w="935" w:type="pct"/>
                  <w:vMerge w:val="continue"/>
                </w:tcPr>
                <w:p w14:paraId="60879625">
                  <w:pPr>
                    <w:spacing w:line="240" w:lineRule="auto"/>
                    <w:jc w:val="center"/>
                    <w:rPr>
                      <w:rFonts w:hint="eastAsia"/>
                      <w:color w:val="auto"/>
                      <w:sz w:val="21"/>
                      <w:szCs w:val="21"/>
                      <w:highlight w:val="none"/>
                      <w:lang w:val="en-US" w:eastAsia="zh-CN"/>
                    </w:rPr>
                  </w:pPr>
                </w:p>
              </w:tc>
              <w:tc>
                <w:tcPr>
                  <w:tcW w:w="693" w:type="pct"/>
                  <w:vMerge w:val="continue"/>
                </w:tcPr>
                <w:p w14:paraId="32C7F402">
                  <w:pPr>
                    <w:spacing w:line="240" w:lineRule="auto"/>
                    <w:jc w:val="center"/>
                    <w:rPr>
                      <w:rFonts w:hint="eastAsia"/>
                      <w:color w:val="auto"/>
                      <w:sz w:val="21"/>
                      <w:szCs w:val="21"/>
                      <w:highlight w:val="none"/>
                      <w:lang w:val="en-US" w:eastAsia="zh-CN"/>
                    </w:rPr>
                  </w:pPr>
                </w:p>
              </w:tc>
            </w:tr>
            <w:tr w14:paraId="0FCF6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25" w:type="pct"/>
                  <w:vMerge w:val="restart"/>
                  <w:shd w:val="clear" w:color="auto" w:fill="auto"/>
                  <w:vAlign w:val="center"/>
                </w:tcPr>
                <w:p w14:paraId="45A7721C">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eastAsia"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磷化清洗废水</w:t>
                  </w:r>
                </w:p>
              </w:tc>
              <w:tc>
                <w:tcPr>
                  <w:tcW w:w="613" w:type="pct"/>
                  <w:vMerge w:val="restart"/>
                  <w:shd w:val="clear" w:color="auto" w:fill="auto"/>
                  <w:vAlign w:val="center"/>
                </w:tcPr>
                <w:p w14:paraId="19CCA3A2">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kern w:val="2"/>
                      <w:sz w:val="21"/>
                      <w:szCs w:val="21"/>
                      <w:lang w:val="en-US" w:eastAsia="zh-CN" w:bidi="ar-SA"/>
                    </w:rPr>
                    <w:t>599.85</w:t>
                  </w:r>
                </w:p>
              </w:tc>
              <w:tc>
                <w:tcPr>
                  <w:tcW w:w="719" w:type="pct"/>
                  <w:shd w:val="clear" w:color="auto" w:fill="auto"/>
                  <w:vAlign w:val="center"/>
                </w:tcPr>
                <w:p w14:paraId="47F2ED6D">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黑体" w:cs="宋体"/>
                      <w:color w:val="auto"/>
                      <w:kern w:val="2"/>
                      <w:sz w:val="21"/>
                      <w:szCs w:val="20"/>
                      <w:lang w:val="en-US" w:eastAsia="zh-CN" w:bidi="ar-SA"/>
                    </w:rPr>
                  </w:pPr>
                  <w:r>
                    <w:rPr>
                      <w:rFonts w:hint="default" w:ascii="Times New Roman" w:hAnsi="Times New Roman" w:eastAsia="宋体" w:cs="Times New Roman"/>
                      <w:b w:val="0"/>
                      <w:bCs/>
                      <w:color w:val="auto"/>
                      <w:sz w:val="21"/>
                      <w:szCs w:val="21"/>
                    </w:rPr>
                    <w:t>COD</w:t>
                  </w:r>
                  <w:r>
                    <w:rPr>
                      <w:rFonts w:hint="eastAsia" w:eastAsia="宋体" w:cs="Times New Roman"/>
                      <w:b w:val="0"/>
                      <w:bCs/>
                      <w:color w:val="auto"/>
                      <w:sz w:val="21"/>
                      <w:szCs w:val="21"/>
                      <w:vertAlign w:val="subscript"/>
                      <w:lang w:val="en-US" w:eastAsia="zh-CN"/>
                    </w:rPr>
                    <w:t>Cr</w:t>
                  </w:r>
                </w:p>
              </w:tc>
              <w:tc>
                <w:tcPr>
                  <w:tcW w:w="763" w:type="pct"/>
                  <w:shd w:val="clear" w:color="auto" w:fill="auto"/>
                  <w:vAlign w:val="center"/>
                </w:tcPr>
                <w:p w14:paraId="75AAE30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200</w:t>
                  </w:r>
                </w:p>
              </w:tc>
              <w:tc>
                <w:tcPr>
                  <w:tcW w:w="548" w:type="pct"/>
                  <w:vMerge w:val="continue"/>
                </w:tcPr>
                <w:p w14:paraId="3C1E2AE9">
                  <w:pPr>
                    <w:spacing w:line="240" w:lineRule="auto"/>
                    <w:jc w:val="center"/>
                    <w:rPr>
                      <w:rFonts w:hint="eastAsia"/>
                      <w:color w:val="auto"/>
                      <w:sz w:val="21"/>
                      <w:szCs w:val="21"/>
                      <w:highlight w:val="none"/>
                      <w:lang w:val="en-US" w:eastAsia="zh-CN"/>
                    </w:rPr>
                  </w:pPr>
                </w:p>
              </w:tc>
              <w:tc>
                <w:tcPr>
                  <w:tcW w:w="935" w:type="pct"/>
                  <w:vMerge w:val="continue"/>
                </w:tcPr>
                <w:p w14:paraId="4F59CD72">
                  <w:pPr>
                    <w:spacing w:line="240" w:lineRule="auto"/>
                    <w:jc w:val="center"/>
                    <w:rPr>
                      <w:rFonts w:hint="eastAsia"/>
                      <w:color w:val="auto"/>
                      <w:sz w:val="21"/>
                      <w:szCs w:val="21"/>
                      <w:highlight w:val="none"/>
                      <w:lang w:val="en-US" w:eastAsia="zh-CN"/>
                    </w:rPr>
                  </w:pPr>
                </w:p>
              </w:tc>
              <w:tc>
                <w:tcPr>
                  <w:tcW w:w="693" w:type="pct"/>
                  <w:vMerge w:val="continue"/>
                </w:tcPr>
                <w:p w14:paraId="418BF92E">
                  <w:pPr>
                    <w:spacing w:line="240" w:lineRule="auto"/>
                    <w:jc w:val="center"/>
                    <w:rPr>
                      <w:rFonts w:hint="eastAsia"/>
                      <w:color w:val="auto"/>
                      <w:sz w:val="21"/>
                      <w:szCs w:val="21"/>
                      <w:highlight w:val="none"/>
                      <w:lang w:val="en-US" w:eastAsia="zh-CN"/>
                    </w:rPr>
                  </w:pPr>
                </w:p>
              </w:tc>
            </w:tr>
            <w:tr w14:paraId="01D0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25" w:type="pct"/>
                  <w:vMerge w:val="continue"/>
                </w:tcPr>
                <w:p w14:paraId="277E1312">
                  <w:pPr>
                    <w:spacing w:line="240" w:lineRule="auto"/>
                    <w:jc w:val="center"/>
                    <w:rPr>
                      <w:color w:val="auto"/>
                    </w:rPr>
                  </w:pPr>
                </w:p>
              </w:tc>
              <w:tc>
                <w:tcPr>
                  <w:tcW w:w="613" w:type="pct"/>
                  <w:vMerge w:val="continue"/>
                </w:tcPr>
                <w:p w14:paraId="617564DB">
                  <w:pPr>
                    <w:spacing w:line="240" w:lineRule="auto"/>
                    <w:jc w:val="center"/>
                    <w:rPr>
                      <w:color w:val="auto"/>
                    </w:rPr>
                  </w:pPr>
                </w:p>
              </w:tc>
              <w:tc>
                <w:tcPr>
                  <w:tcW w:w="719" w:type="pct"/>
                  <w:shd w:val="clear" w:color="auto" w:fill="auto"/>
                  <w:vAlign w:val="center"/>
                </w:tcPr>
                <w:p w14:paraId="3E512E6A">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SS</w:t>
                  </w:r>
                </w:p>
              </w:tc>
              <w:tc>
                <w:tcPr>
                  <w:tcW w:w="763" w:type="pct"/>
                  <w:shd w:val="clear" w:color="auto" w:fill="auto"/>
                  <w:vAlign w:val="center"/>
                </w:tcPr>
                <w:p w14:paraId="3B5DB28D">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100</w:t>
                  </w:r>
                </w:p>
              </w:tc>
              <w:tc>
                <w:tcPr>
                  <w:tcW w:w="548" w:type="pct"/>
                  <w:vMerge w:val="continue"/>
                </w:tcPr>
                <w:p w14:paraId="44917224">
                  <w:pPr>
                    <w:spacing w:line="240" w:lineRule="auto"/>
                    <w:jc w:val="center"/>
                    <w:rPr>
                      <w:rFonts w:hint="eastAsia"/>
                      <w:color w:val="auto"/>
                      <w:sz w:val="21"/>
                      <w:szCs w:val="21"/>
                      <w:highlight w:val="none"/>
                      <w:lang w:val="en-US" w:eastAsia="zh-CN"/>
                    </w:rPr>
                  </w:pPr>
                </w:p>
              </w:tc>
              <w:tc>
                <w:tcPr>
                  <w:tcW w:w="935" w:type="pct"/>
                  <w:vMerge w:val="continue"/>
                </w:tcPr>
                <w:p w14:paraId="1E1F4CAB">
                  <w:pPr>
                    <w:spacing w:line="240" w:lineRule="auto"/>
                    <w:jc w:val="center"/>
                    <w:rPr>
                      <w:rFonts w:hint="eastAsia"/>
                      <w:color w:val="auto"/>
                      <w:sz w:val="21"/>
                      <w:szCs w:val="21"/>
                      <w:highlight w:val="none"/>
                      <w:lang w:val="en-US" w:eastAsia="zh-CN"/>
                    </w:rPr>
                  </w:pPr>
                </w:p>
              </w:tc>
              <w:tc>
                <w:tcPr>
                  <w:tcW w:w="693" w:type="pct"/>
                  <w:vMerge w:val="continue"/>
                </w:tcPr>
                <w:p w14:paraId="191FB763">
                  <w:pPr>
                    <w:spacing w:line="240" w:lineRule="auto"/>
                    <w:jc w:val="center"/>
                    <w:rPr>
                      <w:rFonts w:hint="eastAsia"/>
                      <w:color w:val="auto"/>
                      <w:sz w:val="21"/>
                      <w:szCs w:val="21"/>
                      <w:highlight w:val="none"/>
                      <w:lang w:val="en-US" w:eastAsia="zh-CN"/>
                    </w:rPr>
                  </w:pPr>
                </w:p>
              </w:tc>
            </w:tr>
            <w:tr w14:paraId="7DB1C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25" w:type="pct"/>
                  <w:vMerge w:val="continue"/>
                </w:tcPr>
                <w:p w14:paraId="3B7A3ACD">
                  <w:pPr>
                    <w:spacing w:line="240" w:lineRule="auto"/>
                    <w:jc w:val="center"/>
                    <w:rPr>
                      <w:color w:val="auto"/>
                    </w:rPr>
                  </w:pPr>
                </w:p>
              </w:tc>
              <w:tc>
                <w:tcPr>
                  <w:tcW w:w="613" w:type="pct"/>
                  <w:vMerge w:val="continue"/>
                </w:tcPr>
                <w:p w14:paraId="0F4EBB39">
                  <w:pPr>
                    <w:spacing w:line="240" w:lineRule="auto"/>
                    <w:jc w:val="center"/>
                    <w:rPr>
                      <w:color w:val="auto"/>
                    </w:rPr>
                  </w:pPr>
                </w:p>
              </w:tc>
              <w:tc>
                <w:tcPr>
                  <w:tcW w:w="719" w:type="pct"/>
                  <w:shd w:val="clear" w:color="auto" w:fill="auto"/>
                  <w:vAlign w:val="center"/>
                </w:tcPr>
                <w:p w14:paraId="6EECB452">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磷酸盐</w:t>
                  </w:r>
                </w:p>
              </w:tc>
              <w:tc>
                <w:tcPr>
                  <w:tcW w:w="763" w:type="pct"/>
                  <w:shd w:val="clear" w:color="auto" w:fill="auto"/>
                  <w:vAlign w:val="center"/>
                </w:tcPr>
                <w:p w14:paraId="1106E28C">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50</w:t>
                  </w:r>
                </w:p>
              </w:tc>
              <w:tc>
                <w:tcPr>
                  <w:tcW w:w="548" w:type="pct"/>
                  <w:vMerge w:val="continue"/>
                </w:tcPr>
                <w:p w14:paraId="0B28822E">
                  <w:pPr>
                    <w:spacing w:line="240" w:lineRule="auto"/>
                    <w:jc w:val="center"/>
                    <w:rPr>
                      <w:rFonts w:hint="eastAsia"/>
                      <w:color w:val="auto"/>
                      <w:sz w:val="21"/>
                      <w:szCs w:val="21"/>
                      <w:highlight w:val="none"/>
                      <w:lang w:val="en-US" w:eastAsia="zh-CN"/>
                    </w:rPr>
                  </w:pPr>
                </w:p>
              </w:tc>
              <w:tc>
                <w:tcPr>
                  <w:tcW w:w="935" w:type="pct"/>
                  <w:vMerge w:val="continue"/>
                </w:tcPr>
                <w:p w14:paraId="53DFB2B7">
                  <w:pPr>
                    <w:spacing w:line="240" w:lineRule="auto"/>
                    <w:jc w:val="center"/>
                    <w:rPr>
                      <w:rFonts w:hint="eastAsia"/>
                      <w:color w:val="auto"/>
                      <w:sz w:val="21"/>
                      <w:szCs w:val="21"/>
                      <w:highlight w:val="none"/>
                      <w:lang w:val="en-US" w:eastAsia="zh-CN"/>
                    </w:rPr>
                  </w:pPr>
                </w:p>
              </w:tc>
              <w:tc>
                <w:tcPr>
                  <w:tcW w:w="693" w:type="pct"/>
                  <w:vMerge w:val="continue"/>
                </w:tcPr>
                <w:p w14:paraId="7401C471">
                  <w:pPr>
                    <w:spacing w:line="240" w:lineRule="auto"/>
                    <w:jc w:val="center"/>
                    <w:rPr>
                      <w:rFonts w:hint="eastAsia"/>
                      <w:color w:val="auto"/>
                      <w:sz w:val="21"/>
                      <w:szCs w:val="21"/>
                      <w:highlight w:val="none"/>
                      <w:lang w:val="en-US" w:eastAsia="zh-CN"/>
                    </w:rPr>
                  </w:pPr>
                </w:p>
              </w:tc>
            </w:tr>
            <w:tr w14:paraId="0BA3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25" w:type="pct"/>
                  <w:vMerge w:val="continue"/>
                </w:tcPr>
                <w:p w14:paraId="60F422B0">
                  <w:pPr>
                    <w:spacing w:line="240" w:lineRule="auto"/>
                    <w:jc w:val="center"/>
                    <w:rPr>
                      <w:color w:val="auto"/>
                    </w:rPr>
                  </w:pPr>
                </w:p>
              </w:tc>
              <w:tc>
                <w:tcPr>
                  <w:tcW w:w="613" w:type="pct"/>
                  <w:vMerge w:val="continue"/>
                </w:tcPr>
                <w:p w14:paraId="299060D8">
                  <w:pPr>
                    <w:spacing w:line="240" w:lineRule="auto"/>
                    <w:jc w:val="center"/>
                    <w:rPr>
                      <w:color w:val="auto"/>
                    </w:rPr>
                  </w:pPr>
                </w:p>
              </w:tc>
              <w:tc>
                <w:tcPr>
                  <w:tcW w:w="719" w:type="pct"/>
                  <w:shd w:val="clear" w:color="auto" w:fill="auto"/>
                  <w:vAlign w:val="center"/>
                </w:tcPr>
                <w:p w14:paraId="2B8A747E">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总锌</w:t>
                  </w:r>
                </w:p>
              </w:tc>
              <w:tc>
                <w:tcPr>
                  <w:tcW w:w="763" w:type="pct"/>
                  <w:shd w:val="clear" w:color="auto" w:fill="auto"/>
                  <w:vAlign w:val="center"/>
                </w:tcPr>
                <w:p w14:paraId="6D1FD533">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20</w:t>
                  </w:r>
                </w:p>
              </w:tc>
              <w:tc>
                <w:tcPr>
                  <w:tcW w:w="548" w:type="pct"/>
                  <w:vMerge w:val="continue"/>
                </w:tcPr>
                <w:p w14:paraId="78E7CDA6">
                  <w:pPr>
                    <w:spacing w:line="240" w:lineRule="auto"/>
                    <w:jc w:val="center"/>
                    <w:rPr>
                      <w:rFonts w:hint="eastAsia"/>
                      <w:color w:val="auto"/>
                      <w:sz w:val="21"/>
                      <w:szCs w:val="21"/>
                      <w:highlight w:val="none"/>
                      <w:lang w:val="en-US" w:eastAsia="zh-CN"/>
                    </w:rPr>
                  </w:pPr>
                </w:p>
              </w:tc>
              <w:tc>
                <w:tcPr>
                  <w:tcW w:w="935" w:type="pct"/>
                  <w:vMerge w:val="continue"/>
                </w:tcPr>
                <w:p w14:paraId="50046647">
                  <w:pPr>
                    <w:spacing w:line="240" w:lineRule="auto"/>
                    <w:jc w:val="center"/>
                    <w:rPr>
                      <w:rFonts w:hint="eastAsia"/>
                      <w:color w:val="auto"/>
                      <w:sz w:val="21"/>
                      <w:szCs w:val="21"/>
                      <w:highlight w:val="none"/>
                      <w:lang w:val="en-US" w:eastAsia="zh-CN"/>
                    </w:rPr>
                  </w:pPr>
                </w:p>
              </w:tc>
              <w:tc>
                <w:tcPr>
                  <w:tcW w:w="693" w:type="pct"/>
                  <w:vMerge w:val="continue"/>
                </w:tcPr>
                <w:p w14:paraId="798A0C90">
                  <w:pPr>
                    <w:spacing w:line="240" w:lineRule="auto"/>
                    <w:jc w:val="center"/>
                    <w:rPr>
                      <w:rFonts w:hint="eastAsia"/>
                      <w:color w:val="auto"/>
                      <w:sz w:val="21"/>
                      <w:szCs w:val="21"/>
                      <w:highlight w:val="none"/>
                      <w:lang w:val="en-US" w:eastAsia="zh-CN"/>
                    </w:rPr>
                  </w:pPr>
                </w:p>
              </w:tc>
            </w:tr>
            <w:tr w14:paraId="647D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25" w:type="pct"/>
                  <w:vMerge w:val="restart"/>
                  <w:shd w:val="clear" w:color="auto" w:fill="auto"/>
                  <w:vAlign w:val="center"/>
                </w:tcPr>
                <w:p w14:paraId="320F781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电泳</w:t>
                  </w:r>
                  <w:r>
                    <w:rPr>
                      <w:rFonts w:hint="eastAsia" w:eastAsia="宋体" w:cs="Times New Roman"/>
                      <w:b w:val="0"/>
                      <w:bCs/>
                      <w:color w:val="auto"/>
                      <w:sz w:val="21"/>
                      <w:szCs w:val="21"/>
                      <w:lang w:val="en-US" w:eastAsia="zh-CN"/>
                    </w:rPr>
                    <w:t>超滤及喷淋</w:t>
                  </w:r>
                  <w:r>
                    <w:rPr>
                      <w:rFonts w:hint="eastAsia" w:ascii="Times New Roman" w:hAnsi="Times New Roman" w:eastAsia="宋体" w:cs="Times New Roman"/>
                      <w:b w:val="0"/>
                      <w:bCs/>
                      <w:color w:val="auto"/>
                      <w:sz w:val="21"/>
                      <w:szCs w:val="21"/>
                      <w:lang w:val="en-US" w:eastAsia="zh-CN"/>
                    </w:rPr>
                    <w:t>清洗废水</w:t>
                  </w:r>
                </w:p>
              </w:tc>
              <w:tc>
                <w:tcPr>
                  <w:tcW w:w="613" w:type="pct"/>
                  <w:vMerge w:val="restart"/>
                  <w:shd w:val="clear" w:color="auto" w:fill="auto"/>
                  <w:vAlign w:val="center"/>
                </w:tcPr>
                <w:p w14:paraId="0109C2A4">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70.265</w:t>
                  </w:r>
                </w:p>
              </w:tc>
              <w:tc>
                <w:tcPr>
                  <w:tcW w:w="719" w:type="pct"/>
                  <w:shd w:val="clear" w:color="auto" w:fill="auto"/>
                  <w:vAlign w:val="center"/>
                </w:tcPr>
                <w:p w14:paraId="7807DFC4">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黑体" w:cs="宋体"/>
                      <w:color w:val="auto"/>
                      <w:kern w:val="2"/>
                      <w:sz w:val="21"/>
                      <w:szCs w:val="20"/>
                      <w:lang w:val="en-US" w:eastAsia="zh-CN" w:bidi="ar-SA"/>
                    </w:rPr>
                  </w:pPr>
                  <w:r>
                    <w:rPr>
                      <w:rFonts w:hint="default" w:ascii="Times New Roman" w:hAnsi="Times New Roman" w:eastAsia="宋体" w:cs="Times New Roman"/>
                      <w:b w:val="0"/>
                      <w:bCs/>
                      <w:color w:val="auto"/>
                      <w:sz w:val="21"/>
                      <w:szCs w:val="21"/>
                    </w:rPr>
                    <w:t>COD</w:t>
                  </w:r>
                  <w:r>
                    <w:rPr>
                      <w:rFonts w:hint="eastAsia" w:eastAsia="宋体" w:cs="Times New Roman"/>
                      <w:b w:val="0"/>
                      <w:bCs/>
                      <w:color w:val="auto"/>
                      <w:sz w:val="21"/>
                      <w:szCs w:val="21"/>
                      <w:vertAlign w:val="subscript"/>
                      <w:lang w:val="en-US" w:eastAsia="zh-CN"/>
                    </w:rPr>
                    <w:t>Cr</w:t>
                  </w:r>
                </w:p>
              </w:tc>
              <w:tc>
                <w:tcPr>
                  <w:tcW w:w="763" w:type="pct"/>
                  <w:shd w:val="clear" w:color="auto" w:fill="auto"/>
                  <w:vAlign w:val="center"/>
                </w:tcPr>
                <w:p w14:paraId="7C9C2A1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1500</w:t>
                  </w:r>
                </w:p>
              </w:tc>
              <w:tc>
                <w:tcPr>
                  <w:tcW w:w="548" w:type="pct"/>
                  <w:vMerge w:val="continue"/>
                </w:tcPr>
                <w:p w14:paraId="63A8730A">
                  <w:pPr>
                    <w:spacing w:line="240" w:lineRule="auto"/>
                    <w:jc w:val="center"/>
                    <w:rPr>
                      <w:rFonts w:hint="eastAsia"/>
                      <w:color w:val="auto"/>
                      <w:sz w:val="21"/>
                      <w:szCs w:val="21"/>
                      <w:highlight w:val="none"/>
                      <w:lang w:val="en-US" w:eastAsia="zh-CN"/>
                    </w:rPr>
                  </w:pPr>
                </w:p>
              </w:tc>
              <w:tc>
                <w:tcPr>
                  <w:tcW w:w="935" w:type="pct"/>
                  <w:vMerge w:val="continue"/>
                </w:tcPr>
                <w:p w14:paraId="6AB15D28">
                  <w:pPr>
                    <w:spacing w:line="240" w:lineRule="auto"/>
                    <w:jc w:val="center"/>
                    <w:rPr>
                      <w:rFonts w:hint="eastAsia"/>
                      <w:color w:val="auto"/>
                      <w:sz w:val="21"/>
                      <w:szCs w:val="21"/>
                      <w:highlight w:val="none"/>
                      <w:lang w:val="en-US" w:eastAsia="zh-CN"/>
                    </w:rPr>
                  </w:pPr>
                </w:p>
              </w:tc>
              <w:tc>
                <w:tcPr>
                  <w:tcW w:w="693" w:type="pct"/>
                  <w:vMerge w:val="continue"/>
                </w:tcPr>
                <w:p w14:paraId="3D6C9D94">
                  <w:pPr>
                    <w:spacing w:line="240" w:lineRule="auto"/>
                    <w:jc w:val="center"/>
                    <w:rPr>
                      <w:rFonts w:hint="eastAsia"/>
                      <w:color w:val="auto"/>
                      <w:sz w:val="21"/>
                      <w:szCs w:val="21"/>
                      <w:highlight w:val="none"/>
                      <w:lang w:val="en-US" w:eastAsia="zh-CN"/>
                    </w:rPr>
                  </w:pPr>
                </w:p>
              </w:tc>
            </w:tr>
            <w:tr w14:paraId="685D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25" w:type="pct"/>
                  <w:vMerge w:val="continue"/>
                </w:tcPr>
                <w:p w14:paraId="489E35B3">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p>
              </w:tc>
              <w:tc>
                <w:tcPr>
                  <w:tcW w:w="613" w:type="pct"/>
                  <w:vMerge w:val="continue"/>
                </w:tcPr>
                <w:p w14:paraId="6557A1EB">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p>
              </w:tc>
              <w:tc>
                <w:tcPr>
                  <w:tcW w:w="719" w:type="pct"/>
                  <w:shd w:val="clear" w:color="auto" w:fill="auto"/>
                  <w:vAlign w:val="center"/>
                </w:tcPr>
                <w:p w14:paraId="3B67F423">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SS</w:t>
                  </w:r>
                </w:p>
              </w:tc>
              <w:tc>
                <w:tcPr>
                  <w:tcW w:w="763" w:type="pct"/>
                  <w:shd w:val="clear" w:color="auto" w:fill="auto"/>
                  <w:vAlign w:val="center"/>
                </w:tcPr>
                <w:p w14:paraId="0F2E5D11">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1500</w:t>
                  </w:r>
                </w:p>
              </w:tc>
              <w:tc>
                <w:tcPr>
                  <w:tcW w:w="548" w:type="pct"/>
                  <w:vMerge w:val="continue"/>
                </w:tcPr>
                <w:p w14:paraId="62AC0BAE">
                  <w:pPr>
                    <w:spacing w:line="240" w:lineRule="auto"/>
                    <w:jc w:val="center"/>
                    <w:rPr>
                      <w:rFonts w:hint="eastAsia"/>
                      <w:color w:val="auto"/>
                      <w:sz w:val="21"/>
                      <w:szCs w:val="21"/>
                      <w:highlight w:val="none"/>
                      <w:lang w:val="en-US" w:eastAsia="zh-CN"/>
                    </w:rPr>
                  </w:pPr>
                </w:p>
              </w:tc>
              <w:tc>
                <w:tcPr>
                  <w:tcW w:w="935" w:type="pct"/>
                  <w:vMerge w:val="continue"/>
                </w:tcPr>
                <w:p w14:paraId="41973452">
                  <w:pPr>
                    <w:spacing w:line="240" w:lineRule="auto"/>
                    <w:jc w:val="center"/>
                    <w:rPr>
                      <w:rFonts w:hint="eastAsia"/>
                      <w:color w:val="auto"/>
                      <w:sz w:val="21"/>
                      <w:szCs w:val="21"/>
                      <w:highlight w:val="none"/>
                      <w:lang w:val="en-US" w:eastAsia="zh-CN"/>
                    </w:rPr>
                  </w:pPr>
                </w:p>
              </w:tc>
              <w:tc>
                <w:tcPr>
                  <w:tcW w:w="693" w:type="pct"/>
                  <w:vMerge w:val="continue"/>
                </w:tcPr>
                <w:p w14:paraId="3305E022">
                  <w:pPr>
                    <w:spacing w:line="240" w:lineRule="auto"/>
                    <w:jc w:val="center"/>
                    <w:rPr>
                      <w:rFonts w:hint="eastAsia"/>
                      <w:color w:val="auto"/>
                      <w:sz w:val="21"/>
                      <w:szCs w:val="21"/>
                      <w:highlight w:val="none"/>
                      <w:lang w:val="en-US" w:eastAsia="zh-CN"/>
                    </w:rPr>
                  </w:pPr>
                </w:p>
              </w:tc>
            </w:tr>
            <w:tr w14:paraId="3B84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725" w:type="pct"/>
                  <w:vMerge w:val="restart"/>
                  <w:vAlign w:val="center"/>
                </w:tcPr>
                <w:p w14:paraId="27376A3E">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kern w:val="2"/>
                      <w:sz w:val="21"/>
                      <w:szCs w:val="21"/>
                      <w:lang w:val="en-US" w:eastAsia="zh-CN" w:bidi="ar-SA"/>
                    </w:rPr>
                    <w:t>废气喷淋废水</w:t>
                  </w:r>
                </w:p>
              </w:tc>
              <w:tc>
                <w:tcPr>
                  <w:tcW w:w="613" w:type="pct"/>
                  <w:vMerge w:val="restart"/>
                  <w:vAlign w:val="center"/>
                </w:tcPr>
                <w:p w14:paraId="2E1889CE">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kern w:val="2"/>
                      <w:sz w:val="21"/>
                      <w:szCs w:val="21"/>
                      <w:lang w:val="en-US" w:eastAsia="zh-CN" w:bidi="ar-SA"/>
                    </w:rPr>
                    <w:t>18</w:t>
                  </w:r>
                </w:p>
              </w:tc>
              <w:tc>
                <w:tcPr>
                  <w:tcW w:w="719" w:type="pct"/>
                  <w:shd w:val="clear" w:color="auto" w:fill="auto"/>
                  <w:vAlign w:val="center"/>
                </w:tcPr>
                <w:p w14:paraId="1382C9E0">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eastAsia" w:ascii="Times New Roman" w:hAnsi="Times New Roman" w:eastAsia="黑体" w:cs="宋体"/>
                      <w:color w:val="auto"/>
                      <w:kern w:val="2"/>
                      <w:sz w:val="21"/>
                      <w:szCs w:val="20"/>
                      <w:lang w:val="en-US" w:eastAsia="zh-CN" w:bidi="ar-SA"/>
                    </w:rPr>
                  </w:pPr>
                  <w:r>
                    <w:rPr>
                      <w:rFonts w:hint="default" w:ascii="Times New Roman" w:hAnsi="Times New Roman" w:eastAsia="宋体" w:cs="Times New Roman"/>
                      <w:b w:val="0"/>
                      <w:bCs/>
                      <w:color w:val="auto"/>
                      <w:sz w:val="21"/>
                      <w:szCs w:val="21"/>
                    </w:rPr>
                    <w:t>COD</w:t>
                  </w:r>
                  <w:r>
                    <w:rPr>
                      <w:rFonts w:hint="eastAsia" w:eastAsia="宋体" w:cs="Times New Roman"/>
                      <w:b w:val="0"/>
                      <w:bCs/>
                      <w:color w:val="auto"/>
                      <w:sz w:val="21"/>
                      <w:szCs w:val="21"/>
                      <w:vertAlign w:val="subscript"/>
                      <w:lang w:val="en-US" w:eastAsia="zh-CN"/>
                    </w:rPr>
                    <w:t>Cr</w:t>
                  </w:r>
                </w:p>
              </w:tc>
              <w:tc>
                <w:tcPr>
                  <w:tcW w:w="763" w:type="pct"/>
                  <w:shd w:val="clear" w:color="auto" w:fill="auto"/>
                  <w:vAlign w:val="center"/>
                </w:tcPr>
                <w:p w14:paraId="040189CC">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500</w:t>
                  </w:r>
                </w:p>
              </w:tc>
              <w:tc>
                <w:tcPr>
                  <w:tcW w:w="548" w:type="pct"/>
                  <w:vMerge w:val="continue"/>
                </w:tcPr>
                <w:p w14:paraId="066C3646">
                  <w:pPr>
                    <w:spacing w:line="240" w:lineRule="auto"/>
                    <w:jc w:val="center"/>
                    <w:rPr>
                      <w:rFonts w:hint="eastAsia"/>
                      <w:color w:val="auto"/>
                      <w:sz w:val="21"/>
                      <w:szCs w:val="21"/>
                      <w:highlight w:val="none"/>
                      <w:lang w:val="en-US" w:eastAsia="zh-CN"/>
                    </w:rPr>
                  </w:pPr>
                </w:p>
              </w:tc>
              <w:tc>
                <w:tcPr>
                  <w:tcW w:w="935" w:type="pct"/>
                  <w:vMerge w:val="continue"/>
                </w:tcPr>
                <w:p w14:paraId="0D6F2BA0">
                  <w:pPr>
                    <w:spacing w:line="240" w:lineRule="auto"/>
                    <w:jc w:val="center"/>
                    <w:rPr>
                      <w:rFonts w:hint="eastAsia"/>
                      <w:color w:val="auto"/>
                      <w:sz w:val="21"/>
                      <w:szCs w:val="21"/>
                      <w:highlight w:val="none"/>
                      <w:lang w:val="en-US" w:eastAsia="zh-CN"/>
                    </w:rPr>
                  </w:pPr>
                </w:p>
              </w:tc>
              <w:tc>
                <w:tcPr>
                  <w:tcW w:w="693" w:type="pct"/>
                  <w:vMerge w:val="continue"/>
                </w:tcPr>
                <w:p w14:paraId="59627532">
                  <w:pPr>
                    <w:spacing w:line="240" w:lineRule="auto"/>
                    <w:jc w:val="center"/>
                    <w:rPr>
                      <w:rFonts w:hint="eastAsia"/>
                      <w:color w:val="auto"/>
                      <w:sz w:val="21"/>
                      <w:szCs w:val="21"/>
                      <w:highlight w:val="none"/>
                      <w:lang w:val="en-US" w:eastAsia="zh-CN"/>
                    </w:rPr>
                  </w:pPr>
                </w:p>
              </w:tc>
            </w:tr>
            <w:tr w14:paraId="51A38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725" w:type="pct"/>
                  <w:vMerge w:val="continue"/>
                  <w:vAlign w:val="center"/>
                </w:tcPr>
                <w:p w14:paraId="0924EA8C">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color w:val="auto"/>
                    </w:rPr>
                  </w:pPr>
                </w:p>
              </w:tc>
              <w:tc>
                <w:tcPr>
                  <w:tcW w:w="613" w:type="pct"/>
                  <w:vMerge w:val="continue"/>
                  <w:vAlign w:val="center"/>
                </w:tcPr>
                <w:p w14:paraId="06C46EB0">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color w:val="auto"/>
                    </w:rPr>
                  </w:pPr>
                </w:p>
              </w:tc>
              <w:tc>
                <w:tcPr>
                  <w:tcW w:w="719" w:type="pct"/>
                  <w:shd w:val="clear" w:color="auto" w:fill="auto"/>
                  <w:vAlign w:val="center"/>
                </w:tcPr>
                <w:p w14:paraId="386671FD">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eastAsia"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SS</w:t>
                  </w:r>
                </w:p>
              </w:tc>
              <w:tc>
                <w:tcPr>
                  <w:tcW w:w="763" w:type="pct"/>
                  <w:shd w:val="clear" w:color="auto" w:fill="auto"/>
                  <w:vAlign w:val="center"/>
                </w:tcPr>
                <w:p w14:paraId="1DDFDF1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1000</w:t>
                  </w:r>
                </w:p>
              </w:tc>
              <w:tc>
                <w:tcPr>
                  <w:tcW w:w="548" w:type="pct"/>
                  <w:vMerge w:val="continue"/>
                </w:tcPr>
                <w:p w14:paraId="39480DF5">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eastAsia" w:ascii="Times New Roman" w:hAnsi="Times New Roman" w:eastAsia="宋体" w:cs="Times New Roman"/>
                      <w:b w:val="0"/>
                      <w:bCs/>
                      <w:color w:val="auto"/>
                      <w:sz w:val="21"/>
                      <w:szCs w:val="21"/>
                      <w:lang w:val="en-US" w:eastAsia="zh-CN"/>
                    </w:rPr>
                  </w:pPr>
                </w:p>
              </w:tc>
              <w:tc>
                <w:tcPr>
                  <w:tcW w:w="935" w:type="pct"/>
                  <w:vMerge w:val="continue"/>
                </w:tcPr>
                <w:p w14:paraId="0D2D3BFE">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eastAsia" w:ascii="Times New Roman" w:hAnsi="Times New Roman" w:eastAsia="宋体" w:cs="Times New Roman"/>
                      <w:b w:val="0"/>
                      <w:bCs/>
                      <w:color w:val="auto"/>
                      <w:sz w:val="21"/>
                      <w:szCs w:val="21"/>
                      <w:lang w:val="en-US" w:eastAsia="zh-CN"/>
                    </w:rPr>
                  </w:pPr>
                </w:p>
              </w:tc>
              <w:tc>
                <w:tcPr>
                  <w:tcW w:w="693" w:type="pct"/>
                  <w:vMerge w:val="continue"/>
                </w:tcPr>
                <w:p w14:paraId="0E56D1CF">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eastAsia" w:ascii="Times New Roman" w:hAnsi="Times New Roman" w:eastAsia="宋体" w:cs="Times New Roman"/>
                      <w:b w:val="0"/>
                      <w:bCs/>
                      <w:color w:val="auto"/>
                      <w:sz w:val="21"/>
                      <w:szCs w:val="21"/>
                      <w:lang w:val="en-US" w:eastAsia="zh-CN"/>
                    </w:rPr>
                  </w:pPr>
                </w:p>
              </w:tc>
            </w:tr>
          </w:tbl>
          <w:p w14:paraId="7F3C7D94">
            <w:pPr>
              <w:jc w:val="center"/>
              <w:rPr>
                <w:rFonts w:hint="eastAsia" w:ascii="Times New Roman" w:hAnsi="Times New Roman" w:eastAsia="宋体" w:cs="Times New Roman"/>
                <w:b/>
                <w:bCs/>
                <w:caps w:val="0"/>
                <w:color w:val="auto"/>
                <w:sz w:val="24"/>
                <w:szCs w:val="24"/>
                <w:u w:val="none" w:color="auto"/>
                <w:lang w:val="en-US" w:eastAsia="zh-CN"/>
              </w:rPr>
            </w:pPr>
            <w:r>
              <w:rPr>
                <w:rFonts w:hint="eastAsia" w:ascii="Times New Roman" w:hAnsi="Times New Roman" w:eastAsia="宋体" w:cs="Times New Roman"/>
                <w:b/>
                <w:bCs/>
                <w:caps w:val="0"/>
                <w:color w:val="auto"/>
                <w:sz w:val="24"/>
                <w:szCs w:val="24"/>
                <w:u w:val="none" w:color="auto"/>
                <w:lang w:val="en-US" w:eastAsia="zh-CN"/>
              </w:rPr>
              <w:t>表4-</w:t>
            </w:r>
            <w:r>
              <w:rPr>
                <w:rFonts w:hint="eastAsia" w:cs="Times New Roman"/>
                <w:b/>
                <w:bCs/>
                <w:caps w:val="0"/>
                <w:color w:val="auto"/>
                <w:sz w:val="24"/>
                <w:szCs w:val="24"/>
                <w:u w:val="none" w:color="auto"/>
                <w:lang w:val="en-US" w:eastAsia="zh-CN"/>
              </w:rPr>
              <w:t>14</w:t>
            </w:r>
            <w:r>
              <w:rPr>
                <w:rFonts w:hint="eastAsia" w:ascii="Times New Roman" w:hAnsi="Times New Roman" w:eastAsia="宋体" w:cs="Times New Roman"/>
                <w:b/>
                <w:bCs/>
                <w:caps w:val="0"/>
                <w:color w:val="auto"/>
                <w:sz w:val="24"/>
                <w:szCs w:val="24"/>
                <w:u w:val="none" w:color="auto"/>
                <w:lang w:val="en-US" w:eastAsia="zh-CN"/>
              </w:rPr>
              <w:t>项目污水处理站产排情况表</w:t>
            </w:r>
          </w:p>
          <w:tbl>
            <w:tblPr>
              <w:tblStyle w:val="39"/>
              <w:tblW w:w="4996"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519"/>
              <w:gridCol w:w="832"/>
              <w:gridCol w:w="903"/>
              <w:gridCol w:w="836"/>
              <w:gridCol w:w="795"/>
              <w:gridCol w:w="868"/>
              <w:gridCol w:w="433"/>
              <w:gridCol w:w="817"/>
              <w:gridCol w:w="763"/>
              <w:gridCol w:w="595"/>
              <w:gridCol w:w="569"/>
            </w:tblGrid>
            <w:tr w14:paraId="52DB228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63" w:hRule="atLeast"/>
                <w:jc w:val="center"/>
              </w:trPr>
              <w:tc>
                <w:tcPr>
                  <w:tcW w:w="327" w:type="pct"/>
                  <w:vMerge w:val="restart"/>
                  <w:noWrap w:val="0"/>
                  <w:vAlign w:val="center"/>
                </w:tcPr>
                <w:p w14:paraId="1DE1EC8F">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产污环节</w:t>
                  </w:r>
                </w:p>
              </w:tc>
              <w:tc>
                <w:tcPr>
                  <w:tcW w:w="524" w:type="pct"/>
                  <w:vMerge w:val="restart"/>
                  <w:noWrap w:val="0"/>
                  <w:vAlign w:val="center"/>
                </w:tcPr>
                <w:p w14:paraId="737545E3">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废水量m³/a</w:t>
                  </w:r>
                </w:p>
              </w:tc>
              <w:tc>
                <w:tcPr>
                  <w:tcW w:w="569" w:type="pct"/>
                  <w:vMerge w:val="restart"/>
                  <w:noWrap w:val="0"/>
                  <w:vAlign w:val="center"/>
                </w:tcPr>
                <w:p w14:paraId="0A782EA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污染物名称</w:t>
                  </w:r>
                </w:p>
              </w:tc>
              <w:tc>
                <w:tcPr>
                  <w:tcW w:w="1028" w:type="pct"/>
                  <w:gridSpan w:val="2"/>
                  <w:noWrap w:val="0"/>
                  <w:vAlign w:val="center"/>
                </w:tcPr>
                <w:p w14:paraId="0D6F3590">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污染物产生量</w:t>
                  </w:r>
                </w:p>
              </w:tc>
              <w:tc>
                <w:tcPr>
                  <w:tcW w:w="547" w:type="pct"/>
                  <w:vMerge w:val="restart"/>
                  <w:noWrap w:val="0"/>
                  <w:vAlign w:val="center"/>
                </w:tcPr>
                <w:p w14:paraId="2B19D5E1">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处理效率%</w:t>
                  </w:r>
                </w:p>
              </w:tc>
              <w:tc>
                <w:tcPr>
                  <w:tcW w:w="273" w:type="pct"/>
                  <w:vMerge w:val="restart"/>
                  <w:noWrap w:val="0"/>
                  <w:vAlign w:val="center"/>
                </w:tcPr>
                <w:p w14:paraId="1076DA58">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治理</w:t>
                  </w:r>
                </w:p>
                <w:p w14:paraId="052991F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措施</w:t>
                  </w:r>
                </w:p>
              </w:tc>
              <w:tc>
                <w:tcPr>
                  <w:tcW w:w="996" w:type="pct"/>
                  <w:gridSpan w:val="2"/>
                  <w:noWrap w:val="0"/>
                  <w:vAlign w:val="center"/>
                </w:tcPr>
                <w:p w14:paraId="1AE697C0">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处理后排放量</w:t>
                  </w:r>
                </w:p>
              </w:tc>
              <w:tc>
                <w:tcPr>
                  <w:tcW w:w="375" w:type="pct"/>
                  <w:vMerge w:val="restart"/>
                  <w:noWrap w:val="0"/>
                  <w:vAlign w:val="center"/>
                </w:tcPr>
                <w:p w14:paraId="09010F11">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去处</w:t>
                  </w:r>
                </w:p>
              </w:tc>
              <w:tc>
                <w:tcPr>
                  <w:tcW w:w="358" w:type="pct"/>
                  <w:vMerge w:val="restart"/>
                  <w:noWrap w:val="0"/>
                  <w:vAlign w:val="center"/>
                </w:tcPr>
                <w:p w14:paraId="36A55E2F">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排放标准</w:t>
                  </w:r>
                </w:p>
              </w:tc>
            </w:tr>
            <w:tr w14:paraId="2056564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317" w:hRule="atLeast"/>
                <w:jc w:val="center"/>
              </w:trPr>
              <w:tc>
                <w:tcPr>
                  <w:tcW w:w="327" w:type="pct"/>
                  <w:vMerge w:val="continue"/>
                  <w:noWrap w:val="0"/>
                  <w:vAlign w:val="center"/>
                </w:tcPr>
                <w:p w14:paraId="7F0B8B9A">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c>
                <w:tcPr>
                  <w:tcW w:w="524" w:type="pct"/>
                  <w:vMerge w:val="continue"/>
                  <w:noWrap w:val="0"/>
                  <w:vAlign w:val="center"/>
                </w:tcPr>
                <w:p w14:paraId="067EB1C3">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c>
                <w:tcPr>
                  <w:tcW w:w="569" w:type="pct"/>
                  <w:vMerge w:val="continue"/>
                  <w:noWrap w:val="0"/>
                  <w:vAlign w:val="center"/>
                </w:tcPr>
                <w:p w14:paraId="2CC1417B">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c>
                <w:tcPr>
                  <w:tcW w:w="527" w:type="pct"/>
                  <w:noWrap w:val="0"/>
                  <w:vAlign w:val="center"/>
                </w:tcPr>
                <w:p w14:paraId="7F334B9C">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浓度mg/L</w:t>
                  </w:r>
                </w:p>
              </w:tc>
              <w:tc>
                <w:tcPr>
                  <w:tcW w:w="501" w:type="pct"/>
                  <w:noWrap w:val="0"/>
                  <w:vAlign w:val="center"/>
                </w:tcPr>
                <w:p w14:paraId="5D4E368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产生量t/a</w:t>
                  </w:r>
                </w:p>
              </w:tc>
              <w:tc>
                <w:tcPr>
                  <w:tcW w:w="547" w:type="pct"/>
                  <w:vMerge w:val="continue"/>
                  <w:noWrap w:val="0"/>
                  <w:vAlign w:val="center"/>
                </w:tcPr>
                <w:p w14:paraId="04F011BA">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c>
                <w:tcPr>
                  <w:tcW w:w="273" w:type="pct"/>
                  <w:vMerge w:val="continue"/>
                  <w:noWrap w:val="0"/>
                  <w:vAlign w:val="center"/>
                </w:tcPr>
                <w:p w14:paraId="5093F081">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c>
                <w:tcPr>
                  <w:tcW w:w="515" w:type="pct"/>
                  <w:noWrap w:val="0"/>
                  <w:vAlign w:val="center"/>
                </w:tcPr>
                <w:p w14:paraId="56F1AC7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浓度mg/L</w:t>
                  </w:r>
                </w:p>
              </w:tc>
              <w:tc>
                <w:tcPr>
                  <w:tcW w:w="481" w:type="pct"/>
                  <w:noWrap w:val="0"/>
                  <w:vAlign w:val="center"/>
                </w:tcPr>
                <w:p w14:paraId="6559FB51">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排放量t/a</w:t>
                  </w:r>
                </w:p>
              </w:tc>
              <w:tc>
                <w:tcPr>
                  <w:tcW w:w="375" w:type="pct"/>
                  <w:vMerge w:val="continue"/>
                  <w:noWrap w:val="0"/>
                  <w:vAlign w:val="center"/>
                </w:tcPr>
                <w:p w14:paraId="5D111E8A">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c>
                <w:tcPr>
                  <w:tcW w:w="358" w:type="pct"/>
                  <w:vMerge w:val="continue"/>
                  <w:noWrap w:val="0"/>
                  <w:vAlign w:val="center"/>
                </w:tcPr>
                <w:p w14:paraId="341EAE5F">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r>
            <w:tr w14:paraId="67D842B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355" w:hRule="atLeast"/>
                <w:jc w:val="center"/>
              </w:trPr>
              <w:tc>
                <w:tcPr>
                  <w:tcW w:w="327" w:type="pct"/>
                  <w:vMerge w:val="restart"/>
                  <w:noWrap w:val="0"/>
                  <w:vAlign w:val="center"/>
                </w:tcPr>
                <w:p w14:paraId="3739FA1B">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生产线</w:t>
                  </w:r>
                </w:p>
              </w:tc>
              <w:tc>
                <w:tcPr>
                  <w:tcW w:w="524" w:type="pct"/>
                  <w:vMerge w:val="restart"/>
                  <w:noWrap w:val="0"/>
                  <w:vAlign w:val="center"/>
                </w:tcPr>
                <w:p w14:paraId="2D2E77EE">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1306.565</w:t>
                  </w:r>
                </w:p>
              </w:tc>
              <w:tc>
                <w:tcPr>
                  <w:tcW w:w="569" w:type="pct"/>
                  <w:shd w:val="clear" w:color="auto" w:fill="auto"/>
                  <w:noWrap w:val="0"/>
                  <w:vAlign w:val="center"/>
                </w:tcPr>
                <w:p w14:paraId="61B66EC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黑体" w:cs="宋体"/>
                      <w:color w:val="auto"/>
                      <w:kern w:val="2"/>
                      <w:sz w:val="21"/>
                      <w:szCs w:val="20"/>
                      <w:lang w:val="en-US" w:eastAsia="zh-CN" w:bidi="ar-SA"/>
                    </w:rPr>
                  </w:pPr>
                  <w:r>
                    <w:rPr>
                      <w:rFonts w:hint="default" w:ascii="Times New Roman" w:hAnsi="Times New Roman" w:eastAsia="宋体" w:cs="Times New Roman"/>
                      <w:b w:val="0"/>
                      <w:bCs/>
                      <w:color w:val="auto"/>
                      <w:sz w:val="21"/>
                      <w:szCs w:val="21"/>
                    </w:rPr>
                    <w:t>COD</w:t>
                  </w:r>
                  <w:r>
                    <w:rPr>
                      <w:rFonts w:hint="eastAsia" w:eastAsia="宋体" w:cs="Times New Roman"/>
                      <w:b w:val="0"/>
                      <w:bCs/>
                      <w:color w:val="auto"/>
                      <w:sz w:val="21"/>
                      <w:szCs w:val="21"/>
                      <w:vertAlign w:val="subscript"/>
                      <w:lang w:val="en-US" w:eastAsia="zh-CN"/>
                    </w:rPr>
                    <w:t>Cr</w:t>
                  </w:r>
                </w:p>
              </w:tc>
              <w:tc>
                <w:tcPr>
                  <w:tcW w:w="836" w:type="dxa"/>
                  <w:noWrap w:val="0"/>
                  <w:vAlign w:val="center"/>
                </w:tcPr>
                <w:p w14:paraId="4D8040A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760.38</w:t>
                  </w:r>
                </w:p>
              </w:tc>
              <w:tc>
                <w:tcPr>
                  <w:tcW w:w="501" w:type="pct"/>
                  <w:noWrap w:val="0"/>
                  <w:vAlign w:val="center"/>
                </w:tcPr>
                <w:p w14:paraId="57ED2C1B">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0.99</w:t>
                  </w:r>
                </w:p>
              </w:tc>
              <w:tc>
                <w:tcPr>
                  <w:tcW w:w="547" w:type="pct"/>
                  <w:noWrap w:val="0"/>
                  <w:vAlign w:val="center"/>
                </w:tcPr>
                <w:p w14:paraId="5C16E359">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80</w:t>
                  </w:r>
                </w:p>
              </w:tc>
              <w:tc>
                <w:tcPr>
                  <w:tcW w:w="273" w:type="pct"/>
                  <w:vMerge w:val="restart"/>
                  <w:noWrap w:val="0"/>
                  <w:vAlign w:val="center"/>
                </w:tcPr>
                <w:p w14:paraId="6D0F829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气浮+</w:t>
                  </w:r>
                  <w:r>
                    <w:rPr>
                      <w:rFonts w:hint="eastAsia" w:eastAsia="宋体" w:cs="Times New Roman"/>
                      <w:b w:val="0"/>
                      <w:bCs/>
                      <w:color w:val="auto"/>
                      <w:sz w:val="21"/>
                      <w:szCs w:val="21"/>
                      <w:lang w:val="en-US" w:eastAsia="zh-CN"/>
                    </w:rPr>
                    <w:t>三级沉淀+MBR</w:t>
                  </w:r>
                </w:p>
              </w:tc>
              <w:tc>
                <w:tcPr>
                  <w:tcW w:w="515" w:type="pct"/>
                  <w:noWrap w:val="0"/>
                  <w:vAlign w:val="center"/>
                </w:tcPr>
                <w:p w14:paraId="6AB81B9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152.08</w:t>
                  </w:r>
                </w:p>
              </w:tc>
              <w:tc>
                <w:tcPr>
                  <w:tcW w:w="481" w:type="pct"/>
                  <w:noWrap w:val="0"/>
                  <w:vAlign w:val="center"/>
                </w:tcPr>
                <w:p w14:paraId="2B678B39">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0.2</w:t>
                  </w:r>
                </w:p>
              </w:tc>
              <w:tc>
                <w:tcPr>
                  <w:tcW w:w="375" w:type="pct"/>
                  <w:vMerge w:val="restart"/>
                  <w:noWrap w:val="0"/>
                  <w:vAlign w:val="center"/>
                </w:tcPr>
                <w:p w14:paraId="3731315E">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eastAsia" w:ascii="Times New Roman" w:hAnsi="Times New Roman" w:eastAsia="宋体" w:cs="Times New Roman"/>
                      <w:color w:val="auto"/>
                      <w:sz w:val="21"/>
                      <w:szCs w:val="21"/>
                      <w:lang w:val="en-US" w:eastAsia="zh-CN"/>
                    </w:rPr>
                  </w:pPr>
                  <w:r>
                    <w:rPr>
                      <w:rFonts w:hint="eastAsia" w:eastAsia="宋体" w:cs="Times New Roman"/>
                      <w:b w:val="0"/>
                      <w:bCs/>
                      <w:color w:val="auto"/>
                      <w:sz w:val="21"/>
                      <w:szCs w:val="21"/>
                      <w:lang w:val="en-US" w:eastAsia="zh-CN"/>
                    </w:rPr>
                    <w:t>市政污水管网</w:t>
                  </w:r>
                </w:p>
              </w:tc>
              <w:tc>
                <w:tcPr>
                  <w:tcW w:w="358" w:type="pct"/>
                  <w:noWrap w:val="0"/>
                  <w:vAlign w:val="center"/>
                </w:tcPr>
                <w:p w14:paraId="25A4F848">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220</w:t>
                  </w:r>
                </w:p>
              </w:tc>
            </w:tr>
            <w:tr w14:paraId="6362796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71" w:hRule="atLeast"/>
                <w:jc w:val="center"/>
              </w:trPr>
              <w:tc>
                <w:tcPr>
                  <w:tcW w:w="327" w:type="pct"/>
                  <w:vMerge w:val="continue"/>
                  <w:noWrap w:val="0"/>
                  <w:vAlign w:val="center"/>
                </w:tcPr>
                <w:p w14:paraId="1C07BAA2">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524" w:type="pct"/>
                  <w:vMerge w:val="continue"/>
                  <w:noWrap w:val="0"/>
                  <w:vAlign w:val="center"/>
                </w:tcPr>
                <w:p w14:paraId="27C99BC0">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569" w:type="pct"/>
                  <w:shd w:val="clear" w:color="auto" w:fill="auto"/>
                  <w:noWrap w:val="0"/>
                  <w:vAlign w:val="center"/>
                </w:tcPr>
                <w:p w14:paraId="1080652F">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SS</w:t>
                  </w:r>
                </w:p>
              </w:tc>
              <w:tc>
                <w:tcPr>
                  <w:tcW w:w="836" w:type="dxa"/>
                  <w:noWrap w:val="0"/>
                  <w:vAlign w:val="center"/>
                </w:tcPr>
                <w:p w14:paraId="34AEE5AD">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610.85</w:t>
                  </w:r>
                </w:p>
              </w:tc>
              <w:tc>
                <w:tcPr>
                  <w:tcW w:w="501" w:type="pct"/>
                  <w:noWrap w:val="0"/>
                  <w:vAlign w:val="center"/>
                </w:tcPr>
                <w:p w14:paraId="104D6B0C">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0.8</w:t>
                  </w:r>
                </w:p>
              </w:tc>
              <w:tc>
                <w:tcPr>
                  <w:tcW w:w="547" w:type="pct"/>
                  <w:noWrap w:val="0"/>
                  <w:vAlign w:val="center"/>
                </w:tcPr>
                <w:p w14:paraId="28449098">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95</w:t>
                  </w:r>
                </w:p>
              </w:tc>
              <w:tc>
                <w:tcPr>
                  <w:tcW w:w="273" w:type="pct"/>
                  <w:vMerge w:val="continue"/>
                  <w:noWrap w:val="0"/>
                  <w:vAlign w:val="center"/>
                </w:tcPr>
                <w:p w14:paraId="1A9408B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515" w:type="pct"/>
                  <w:noWrap w:val="0"/>
                  <w:vAlign w:val="center"/>
                </w:tcPr>
                <w:p w14:paraId="7C530EBB">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30.54</w:t>
                  </w:r>
                </w:p>
              </w:tc>
              <w:tc>
                <w:tcPr>
                  <w:tcW w:w="481" w:type="pct"/>
                  <w:noWrap w:val="0"/>
                  <w:vAlign w:val="center"/>
                </w:tcPr>
                <w:p w14:paraId="0121381E">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0.04</w:t>
                  </w:r>
                </w:p>
              </w:tc>
              <w:tc>
                <w:tcPr>
                  <w:tcW w:w="375" w:type="pct"/>
                  <w:vMerge w:val="continue"/>
                  <w:noWrap w:val="0"/>
                  <w:vAlign w:val="center"/>
                </w:tcPr>
                <w:p w14:paraId="78E8F875">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c>
                <w:tcPr>
                  <w:tcW w:w="358" w:type="pct"/>
                  <w:noWrap w:val="0"/>
                  <w:vAlign w:val="center"/>
                </w:tcPr>
                <w:p w14:paraId="243F7F8F">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200</w:t>
                  </w:r>
                </w:p>
              </w:tc>
            </w:tr>
            <w:tr w14:paraId="746F3BF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327" w:hRule="atLeast"/>
                <w:jc w:val="center"/>
              </w:trPr>
              <w:tc>
                <w:tcPr>
                  <w:tcW w:w="327" w:type="pct"/>
                  <w:vMerge w:val="continue"/>
                  <w:noWrap w:val="0"/>
                  <w:vAlign w:val="center"/>
                </w:tcPr>
                <w:p w14:paraId="2626812D">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524" w:type="pct"/>
                  <w:vMerge w:val="continue"/>
                  <w:noWrap w:val="0"/>
                  <w:vAlign w:val="center"/>
                </w:tcPr>
                <w:p w14:paraId="61503CEF">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569" w:type="pct"/>
                  <w:shd w:val="clear" w:color="auto" w:fill="auto"/>
                  <w:noWrap w:val="0"/>
                  <w:vAlign w:val="center"/>
                </w:tcPr>
                <w:p w14:paraId="4E71E6F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磷酸盐</w:t>
                  </w:r>
                </w:p>
              </w:tc>
              <w:tc>
                <w:tcPr>
                  <w:tcW w:w="836" w:type="dxa"/>
                  <w:noWrap w:val="0"/>
                  <w:vAlign w:val="center"/>
                </w:tcPr>
                <w:p w14:paraId="2C3A6A0F">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53.03</w:t>
                  </w:r>
                </w:p>
              </w:tc>
              <w:tc>
                <w:tcPr>
                  <w:tcW w:w="501" w:type="pct"/>
                  <w:noWrap w:val="0"/>
                  <w:vAlign w:val="center"/>
                </w:tcPr>
                <w:p w14:paraId="3943680D">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0.069</w:t>
                  </w:r>
                </w:p>
              </w:tc>
              <w:tc>
                <w:tcPr>
                  <w:tcW w:w="547" w:type="pct"/>
                  <w:noWrap w:val="0"/>
                  <w:vAlign w:val="center"/>
                </w:tcPr>
                <w:p w14:paraId="6F02ED9B">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97</w:t>
                  </w:r>
                </w:p>
              </w:tc>
              <w:tc>
                <w:tcPr>
                  <w:tcW w:w="273" w:type="pct"/>
                  <w:vMerge w:val="continue"/>
                  <w:noWrap w:val="0"/>
                  <w:vAlign w:val="center"/>
                </w:tcPr>
                <w:p w14:paraId="26CF59E1">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515" w:type="pct"/>
                  <w:noWrap w:val="0"/>
                  <w:vAlign w:val="center"/>
                </w:tcPr>
                <w:p w14:paraId="1597CC0E">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1.59</w:t>
                  </w:r>
                </w:p>
              </w:tc>
              <w:tc>
                <w:tcPr>
                  <w:tcW w:w="481" w:type="pct"/>
                  <w:noWrap w:val="0"/>
                  <w:vAlign w:val="center"/>
                </w:tcPr>
                <w:p w14:paraId="384A43D2">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0.0021</w:t>
                  </w:r>
                </w:p>
              </w:tc>
              <w:tc>
                <w:tcPr>
                  <w:tcW w:w="375" w:type="pct"/>
                  <w:vMerge w:val="continue"/>
                  <w:noWrap w:val="0"/>
                  <w:vAlign w:val="center"/>
                </w:tcPr>
                <w:p w14:paraId="20EC516C">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c>
                <w:tcPr>
                  <w:tcW w:w="358" w:type="pct"/>
                  <w:noWrap w:val="0"/>
                  <w:vAlign w:val="center"/>
                </w:tcPr>
                <w:p w14:paraId="78110D52">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3</w:t>
                  </w:r>
                </w:p>
              </w:tc>
            </w:tr>
            <w:tr w14:paraId="7F3A03E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75" w:hRule="atLeast"/>
                <w:jc w:val="center"/>
              </w:trPr>
              <w:tc>
                <w:tcPr>
                  <w:tcW w:w="327" w:type="pct"/>
                  <w:vMerge w:val="continue"/>
                  <w:noWrap w:val="0"/>
                  <w:vAlign w:val="center"/>
                </w:tcPr>
                <w:p w14:paraId="7977DE0A">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524" w:type="pct"/>
                  <w:vMerge w:val="continue"/>
                  <w:noWrap w:val="0"/>
                  <w:vAlign w:val="center"/>
                </w:tcPr>
                <w:p w14:paraId="2F643633">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569" w:type="pct"/>
                  <w:shd w:val="clear" w:color="auto" w:fill="auto"/>
                  <w:noWrap w:val="0"/>
                  <w:vAlign w:val="center"/>
                </w:tcPr>
                <w:p w14:paraId="6EFB22F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石油类</w:t>
                  </w:r>
                </w:p>
              </w:tc>
              <w:tc>
                <w:tcPr>
                  <w:tcW w:w="836" w:type="dxa"/>
                  <w:noWrap w:val="0"/>
                  <w:vAlign w:val="center"/>
                </w:tcPr>
                <w:p w14:paraId="17508771">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34.43</w:t>
                  </w:r>
                </w:p>
              </w:tc>
              <w:tc>
                <w:tcPr>
                  <w:tcW w:w="501" w:type="pct"/>
                  <w:noWrap w:val="0"/>
                  <w:vAlign w:val="center"/>
                </w:tcPr>
                <w:p w14:paraId="36A18C9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0.045</w:t>
                  </w:r>
                </w:p>
              </w:tc>
              <w:tc>
                <w:tcPr>
                  <w:tcW w:w="547" w:type="pct"/>
                  <w:noWrap w:val="0"/>
                  <w:vAlign w:val="center"/>
                </w:tcPr>
                <w:p w14:paraId="5E6B6A0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95</w:t>
                  </w:r>
                </w:p>
              </w:tc>
              <w:tc>
                <w:tcPr>
                  <w:tcW w:w="273" w:type="pct"/>
                  <w:vMerge w:val="continue"/>
                  <w:noWrap w:val="0"/>
                  <w:vAlign w:val="center"/>
                </w:tcPr>
                <w:p w14:paraId="6A2B3C62">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515" w:type="pct"/>
                  <w:noWrap w:val="0"/>
                  <w:vAlign w:val="center"/>
                </w:tcPr>
                <w:p w14:paraId="3EAE763E">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1.72</w:t>
                  </w:r>
                </w:p>
              </w:tc>
              <w:tc>
                <w:tcPr>
                  <w:tcW w:w="481" w:type="pct"/>
                  <w:noWrap w:val="0"/>
                  <w:vAlign w:val="center"/>
                </w:tcPr>
                <w:p w14:paraId="3B9BBD3F">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0.0022</w:t>
                  </w:r>
                </w:p>
              </w:tc>
              <w:tc>
                <w:tcPr>
                  <w:tcW w:w="375" w:type="pct"/>
                  <w:vMerge w:val="continue"/>
                  <w:noWrap w:val="0"/>
                  <w:vAlign w:val="center"/>
                </w:tcPr>
                <w:p w14:paraId="465A5C20">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c>
                <w:tcPr>
                  <w:tcW w:w="358" w:type="pct"/>
                  <w:noWrap w:val="0"/>
                  <w:vAlign w:val="center"/>
                </w:tcPr>
                <w:p w14:paraId="0EE5ECB4">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20</w:t>
                  </w:r>
                </w:p>
              </w:tc>
            </w:tr>
            <w:tr w14:paraId="7E3645B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75" w:hRule="atLeast"/>
                <w:jc w:val="center"/>
              </w:trPr>
              <w:tc>
                <w:tcPr>
                  <w:tcW w:w="327" w:type="pct"/>
                  <w:vMerge w:val="continue"/>
                  <w:noWrap w:val="0"/>
                  <w:vAlign w:val="center"/>
                </w:tcPr>
                <w:p w14:paraId="4C0E0672">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524" w:type="pct"/>
                  <w:vMerge w:val="continue"/>
                  <w:noWrap w:val="0"/>
                  <w:vAlign w:val="center"/>
                </w:tcPr>
                <w:p w14:paraId="4517A40D">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569" w:type="pct"/>
                  <w:noWrap w:val="0"/>
                  <w:vAlign w:val="center"/>
                </w:tcPr>
                <w:p w14:paraId="7D7B845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kern w:val="2"/>
                      <w:sz w:val="21"/>
                      <w:szCs w:val="21"/>
                      <w:lang w:val="en-US" w:eastAsia="zh-CN" w:bidi="ar-SA"/>
                    </w:rPr>
                    <w:t>总锌</w:t>
                  </w:r>
                </w:p>
              </w:tc>
              <w:tc>
                <w:tcPr>
                  <w:tcW w:w="836" w:type="dxa"/>
                  <w:noWrap w:val="0"/>
                  <w:vAlign w:val="center"/>
                </w:tcPr>
                <w:p w14:paraId="194AD8DB">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9.18</w:t>
                  </w:r>
                </w:p>
              </w:tc>
              <w:tc>
                <w:tcPr>
                  <w:tcW w:w="501" w:type="pct"/>
                  <w:noWrap w:val="0"/>
                  <w:vAlign w:val="center"/>
                </w:tcPr>
                <w:p w14:paraId="2306B2B4">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0.012</w:t>
                  </w:r>
                </w:p>
              </w:tc>
              <w:tc>
                <w:tcPr>
                  <w:tcW w:w="547" w:type="pct"/>
                  <w:noWrap w:val="0"/>
                  <w:vAlign w:val="center"/>
                </w:tcPr>
                <w:p w14:paraId="50980952">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90</w:t>
                  </w:r>
                </w:p>
              </w:tc>
              <w:tc>
                <w:tcPr>
                  <w:tcW w:w="273" w:type="pct"/>
                  <w:vMerge w:val="continue"/>
                  <w:noWrap w:val="0"/>
                  <w:vAlign w:val="center"/>
                </w:tcPr>
                <w:p w14:paraId="5E64DE90">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515" w:type="pct"/>
                  <w:noWrap w:val="0"/>
                  <w:vAlign w:val="center"/>
                </w:tcPr>
                <w:p w14:paraId="2DCA0292">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0.92</w:t>
                  </w:r>
                </w:p>
              </w:tc>
              <w:tc>
                <w:tcPr>
                  <w:tcW w:w="481" w:type="pct"/>
                  <w:noWrap w:val="0"/>
                  <w:vAlign w:val="center"/>
                </w:tcPr>
                <w:p w14:paraId="7E4D9E84">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0.0012</w:t>
                  </w:r>
                </w:p>
              </w:tc>
              <w:tc>
                <w:tcPr>
                  <w:tcW w:w="375" w:type="pct"/>
                  <w:vMerge w:val="continue"/>
                  <w:noWrap w:val="0"/>
                  <w:vAlign w:val="center"/>
                </w:tcPr>
                <w:p w14:paraId="1FB6A0C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c>
                <w:tcPr>
                  <w:tcW w:w="358" w:type="pct"/>
                  <w:noWrap w:val="0"/>
                  <w:vAlign w:val="center"/>
                </w:tcPr>
                <w:p w14:paraId="19D3853B">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5</w:t>
                  </w:r>
                </w:p>
              </w:tc>
            </w:tr>
          </w:tbl>
          <w:p w14:paraId="648D067C">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textAlignment w:val="auto"/>
              <w:rPr>
                <w:rFonts w:hint="default"/>
                <w:color w:val="auto"/>
                <w:sz w:val="24"/>
                <w:szCs w:val="24"/>
                <w:shd w:val="clear" w:color="auto" w:fill="auto"/>
                <w:lang w:val="en-US" w:eastAsia="zh-CN"/>
              </w:rPr>
            </w:pPr>
            <w:r>
              <w:rPr>
                <w:rFonts w:hint="eastAsia" w:cs="Times New Roman"/>
                <w:color w:val="auto"/>
                <w:kern w:val="0"/>
                <w:sz w:val="24"/>
                <w:szCs w:val="24"/>
                <w:highlight w:val="none"/>
                <w:lang w:val="en-US" w:eastAsia="zh-CN"/>
              </w:rPr>
              <w:t>2.</w:t>
            </w:r>
            <w:r>
              <w:rPr>
                <w:rFonts w:hint="eastAsia"/>
                <w:color w:val="auto"/>
                <w:sz w:val="24"/>
                <w:szCs w:val="24"/>
                <w:shd w:val="clear" w:color="auto" w:fill="auto"/>
                <w:lang w:val="en-US" w:eastAsia="zh-CN"/>
              </w:rPr>
              <w:t>生活用水</w:t>
            </w:r>
          </w:p>
          <w:p w14:paraId="3CA6A01E">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jc w:val="both"/>
              <w:textAlignment w:val="auto"/>
              <w:rPr>
                <w:rFonts w:hint="default" w:ascii="Times New Roman" w:hAnsi="Times New Roman" w:eastAsia="宋体" w:cs="Times New Roman"/>
                <w:color w:val="auto"/>
                <w:sz w:val="24"/>
                <w:szCs w:val="24"/>
                <w:u w:val="none" w:color="auto"/>
                <w:lang w:val="en-US" w:eastAsia="zh-CN"/>
              </w:rPr>
            </w:pPr>
            <w:r>
              <w:rPr>
                <w:rFonts w:hint="eastAsia" w:ascii="Times New Roman" w:hAnsi="Times New Roman" w:eastAsia="宋体"/>
                <w:color w:val="auto"/>
                <w:sz w:val="24"/>
                <w:szCs w:val="24"/>
                <w:shd w:val="clear" w:color="auto" w:fill="auto"/>
                <w:lang w:val="en-US" w:eastAsia="zh-CN"/>
              </w:rPr>
              <w:t>员工生活用水：</w:t>
            </w:r>
            <w:r>
              <w:rPr>
                <w:rFonts w:hint="eastAsia" w:ascii="Times New Roman" w:hAnsi="Times New Roman" w:eastAsia="宋体"/>
                <w:caps w:val="0"/>
                <w:smallCaps w:val="0"/>
                <w:color w:val="auto"/>
                <w:sz w:val="24"/>
                <w:szCs w:val="24"/>
                <w:highlight w:val="none"/>
                <w:u w:val="none" w:color="auto"/>
                <w:shd w:val="clear" w:color="auto" w:fill="auto"/>
              </w:rPr>
              <w:t>项目</w:t>
            </w:r>
            <w:r>
              <w:rPr>
                <w:rFonts w:hint="eastAsia" w:ascii="Times New Roman" w:hAnsi="Times New Roman" w:eastAsia="宋体" w:cs="Times New Roman"/>
                <w:caps w:val="0"/>
                <w:color w:val="auto"/>
                <w:spacing w:val="4"/>
                <w:sz w:val="24"/>
                <w:szCs w:val="24"/>
                <w:u w:val="none" w:color="auto"/>
                <w:shd w:val="clear" w:color="auto" w:fill="auto"/>
                <w:lang w:val="en-US" w:eastAsia="zh-CN"/>
              </w:rPr>
              <w:t>劳动定员</w:t>
            </w:r>
            <w:r>
              <w:rPr>
                <w:rFonts w:hint="eastAsia" w:cs="Times New Roman"/>
                <w:caps w:val="0"/>
                <w:color w:val="auto"/>
                <w:spacing w:val="4"/>
                <w:sz w:val="24"/>
                <w:szCs w:val="24"/>
                <w:u w:val="none" w:color="auto"/>
                <w:shd w:val="clear" w:color="auto" w:fill="auto"/>
                <w:lang w:val="en-US" w:eastAsia="zh-CN"/>
              </w:rPr>
              <w:t>638</w:t>
            </w:r>
            <w:r>
              <w:rPr>
                <w:rFonts w:hint="eastAsia" w:ascii="Times New Roman" w:hAnsi="Times New Roman" w:eastAsia="宋体"/>
                <w:color w:val="auto"/>
                <w:kern w:val="0"/>
                <w:sz w:val="24"/>
                <w:szCs w:val="24"/>
                <w:u w:val="none" w:color="auto"/>
                <w:shd w:val="clear" w:color="auto" w:fill="auto"/>
                <w:lang w:eastAsia="zh-CN"/>
              </w:rPr>
              <w:t>人，</w:t>
            </w:r>
            <w:r>
              <w:rPr>
                <w:rFonts w:hint="eastAsia" w:ascii="Times New Roman" w:hAnsi="Times New Roman" w:eastAsia="宋体"/>
                <w:color w:val="auto"/>
                <w:kern w:val="0"/>
                <w:sz w:val="24"/>
                <w:szCs w:val="24"/>
                <w:u w:val="none" w:color="auto"/>
                <w:shd w:val="clear" w:color="auto" w:fill="auto"/>
                <w:lang w:eastAsia="zh-CN"/>
              </w:rPr>
              <w:t>根据《建筑给水排水设计规范》（GB50015-2019）（修订版），车间工人的生活用水定额按 30~50L/人·班计，本次评价取40L/人·班</w:t>
            </w:r>
            <w:r>
              <w:rPr>
                <w:rFonts w:hint="default" w:ascii="Times New Roman" w:hAnsi="Times New Roman" w:eastAsia="宋体" w:cs="Times New Roman"/>
                <w:color w:val="auto"/>
                <w:sz w:val="24"/>
                <w:szCs w:val="24"/>
                <w:u w:val="none" w:color="auto"/>
              </w:rPr>
              <w:t>，</w:t>
            </w:r>
            <w:r>
              <w:rPr>
                <w:rFonts w:hint="default" w:ascii="Times New Roman" w:hAnsi="Times New Roman" w:eastAsia="宋体" w:cs="Times New Roman"/>
                <w:color w:val="auto"/>
                <w:spacing w:val="4"/>
                <w:kern w:val="0"/>
                <w:sz w:val="24"/>
                <w:szCs w:val="24"/>
                <w:u w:val="none" w:color="auto"/>
                <w:lang w:val="en-US" w:eastAsia="zh-CN"/>
              </w:rPr>
              <w:t>年生产</w:t>
            </w:r>
            <w:r>
              <w:rPr>
                <w:rFonts w:hint="eastAsia" w:cs="Times New Roman"/>
                <w:color w:val="auto"/>
                <w:spacing w:val="4"/>
                <w:kern w:val="0"/>
                <w:sz w:val="24"/>
                <w:szCs w:val="24"/>
                <w:u w:val="none" w:color="auto"/>
                <w:lang w:val="en-US" w:eastAsia="zh-CN"/>
              </w:rPr>
              <w:t>30</w:t>
            </w:r>
            <w:r>
              <w:rPr>
                <w:rFonts w:hint="default" w:ascii="Times New Roman" w:hAnsi="Times New Roman" w:eastAsia="宋体" w:cs="Times New Roman"/>
                <w:color w:val="auto"/>
                <w:spacing w:val="4"/>
                <w:kern w:val="0"/>
                <w:sz w:val="24"/>
                <w:szCs w:val="24"/>
                <w:u w:val="none" w:color="auto"/>
                <w:lang w:val="en-US" w:eastAsia="zh-CN"/>
              </w:rPr>
              <w:t>0天，</w:t>
            </w:r>
            <w:r>
              <w:rPr>
                <w:rFonts w:hint="default" w:ascii="Times New Roman" w:hAnsi="Times New Roman" w:eastAsia="宋体" w:cs="Times New Roman"/>
                <w:color w:val="auto"/>
                <w:sz w:val="24"/>
                <w:szCs w:val="24"/>
                <w:u w:val="none" w:color="auto"/>
              </w:rPr>
              <w:t>则</w:t>
            </w:r>
            <w:r>
              <w:rPr>
                <w:rFonts w:hint="default" w:ascii="Times New Roman" w:hAnsi="Times New Roman" w:eastAsia="宋体" w:cs="Times New Roman"/>
                <w:color w:val="auto"/>
                <w:sz w:val="24"/>
                <w:szCs w:val="24"/>
                <w:u w:val="none" w:color="auto"/>
                <w:lang w:eastAsia="zh-CN"/>
              </w:rPr>
              <w:t>项目</w:t>
            </w:r>
            <w:r>
              <w:rPr>
                <w:rFonts w:hint="default" w:ascii="Times New Roman" w:hAnsi="Times New Roman" w:eastAsia="宋体" w:cs="Times New Roman"/>
                <w:color w:val="auto"/>
                <w:sz w:val="24"/>
                <w:szCs w:val="24"/>
                <w:u w:val="none" w:color="auto"/>
              </w:rPr>
              <w:t>生活用水量为</w:t>
            </w:r>
            <w:r>
              <w:rPr>
                <w:rFonts w:hint="eastAsia" w:cs="Times New Roman"/>
                <w:color w:val="auto"/>
                <w:sz w:val="24"/>
                <w:szCs w:val="24"/>
                <w:u w:val="none" w:color="auto"/>
                <w:lang w:val="en-US" w:eastAsia="zh-CN"/>
              </w:rPr>
              <w:t>25.52</w:t>
            </w:r>
            <w:r>
              <w:rPr>
                <w:rFonts w:hint="default" w:ascii="Times New Roman" w:hAnsi="Times New Roman" w:eastAsia="宋体" w:cs="Times New Roman"/>
                <w:color w:val="auto"/>
                <w:sz w:val="24"/>
                <w:szCs w:val="24"/>
                <w:u w:val="none" w:color="auto"/>
              </w:rPr>
              <w:t>m</w:t>
            </w:r>
            <w:r>
              <w:rPr>
                <w:rFonts w:hint="default" w:ascii="Times New Roman" w:hAnsi="Times New Roman" w:eastAsia="宋体" w:cs="Times New Roman"/>
                <w:color w:val="auto"/>
                <w:sz w:val="24"/>
                <w:szCs w:val="24"/>
                <w:u w:val="none" w:color="auto"/>
                <w:vertAlign w:val="superscript"/>
              </w:rPr>
              <w:t>3</w:t>
            </w:r>
            <w:r>
              <w:rPr>
                <w:rFonts w:hint="default" w:ascii="Times New Roman" w:hAnsi="Times New Roman" w:eastAsia="宋体" w:cs="Times New Roman"/>
                <w:color w:val="auto"/>
                <w:sz w:val="24"/>
                <w:szCs w:val="24"/>
                <w:u w:val="none" w:color="auto"/>
              </w:rPr>
              <w:t>/d（</w:t>
            </w:r>
            <w:r>
              <w:rPr>
                <w:rFonts w:hint="default" w:ascii="Times New Roman" w:hAnsi="Times New Roman" w:eastAsia="宋体" w:cs="Times New Roman"/>
                <w:color w:val="auto"/>
                <w:sz w:val="24"/>
                <w:szCs w:val="24"/>
                <w:u w:val="none" w:color="auto"/>
                <w:lang w:val="en-US" w:eastAsia="zh-CN"/>
              </w:rPr>
              <w:t>7656</w:t>
            </w:r>
            <w:r>
              <w:rPr>
                <w:rFonts w:hint="default" w:ascii="Times New Roman" w:hAnsi="Times New Roman" w:eastAsia="宋体" w:cs="Times New Roman"/>
                <w:color w:val="auto"/>
                <w:sz w:val="24"/>
                <w:szCs w:val="24"/>
                <w:u w:val="none" w:color="auto"/>
              </w:rPr>
              <w:t>m</w:t>
            </w:r>
            <w:r>
              <w:rPr>
                <w:rFonts w:hint="default" w:ascii="Times New Roman" w:hAnsi="Times New Roman" w:eastAsia="宋体" w:cs="Times New Roman"/>
                <w:color w:val="auto"/>
                <w:sz w:val="24"/>
                <w:szCs w:val="24"/>
                <w:u w:val="none" w:color="auto"/>
                <w:vertAlign w:val="superscript"/>
              </w:rPr>
              <w:t>3</w:t>
            </w:r>
            <w:r>
              <w:rPr>
                <w:rFonts w:hint="default" w:ascii="Times New Roman" w:hAnsi="Times New Roman" w:eastAsia="宋体" w:cs="Times New Roman"/>
                <w:color w:val="auto"/>
                <w:sz w:val="24"/>
                <w:szCs w:val="24"/>
                <w:u w:val="none" w:color="auto"/>
              </w:rPr>
              <w:t>/a）</w:t>
            </w:r>
            <w:r>
              <w:rPr>
                <w:rFonts w:hint="default" w:ascii="Times New Roman" w:hAnsi="Times New Roman" w:eastAsia="宋体" w:cs="Times New Roman"/>
                <w:color w:val="auto"/>
                <w:sz w:val="24"/>
                <w:szCs w:val="24"/>
                <w:u w:val="none" w:color="auto"/>
              </w:rPr>
              <w:t>，折污系数</w:t>
            </w:r>
            <w:r>
              <w:rPr>
                <w:rFonts w:hint="default" w:ascii="Times New Roman" w:hAnsi="Times New Roman" w:eastAsia="宋体" w:cs="Times New Roman"/>
                <w:color w:val="auto"/>
                <w:sz w:val="24"/>
                <w:szCs w:val="24"/>
                <w:u w:val="none" w:color="auto"/>
                <w:lang w:eastAsia="zh-CN"/>
              </w:rPr>
              <w:t>对应要求</w:t>
            </w:r>
            <w:r>
              <w:rPr>
                <w:rFonts w:hint="default" w:ascii="Times New Roman" w:hAnsi="Times New Roman" w:eastAsia="宋体" w:cs="Times New Roman"/>
                <w:color w:val="auto"/>
                <w:sz w:val="24"/>
                <w:szCs w:val="24"/>
                <w:u w:val="none" w:color="auto"/>
              </w:rPr>
              <w:t>取</w:t>
            </w:r>
            <w:r>
              <w:rPr>
                <w:rFonts w:hint="default" w:ascii="Times New Roman" w:hAnsi="Times New Roman" w:eastAsia="宋体" w:cs="Times New Roman"/>
                <w:color w:val="auto"/>
                <w:sz w:val="24"/>
                <w:szCs w:val="24"/>
                <w:u w:val="none" w:color="auto"/>
                <w:lang w:eastAsia="zh-CN"/>
              </w:rPr>
              <w:t>值</w:t>
            </w:r>
            <w:r>
              <w:rPr>
                <w:rFonts w:hint="default" w:ascii="Times New Roman" w:hAnsi="Times New Roman" w:eastAsia="宋体" w:cs="Times New Roman"/>
                <w:color w:val="auto"/>
                <w:sz w:val="24"/>
                <w:szCs w:val="24"/>
                <w:u w:val="none" w:color="auto"/>
              </w:rPr>
              <w:t>0.8，生活污水量</w:t>
            </w:r>
            <w:r>
              <w:rPr>
                <w:rFonts w:hint="default" w:ascii="Times New Roman" w:hAnsi="Times New Roman" w:eastAsia="宋体" w:cs="Times New Roman"/>
                <w:color w:val="auto"/>
                <w:sz w:val="24"/>
                <w:szCs w:val="24"/>
                <w:u w:val="none" w:color="auto"/>
              </w:rPr>
              <w:t>为</w:t>
            </w:r>
            <w:r>
              <w:rPr>
                <w:rFonts w:hint="eastAsia" w:ascii="Times New Roman" w:hAnsi="Times New Roman" w:eastAsia="宋体" w:cs="Times New Roman"/>
                <w:color w:val="auto"/>
                <w:sz w:val="24"/>
                <w:szCs w:val="24"/>
                <w:u w:val="none" w:color="auto"/>
                <w:lang w:val="en-US" w:eastAsia="zh-CN"/>
              </w:rPr>
              <w:t>20.4</w:t>
            </w:r>
            <w:r>
              <w:rPr>
                <w:rFonts w:hint="eastAsia" w:cs="Times New Roman"/>
                <w:color w:val="auto"/>
                <w:sz w:val="24"/>
                <w:szCs w:val="24"/>
                <w:u w:val="none" w:color="auto"/>
                <w:lang w:val="en-US" w:eastAsia="zh-CN"/>
              </w:rPr>
              <w:t>2</w:t>
            </w:r>
            <w:r>
              <w:rPr>
                <w:rFonts w:hint="default" w:ascii="Times New Roman" w:hAnsi="Times New Roman" w:eastAsia="宋体" w:cs="Times New Roman"/>
                <w:color w:val="auto"/>
                <w:sz w:val="24"/>
                <w:szCs w:val="24"/>
                <w:u w:val="none" w:color="auto"/>
              </w:rPr>
              <w:t>m</w:t>
            </w:r>
            <w:r>
              <w:rPr>
                <w:rFonts w:hint="default" w:ascii="Times New Roman" w:hAnsi="Times New Roman" w:eastAsia="宋体" w:cs="Times New Roman"/>
                <w:color w:val="auto"/>
                <w:sz w:val="24"/>
                <w:szCs w:val="24"/>
                <w:u w:val="none" w:color="auto"/>
                <w:vertAlign w:val="superscript"/>
              </w:rPr>
              <w:t>3</w:t>
            </w:r>
            <w:r>
              <w:rPr>
                <w:rFonts w:hint="default" w:ascii="Times New Roman" w:hAnsi="Times New Roman" w:eastAsia="宋体" w:cs="Times New Roman"/>
                <w:color w:val="auto"/>
                <w:sz w:val="24"/>
                <w:szCs w:val="24"/>
                <w:u w:val="none" w:color="auto"/>
              </w:rPr>
              <w:t>/d（</w:t>
            </w:r>
            <w:r>
              <w:rPr>
                <w:rFonts w:hint="default" w:ascii="Times New Roman" w:hAnsi="Times New Roman" w:eastAsia="宋体" w:cs="Times New Roman"/>
                <w:color w:val="auto"/>
                <w:sz w:val="24"/>
                <w:szCs w:val="24"/>
                <w:u w:val="none" w:color="auto"/>
                <w:lang w:val="en-US" w:eastAsia="zh-CN"/>
              </w:rPr>
              <w:t>6126</w:t>
            </w:r>
            <w:r>
              <w:rPr>
                <w:rFonts w:hint="default" w:ascii="Times New Roman" w:hAnsi="Times New Roman" w:eastAsia="宋体" w:cs="Times New Roman"/>
                <w:color w:val="auto"/>
                <w:sz w:val="24"/>
                <w:szCs w:val="24"/>
                <w:u w:val="none" w:color="auto"/>
              </w:rPr>
              <w:t>m</w:t>
            </w:r>
            <w:r>
              <w:rPr>
                <w:rFonts w:hint="default" w:ascii="Times New Roman" w:hAnsi="Times New Roman" w:eastAsia="宋体" w:cs="Times New Roman"/>
                <w:color w:val="auto"/>
                <w:sz w:val="24"/>
                <w:szCs w:val="24"/>
                <w:u w:val="none" w:color="auto"/>
                <w:vertAlign w:val="superscript"/>
              </w:rPr>
              <w:t>3</w:t>
            </w:r>
            <w:r>
              <w:rPr>
                <w:rFonts w:hint="default" w:ascii="Times New Roman" w:hAnsi="Times New Roman" w:eastAsia="宋体" w:cs="Times New Roman"/>
                <w:color w:val="auto"/>
                <w:sz w:val="24"/>
                <w:szCs w:val="24"/>
                <w:u w:val="none" w:color="auto"/>
              </w:rPr>
              <w:t>/a）</w:t>
            </w:r>
            <w:r>
              <w:rPr>
                <w:rFonts w:hint="eastAsia" w:ascii="Times New Roman" w:hAnsi="Times New Roman" w:eastAsia="宋体"/>
                <w:caps w:val="0"/>
                <w:smallCaps w:val="0"/>
                <w:color w:val="auto"/>
                <w:sz w:val="24"/>
                <w:szCs w:val="24"/>
                <w:highlight w:val="none"/>
                <w:u w:val="none" w:color="auto"/>
                <w:shd w:val="clear" w:color="auto" w:fill="auto"/>
                <w:lang w:eastAsia="zh-CN"/>
              </w:rPr>
              <w:t>，</w:t>
            </w:r>
            <w:r>
              <w:rPr>
                <w:rFonts w:hint="eastAsia" w:ascii="Times New Roman" w:hAnsi="Times New Roman" w:eastAsia="宋体"/>
                <w:caps w:val="0"/>
                <w:smallCaps w:val="0"/>
                <w:color w:val="auto"/>
                <w:sz w:val="24"/>
                <w:szCs w:val="24"/>
                <w:highlight w:val="none"/>
                <w:u w:val="none" w:color="auto"/>
                <w:shd w:val="clear" w:color="auto" w:fill="auto"/>
                <w:lang w:val="en-US" w:eastAsia="zh-CN"/>
              </w:rPr>
              <w:t>依托园区现有</w:t>
            </w:r>
            <w:r>
              <w:rPr>
                <w:rFonts w:ascii="Times New Roman" w:hAnsi="Times New Roman" w:eastAsia="宋体"/>
                <w:caps w:val="0"/>
                <w:smallCaps w:val="0"/>
                <w:color w:val="auto"/>
                <w:sz w:val="24"/>
                <w:szCs w:val="24"/>
                <w:highlight w:val="none"/>
                <w:u w:val="none" w:color="auto"/>
                <w:shd w:val="clear" w:color="auto" w:fill="auto"/>
              </w:rPr>
              <w:t>三级化粪池</w:t>
            </w:r>
            <w:r>
              <w:rPr>
                <w:rFonts w:hint="eastAsia"/>
                <w:caps w:val="0"/>
                <w:smallCaps w:val="0"/>
                <w:color w:val="auto"/>
                <w:sz w:val="24"/>
                <w:szCs w:val="24"/>
                <w:highlight w:val="none"/>
                <w:u w:val="none" w:color="auto"/>
                <w:shd w:val="clear" w:color="auto" w:fill="auto"/>
                <w:lang w:val="en-US" w:eastAsia="zh-CN"/>
              </w:rPr>
              <w:t>处理后排入市政污水管网</w:t>
            </w:r>
            <w:r>
              <w:rPr>
                <w:rFonts w:hint="default" w:ascii="Times New Roman" w:hAnsi="Times New Roman" w:eastAsia="宋体" w:cs="Times New Roman"/>
                <w:b w:val="0"/>
                <w:bCs/>
                <w:color w:val="auto"/>
                <w:sz w:val="24"/>
                <w:szCs w:val="24"/>
                <w:highlight w:val="none"/>
                <w:u w:val="none" w:color="auto"/>
                <w:lang w:val="en-US" w:eastAsia="zh-CN"/>
              </w:rPr>
              <w:t>。</w:t>
            </w:r>
          </w:p>
          <w:p w14:paraId="1FD34960">
            <w:pPr>
              <w:keepNext w:val="0"/>
              <w:keepLines w:val="0"/>
              <w:pageBreakBefore w:val="0"/>
              <w:widowControl w:val="0"/>
              <w:kinsoku/>
              <w:wordWrap/>
              <w:overflowPunct/>
              <w:topLinePunct w:val="0"/>
              <w:autoSpaceDE/>
              <w:autoSpaceDN/>
              <w:bidi w:val="0"/>
              <w:spacing w:line="500" w:lineRule="exact"/>
              <w:ind w:left="0" w:firstLine="480" w:firstLineChars="200"/>
              <w:jc w:val="both"/>
              <w:textAlignment w:val="auto"/>
              <w:rPr>
                <w:rFonts w:hint="eastAsia" w:ascii="Times New Roman" w:hAnsi="Times New Roman" w:eastAsia="宋体" w:cs="Times New Roman"/>
                <w:b/>
                <w:bCs/>
                <w:caps w:val="0"/>
                <w:color w:val="auto"/>
                <w:sz w:val="24"/>
                <w:szCs w:val="24"/>
                <w:u w:val="none" w:color="auto"/>
                <w:lang w:val="en-US" w:eastAsia="zh-CN"/>
              </w:rPr>
            </w:pPr>
            <w:r>
              <w:rPr>
                <w:rFonts w:hint="default" w:ascii="Times New Roman" w:hAnsi="Times New Roman" w:eastAsia="宋体" w:cs="Times New Roman"/>
                <w:color w:val="auto"/>
                <w:sz w:val="24"/>
                <w:szCs w:val="24"/>
              </w:rPr>
              <w:t>生活污水主要污染物为COD</w:t>
            </w:r>
            <w:r>
              <w:rPr>
                <w:rFonts w:hint="default" w:ascii="Times New Roman" w:hAnsi="Times New Roman" w:eastAsia="宋体" w:cs="Times New Roman"/>
                <w:color w:val="auto"/>
                <w:sz w:val="24"/>
                <w:szCs w:val="24"/>
                <w:vertAlign w:val="subscript"/>
              </w:rPr>
              <w:t>Cr</w:t>
            </w:r>
            <w:r>
              <w:rPr>
                <w:rFonts w:hint="default" w:ascii="Times New Roman" w:hAnsi="Times New Roman" w:eastAsia="宋体" w:cs="Times New Roman"/>
                <w:color w:val="auto"/>
                <w:sz w:val="24"/>
                <w:szCs w:val="24"/>
              </w:rPr>
              <w:t>、BOD</w:t>
            </w:r>
            <w:r>
              <w:rPr>
                <w:rFonts w:hint="default" w:ascii="Times New Roman" w:hAnsi="Times New Roman" w:eastAsia="宋体" w:cs="Times New Roman"/>
                <w:color w:val="auto"/>
                <w:sz w:val="24"/>
                <w:szCs w:val="24"/>
                <w:vertAlign w:val="subscript"/>
              </w:rPr>
              <w:t>5</w:t>
            </w:r>
            <w:r>
              <w:rPr>
                <w:rFonts w:hint="default" w:ascii="Times New Roman" w:hAnsi="Times New Roman" w:eastAsia="宋体" w:cs="Times New Roman"/>
                <w:color w:val="auto"/>
                <w:sz w:val="24"/>
                <w:szCs w:val="24"/>
              </w:rPr>
              <w:t>、悬浮物、氨氮，生活污水中各污染物浓度考《环境影响评价工程师职业资格登记培训教材——社会区域类环境影响评价》（2012版）中的生活污水水质浓度确定，COD</w:t>
            </w:r>
            <w:r>
              <w:rPr>
                <w:rFonts w:hint="default" w:ascii="Times New Roman" w:hAnsi="Times New Roman" w:eastAsia="宋体" w:cs="Times New Roman"/>
                <w:color w:val="auto"/>
                <w:sz w:val="24"/>
                <w:szCs w:val="24"/>
                <w:vertAlign w:val="subscript"/>
              </w:rPr>
              <w:t>Cr</w:t>
            </w:r>
            <w:r>
              <w:rPr>
                <w:rFonts w:hint="default" w:ascii="Times New Roman" w:hAnsi="Times New Roman" w:eastAsia="宋体" w:cs="Times New Roman"/>
                <w:color w:val="auto"/>
                <w:sz w:val="24"/>
                <w:szCs w:val="24"/>
              </w:rPr>
              <w:t>、BOD</w:t>
            </w:r>
            <w:r>
              <w:rPr>
                <w:rFonts w:hint="default" w:ascii="Times New Roman" w:hAnsi="Times New Roman" w:eastAsia="宋体" w:cs="Times New Roman"/>
                <w:color w:val="auto"/>
                <w:sz w:val="24"/>
                <w:szCs w:val="24"/>
                <w:vertAlign w:val="subscript"/>
              </w:rPr>
              <w:t>5</w:t>
            </w:r>
            <w:r>
              <w:rPr>
                <w:rFonts w:hint="default" w:ascii="Times New Roman" w:hAnsi="Times New Roman" w:eastAsia="宋体" w:cs="Times New Roman"/>
                <w:color w:val="auto"/>
                <w:sz w:val="24"/>
                <w:szCs w:val="24"/>
              </w:rPr>
              <w:t>、悬浮物、氨氮的浓度分别为350mg/L、250mg/L、250mg/L、35mg/L。项目产生的生活污水经园区</w:t>
            </w:r>
            <w:r>
              <w:rPr>
                <w:rFonts w:hint="eastAsia" w:cs="Times New Roman"/>
                <w:color w:val="auto"/>
                <w:sz w:val="24"/>
                <w:szCs w:val="24"/>
                <w:lang w:val="en-US" w:eastAsia="zh-CN"/>
              </w:rPr>
              <w:t>三级</w:t>
            </w:r>
            <w:r>
              <w:rPr>
                <w:rFonts w:hint="default" w:ascii="Times New Roman" w:hAnsi="Times New Roman" w:eastAsia="宋体" w:cs="Times New Roman"/>
                <w:color w:val="auto"/>
                <w:sz w:val="24"/>
                <w:szCs w:val="24"/>
              </w:rPr>
              <w:t>化粪池处理达到《污水综合排放标准》（GB8978-1996）三级标准后排入市政污水管网，进入官塘污水处理厂处理。根据环保部2013年7月17日发布的《村镇生活污染防治最佳可行技术指南（试行）》，三级化粪池对污染物的去除效率取值为：COD40%、BOD530%、SS60%、NH3-N不考虑去除率。</w:t>
            </w:r>
          </w:p>
          <w:p w14:paraId="42507257">
            <w:pPr>
              <w:jc w:val="center"/>
              <w:rPr>
                <w:rFonts w:hint="eastAsia" w:ascii="Times New Roman" w:hAnsi="Times New Roman" w:eastAsia="宋体" w:cs="Times New Roman"/>
                <w:b/>
                <w:bCs/>
                <w:caps w:val="0"/>
                <w:color w:val="auto"/>
                <w:sz w:val="24"/>
                <w:szCs w:val="24"/>
                <w:u w:val="none" w:color="auto"/>
                <w:lang w:val="en-US" w:eastAsia="zh-CN"/>
              </w:rPr>
            </w:pPr>
            <w:r>
              <w:rPr>
                <w:rFonts w:hint="eastAsia" w:ascii="Times New Roman" w:hAnsi="Times New Roman" w:eastAsia="宋体" w:cs="Times New Roman"/>
                <w:b/>
                <w:bCs/>
                <w:caps w:val="0"/>
                <w:color w:val="auto"/>
                <w:sz w:val="24"/>
                <w:szCs w:val="24"/>
                <w:u w:val="none" w:color="auto"/>
                <w:lang w:val="en-US" w:eastAsia="zh-CN"/>
              </w:rPr>
              <w:t>表4-</w:t>
            </w:r>
            <w:r>
              <w:rPr>
                <w:rFonts w:hint="eastAsia" w:cs="Times New Roman"/>
                <w:b/>
                <w:bCs/>
                <w:caps w:val="0"/>
                <w:color w:val="auto"/>
                <w:sz w:val="24"/>
                <w:szCs w:val="24"/>
                <w:u w:val="none" w:color="auto"/>
                <w:lang w:val="en-US" w:eastAsia="zh-CN"/>
              </w:rPr>
              <w:t>15</w:t>
            </w:r>
            <w:r>
              <w:rPr>
                <w:rFonts w:hint="eastAsia" w:ascii="Times New Roman" w:hAnsi="Times New Roman" w:eastAsia="宋体" w:cs="Times New Roman"/>
                <w:b/>
                <w:bCs/>
                <w:caps w:val="0"/>
                <w:color w:val="auto"/>
                <w:sz w:val="24"/>
                <w:szCs w:val="24"/>
                <w:u w:val="none" w:color="auto"/>
                <w:lang w:val="en-US" w:eastAsia="zh-CN"/>
              </w:rPr>
              <w:t>项目生活污水产排情况表</w:t>
            </w:r>
          </w:p>
          <w:tbl>
            <w:tblPr>
              <w:tblStyle w:val="39"/>
              <w:tblW w:w="4996"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611"/>
              <w:gridCol w:w="741"/>
              <w:gridCol w:w="978"/>
              <w:gridCol w:w="762"/>
              <w:gridCol w:w="795"/>
              <w:gridCol w:w="868"/>
              <w:gridCol w:w="433"/>
              <w:gridCol w:w="736"/>
              <w:gridCol w:w="844"/>
              <w:gridCol w:w="595"/>
              <w:gridCol w:w="567"/>
            </w:tblGrid>
            <w:tr w14:paraId="36A4B60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63" w:hRule="atLeast"/>
                <w:jc w:val="center"/>
              </w:trPr>
              <w:tc>
                <w:tcPr>
                  <w:tcW w:w="385" w:type="pct"/>
                  <w:vMerge w:val="restart"/>
                  <w:noWrap w:val="0"/>
                  <w:vAlign w:val="center"/>
                </w:tcPr>
                <w:p w14:paraId="06EBB24A">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产污环节</w:t>
                  </w:r>
                </w:p>
              </w:tc>
              <w:tc>
                <w:tcPr>
                  <w:tcW w:w="467" w:type="pct"/>
                  <w:vMerge w:val="restart"/>
                  <w:noWrap w:val="0"/>
                  <w:vAlign w:val="center"/>
                </w:tcPr>
                <w:p w14:paraId="2130D37E">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废水量m³/a</w:t>
                  </w:r>
                </w:p>
              </w:tc>
              <w:tc>
                <w:tcPr>
                  <w:tcW w:w="616" w:type="pct"/>
                  <w:vMerge w:val="restart"/>
                  <w:noWrap w:val="0"/>
                  <w:vAlign w:val="center"/>
                </w:tcPr>
                <w:p w14:paraId="4FA2967F">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污染物名称</w:t>
                  </w:r>
                </w:p>
              </w:tc>
              <w:tc>
                <w:tcPr>
                  <w:tcW w:w="981" w:type="pct"/>
                  <w:gridSpan w:val="2"/>
                  <w:noWrap w:val="0"/>
                  <w:vAlign w:val="center"/>
                </w:tcPr>
                <w:p w14:paraId="2B738213">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污染物产生量</w:t>
                  </w:r>
                </w:p>
              </w:tc>
              <w:tc>
                <w:tcPr>
                  <w:tcW w:w="547" w:type="pct"/>
                  <w:vMerge w:val="restart"/>
                  <w:noWrap w:val="0"/>
                  <w:vAlign w:val="center"/>
                </w:tcPr>
                <w:p w14:paraId="78E19229">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处理效率%</w:t>
                  </w:r>
                </w:p>
              </w:tc>
              <w:tc>
                <w:tcPr>
                  <w:tcW w:w="273" w:type="pct"/>
                  <w:vMerge w:val="restart"/>
                  <w:noWrap w:val="0"/>
                  <w:vAlign w:val="center"/>
                </w:tcPr>
                <w:p w14:paraId="7DBCF083">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治理</w:t>
                  </w:r>
                </w:p>
                <w:p w14:paraId="0AC6BFB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措施</w:t>
                  </w:r>
                </w:p>
              </w:tc>
              <w:tc>
                <w:tcPr>
                  <w:tcW w:w="996" w:type="pct"/>
                  <w:gridSpan w:val="2"/>
                  <w:noWrap w:val="0"/>
                  <w:vAlign w:val="center"/>
                </w:tcPr>
                <w:p w14:paraId="0D39BA5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处理后排放量</w:t>
                  </w:r>
                </w:p>
              </w:tc>
              <w:tc>
                <w:tcPr>
                  <w:tcW w:w="375" w:type="pct"/>
                  <w:vMerge w:val="restart"/>
                  <w:noWrap w:val="0"/>
                  <w:vAlign w:val="center"/>
                </w:tcPr>
                <w:p w14:paraId="2F6E17B3">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去处</w:t>
                  </w:r>
                </w:p>
              </w:tc>
              <w:tc>
                <w:tcPr>
                  <w:tcW w:w="357" w:type="pct"/>
                  <w:vMerge w:val="restart"/>
                  <w:noWrap w:val="0"/>
                  <w:vAlign w:val="center"/>
                </w:tcPr>
                <w:p w14:paraId="74186FF9">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排放标准</w:t>
                  </w:r>
                </w:p>
              </w:tc>
            </w:tr>
            <w:tr w14:paraId="3900C8B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317" w:hRule="atLeast"/>
                <w:jc w:val="center"/>
              </w:trPr>
              <w:tc>
                <w:tcPr>
                  <w:tcW w:w="385" w:type="pct"/>
                  <w:vMerge w:val="continue"/>
                  <w:noWrap w:val="0"/>
                  <w:vAlign w:val="center"/>
                </w:tcPr>
                <w:p w14:paraId="38FA2A02">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c>
                <w:tcPr>
                  <w:tcW w:w="467" w:type="pct"/>
                  <w:vMerge w:val="continue"/>
                  <w:noWrap w:val="0"/>
                  <w:vAlign w:val="center"/>
                </w:tcPr>
                <w:p w14:paraId="00DC80D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c>
                <w:tcPr>
                  <w:tcW w:w="616" w:type="pct"/>
                  <w:vMerge w:val="continue"/>
                  <w:noWrap w:val="0"/>
                  <w:vAlign w:val="center"/>
                </w:tcPr>
                <w:p w14:paraId="3F5CF484">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c>
                <w:tcPr>
                  <w:tcW w:w="480" w:type="pct"/>
                  <w:noWrap w:val="0"/>
                  <w:vAlign w:val="center"/>
                </w:tcPr>
                <w:p w14:paraId="16CB3AC4">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浓度mg/L</w:t>
                  </w:r>
                </w:p>
              </w:tc>
              <w:tc>
                <w:tcPr>
                  <w:tcW w:w="501" w:type="pct"/>
                  <w:noWrap w:val="0"/>
                  <w:vAlign w:val="center"/>
                </w:tcPr>
                <w:p w14:paraId="69A470E9">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产生量t/a</w:t>
                  </w:r>
                </w:p>
              </w:tc>
              <w:tc>
                <w:tcPr>
                  <w:tcW w:w="547" w:type="pct"/>
                  <w:vMerge w:val="continue"/>
                  <w:noWrap w:val="0"/>
                  <w:vAlign w:val="center"/>
                </w:tcPr>
                <w:p w14:paraId="6E1BD61C">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c>
                <w:tcPr>
                  <w:tcW w:w="273" w:type="pct"/>
                  <w:vMerge w:val="continue"/>
                  <w:noWrap w:val="0"/>
                  <w:vAlign w:val="center"/>
                </w:tcPr>
                <w:p w14:paraId="074D4795">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c>
                <w:tcPr>
                  <w:tcW w:w="464" w:type="pct"/>
                  <w:noWrap w:val="0"/>
                  <w:vAlign w:val="center"/>
                </w:tcPr>
                <w:p w14:paraId="3C6A8A6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浓度mg/L</w:t>
                  </w:r>
                </w:p>
              </w:tc>
              <w:tc>
                <w:tcPr>
                  <w:tcW w:w="532" w:type="pct"/>
                  <w:noWrap w:val="0"/>
                  <w:vAlign w:val="center"/>
                </w:tcPr>
                <w:p w14:paraId="52A7AA28">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排放量t/a</w:t>
                  </w:r>
                </w:p>
              </w:tc>
              <w:tc>
                <w:tcPr>
                  <w:tcW w:w="375" w:type="pct"/>
                  <w:vMerge w:val="continue"/>
                  <w:noWrap w:val="0"/>
                  <w:vAlign w:val="center"/>
                </w:tcPr>
                <w:p w14:paraId="009E987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c>
                <w:tcPr>
                  <w:tcW w:w="357" w:type="pct"/>
                  <w:vMerge w:val="continue"/>
                  <w:noWrap w:val="0"/>
                  <w:vAlign w:val="center"/>
                </w:tcPr>
                <w:p w14:paraId="010C5FEA">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r>
            <w:tr w14:paraId="0ED60C3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355" w:hRule="atLeast"/>
                <w:jc w:val="center"/>
              </w:trPr>
              <w:tc>
                <w:tcPr>
                  <w:tcW w:w="385" w:type="pct"/>
                  <w:vMerge w:val="restart"/>
                  <w:noWrap w:val="0"/>
                  <w:vAlign w:val="center"/>
                </w:tcPr>
                <w:p w14:paraId="16083A23">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生活污水</w:t>
                  </w:r>
                </w:p>
              </w:tc>
              <w:tc>
                <w:tcPr>
                  <w:tcW w:w="467" w:type="pct"/>
                  <w:vMerge w:val="restart"/>
                  <w:noWrap w:val="0"/>
                  <w:vAlign w:val="center"/>
                </w:tcPr>
                <w:p w14:paraId="452E67B5">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6126</w:t>
                  </w:r>
                </w:p>
              </w:tc>
              <w:tc>
                <w:tcPr>
                  <w:tcW w:w="616" w:type="pct"/>
                  <w:noWrap w:val="0"/>
                  <w:vAlign w:val="center"/>
                </w:tcPr>
                <w:p w14:paraId="160FBF3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color w:val="auto"/>
                      <w:lang w:val="en-US" w:eastAsia="zh-CN"/>
                    </w:rPr>
                  </w:pPr>
                  <w:r>
                    <w:rPr>
                      <w:rFonts w:hint="default" w:ascii="Times New Roman" w:hAnsi="Times New Roman" w:eastAsia="宋体" w:cs="Times New Roman"/>
                      <w:b w:val="0"/>
                      <w:bCs/>
                      <w:color w:val="auto"/>
                      <w:sz w:val="21"/>
                      <w:szCs w:val="21"/>
                    </w:rPr>
                    <w:t>COD</w:t>
                  </w:r>
                  <w:r>
                    <w:rPr>
                      <w:rFonts w:hint="eastAsia" w:eastAsia="宋体" w:cs="Times New Roman"/>
                      <w:b w:val="0"/>
                      <w:bCs/>
                      <w:color w:val="auto"/>
                      <w:sz w:val="21"/>
                      <w:szCs w:val="21"/>
                      <w:vertAlign w:val="subscript"/>
                      <w:lang w:val="en-US" w:eastAsia="zh-CN"/>
                    </w:rPr>
                    <w:t>Cr</w:t>
                  </w:r>
                </w:p>
              </w:tc>
              <w:tc>
                <w:tcPr>
                  <w:tcW w:w="480" w:type="pct"/>
                  <w:noWrap w:val="0"/>
                  <w:vAlign w:val="center"/>
                </w:tcPr>
                <w:p w14:paraId="4559F38B">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350</w:t>
                  </w:r>
                </w:p>
              </w:tc>
              <w:tc>
                <w:tcPr>
                  <w:tcW w:w="501" w:type="pct"/>
                  <w:noWrap w:val="0"/>
                  <w:vAlign w:val="center"/>
                </w:tcPr>
                <w:p w14:paraId="48313381">
                  <w:pPr>
                    <w:keepNext w:val="0"/>
                    <w:keepLines w:val="0"/>
                    <w:widowControl/>
                    <w:suppressLineNumbers w:val="0"/>
                    <w:jc w:val="center"/>
                    <w:textAlignment w:val="center"/>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2.14</w:t>
                  </w:r>
                </w:p>
              </w:tc>
              <w:tc>
                <w:tcPr>
                  <w:tcW w:w="547" w:type="pct"/>
                  <w:noWrap w:val="0"/>
                  <w:vAlign w:val="center"/>
                </w:tcPr>
                <w:p w14:paraId="3B4D987C">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40</w:t>
                  </w:r>
                </w:p>
              </w:tc>
              <w:tc>
                <w:tcPr>
                  <w:tcW w:w="273" w:type="pct"/>
                  <w:vMerge w:val="restart"/>
                  <w:noWrap w:val="0"/>
                  <w:vAlign w:val="center"/>
                </w:tcPr>
                <w:p w14:paraId="0C627405">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化粪池</w:t>
                  </w:r>
                </w:p>
              </w:tc>
              <w:tc>
                <w:tcPr>
                  <w:tcW w:w="464" w:type="pct"/>
                  <w:noWrap w:val="0"/>
                  <w:vAlign w:val="center"/>
                </w:tcPr>
                <w:p w14:paraId="1FAFF355">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210</w:t>
                  </w:r>
                </w:p>
              </w:tc>
              <w:tc>
                <w:tcPr>
                  <w:tcW w:w="532" w:type="pct"/>
                  <w:noWrap w:val="0"/>
                  <w:vAlign w:val="center"/>
                </w:tcPr>
                <w:p w14:paraId="14433DD5">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1.29</w:t>
                  </w:r>
                </w:p>
              </w:tc>
              <w:tc>
                <w:tcPr>
                  <w:tcW w:w="375" w:type="pct"/>
                  <w:vMerge w:val="restart"/>
                  <w:noWrap w:val="0"/>
                  <w:vAlign w:val="center"/>
                </w:tcPr>
                <w:p w14:paraId="58BA009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eastAsia" w:ascii="Times New Roman" w:hAnsi="Times New Roman" w:eastAsia="宋体" w:cs="Times New Roman"/>
                      <w:color w:val="auto"/>
                      <w:sz w:val="21"/>
                      <w:szCs w:val="21"/>
                      <w:lang w:val="en-US" w:eastAsia="zh-CN"/>
                    </w:rPr>
                  </w:pPr>
                  <w:r>
                    <w:rPr>
                      <w:rFonts w:hint="eastAsia" w:eastAsia="宋体" w:cs="Times New Roman"/>
                      <w:b w:val="0"/>
                      <w:bCs/>
                      <w:color w:val="auto"/>
                      <w:sz w:val="21"/>
                      <w:szCs w:val="21"/>
                      <w:lang w:val="en-US" w:eastAsia="zh-CN"/>
                    </w:rPr>
                    <w:t>市政污水管网</w:t>
                  </w:r>
                </w:p>
              </w:tc>
              <w:tc>
                <w:tcPr>
                  <w:tcW w:w="357" w:type="pct"/>
                  <w:noWrap w:val="0"/>
                  <w:vAlign w:val="center"/>
                </w:tcPr>
                <w:p w14:paraId="5E18D5E9">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220</w:t>
                  </w:r>
                </w:p>
              </w:tc>
            </w:tr>
            <w:tr w14:paraId="6DC8A7A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71" w:hRule="atLeast"/>
                <w:jc w:val="center"/>
              </w:trPr>
              <w:tc>
                <w:tcPr>
                  <w:tcW w:w="385" w:type="pct"/>
                  <w:vMerge w:val="continue"/>
                  <w:noWrap w:val="0"/>
                  <w:vAlign w:val="center"/>
                </w:tcPr>
                <w:p w14:paraId="5E80DDE3">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467" w:type="pct"/>
                  <w:vMerge w:val="continue"/>
                  <w:noWrap w:val="0"/>
                  <w:vAlign w:val="center"/>
                </w:tcPr>
                <w:p w14:paraId="78DA6DCC">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616" w:type="pct"/>
                  <w:noWrap w:val="0"/>
                  <w:vAlign w:val="center"/>
                </w:tcPr>
                <w:p w14:paraId="169D0EF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BOD</w:t>
                  </w:r>
                  <w:r>
                    <w:rPr>
                      <w:rFonts w:hint="default" w:ascii="Times New Roman" w:hAnsi="Times New Roman" w:eastAsia="宋体" w:cs="Times New Roman"/>
                      <w:b w:val="0"/>
                      <w:bCs/>
                      <w:color w:val="auto"/>
                      <w:sz w:val="21"/>
                      <w:szCs w:val="21"/>
                      <w:vertAlign w:val="subscript"/>
                    </w:rPr>
                    <w:t>5</w:t>
                  </w:r>
                </w:p>
              </w:tc>
              <w:tc>
                <w:tcPr>
                  <w:tcW w:w="480" w:type="pct"/>
                  <w:noWrap w:val="0"/>
                  <w:vAlign w:val="center"/>
                </w:tcPr>
                <w:p w14:paraId="5630EBE1">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250</w:t>
                  </w:r>
                </w:p>
              </w:tc>
              <w:tc>
                <w:tcPr>
                  <w:tcW w:w="501" w:type="pct"/>
                  <w:noWrap w:val="0"/>
                  <w:vAlign w:val="center"/>
                </w:tcPr>
                <w:p w14:paraId="561C383D">
                  <w:pPr>
                    <w:keepNext w:val="0"/>
                    <w:keepLines w:val="0"/>
                    <w:widowControl/>
                    <w:suppressLineNumbers w:val="0"/>
                    <w:jc w:val="center"/>
                    <w:textAlignment w:val="center"/>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1.53</w:t>
                  </w:r>
                </w:p>
              </w:tc>
              <w:tc>
                <w:tcPr>
                  <w:tcW w:w="547" w:type="pct"/>
                  <w:noWrap w:val="0"/>
                  <w:vAlign w:val="center"/>
                </w:tcPr>
                <w:p w14:paraId="4CC92884">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30</w:t>
                  </w:r>
                </w:p>
              </w:tc>
              <w:tc>
                <w:tcPr>
                  <w:tcW w:w="273" w:type="pct"/>
                  <w:vMerge w:val="continue"/>
                  <w:noWrap w:val="0"/>
                  <w:vAlign w:val="center"/>
                </w:tcPr>
                <w:p w14:paraId="04689860">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464" w:type="pct"/>
                  <w:noWrap w:val="0"/>
                  <w:vAlign w:val="center"/>
                </w:tcPr>
                <w:p w14:paraId="78A34A5D">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175</w:t>
                  </w:r>
                </w:p>
              </w:tc>
              <w:tc>
                <w:tcPr>
                  <w:tcW w:w="532" w:type="pct"/>
                  <w:noWrap w:val="0"/>
                  <w:vAlign w:val="center"/>
                </w:tcPr>
                <w:p w14:paraId="0893E12D">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1.07</w:t>
                  </w:r>
                </w:p>
              </w:tc>
              <w:tc>
                <w:tcPr>
                  <w:tcW w:w="375" w:type="pct"/>
                  <w:vMerge w:val="continue"/>
                  <w:noWrap w:val="0"/>
                  <w:vAlign w:val="center"/>
                </w:tcPr>
                <w:p w14:paraId="0FEA6AAD">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c>
                <w:tcPr>
                  <w:tcW w:w="357" w:type="pct"/>
                  <w:noWrap w:val="0"/>
                  <w:vAlign w:val="center"/>
                </w:tcPr>
                <w:p w14:paraId="3248E6C4">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120</w:t>
                  </w:r>
                </w:p>
              </w:tc>
            </w:tr>
            <w:tr w14:paraId="282EA44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316" w:hRule="atLeast"/>
                <w:jc w:val="center"/>
              </w:trPr>
              <w:tc>
                <w:tcPr>
                  <w:tcW w:w="385" w:type="pct"/>
                  <w:vMerge w:val="continue"/>
                  <w:noWrap w:val="0"/>
                  <w:vAlign w:val="center"/>
                </w:tcPr>
                <w:p w14:paraId="07B61DF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467" w:type="pct"/>
                  <w:vMerge w:val="continue"/>
                  <w:noWrap w:val="0"/>
                  <w:vAlign w:val="center"/>
                </w:tcPr>
                <w:p w14:paraId="3B2D06E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616" w:type="pct"/>
                  <w:noWrap w:val="0"/>
                  <w:vAlign w:val="center"/>
                </w:tcPr>
                <w:p w14:paraId="53CE80E0">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SS</w:t>
                  </w:r>
                </w:p>
              </w:tc>
              <w:tc>
                <w:tcPr>
                  <w:tcW w:w="480" w:type="pct"/>
                  <w:noWrap w:val="0"/>
                  <w:vAlign w:val="center"/>
                </w:tcPr>
                <w:p w14:paraId="71E65FBE">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250</w:t>
                  </w:r>
                </w:p>
              </w:tc>
              <w:tc>
                <w:tcPr>
                  <w:tcW w:w="501" w:type="pct"/>
                  <w:noWrap w:val="0"/>
                  <w:vAlign w:val="center"/>
                </w:tcPr>
                <w:p w14:paraId="66389DE3">
                  <w:pPr>
                    <w:keepNext w:val="0"/>
                    <w:keepLines w:val="0"/>
                    <w:widowControl/>
                    <w:suppressLineNumbers w:val="0"/>
                    <w:jc w:val="center"/>
                    <w:textAlignment w:val="center"/>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1.53</w:t>
                  </w:r>
                </w:p>
              </w:tc>
              <w:tc>
                <w:tcPr>
                  <w:tcW w:w="547" w:type="pct"/>
                  <w:noWrap w:val="0"/>
                  <w:vAlign w:val="center"/>
                </w:tcPr>
                <w:p w14:paraId="1A746B8C">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60</w:t>
                  </w:r>
                </w:p>
              </w:tc>
              <w:tc>
                <w:tcPr>
                  <w:tcW w:w="273" w:type="pct"/>
                  <w:vMerge w:val="continue"/>
                  <w:noWrap w:val="0"/>
                  <w:vAlign w:val="center"/>
                </w:tcPr>
                <w:p w14:paraId="2FB3F783">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464" w:type="pct"/>
                  <w:noWrap w:val="0"/>
                  <w:vAlign w:val="center"/>
                </w:tcPr>
                <w:p w14:paraId="023CC7D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100</w:t>
                  </w:r>
                </w:p>
              </w:tc>
              <w:tc>
                <w:tcPr>
                  <w:tcW w:w="532" w:type="pct"/>
                  <w:noWrap w:val="0"/>
                  <w:vAlign w:val="center"/>
                </w:tcPr>
                <w:p w14:paraId="2FD41219">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0.61</w:t>
                  </w:r>
                </w:p>
              </w:tc>
              <w:tc>
                <w:tcPr>
                  <w:tcW w:w="375" w:type="pct"/>
                  <w:vMerge w:val="continue"/>
                  <w:noWrap w:val="0"/>
                  <w:vAlign w:val="center"/>
                </w:tcPr>
                <w:p w14:paraId="79F0CEB3">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c>
                <w:tcPr>
                  <w:tcW w:w="357" w:type="pct"/>
                  <w:noWrap w:val="0"/>
                  <w:vAlign w:val="center"/>
                </w:tcPr>
                <w:p w14:paraId="4A12412A">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200</w:t>
                  </w:r>
                </w:p>
              </w:tc>
            </w:tr>
            <w:tr w14:paraId="7A03077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75" w:hRule="atLeast"/>
                <w:jc w:val="center"/>
              </w:trPr>
              <w:tc>
                <w:tcPr>
                  <w:tcW w:w="385" w:type="pct"/>
                  <w:vMerge w:val="continue"/>
                  <w:noWrap w:val="0"/>
                  <w:vAlign w:val="center"/>
                </w:tcPr>
                <w:p w14:paraId="765B6B3D">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467" w:type="pct"/>
                  <w:vMerge w:val="continue"/>
                  <w:noWrap w:val="0"/>
                  <w:vAlign w:val="center"/>
                </w:tcPr>
                <w:p w14:paraId="3D975B02">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616" w:type="pct"/>
                  <w:noWrap w:val="0"/>
                  <w:vAlign w:val="center"/>
                </w:tcPr>
                <w:p w14:paraId="7A28BDF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NH</w:t>
                  </w:r>
                  <w:r>
                    <w:rPr>
                      <w:rFonts w:hint="default" w:ascii="Times New Roman" w:hAnsi="Times New Roman" w:eastAsia="宋体" w:cs="Times New Roman"/>
                      <w:b w:val="0"/>
                      <w:bCs/>
                      <w:color w:val="auto"/>
                      <w:sz w:val="21"/>
                      <w:szCs w:val="21"/>
                      <w:vertAlign w:val="subscript"/>
                    </w:rPr>
                    <w:t>3</w:t>
                  </w:r>
                  <w:r>
                    <w:rPr>
                      <w:rFonts w:hint="default" w:ascii="Times New Roman" w:hAnsi="Times New Roman" w:eastAsia="宋体" w:cs="Times New Roman"/>
                      <w:b w:val="0"/>
                      <w:bCs/>
                      <w:color w:val="auto"/>
                      <w:sz w:val="21"/>
                      <w:szCs w:val="21"/>
                    </w:rPr>
                    <w:t>-N</w:t>
                  </w:r>
                </w:p>
              </w:tc>
              <w:tc>
                <w:tcPr>
                  <w:tcW w:w="480" w:type="pct"/>
                  <w:noWrap w:val="0"/>
                  <w:vAlign w:val="center"/>
                </w:tcPr>
                <w:p w14:paraId="6BFDF9F5">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35</w:t>
                  </w:r>
                </w:p>
              </w:tc>
              <w:tc>
                <w:tcPr>
                  <w:tcW w:w="501" w:type="pct"/>
                  <w:noWrap w:val="0"/>
                  <w:vAlign w:val="center"/>
                </w:tcPr>
                <w:p w14:paraId="1E500C7D">
                  <w:pPr>
                    <w:keepNext w:val="0"/>
                    <w:keepLines w:val="0"/>
                    <w:widowControl/>
                    <w:suppressLineNumbers w:val="0"/>
                    <w:jc w:val="center"/>
                    <w:textAlignment w:val="center"/>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0.21</w:t>
                  </w:r>
                </w:p>
              </w:tc>
              <w:tc>
                <w:tcPr>
                  <w:tcW w:w="547" w:type="pct"/>
                  <w:noWrap w:val="0"/>
                  <w:vAlign w:val="center"/>
                </w:tcPr>
                <w:p w14:paraId="5A7F316F">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w:t>
                  </w:r>
                </w:p>
              </w:tc>
              <w:tc>
                <w:tcPr>
                  <w:tcW w:w="273" w:type="pct"/>
                  <w:vMerge w:val="continue"/>
                  <w:noWrap w:val="0"/>
                  <w:vAlign w:val="center"/>
                </w:tcPr>
                <w:p w14:paraId="267824FB">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rPr>
                  </w:pPr>
                </w:p>
              </w:tc>
              <w:tc>
                <w:tcPr>
                  <w:tcW w:w="464" w:type="pct"/>
                  <w:shd w:val="clear" w:color="auto" w:fill="auto"/>
                  <w:noWrap w:val="0"/>
                  <w:vAlign w:val="center"/>
                </w:tcPr>
                <w:p w14:paraId="3518DFCD">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35</w:t>
                  </w:r>
                </w:p>
              </w:tc>
              <w:tc>
                <w:tcPr>
                  <w:tcW w:w="532" w:type="pct"/>
                  <w:shd w:val="clear" w:color="auto" w:fill="auto"/>
                  <w:noWrap w:val="0"/>
                  <w:vAlign w:val="center"/>
                </w:tcPr>
                <w:p w14:paraId="5695123A">
                  <w:pPr>
                    <w:keepNext w:val="0"/>
                    <w:keepLines w:val="0"/>
                    <w:widowControl/>
                    <w:suppressLineNumbers w:val="0"/>
                    <w:jc w:val="center"/>
                    <w:textAlignment w:val="center"/>
                    <w:rPr>
                      <w:rFonts w:hint="default" w:ascii="Times New Roman" w:hAnsi="Times New Roman" w:eastAsia="宋体" w:cs="Times New Roman"/>
                      <w:b w:val="0"/>
                      <w:bCs/>
                      <w:color w:val="auto"/>
                      <w:kern w:val="2"/>
                      <w:sz w:val="21"/>
                      <w:szCs w:val="21"/>
                      <w:lang w:val="en-US" w:eastAsia="zh-CN" w:bidi="ar-SA"/>
                    </w:rPr>
                  </w:pPr>
                  <w:r>
                    <w:rPr>
                      <w:rFonts w:hint="eastAsia" w:cs="Times New Roman"/>
                      <w:b w:val="0"/>
                      <w:bCs/>
                      <w:color w:val="auto"/>
                      <w:sz w:val="21"/>
                      <w:szCs w:val="21"/>
                      <w:lang w:val="en-US" w:eastAsia="zh-CN"/>
                    </w:rPr>
                    <w:t>0.21</w:t>
                  </w:r>
                </w:p>
              </w:tc>
              <w:tc>
                <w:tcPr>
                  <w:tcW w:w="375" w:type="pct"/>
                  <w:vMerge w:val="continue"/>
                  <w:noWrap w:val="0"/>
                  <w:vAlign w:val="center"/>
                </w:tcPr>
                <w:p w14:paraId="5D9D534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rPr>
                  </w:pPr>
                </w:p>
              </w:tc>
              <w:tc>
                <w:tcPr>
                  <w:tcW w:w="357" w:type="pct"/>
                  <w:noWrap w:val="0"/>
                  <w:vAlign w:val="center"/>
                </w:tcPr>
                <w:p w14:paraId="3E0A80FF">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25</w:t>
                  </w:r>
                </w:p>
              </w:tc>
            </w:tr>
          </w:tbl>
          <w:p w14:paraId="670DD981">
            <w:pPr>
              <w:jc w:val="center"/>
              <w:rPr>
                <w:rFonts w:hint="eastAsia" w:ascii="Times New Roman" w:hAnsi="Times New Roman" w:eastAsia="宋体" w:cs="Times New Roman"/>
                <w:b/>
                <w:bCs/>
                <w:caps w:val="0"/>
                <w:color w:val="auto"/>
                <w:sz w:val="24"/>
                <w:szCs w:val="24"/>
                <w:u w:val="none" w:color="auto"/>
                <w:lang w:val="en-US" w:eastAsia="zh-CN"/>
              </w:rPr>
            </w:pPr>
            <w:r>
              <w:rPr>
                <w:rFonts w:hint="eastAsia" w:ascii="Times New Roman" w:hAnsi="Times New Roman" w:eastAsia="宋体" w:cs="Times New Roman"/>
                <w:b/>
                <w:bCs/>
                <w:caps w:val="0"/>
                <w:color w:val="auto"/>
                <w:sz w:val="24"/>
                <w:szCs w:val="24"/>
                <w:u w:val="none" w:color="auto"/>
                <w:lang w:val="en-US" w:eastAsia="zh-CN"/>
              </w:rPr>
              <w:t>表4-1</w:t>
            </w:r>
            <w:r>
              <w:rPr>
                <w:rFonts w:hint="eastAsia" w:cs="Times New Roman"/>
                <w:b/>
                <w:bCs/>
                <w:caps w:val="0"/>
                <w:color w:val="auto"/>
                <w:sz w:val="24"/>
                <w:szCs w:val="24"/>
                <w:u w:val="none" w:color="auto"/>
                <w:lang w:val="en-US" w:eastAsia="zh-CN"/>
              </w:rPr>
              <w:t>6</w:t>
            </w:r>
            <w:r>
              <w:rPr>
                <w:rFonts w:hint="eastAsia" w:ascii="Times New Roman" w:hAnsi="Times New Roman" w:eastAsia="宋体" w:cs="Times New Roman"/>
                <w:b/>
                <w:bCs/>
                <w:caps w:val="0"/>
                <w:color w:val="auto"/>
                <w:sz w:val="24"/>
                <w:szCs w:val="24"/>
                <w:u w:val="none" w:color="auto"/>
                <w:lang w:val="en-US" w:eastAsia="zh-CN"/>
              </w:rPr>
              <w:t xml:space="preserve"> 项目厂区废水排放情况    单位：mg/L， pH除外</w:t>
            </w:r>
          </w:p>
          <w:tbl>
            <w:tblPr>
              <w:tblStyle w:val="39"/>
              <w:tblW w:w="4996"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000"/>
              <w:gridCol w:w="1306"/>
              <w:gridCol w:w="1211"/>
              <w:gridCol w:w="1211"/>
              <w:gridCol w:w="1290"/>
              <w:gridCol w:w="952"/>
            </w:tblGrid>
            <w:tr w14:paraId="2494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5" w:type="pct"/>
                  <w:tcBorders>
                    <w:tl2br w:val="nil"/>
                    <w:tr2bl w:val="nil"/>
                  </w:tcBorders>
                  <w:vAlign w:val="center"/>
                </w:tcPr>
                <w:p w14:paraId="13B5C839">
                  <w:pPr>
                    <w:spacing w:line="240" w:lineRule="auto"/>
                    <w:jc w:val="center"/>
                    <w:rPr>
                      <w:color w:val="auto"/>
                      <w:sz w:val="21"/>
                      <w:szCs w:val="21"/>
                      <w:highlight w:val="none"/>
                    </w:rPr>
                  </w:pPr>
                  <w:r>
                    <w:rPr>
                      <w:color w:val="auto"/>
                      <w:sz w:val="21"/>
                      <w:szCs w:val="21"/>
                      <w:highlight w:val="none"/>
                    </w:rPr>
                    <w:t>废水类别</w:t>
                  </w:r>
                </w:p>
              </w:tc>
              <w:tc>
                <w:tcPr>
                  <w:tcW w:w="630" w:type="pct"/>
                  <w:tcBorders>
                    <w:tl2br w:val="nil"/>
                    <w:tr2bl w:val="nil"/>
                  </w:tcBorders>
                  <w:vAlign w:val="center"/>
                </w:tcPr>
                <w:p w14:paraId="7D43D4AC">
                  <w:pPr>
                    <w:spacing w:line="240" w:lineRule="auto"/>
                    <w:jc w:val="center"/>
                    <w:rPr>
                      <w:color w:val="auto"/>
                      <w:sz w:val="21"/>
                      <w:szCs w:val="21"/>
                      <w:highlight w:val="none"/>
                    </w:rPr>
                  </w:pPr>
                  <w:r>
                    <w:rPr>
                      <w:color w:val="auto"/>
                      <w:sz w:val="21"/>
                      <w:szCs w:val="21"/>
                      <w:highlight w:val="none"/>
                    </w:rPr>
                    <w:t>废水排放量</w:t>
                  </w:r>
                </w:p>
                <w:p w14:paraId="04251DDA">
                  <w:pPr>
                    <w:spacing w:line="240" w:lineRule="auto"/>
                    <w:jc w:val="center"/>
                    <w:rPr>
                      <w:color w:val="auto"/>
                      <w:sz w:val="21"/>
                      <w:szCs w:val="21"/>
                      <w:highlight w:val="none"/>
                    </w:rPr>
                  </w:pPr>
                  <w:r>
                    <w:rPr>
                      <w:rFonts w:hint="eastAsia"/>
                      <w:color w:val="auto"/>
                      <w:sz w:val="21"/>
                      <w:szCs w:val="21"/>
                      <w:highlight w:val="none"/>
                      <w:lang w:eastAsia="zh-CN"/>
                    </w:rPr>
                    <w:t>(</w:t>
                  </w:r>
                  <w:r>
                    <w:rPr>
                      <w:color w:val="auto"/>
                      <w:sz w:val="21"/>
                      <w:szCs w:val="21"/>
                      <w:highlight w:val="none"/>
                    </w:rPr>
                    <w:t>m</w:t>
                  </w:r>
                  <w:r>
                    <w:rPr>
                      <w:color w:val="auto"/>
                      <w:sz w:val="21"/>
                      <w:szCs w:val="21"/>
                      <w:highlight w:val="none"/>
                      <w:vertAlign w:val="superscript"/>
                    </w:rPr>
                    <w:t>3</w:t>
                  </w:r>
                  <w:r>
                    <w:rPr>
                      <w:rFonts w:hint="eastAsia"/>
                      <w:color w:val="auto"/>
                      <w:sz w:val="21"/>
                      <w:szCs w:val="21"/>
                      <w:highlight w:val="none"/>
                    </w:rPr>
                    <w:t>/a</w:t>
                  </w:r>
                  <w:r>
                    <w:rPr>
                      <w:rFonts w:hint="eastAsia"/>
                      <w:color w:val="auto"/>
                      <w:sz w:val="21"/>
                      <w:szCs w:val="21"/>
                      <w:highlight w:val="none"/>
                      <w:lang w:eastAsia="zh-CN"/>
                    </w:rPr>
                    <w:t>)</w:t>
                  </w:r>
                </w:p>
              </w:tc>
              <w:tc>
                <w:tcPr>
                  <w:tcW w:w="823" w:type="pct"/>
                  <w:tcBorders>
                    <w:tl2br w:val="nil"/>
                    <w:tr2bl w:val="nil"/>
                  </w:tcBorders>
                  <w:vAlign w:val="center"/>
                </w:tcPr>
                <w:p w14:paraId="65635675">
                  <w:pPr>
                    <w:spacing w:line="240" w:lineRule="auto"/>
                    <w:jc w:val="center"/>
                    <w:rPr>
                      <w:color w:val="auto"/>
                      <w:sz w:val="21"/>
                      <w:szCs w:val="21"/>
                      <w:highlight w:val="none"/>
                    </w:rPr>
                  </w:pPr>
                  <w:r>
                    <w:rPr>
                      <w:color w:val="auto"/>
                      <w:sz w:val="21"/>
                      <w:szCs w:val="21"/>
                      <w:highlight w:val="none"/>
                    </w:rPr>
                    <w:t>污染物</w:t>
                  </w:r>
                </w:p>
              </w:tc>
              <w:tc>
                <w:tcPr>
                  <w:tcW w:w="763" w:type="pct"/>
                  <w:tcBorders>
                    <w:tl2br w:val="nil"/>
                    <w:tr2bl w:val="nil"/>
                  </w:tcBorders>
                  <w:vAlign w:val="center"/>
                </w:tcPr>
                <w:p w14:paraId="601F5DAA">
                  <w:pPr>
                    <w:spacing w:line="240" w:lineRule="auto"/>
                    <w:jc w:val="center"/>
                    <w:rPr>
                      <w:color w:val="auto"/>
                      <w:sz w:val="21"/>
                      <w:szCs w:val="21"/>
                      <w:highlight w:val="none"/>
                    </w:rPr>
                  </w:pPr>
                  <w:r>
                    <w:rPr>
                      <w:rFonts w:hint="eastAsia"/>
                      <w:color w:val="auto"/>
                      <w:sz w:val="21"/>
                      <w:szCs w:val="21"/>
                      <w:highlight w:val="none"/>
                    </w:rPr>
                    <w:t>排放浓度</w:t>
                  </w:r>
                </w:p>
                <w:p w14:paraId="56F1F329">
                  <w:pPr>
                    <w:spacing w:line="240" w:lineRule="auto"/>
                    <w:jc w:val="center"/>
                    <w:rPr>
                      <w:color w:val="auto"/>
                      <w:sz w:val="21"/>
                      <w:szCs w:val="21"/>
                      <w:highlight w:val="none"/>
                    </w:rPr>
                  </w:pPr>
                  <w:r>
                    <w:rPr>
                      <w:rFonts w:hint="eastAsia"/>
                      <w:color w:val="auto"/>
                      <w:sz w:val="21"/>
                      <w:szCs w:val="21"/>
                      <w:highlight w:val="none"/>
                      <w:lang w:eastAsia="zh-CN"/>
                    </w:rPr>
                    <w:t>(</w:t>
                  </w:r>
                  <w:r>
                    <w:rPr>
                      <w:color w:val="auto"/>
                      <w:sz w:val="21"/>
                      <w:szCs w:val="21"/>
                      <w:highlight w:val="none"/>
                    </w:rPr>
                    <w:t>mg/L</w:t>
                  </w:r>
                  <w:r>
                    <w:rPr>
                      <w:rFonts w:hint="eastAsia"/>
                      <w:color w:val="auto"/>
                      <w:sz w:val="21"/>
                      <w:szCs w:val="21"/>
                      <w:highlight w:val="none"/>
                      <w:lang w:eastAsia="zh-CN"/>
                    </w:rPr>
                    <w:t>)</w:t>
                  </w:r>
                </w:p>
              </w:tc>
              <w:tc>
                <w:tcPr>
                  <w:tcW w:w="763" w:type="pct"/>
                  <w:tcBorders>
                    <w:tl2br w:val="nil"/>
                    <w:tr2bl w:val="nil"/>
                  </w:tcBorders>
                  <w:vAlign w:val="center"/>
                </w:tcPr>
                <w:p w14:paraId="258786F0">
                  <w:pPr>
                    <w:spacing w:line="240" w:lineRule="auto"/>
                    <w:jc w:val="center"/>
                    <w:rPr>
                      <w:color w:val="auto"/>
                      <w:sz w:val="21"/>
                      <w:szCs w:val="21"/>
                      <w:highlight w:val="none"/>
                    </w:rPr>
                  </w:pPr>
                  <w:r>
                    <w:rPr>
                      <w:color w:val="auto"/>
                      <w:sz w:val="21"/>
                      <w:szCs w:val="21"/>
                      <w:highlight w:val="none"/>
                    </w:rPr>
                    <w:t>排放方式</w:t>
                  </w:r>
                </w:p>
              </w:tc>
              <w:tc>
                <w:tcPr>
                  <w:tcW w:w="813" w:type="pct"/>
                  <w:tcBorders>
                    <w:tl2br w:val="nil"/>
                    <w:tr2bl w:val="nil"/>
                  </w:tcBorders>
                  <w:vAlign w:val="center"/>
                </w:tcPr>
                <w:p w14:paraId="33273778">
                  <w:pPr>
                    <w:spacing w:line="240" w:lineRule="auto"/>
                    <w:jc w:val="center"/>
                    <w:rPr>
                      <w:color w:val="auto"/>
                      <w:sz w:val="21"/>
                      <w:szCs w:val="21"/>
                      <w:highlight w:val="none"/>
                    </w:rPr>
                  </w:pPr>
                  <w:r>
                    <w:rPr>
                      <w:rFonts w:hint="eastAsia"/>
                      <w:color w:val="auto"/>
                      <w:sz w:val="21"/>
                      <w:szCs w:val="21"/>
                      <w:highlight w:val="none"/>
                    </w:rPr>
                    <w:t>混合浓度</w:t>
                  </w:r>
                  <w:r>
                    <w:rPr>
                      <w:color w:val="auto"/>
                      <w:sz w:val="21"/>
                      <w:szCs w:val="21"/>
                      <w:highlight w:val="none"/>
                    </w:rPr>
                    <w:t>（mg/L）</w:t>
                  </w:r>
                </w:p>
              </w:tc>
              <w:tc>
                <w:tcPr>
                  <w:tcW w:w="600" w:type="pct"/>
                  <w:tcBorders>
                    <w:tl2br w:val="nil"/>
                    <w:tr2bl w:val="nil"/>
                  </w:tcBorders>
                  <w:vAlign w:val="center"/>
                </w:tcPr>
                <w:p w14:paraId="22E2539B">
                  <w:pPr>
                    <w:spacing w:line="240" w:lineRule="auto"/>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排放量（t/a）</w:t>
                  </w:r>
                </w:p>
              </w:tc>
            </w:tr>
            <w:tr w14:paraId="3639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05" w:type="pct"/>
                  <w:vMerge w:val="restart"/>
                  <w:tcBorders>
                    <w:tl2br w:val="nil"/>
                    <w:tr2bl w:val="nil"/>
                  </w:tcBorders>
                  <w:vAlign w:val="center"/>
                </w:tcPr>
                <w:p w14:paraId="5C6CD8E0">
                  <w:pPr>
                    <w:spacing w:line="240" w:lineRule="auto"/>
                    <w:jc w:val="center"/>
                    <w:rPr>
                      <w:color w:val="auto"/>
                      <w:sz w:val="21"/>
                      <w:szCs w:val="21"/>
                      <w:highlight w:val="none"/>
                    </w:rPr>
                  </w:pPr>
                  <w:r>
                    <w:rPr>
                      <w:rFonts w:hint="eastAsia"/>
                      <w:color w:val="auto"/>
                      <w:sz w:val="21"/>
                      <w:szCs w:val="21"/>
                      <w:highlight w:val="none"/>
                    </w:rPr>
                    <w:t>生活污水</w:t>
                  </w:r>
                </w:p>
              </w:tc>
              <w:tc>
                <w:tcPr>
                  <w:tcW w:w="630" w:type="pct"/>
                  <w:vMerge w:val="restart"/>
                  <w:tcBorders>
                    <w:tl2br w:val="nil"/>
                    <w:tr2bl w:val="nil"/>
                  </w:tcBorders>
                  <w:vAlign w:val="center"/>
                </w:tcPr>
                <w:p w14:paraId="72866AA0">
                  <w:pPr>
                    <w:pStyle w:val="107"/>
                    <w:rPr>
                      <w:rFonts w:hint="default" w:eastAsia="黑体" w:cs="Times New Roman"/>
                      <w:b w:val="0"/>
                      <w:bCs/>
                      <w:color w:val="auto"/>
                      <w:szCs w:val="21"/>
                      <w:highlight w:val="none"/>
                      <w:lang w:val="en-US" w:eastAsia="zh-CN"/>
                    </w:rPr>
                  </w:pPr>
                  <w:r>
                    <w:rPr>
                      <w:rFonts w:hint="eastAsia" w:cs="Times New Roman"/>
                      <w:b w:val="0"/>
                      <w:bCs/>
                      <w:color w:val="auto"/>
                      <w:szCs w:val="21"/>
                      <w:highlight w:val="none"/>
                      <w:lang w:val="en-US" w:eastAsia="zh-CN"/>
                    </w:rPr>
                    <w:t>6126</w:t>
                  </w:r>
                </w:p>
              </w:tc>
              <w:tc>
                <w:tcPr>
                  <w:tcW w:w="823" w:type="pct"/>
                  <w:tcBorders>
                    <w:tl2br w:val="nil"/>
                    <w:tr2bl w:val="nil"/>
                  </w:tcBorders>
                  <w:shd w:val="clear" w:color="auto" w:fill="auto"/>
                  <w:vAlign w:val="center"/>
                </w:tcPr>
                <w:p w14:paraId="67460BB5">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黑体" w:cs="宋体"/>
                      <w:color w:val="auto"/>
                      <w:kern w:val="2"/>
                      <w:sz w:val="21"/>
                      <w:szCs w:val="20"/>
                      <w:lang w:val="en-US" w:eastAsia="zh-CN" w:bidi="ar-SA"/>
                    </w:rPr>
                  </w:pPr>
                  <w:r>
                    <w:rPr>
                      <w:rFonts w:hint="default" w:ascii="Times New Roman" w:hAnsi="Times New Roman" w:eastAsia="宋体" w:cs="Times New Roman"/>
                      <w:b w:val="0"/>
                      <w:bCs/>
                      <w:color w:val="auto"/>
                      <w:sz w:val="21"/>
                      <w:szCs w:val="21"/>
                    </w:rPr>
                    <w:t>COD</w:t>
                  </w:r>
                  <w:r>
                    <w:rPr>
                      <w:rFonts w:hint="eastAsia" w:eastAsia="宋体" w:cs="Times New Roman"/>
                      <w:b w:val="0"/>
                      <w:bCs/>
                      <w:color w:val="auto"/>
                      <w:sz w:val="21"/>
                      <w:szCs w:val="21"/>
                      <w:vertAlign w:val="subscript"/>
                      <w:lang w:val="en-US" w:eastAsia="zh-CN"/>
                    </w:rPr>
                    <w:t>Cr</w:t>
                  </w:r>
                </w:p>
              </w:tc>
              <w:tc>
                <w:tcPr>
                  <w:tcW w:w="763" w:type="pct"/>
                  <w:tcBorders>
                    <w:tl2br w:val="nil"/>
                    <w:tr2bl w:val="nil"/>
                  </w:tcBorders>
                  <w:shd w:val="clear" w:color="auto" w:fill="auto"/>
                  <w:vAlign w:val="center"/>
                </w:tcPr>
                <w:p w14:paraId="3A014F63">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sz w:val="21"/>
                      <w:szCs w:val="21"/>
                      <w:lang w:val="en-US" w:eastAsia="zh-CN"/>
                    </w:rPr>
                    <w:t>210</w:t>
                  </w:r>
                </w:p>
              </w:tc>
              <w:tc>
                <w:tcPr>
                  <w:tcW w:w="763" w:type="pct"/>
                  <w:vMerge w:val="restart"/>
                  <w:tcBorders>
                    <w:tl2br w:val="nil"/>
                    <w:tr2bl w:val="nil"/>
                  </w:tcBorders>
                  <w:vAlign w:val="center"/>
                </w:tcPr>
                <w:p w14:paraId="6A357F88">
                  <w:pPr>
                    <w:spacing w:line="240" w:lineRule="auto"/>
                    <w:jc w:val="center"/>
                    <w:rPr>
                      <w:color w:val="auto"/>
                      <w:sz w:val="21"/>
                      <w:szCs w:val="21"/>
                      <w:highlight w:val="none"/>
                    </w:rPr>
                  </w:pPr>
                  <w:r>
                    <w:rPr>
                      <w:rFonts w:hint="eastAsia"/>
                      <w:color w:val="auto"/>
                      <w:sz w:val="21"/>
                      <w:szCs w:val="21"/>
                      <w:highlight w:val="none"/>
                    </w:rPr>
                    <w:t>生活污水经化粪池处理后</w:t>
                  </w:r>
                  <w:r>
                    <w:rPr>
                      <w:rFonts w:hint="eastAsia"/>
                      <w:color w:val="auto"/>
                      <w:sz w:val="21"/>
                      <w:szCs w:val="21"/>
                      <w:highlight w:val="none"/>
                      <w:lang w:eastAsia="zh-CN"/>
                    </w:rPr>
                    <w:t>、</w:t>
                  </w:r>
                  <w:r>
                    <w:rPr>
                      <w:rFonts w:hint="eastAsia"/>
                      <w:color w:val="auto"/>
                      <w:sz w:val="21"/>
                      <w:szCs w:val="21"/>
                      <w:highlight w:val="none"/>
                      <w:lang w:val="en-US" w:eastAsia="zh-CN"/>
                    </w:rPr>
                    <w:t>污水处理站废水、纯水制备废水</w:t>
                  </w:r>
                  <w:r>
                    <w:rPr>
                      <w:rFonts w:hint="eastAsia"/>
                      <w:color w:val="auto"/>
                      <w:sz w:val="21"/>
                      <w:szCs w:val="21"/>
                      <w:highlight w:val="none"/>
                    </w:rPr>
                    <w:t>在厂界内汇聚</w:t>
                  </w:r>
                  <w:r>
                    <w:rPr>
                      <w:rFonts w:hint="eastAsia"/>
                      <w:color w:val="auto"/>
                      <w:sz w:val="21"/>
                      <w:szCs w:val="21"/>
                      <w:highlight w:val="none"/>
                      <w:lang w:eastAsia="zh-CN"/>
                    </w:rPr>
                    <w:t>，</w:t>
                  </w:r>
                  <w:r>
                    <w:rPr>
                      <w:rFonts w:hint="eastAsia"/>
                      <w:color w:val="auto"/>
                      <w:sz w:val="21"/>
                      <w:szCs w:val="21"/>
                      <w:highlight w:val="none"/>
                    </w:rPr>
                    <w:t>一同经同一排污口排入</w:t>
                  </w:r>
                  <w:r>
                    <w:rPr>
                      <w:rFonts w:hint="eastAsia"/>
                      <w:color w:val="auto"/>
                      <w:sz w:val="21"/>
                      <w:szCs w:val="21"/>
                      <w:highlight w:val="none"/>
                      <w:lang w:val="en-US" w:eastAsia="zh-CN"/>
                    </w:rPr>
                    <w:t>市政污水管网</w:t>
                  </w:r>
                </w:p>
              </w:tc>
              <w:tc>
                <w:tcPr>
                  <w:tcW w:w="813" w:type="pct"/>
                  <w:vMerge w:val="restart"/>
                  <w:tcBorders>
                    <w:tl2br w:val="nil"/>
                    <w:tr2bl w:val="nil"/>
                  </w:tcBorders>
                  <w:vAlign w:val="center"/>
                </w:tcPr>
                <w:p w14:paraId="39BC5407">
                  <w:pPr>
                    <w:spacing w:line="240" w:lineRule="auto"/>
                    <w:jc w:val="center"/>
                    <w:rPr>
                      <w:rFonts w:hint="eastAsia"/>
                      <w:color w:val="auto"/>
                      <w:sz w:val="21"/>
                      <w:szCs w:val="21"/>
                      <w:highlight w:val="none"/>
                      <w:lang w:val="en-US" w:eastAsia="zh-CN"/>
                    </w:rPr>
                  </w:pPr>
                  <w:r>
                    <w:rPr>
                      <w:rFonts w:hint="eastAsia"/>
                      <w:color w:val="auto"/>
                      <w:sz w:val="21"/>
                      <w:szCs w:val="21"/>
                      <w:highlight w:val="none"/>
                    </w:rPr>
                    <w:t>COD</w:t>
                  </w:r>
                  <w:r>
                    <w:rPr>
                      <w:rFonts w:hint="eastAsia"/>
                      <w:color w:val="auto"/>
                      <w:sz w:val="21"/>
                      <w:szCs w:val="21"/>
                      <w:highlight w:val="none"/>
                      <w:lang w:eastAsia="zh-CN"/>
                    </w:rPr>
                    <w:t>:</w:t>
                  </w:r>
                  <w:r>
                    <w:rPr>
                      <w:rFonts w:hint="eastAsia"/>
                      <w:color w:val="auto"/>
                      <w:sz w:val="21"/>
                      <w:szCs w:val="21"/>
                      <w:highlight w:val="none"/>
                      <w:lang w:val="en-US" w:eastAsia="zh-CN"/>
                    </w:rPr>
                    <w:t>195.37</w:t>
                  </w:r>
                </w:p>
                <w:p w14:paraId="1B437803">
                  <w:pPr>
                    <w:spacing w:line="240" w:lineRule="auto"/>
                    <w:jc w:val="center"/>
                    <w:rPr>
                      <w:rFonts w:hint="default"/>
                      <w:color w:val="auto"/>
                      <w:sz w:val="21"/>
                      <w:szCs w:val="21"/>
                      <w:highlight w:val="none"/>
                      <w:lang w:val="en-US" w:eastAsia="zh-CN"/>
                    </w:rPr>
                  </w:pPr>
                  <w:r>
                    <w:rPr>
                      <w:rFonts w:hint="default" w:ascii="Times New Roman" w:hAnsi="Times New Roman" w:eastAsia="宋体" w:cs="Times New Roman"/>
                      <w:b w:val="0"/>
                      <w:bCs/>
                      <w:color w:val="auto"/>
                      <w:sz w:val="21"/>
                      <w:szCs w:val="21"/>
                    </w:rPr>
                    <w:t>BOD</w:t>
                  </w:r>
                  <w:r>
                    <w:rPr>
                      <w:rFonts w:hint="default" w:ascii="Times New Roman" w:hAnsi="Times New Roman" w:eastAsia="宋体" w:cs="Times New Roman"/>
                      <w:b w:val="0"/>
                      <w:bCs/>
                      <w:color w:val="auto"/>
                      <w:sz w:val="21"/>
                      <w:szCs w:val="21"/>
                      <w:vertAlign w:val="subscript"/>
                    </w:rPr>
                    <w:t>5</w:t>
                  </w:r>
                  <w:r>
                    <w:rPr>
                      <w:rFonts w:hint="eastAsia" w:cs="Times New Roman"/>
                      <w:b w:val="0"/>
                      <w:bCs/>
                      <w:color w:val="auto"/>
                      <w:sz w:val="21"/>
                      <w:szCs w:val="21"/>
                      <w:vertAlign w:val="subscript"/>
                      <w:lang w:eastAsia="zh-CN"/>
                    </w:rPr>
                    <w:t>:</w:t>
                  </w:r>
                  <w:r>
                    <w:rPr>
                      <w:rFonts w:hint="eastAsia"/>
                      <w:color w:val="auto"/>
                      <w:sz w:val="21"/>
                      <w:szCs w:val="21"/>
                      <w:highlight w:val="none"/>
                      <w:lang w:val="en-US" w:eastAsia="zh-CN"/>
                    </w:rPr>
                    <w:t>139.95</w:t>
                  </w:r>
                </w:p>
                <w:p w14:paraId="6E5D7B5C">
                  <w:pPr>
                    <w:spacing w:line="240" w:lineRule="auto"/>
                    <w:jc w:val="center"/>
                    <w:rPr>
                      <w:rFonts w:hint="default" w:eastAsia="宋体"/>
                      <w:color w:val="auto"/>
                      <w:sz w:val="21"/>
                      <w:szCs w:val="21"/>
                      <w:highlight w:val="none"/>
                      <w:lang w:val="en-US" w:eastAsia="zh-CN"/>
                    </w:rPr>
                  </w:pPr>
                  <w:r>
                    <w:rPr>
                      <w:rFonts w:hint="default" w:ascii="Times New Roman" w:hAnsi="Times New Roman" w:eastAsia="宋体" w:cs="Times New Roman"/>
                      <w:b w:val="0"/>
                      <w:bCs/>
                      <w:color w:val="auto"/>
                      <w:sz w:val="21"/>
                      <w:szCs w:val="21"/>
                    </w:rPr>
                    <w:t>NH</w:t>
                  </w:r>
                  <w:r>
                    <w:rPr>
                      <w:rFonts w:hint="default" w:ascii="Times New Roman" w:hAnsi="Times New Roman" w:eastAsia="宋体" w:cs="Times New Roman"/>
                      <w:b w:val="0"/>
                      <w:bCs/>
                      <w:color w:val="auto"/>
                      <w:sz w:val="21"/>
                      <w:szCs w:val="21"/>
                      <w:vertAlign w:val="subscript"/>
                    </w:rPr>
                    <w:t>3</w:t>
                  </w:r>
                  <w:r>
                    <w:rPr>
                      <w:rFonts w:hint="default" w:ascii="Times New Roman" w:hAnsi="Times New Roman" w:eastAsia="宋体" w:cs="Times New Roman"/>
                      <w:b w:val="0"/>
                      <w:bCs/>
                      <w:color w:val="auto"/>
                      <w:sz w:val="21"/>
                      <w:szCs w:val="21"/>
                    </w:rPr>
                    <w:t>-N</w:t>
                  </w:r>
                  <w:r>
                    <w:rPr>
                      <w:rFonts w:hint="eastAsia" w:cs="Times New Roman"/>
                      <w:b w:val="0"/>
                      <w:bCs/>
                      <w:color w:val="auto"/>
                      <w:sz w:val="21"/>
                      <w:szCs w:val="21"/>
                      <w:lang w:eastAsia="zh-CN"/>
                    </w:rPr>
                    <w:t>:</w:t>
                  </w:r>
                  <w:r>
                    <w:rPr>
                      <w:rFonts w:hint="eastAsia" w:cs="Times New Roman"/>
                      <w:b w:val="0"/>
                      <w:bCs/>
                      <w:color w:val="auto"/>
                      <w:sz w:val="21"/>
                      <w:szCs w:val="21"/>
                      <w:lang w:val="en-US" w:eastAsia="zh-CN"/>
                    </w:rPr>
                    <w:t>27.99</w:t>
                  </w:r>
                </w:p>
                <w:p w14:paraId="577415F1">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SS:85.18</w:t>
                  </w:r>
                </w:p>
                <w:p w14:paraId="59A823FC">
                  <w:pPr>
                    <w:spacing w:line="240" w:lineRule="auto"/>
                    <w:jc w:val="center"/>
                    <w:rPr>
                      <w:rFonts w:hint="eastAsia"/>
                      <w:color w:val="auto"/>
                      <w:sz w:val="21"/>
                      <w:szCs w:val="21"/>
                      <w:highlight w:val="none"/>
                    </w:rPr>
                  </w:pPr>
                  <w:r>
                    <w:rPr>
                      <w:rFonts w:hint="eastAsia"/>
                      <w:color w:val="auto"/>
                      <w:sz w:val="21"/>
                      <w:szCs w:val="21"/>
                      <w:highlight w:val="none"/>
                      <w:lang w:val="en-US" w:eastAsia="zh-CN"/>
                    </w:rPr>
                    <w:t>磷酸盐：</w:t>
                  </w:r>
                </w:p>
                <w:p w14:paraId="6FA2EF6C">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0.27</w:t>
                  </w:r>
                </w:p>
                <w:p w14:paraId="6CCA3BF3">
                  <w:pPr>
                    <w:spacing w:line="240" w:lineRule="auto"/>
                    <w:jc w:val="center"/>
                    <w:rPr>
                      <w:rFonts w:hint="eastAsia"/>
                      <w:color w:val="auto"/>
                      <w:sz w:val="21"/>
                      <w:szCs w:val="21"/>
                      <w:highlight w:val="none"/>
                    </w:rPr>
                  </w:pPr>
                  <w:r>
                    <w:rPr>
                      <w:rFonts w:hint="eastAsia"/>
                      <w:color w:val="auto"/>
                      <w:sz w:val="21"/>
                      <w:szCs w:val="21"/>
                      <w:highlight w:val="none"/>
                      <w:lang w:val="en-US" w:eastAsia="zh-CN"/>
                    </w:rPr>
                    <w:t>石油类：</w:t>
                  </w:r>
                </w:p>
                <w:p w14:paraId="3C39E3FF">
                  <w:pPr>
                    <w:spacing w:line="240" w:lineRule="auto"/>
                    <w:jc w:val="center"/>
                    <w:rPr>
                      <w:rFonts w:hint="eastAsia"/>
                      <w:color w:val="auto"/>
                      <w:sz w:val="21"/>
                      <w:szCs w:val="21"/>
                      <w:highlight w:val="none"/>
                      <w:lang w:val="en-US" w:eastAsia="zh-CN"/>
                    </w:rPr>
                  </w:pPr>
                  <w:r>
                    <w:rPr>
                      <w:rFonts w:hint="eastAsia"/>
                      <w:color w:val="auto"/>
                      <w:sz w:val="21"/>
                      <w:szCs w:val="21"/>
                      <w:highlight w:val="none"/>
                      <w:lang w:val="en-US" w:eastAsia="zh-CN"/>
                    </w:rPr>
                    <w:t>0.29</w:t>
                  </w:r>
                </w:p>
                <w:p w14:paraId="685B581D">
                  <w:pPr>
                    <w:spacing w:line="240"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总锌：0.16</w:t>
                  </w:r>
                </w:p>
              </w:tc>
              <w:tc>
                <w:tcPr>
                  <w:tcW w:w="600" w:type="pct"/>
                  <w:vMerge w:val="restart"/>
                  <w:tcBorders>
                    <w:tl2br w:val="nil"/>
                    <w:tr2bl w:val="nil"/>
                  </w:tcBorders>
                  <w:vAlign w:val="center"/>
                </w:tcPr>
                <w:p w14:paraId="7AF66CAC">
                  <w:pPr>
                    <w:spacing w:line="240" w:lineRule="auto"/>
                    <w:jc w:val="center"/>
                    <w:rPr>
                      <w:rFonts w:hint="default"/>
                      <w:color w:val="auto"/>
                      <w:sz w:val="21"/>
                      <w:szCs w:val="21"/>
                      <w:highlight w:val="none"/>
                      <w:lang w:val="en-US" w:eastAsia="zh-CN"/>
                    </w:rPr>
                  </w:pPr>
                  <w:r>
                    <w:rPr>
                      <w:rFonts w:hint="eastAsia"/>
                      <w:color w:val="auto"/>
                      <w:sz w:val="21"/>
                      <w:szCs w:val="21"/>
                      <w:highlight w:val="none"/>
                    </w:rPr>
                    <w:t>COD</w:t>
                  </w:r>
                  <w:r>
                    <w:rPr>
                      <w:rFonts w:hint="eastAsia"/>
                      <w:color w:val="auto"/>
                      <w:sz w:val="21"/>
                      <w:szCs w:val="21"/>
                      <w:highlight w:val="none"/>
                      <w:lang w:eastAsia="zh-CN"/>
                    </w:rPr>
                    <w:t>:</w:t>
                  </w:r>
                  <w:r>
                    <w:rPr>
                      <w:rFonts w:hint="eastAsia"/>
                      <w:color w:val="auto"/>
                      <w:sz w:val="21"/>
                      <w:szCs w:val="21"/>
                      <w:highlight w:val="none"/>
                      <w:lang w:val="en-US" w:eastAsia="zh-CN"/>
                    </w:rPr>
                    <w:t>1.5</w:t>
                  </w:r>
                </w:p>
                <w:p w14:paraId="09FA05D4">
                  <w:pPr>
                    <w:spacing w:line="240" w:lineRule="auto"/>
                    <w:jc w:val="center"/>
                    <w:rPr>
                      <w:rFonts w:hint="default"/>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rPr>
                    <w:t>BOD</w:t>
                  </w:r>
                  <w:r>
                    <w:rPr>
                      <w:rFonts w:hint="default" w:ascii="Times New Roman" w:hAnsi="Times New Roman" w:eastAsia="宋体" w:cs="Times New Roman"/>
                      <w:b w:val="0"/>
                      <w:bCs/>
                      <w:color w:val="auto"/>
                      <w:sz w:val="21"/>
                      <w:szCs w:val="21"/>
                      <w:vertAlign w:val="subscript"/>
                    </w:rPr>
                    <w:t>5</w:t>
                  </w:r>
                  <w:r>
                    <w:rPr>
                      <w:rFonts w:hint="eastAsia" w:cs="Times New Roman"/>
                      <w:b w:val="0"/>
                      <w:bCs/>
                      <w:color w:val="auto"/>
                      <w:sz w:val="21"/>
                      <w:szCs w:val="21"/>
                      <w:vertAlign w:val="subscript"/>
                      <w:lang w:eastAsia="zh-CN"/>
                    </w:rPr>
                    <w:t>:</w:t>
                  </w:r>
                  <w:r>
                    <w:rPr>
                      <w:rFonts w:hint="eastAsia" w:cs="Times New Roman"/>
                      <w:b w:val="0"/>
                      <w:bCs/>
                      <w:color w:val="auto"/>
                      <w:sz w:val="21"/>
                      <w:szCs w:val="21"/>
                      <w:vertAlign w:val="baseline"/>
                      <w:lang w:val="en-US" w:eastAsia="zh-CN"/>
                    </w:rPr>
                    <w:t>1.07</w:t>
                  </w:r>
                </w:p>
                <w:p w14:paraId="3D2C6B14">
                  <w:pPr>
                    <w:spacing w:line="240" w:lineRule="auto"/>
                    <w:jc w:val="center"/>
                    <w:rPr>
                      <w:rFonts w:hint="default" w:eastAsia="宋体"/>
                      <w:color w:val="auto"/>
                      <w:sz w:val="21"/>
                      <w:szCs w:val="21"/>
                      <w:highlight w:val="none"/>
                      <w:lang w:val="en-US" w:eastAsia="zh-CN"/>
                    </w:rPr>
                  </w:pPr>
                  <w:r>
                    <w:rPr>
                      <w:rFonts w:hint="default" w:ascii="Times New Roman" w:hAnsi="Times New Roman" w:eastAsia="宋体" w:cs="Times New Roman"/>
                      <w:b w:val="0"/>
                      <w:bCs/>
                      <w:color w:val="auto"/>
                      <w:sz w:val="21"/>
                      <w:szCs w:val="21"/>
                    </w:rPr>
                    <w:t>NH</w:t>
                  </w:r>
                  <w:r>
                    <w:rPr>
                      <w:rFonts w:hint="default" w:ascii="Times New Roman" w:hAnsi="Times New Roman" w:eastAsia="宋体" w:cs="Times New Roman"/>
                      <w:b w:val="0"/>
                      <w:bCs/>
                      <w:color w:val="auto"/>
                      <w:sz w:val="21"/>
                      <w:szCs w:val="21"/>
                      <w:vertAlign w:val="subscript"/>
                    </w:rPr>
                    <w:t>3</w:t>
                  </w:r>
                  <w:r>
                    <w:rPr>
                      <w:rFonts w:hint="default" w:ascii="Times New Roman" w:hAnsi="Times New Roman" w:eastAsia="宋体" w:cs="Times New Roman"/>
                      <w:b w:val="0"/>
                      <w:bCs/>
                      <w:color w:val="auto"/>
                      <w:sz w:val="21"/>
                      <w:szCs w:val="21"/>
                    </w:rPr>
                    <w:t>-N</w:t>
                  </w:r>
                  <w:r>
                    <w:rPr>
                      <w:rFonts w:hint="eastAsia" w:cs="Times New Roman"/>
                      <w:b w:val="0"/>
                      <w:bCs/>
                      <w:color w:val="auto"/>
                      <w:sz w:val="21"/>
                      <w:szCs w:val="21"/>
                      <w:lang w:eastAsia="zh-CN"/>
                    </w:rPr>
                    <w:t>:</w:t>
                  </w:r>
                  <w:r>
                    <w:rPr>
                      <w:rFonts w:hint="eastAsia" w:cs="Times New Roman"/>
                      <w:b w:val="0"/>
                      <w:bCs/>
                      <w:color w:val="auto"/>
                      <w:sz w:val="21"/>
                      <w:szCs w:val="21"/>
                      <w:lang w:val="en-US" w:eastAsia="zh-CN"/>
                    </w:rPr>
                    <w:t>0.21</w:t>
                  </w:r>
                </w:p>
                <w:p w14:paraId="7870F29B">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SS:0.65</w:t>
                  </w:r>
                </w:p>
                <w:p w14:paraId="343DFBBA">
                  <w:pPr>
                    <w:spacing w:line="240" w:lineRule="auto"/>
                    <w:jc w:val="center"/>
                    <w:rPr>
                      <w:rFonts w:hint="eastAsia"/>
                      <w:color w:val="auto"/>
                      <w:sz w:val="21"/>
                      <w:szCs w:val="21"/>
                      <w:highlight w:val="none"/>
                    </w:rPr>
                  </w:pPr>
                  <w:r>
                    <w:rPr>
                      <w:rFonts w:hint="eastAsia"/>
                      <w:color w:val="auto"/>
                      <w:sz w:val="21"/>
                      <w:szCs w:val="21"/>
                      <w:highlight w:val="none"/>
                      <w:lang w:val="en-US" w:eastAsia="zh-CN"/>
                    </w:rPr>
                    <w:t>磷酸盐：</w:t>
                  </w:r>
                </w:p>
                <w:p w14:paraId="29BF8CD6">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0.0021</w:t>
                  </w:r>
                </w:p>
                <w:p w14:paraId="490AE02E">
                  <w:pPr>
                    <w:spacing w:line="240" w:lineRule="auto"/>
                    <w:jc w:val="center"/>
                    <w:rPr>
                      <w:rFonts w:hint="eastAsia"/>
                      <w:color w:val="auto"/>
                      <w:sz w:val="21"/>
                      <w:szCs w:val="21"/>
                      <w:highlight w:val="none"/>
                    </w:rPr>
                  </w:pPr>
                  <w:r>
                    <w:rPr>
                      <w:rFonts w:hint="eastAsia"/>
                      <w:color w:val="auto"/>
                      <w:sz w:val="21"/>
                      <w:szCs w:val="21"/>
                      <w:highlight w:val="none"/>
                      <w:lang w:val="en-US" w:eastAsia="zh-CN"/>
                    </w:rPr>
                    <w:t>石油类：</w:t>
                  </w:r>
                </w:p>
                <w:p w14:paraId="2D300A60">
                  <w:pPr>
                    <w:spacing w:line="240"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0.0022</w:t>
                  </w:r>
                </w:p>
                <w:p w14:paraId="793BDB9E">
                  <w:pPr>
                    <w:spacing w:line="240"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总锌：0.0012</w:t>
                  </w:r>
                </w:p>
              </w:tc>
            </w:tr>
            <w:tr w14:paraId="5F3F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5" w:type="pct"/>
                  <w:vMerge w:val="continue"/>
                  <w:tcBorders>
                    <w:tl2br w:val="nil"/>
                    <w:tr2bl w:val="nil"/>
                  </w:tcBorders>
                  <w:vAlign w:val="center"/>
                </w:tcPr>
                <w:p w14:paraId="38DBA908">
                  <w:pPr>
                    <w:spacing w:line="240" w:lineRule="auto"/>
                    <w:jc w:val="center"/>
                    <w:rPr>
                      <w:color w:val="auto"/>
                      <w:sz w:val="21"/>
                      <w:szCs w:val="21"/>
                      <w:highlight w:val="none"/>
                    </w:rPr>
                  </w:pPr>
                </w:p>
              </w:tc>
              <w:tc>
                <w:tcPr>
                  <w:tcW w:w="630" w:type="pct"/>
                  <w:vMerge w:val="continue"/>
                  <w:tcBorders>
                    <w:tl2br w:val="nil"/>
                    <w:tr2bl w:val="nil"/>
                  </w:tcBorders>
                  <w:vAlign w:val="center"/>
                </w:tcPr>
                <w:p w14:paraId="55BB1C88">
                  <w:pPr>
                    <w:pStyle w:val="107"/>
                    <w:rPr>
                      <w:b w:val="0"/>
                      <w:bCs/>
                      <w:color w:val="auto"/>
                      <w:szCs w:val="21"/>
                      <w:highlight w:val="none"/>
                    </w:rPr>
                  </w:pPr>
                </w:p>
              </w:tc>
              <w:tc>
                <w:tcPr>
                  <w:tcW w:w="823" w:type="pct"/>
                  <w:tcBorders>
                    <w:tl2br w:val="nil"/>
                    <w:tr2bl w:val="nil"/>
                  </w:tcBorders>
                  <w:shd w:val="clear" w:color="auto" w:fill="auto"/>
                  <w:vAlign w:val="center"/>
                </w:tcPr>
                <w:p w14:paraId="6F947B8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sz w:val="21"/>
                      <w:szCs w:val="21"/>
                    </w:rPr>
                    <w:t>BOD</w:t>
                  </w:r>
                  <w:r>
                    <w:rPr>
                      <w:rFonts w:hint="default" w:ascii="Times New Roman" w:hAnsi="Times New Roman" w:eastAsia="宋体" w:cs="Times New Roman"/>
                      <w:b w:val="0"/>
                      <w:bCs/>
                      <w:color w:val="auto"/>
                      <w:sz w:val="21"/>
                      <w:szCs w:val="21"/>
                      <w:vertAlign w:val="subscript"/>
                    </w:rPr>
                    <w:t>5</w:t>
                  </w:r>
                </w:p>
              </w:tc>
              <w:tc>
                <w:tcPr>
                  <w:tcW w:w="763" w:type="pct"/>
                  <w:tcBorders>
                    <w:tl2br w:val="nil"/>
                    <w:tr2bl w:val="nil"/>
                  </w:tcBorders>
                  <w:shd w:val="clear" w:color="auto" w:fill="auto"/>
                  <w:vAlign w:val="center"/>
                </w:tcPr>
                <w:p w14:paraId="0BA1A65D">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sz w:val="21"/>
                      <w:szCs w:val="21"/>
                      <w:lang w:val="en-US" w:eastAsia="zh-CN"/>
                    </w:rPr>
                    <w:t>175</w:t>
                  </w:r>
                </w:p>
              </w:tc>
              <w:tc>
                <w:tcPr>
                  <w:tcW w:w="763" w:type="pct"/>
                  <w:vMerge w:val="continue"/>
                  <w:tcBorders>
                    <w:tl2br w:val="nil"/>
                    <w:tr2bl w:val="nil"/>
                  </w:tcBorders>
                  <w:vAlign w:val="center"/>
                </w:tcPr>
                <w:p w14:paraId="53909065">
                  <w:pPr>
                    <w:spacing w:line="240" w:lineRule="auto"/>
                    <w:jc w:val="center"/>
                    <w:rPr>
                      <w:color w:val="auto"/>
                      <w:sz w:val="21"/>
                      <w:szCs w:val="21"/>
                      <w:highlight w:val="none"/>
                    </w:rPr>
                  </w:pPr>
                </w:p>
              </w:tc>
              <w:tc>
                <w:tcPr>
                  <w:tcW w:w="813" w:type="pct"/>
                  <w:vMerge w:val="continue"/>
                  <w:tcBorders>
                    <w:tl2br w:val="nil"/>
                    <w:tr2bl w:val="nil"/>
                  </w:tcBorders>
                  <w:vAlign w:val="center"/>
                </w:tcPr>
                <w:p w14:paraId="057F5672">
                  <w:pPr>
                    <w:spacing w:line="240" w:lineRule="auto"/>
                    <w:jc w:val="center"/>
                    <w:rPr>
                      <w:color w:val="auto"/>
                      <w:sz w:val="21"/>
                      <w:szCs w:val="21"/>
                      <w:highlight w:val="none"/>
                    </w:rPr>
                  </w:pPr>
                </w:p>
              </w:tc>
              <w:tc>
                <w:tcPr>
                  <w:tcW w:w="600" w:type="pct"/>
                  <w:vMerge w:val="continue"/>
                  <w:tcBorders>
                    <w:tl2br w:val="nil"/>
                    <w:tr2bl w:val="nil"/>
                  </w:tcBorders>
                  <w:vAlign w:val="center"/>
                </w:tcPr>
                <w:p w14:paraId="2C0515F4">
                  <w:pPr>
                    <w:spacing w:line="240" w:lineRule="auto"/>
                    <w:jc w:val="center"/>
                    <w:rPr>
                      <w:color w:val="auto"/>
                      <w:sz w:val="21"/>
                      <w:szCs w:val="21"/>
                      <w:highlight w:val="none"/>
                    </w:rPr>
                  </w:pPr>
                </w:p>
              </w:tc>
            </w:tr>
            <w:tr w14:paraId="5814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5" w:type="pct"/>
                  <w:vMerge w:val="continue"/>
                  <w:tcBorders>
                    <w:tl2br w:val="nil"/>
                    <w:tr2bl w:val="nil"/>
                  </w:tcBorders>
                  <w:vAlign w:val="center"/>
                </w:tcPr>
                <w:p w14:paraId="467A73C5">
                  <w:pPr>
                    <w:spacing w:line="240" w:lineRule="auto"/>
                    <w:jc w:val="center"/>
                    <w:rPr>
                      <w:color w:val="auto"/>
                      <w:sz w:val="21"/>
                      <w:szCs w:val="21"/>
                      <w:highlight w:val="none"/>
                    </w:rPr>
                  </w:pPr>
                </w:p>
              </w:tc>
              <w:tc>
                <w:tcPr>
                  <w:tcW w:w="630" w:type="pct"/>
                  <w:vMerge w:val="continue"/>
                  <w:tcBorders>
                    <w:tl2br w:val="nil"/>
                    <w:tr2bl w:val="nil"/>
                  </w:tcBorders>
                  <w:vAlign w:val="center"/>
                </w:tcPr>
                <w:p w14:paraId="309B2F34">
                  <w:pPr>
                    <w:pStyle w:val="107"/>
                    <w:rPr>
                      <w:b w:val="0"/>
                      <w:bCs/>
                      <w:color w:val="auto"/>
                      <w:szCs w:val="21"/>
                      <w:highlight w:val="none"/>
                    </w:rPr>
                  </w:pPr>
                </w:p>
              </w:tc>
              <w:tc>
                <w:tcPr>
                  <w:tcW w:w="823" w:type="pct"/>
                  <w:tcBorders>
                    <w:tl2br w:val="nil"/>
                    <w:tr2bl w:val="nil"/>
                  </w:tcBorders>
                  <w:shd w:val="clear" w:color="auto" w:fill="auto"/>
                  <w:vAlign w:val="center"/>
                </w:tcPr>
                <w:p w14:paraId="407C4A89">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SS</w:t>
                  </w:r>
                </w:p>
              </w:tc>
              <w:tc>
                <w:tcPr>
                  <w:tcW w:w="763" w:type="pct"/>
                  <w:tcBorders>
                    <w:tl2br w:val="nil"/>
                    <w:tr2bl w:val="nil"/>
                  </w:tcBorders>
                  <w:shd w:val="clear" w:color="auto" w:fill="auto"/>
                  <w:vAlign w:val="center"/>
                </w:tcPr>
                <w:p w14:paraId="10E51D71">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sz w:val="21"/>
                      <w:szCs w:val="21"/>
                      <w:lang w:val="en-US" w:eastAsia="zh-CN"/>
                    </w:rPr>
                    <w:t>100</w:t>
                  </w:r>
                </w:p>
              </w:tc>
              <w:tc>
                <w:tcPr>
                  <w:tcW w:w="763" w:type="pct"/>
                  <w:vMerge w:val="continue"/>
                  <w:tcBorders>
                    <w:tl2br w:val="nil"/>
                    <w:tr2bl w:val="nil"/>
                  </w:tcBorders>
                  <w:vAlign w:val="center"/>
                </w:tcPr>
                <w:p w14:paraId="0DA5B46E">
                  <w:pPr>
                    <w:spacing w:line="240" w:lineRule="auto"/>
                    <w:jc w:val="center"/>
                    <w:rPr>
                      <w:color w:val="auto"/>
                      <w:sz w:val="21"/>
                      <w:szCs w:val="21"/>
                      <w:highlight w:val="none"/>
                    </w:rPr>
                  </w:pPr>
                </w:p>
              </w:tc>
              <w:tc>
                <w:tcPr>
                  <w:tcW w:w="813" w:type="pct"/>
                  <w:vMerge w:val="continue"/>
                  <w:tcBorders>
                    <w:tl2br w:val="nil"/>
                    <w:tr2bl w:val="nil"/>
                  </w:tcBorders>
                  <w:vAlign w:val="center"/>
                </w:tcPr>
                <w:p w14:paraId="58192F3A">
                  <w:pPr>
                    <w:spacing w:line="240" w:lineRule="auto"/>
                    <w:jc w:val="center"/>
                    <w:rPr>
                      <w:color w:val="auto"/>
                      <w:sz w:val="21"/>
                      <w:szCs w:val="21"/>
                      <w:highlight w:val="none"/>
                    </w:rPr>
                  </w:pPr>
                </w:p>
              </w:tc>
              <w:tc>
                <w:tcPr>
                  <w:tcW w:w="600" w:type="pct"/>
                  <w:vMerge w:val="continue"/>
                  <w:tcBorders>
                    <w:tl2br w:val="nil"/>
                    <w:tr2bl w:val="nil"/>
                  </w:tcBorders>
                  <w:vAlign w:val="center"/>
                </w:tcPr>
                <w:p w14:paraId="5BCA5622">
                  <w:pPr>
                    <w:spacing w:line="240" w:lineRule="auto"/>
                    <w:jc w:val="center"/>
                    <w:rPr>
                      <w:color w:val="auto"/>
                      <w:sz w:val="21"/>
                      <w:szCs w:val="21"/>
                      <w:highlight w:val="none"/>
                    </w:rPr>
                  </w:pPr>
                </w:p>
              </w:tc>
            </w:tr>
            <w:tr w14:paraId="0EAB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5" w:type="pct"/>
                  <w:vMerge w:val="continue"/>
                  <w:tcBorders>
                    <w:tl2br w:val="nil"/>
                    <w:tr2bl w:val="nil"/>
                  </w:tcBorders>
                  <w:vAlign w:val="center"/>
                </w:tcPr>
                <w:p w14:paraId="7B6A67E4">
                  <w:pPr>
                    <w:spacing w:line="240" w:lineRule="auto"/>
                    <w:jc w:val="center"/>
                    <w:rPr>
                      <w:color w:val="auto"/>
                      <w:sz w:val="21"/>
                      <w:szCs w:val="21"/>
                      <w:highlight w:val="none"/>
                    </w:rPr>
                  </w:pPr>
                </w:p>
              </w:tc>
              <w:tc>
                <w:tcPr>
                  <w:tcW w:w="630" w:type="pct"/>
                  <w:vMerge w:val="continue"/>
                  <w:tcBorders>
                    <w:tl2br w:val="nil"/>
                    <w:tr2bl w:val="nil"/>
                  </w:tcBorders>
                  <w:vAlign w:val="center"/>
                </w:tcPr>
                <w:p w14:paraId="23BBCC69">
                  <w:pPr>
                    <w:pStyle w:val="107"/>
                    <w:rPr>
                      <w:b w:val="0"/>
                      <w:bCs/>
                      <w:color w:val="auto"/>
                      <w:szCs w:val="21"/>
                      <w:highlight w:val="none"/>
                    </w:rPr>
                  </w:pPr>
                </w:p>
              </w:tc>
              <w:tc>
                <w:tcPr>
                  <w:tcW w:w="823" w:type="pct"/>
                  <w:tcBorders>
                    <w:tl2br w:val="nil"/>
                    <w:tr2bl w:val="nil"/>
                  </w:tcBorders>
                  <w:shd w:val="clear" w:color="auto" w:fill="auto"/>
                  <w:vAlign w:val="center"/>
                </w:tcPr>
                <w:p w14:paraId="124B6473">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sz w:val="21"/>
                      <w:szCs w:val="21"/>
                    </w:rPr>
                    <w:t>NH</w:t>
                  </w:r>
                  <w:r>
                    <w:rPr>
                      <w:rFonts w:hint="default" w:ascii="Times New Roman" w:hAnsi="Times New Roman" w:eastAsia="宋体" w:cs="Times New Roman"/>
                      <w:b w:val="0"/>
                      <w:bCs/>
                      <w:color w:val="auto"/>
                      <w:sz w:val="21"/>
                      <w:szCs w:val="21"/>
                      <w:vertAlign w:val="subscript"/>
                    </w:rPr>
                    <w:t>3</w:t>
                  </w:r>
                  <w:r>
                    <w:rPr>
                      <w:rFonts w:hint="default" w:ascii="Times New Roman" w:hAnsi="Times New Roman" w:eastAsia="宋体" w:cs="Times New Roman"/>
                      <w:b w:val="0"/>
                      <w:bCs/>
                      <w:color w:val="auto"/>
                      <w:sz w:val="21"/>
                      <w:szCs w:val="21"/>
                    </w:rPr>
                    <w:t>-N</w:t>
                  </w:r>
                </w:p>
              </w:tc>
              <w:tc>
                <w:tcPr>
                  <w:tcW w:w="763" w:type="pct"/>
                  <w:tcBorders>
                    <w:tl2br w:val="nil"/>
                    <w:tr2bl w:val="nil"/>
                  </w:tcBorders>
                  <w:shd w:val="clear" w:color="auto" w:fill="auto"/>
                  <w:vAlign w:val="center"/>
                </w:tcPr>
                <w:p w14:paraId="5B301DC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35</w:t>
                  </w:r>
                </w:p>
              </w:tc>
              <w:tc>
                <w:tcPr>
                  <w:tcW w:w="763" w:type="pct"/>
                  <w:vMerge w:val="continue"/>
                  <w:tcBorders>
                    <w:tl2br w:val="nil"/>
                    <w:tr2bl w:val="nil"/>
                  </w:tcBorders>
                  <w:vAlign w:val="center"/>
                </w:tcPr>
                <w:p w14:paraId="5AD7924F">
                  <w:pPr>
                    <w:spacing w:line="240" w:lineRule="auto"/>
                    <w:jc w:val="center"/>
                    <w:rPr>
                      <w:color w:val="auto"/>
                      <w:sz w:val="21"/>
                      <w:szCs w:val="21"/>
                      <w:highlight w:val="none"/>
                    </w:rPr>
                  </w:pPr>
                </w:p>
              </w:tc>
              <w:tc>
                <w:tcPr>
                  <w:tcW w:w="813" w:type="pct"/>
                  <w:vMerge w:val="continue"/>
                  <w:tcBorders>
                    <w:tl2br w:val="nil"/>
                    <w:tr2bl w:val="nil"/>
                  </w:tcBorders>
                  <w:vAlign w:val="center"/>
                </w:tcPr>
                <w:p w14:paraId="75A0A824">
                  <w:pPr>
                    <w:spacing w:line="240" w:lineRule="auto"/>
                    <w:jc w:val="center"/>
                    <w:rPr>
                      <w:color w:val="auto"/>
                      <w:sz w:val="21"/>
                      <w:szCs w:val="21"/>
                      <w:highlight w:val="none"/>
                    </w:rPr>
                  </w:pPr>
                </w:p>
              </w:tc>
              <w:tc>
                <w:tcPr>
                  <w:tcW w:w="600" w:type="pct"/>
                  <w:vMerge w:val="continue"/>
                  <w:tcBorders>
                    <w:tl2br w:val="nil"/>
                    <w:tr2bl w:val="nil"/>
                  </w:tcBorders>
                  <w:vAlign w:val="center"/>
                </w:tcPr>
                <w:p w14:paraId="031254BE">
                  <w:pPr>
                    <w:spacing w:line="240" w:lineRule="auto"/>
                    <w:jc w:val="center"/>
                    <w:rPr>
                      <w:color w:val="auto"/>
                      <w:sz w:val="21"/>
                      <w:szCs w:val="21"/>
                      <w:highlight w:val="none"/>
                    </w:rPr>
                  </w:pPr>
                </w:p>
              </w:tc>
            </w:tr>
            <w:tr w14:paraId="0F53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05" w:type="pct"/>
                  <w:vMerge w:val="restart"/>
                  <w:tcBorders>
                    <w:tl2br w:val="nil"/>
                    <w:tr2bl w:val="nil"/>
                  </w:tcBorders>
                  <w:vAlign w:val="center"/>
                </w:tcPr>
                <w:p w14:paraId="4C210495">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污水处理站废水</w:t>
                  </w:r>
                </w:p>
              </w:tc>
              <w:tc>
                <w:tcPr>
                  <w:tcW w:w="630" w:type="pct"/>
                  <w:vMerge w:val="restart"/>
                  <w:tcBorders>
                    <w:tl2br w:val="nil"/>
                    <w:tr2bl w:val="nil"/>
                  </w:tcBorders>
                  <w:shd w:val="clear" w:color="auto" w:fill="auto"/>
                  <w:vAlign w:val="center"/>
                </w:tcPr>
                <w:p w14:paraId="345031B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b w:val="0"/>
                      <w:bCs/>
                      <w:color w:val="auto"/>
                      <w:sz w:val="21"/>
                      <w:szCs w:val="21"/>
                      <w:lang w:val="en-US" w:eastAsia="zh-CN"/>
                    </w:rPr>
                    <w:t>1306.565</w:t>
                  </w:r>
                </w:p>
              </w:tc>
              <w:tc>
                <w:tcPr>
                  <w:tcW w:w="823" w:type="pct"/>
                  <w:tcBorders>
                    <w:tl2br w:val="nil"/>
                    <w:tr2bl w:val="nil"/>
                  </w:tcBorders>
                  <w:shd w:val="clear" w:color="auto" w:fill="auto"/>
                  <w:vAlign w:val="center"/>
                </w:tcPr>
                <w:p w14:paraId="58B22C91">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黑体" w:cs="宋体"/>
                      <w:color w:val="auto"/>
                      <w:kern w:val="2"/>
                      <w:sz w:val="21"/>
                      <w:szCs w:val="20"/>
                      <w:lang w:val="en-US" w:eastAsia="zh-CN" w:bidi="ar-SA"/>
                    </w:rPr>
                  </w:pPr>
                  <w:r>
                    <w:rPr>
                      <w:rFonts w:hint="default" w:ascii="Times New Roman" w:hAnsi="Times New Roman" w:eastAsia="宋体" w:cs="Times New Roman"/>
                      <w:b w:val="0"/>
                      <w:bCs/>
                      <w:color w:val="auto"/>
                      <w:sz w:val="21"/>
                      <w:szCs w:val="21"/>
                    </w:rPr>
                    <w:t>COD</w:t>
                  </w:r>
                  <w:r>
                    <w:rPr>
                      <w:rFonts w:hint="eastAsia" w:eastAsia="宋体" w:cs="Times New Roman"/>
                      <w:b w:val="0"/>
                      <w:bCs/>
                      <w:color w:val="auto"/>
                      <w:sz w:val="21"/>
                      <w:szCs w:val="21"/>
                      <w:vertAlign w:val="subscript"/>
                      <w:lang w:val="en-US" w:eastAsia="zh-CN"/>
                    </w:rPr>
                    <w:t>Cr</w:t>
                  </w:r>
                </w:p>
              </w:tc>
              <w:tc>
                <w:tcPr>
                  <w:tcW w:w="763" w:type="pct"/>
                  <w:tcBorders>
                    <w:tl2br w:val="nil"/>
                    <w:tr2bl w:val="nil"/>
                  </w:tcBorders>
                  <w:shd w:val="clear" w:color="auto" w:fill="auto"/>
                  <w:vAlign w:val="center"/>
                </w:tcPr>
                <w:p w14:paraId="1D187DDE">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kern w:val="2"/>
                      <w:sz w:val="21"/>
                      <w:szCs w:val="21"/>
                      <w:lang w:val="en-US" w:eastAsia="zh-CN" w:bidi="ar-SA"/>
                    </w:rPr>
                    <w:t>152.08</w:t>
                  </w:r>
                </w:p>
              </w:tc>
              <w:tc>
                <w:tcPr>
                  <w:tcW w:w="763" w:type="pct"/>
                  <w:vMerge w:val="continue"/>
                  <w:tcBorders>
                    <w:tl2br w:val="nil"/>
                    <w:tr2bl w:val="nil"/>
                  </w:tcBorders>
                  <w:vAlign w:val="center"/>
                </w:tcPr>
                <w:p w14:paraId="170CB94E">
                  <w:pPr>
                    <w:spacing w:line="240" w:lineRule="auto"/>
                    <w:jc w:val="center"/>
                    <w:rPr>
                      <w:color w:val="auto"/>
                      <w:sz w:val="21"/>
                      <w:szCs w:val="21"/>
                      <w:highlight w:val="none"/>
                    </w:rPr>
                  </w:pPr>
                </w:p>
              </w:tc>
              <w:tc>
                <w:tcPr>
                  <w:tcW w:w="813" w:type="pct"/>
                  <w:vMerge w:val="continue"/>
                  <w:tcBorders>
                    <w:tl2br w:val="nil"/>
                    <w:tr2bl w:val="nil"/>
                  </w:tcBorders>
                  <w:vAlign w:val="center"/>
                </w:tcPr>
                <w:p w14:paraId="3507E413">
                  <w:pPr>
                    <w:spacing w:line="240" w:lineRule="auto"/>
                    <w:jc w:val="center"/>
                    <w:rPr>
                      <w:color w:val="auto"/>
                      <w:sz w:val="21"/>
                      <w:szCs w:val="21"/>
                      <w:highlight w:val="none"/>
                    </w:rPr>
                  </w:pPr>
                </w:p>
              </w:tc>
              <w:tc>
                <w:tcPr>
                  <w:tcW w:w="600" w:type="pct"/>
                  <w:vMerge w:val="continue"/>
                  <w:tcBorders>
                    <w:tl2br w:val="nil"/>
                    <w:tr2bl w:val="nil"/>
                  </w:tcBorders>
                  <w:vAlign w:val="center"/>
                </w:tcPr>
                <w:p w14:paraId="68F77F21">
                  <w:pPr>
                    <w:spacing w:line="240" w:lineRule="auto"/>
                    <w:jc w:val="center"/>
                    <w:rPr>
                      <w:color w:val="auto"/>
                      <w:sz w:val="21"/>
                      <w:szCs w:val="21"/>
                      <w:highlight w:val="none"/>
                    </w:rPr>
                  </w:pPr>
                </w:p>
              </w:tc>
            </w:tr>
            <w:tr w14:paraId="3E51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05" w:type="pct"/>
                  <w:vMerge w:val="continue"/>
                  <w:tcBorders>
                    <w:tl2br w:val="nil"/>
                    <w:tr2bl w:val="nil"/>
                  </w:tcBorders>
                  <w:vAlign w:val="center"/>
                </w:tcPr>
                <w:p w14:paraId="52F4704A">
                  <w:pPr>
                    <w:spacing w:line="240" w:lineRule="auto"/>
                    <w:jc w:val="center"/>
                    <w:rPr>
                      <w:color w:val="auto"/>
                    </w:rPr>
                  </w:pPr>
                </w:p>
              </w:tc>
              <w:tc>
                <w:tcPr>
                  <w:tcW w:w="630" w:type="pct"/>
                  <w:vMerge w:val="continue"/>
                  <w:tcBorders>
                    <w:tl2br w:val="nil"/>
                    <w:tr2bl w:val="nil"/>
                  </w:tcBorders>
                  <w:vAlign w:val="center"/>
                </w:tcPr>
                <w:p w14:paraId="3B8A5ECE">
                  <w:pPr>
                    <w:spacing w:line="240" w:lineRule="auto"/>
                    <w:jc w:val="center"/>
                    <w:rPr>
                      <w:color w:val="auto"/>
                    </w:rPr>
                  </w:pPr>
                </w:p>
              </w:tc>
              <w:tc>
                <w:tcPr>
                  <w:tcW w:w="823" w:type="pct"/>
                  <w:tcBorders>
                    <w:tl2br w:val="nil"/>
                    <w:tr2bl w:val="nil"/>
                  </w:tcBorders>
                  <w:shd w:val="clear" w:color="auto" w:fill="auto"/>
                  <w:vAlign w:val="center"/>
                </w:tcPr>
                <w:p w14:paraId="4389D56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SS</w:t>
                  </w:r>
                </w:p>
              </w:tc>
              <w:tc>
                <w:tcPr>
                  <w:tcW w:w="1211" w:type="dxa"/>
                  <w:tcBorders>
                    <w:tl2br w:val="nil"/>
                    <w:tr2bl w:val="nil"/>
                  </w:tcBorders>
                  <w:shd w:val="clear" w:color="auto" w:fill="auto"/>
                  <w:vAlign w:val="center"/>
                </w:tcPr>
                <w:p w14:paraId="0D68259D">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30.54</w:t>
                  </w:r>
                </w:p>
              </w:tc>
              <w:tc>
                <w:tcPr>
                  <w:tcW w:w="763" w:type="pct"/>
                  <w:vMerge w:val="continue"/>
                  <w:tcBorders>
                    <w:tl2br w:val="nil"/>
                    <w:tr2bl w:val="nil"/>
                  </w:tcBorders>
                  <w:vAlign w:val="center"/>
                </w:tcPr>
                <w:p w14:paraId="24E6AB59">
                  <w:pPr>
                    <w:spacing w:line="240" w:lineRule="auto"/>
                    <w:jc w:val="center"/>
                    <w:rPr>
                      <w:rFonts w:hint="eastAsia"/>
                      <w:color w:val="auto"/>
                      <w:sz w:val="21"/>
                      <w:szCs w:val="21"/>
                      <w:highlight w:val="none"/>
                    </w:rPr>
                  </w:pPr>
                </w:p>
              </w:tc>
              <w:tc>
                <w:tcPr>
                  <w:tcW w:w="813" w:type="pct"/>
                  <w:vMerge w:val="continue"/>
                  <w:tcBorders>
                    <w:tl2br w:val="nil"/>
                    <w:tr2bl w:val="nil"/>
                  </w:tcBorders>
                  <w:vAlign w:val="center"/>
                </w:tcPr>
                <w:p w14:paraId="3F1EB4CA">
                  <w:pPr>
                    <w:spacing w:line="240" w:lineRule="auto"/>
                    <w:jc w:val="center"/>
                    <w:rPr>
                      <w:rFonts w:hint="eastAsia"/>
                      <w:color w:val="auto"/>
                      <w:sz w:val="21"/>
                      <w:szCs w:val="21"/>
                      <w:highlight w:val="none"/>
                    </w:rPr>
                  </w:pPr>
                </w:p>
              </w:tc>
              <w:tc>
                <w:tcPr>
                  <w:tcW w:w="600" w:type="pct"/>
                  <w:vMerge w:val="continue"/>
                  <w:tcBorders>
                    <w:tl2br w:val="nil"/>
                    <w:tr2bl w:val="nil"/>
                  </w:tcBorders>
                  <w:vAlign w:val="center"/>
                </w:tcPr>
                <w:p w14:paraId="714C956B">
                  <w:pPr>
                    <w:spacing w:line="240" w:lineRule="auto"/>
                    <w:jc w:val="center"/>
                    <w:rPr>
                      <w:rFonts w:hint="eastAsia"/>
                      <w:color w:val="auto"/>
                      <w:sz w:val="21"/>
                      <w:szCs w:val="21"/>
                      <w:highlight w:val="none"/>
                    </w:rPr>
                  </w:pPr>
                </w:p>
              </w:tc>
            </w:tr>
            <w:tr w14:paraId="5E4DD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05" w:type="pct"/>
                  <w:vMerge w:val="continue"/>
                  <w:tcBorders>
                    <w:tl2br w:val="nil"/>
                    <w:tr2bl w:val="nil"/>
                  </w:tcBorders>
                  <w:vAlign w:val="center"/>
                </w:tcPr>
                <w:p w14:paraId="02BA2B47">
                  <w:pPr>
                    <w:spacing w:line="240" w:lineRule="auto"/>
                    <w:jc w:val="center"/>
                    <w:rPr>
                      <w:color w:val="auto"/>
                    </w:rPr>
                  </w:pPr>
                </w:p>
              </w:tc>
              <w:tc>
                <w:tcPr>
                  <w:tcW w:w="630" w:type="pct"/>
                  <w:vMerge w:val="continue"/>
                  <w:tcBorders>
                    <w:tl2br w:val="nil"/>
                    <w:tr2bl w:val="nil"/>
                  </w:tcBorders>
                  <w:vAlign w:val="center"/>
                </w:tcPr>
                <w:p w14:paraId="58387C3C">
                  <w:pPr>
                    <w:spacing w:line="240" w:lineRule="auto"/>
                    <w:jc w:val="center"/>
                    <w:rPr>
                      <w:color w:val="auto"/>
                    </w:rPr>
                  </w:pPr>
                </w:p>
              </w:tc>
              <w:tc>
                <w:tcPr>
                  <w:tcW w:w="823" w:type="pct"/>
                  <w:tcBorders>
                    <w:tl2br w:val="nil"/>
                    <w:tr2bl w:val="nil"/>
                  </w:tcBorders>
                  <w:shd w:val="clear" w:color="auto" w:fill="auto"/>
                  <w:vAlign w:val="center"/>
                </w:tcPr>
                <w:p w14:paraId="56BEE715">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磷酸盐</w:t>
                  </w:r>
                </w:p>
              </w:tc>
              <w:tc>
                <w:tcPr>
                  <w:tcW w:w="1211" w:type="dxa"/>
                  <w:tcBorders>
                    <w:tl2br w:val="nil"/>
                    <w:tr2bl w:val="nil"/>
                  </w:tcBorders>
                  <w:shd w:val="clear" w:color="auto" w:fill="auto"/>
                  <w:vAlign w:val="center"/>
                </w:tcPr>
                <w:p w14:paraId="4ED496B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1.59</w:t>
                  </w:r>
                </w:p>
              </w:tc>
              <w:tc>
                <w:tcPr>
                  <w:tcW w:w="763" w:type="pct"/>
                  <w:vMerge w:val="continue"/>
                  <w:tcBorders>
                    <w:tl2br w:val="nil"/>
                    <w:tr2bl w:val="nil"/>
                  </w:tcBorders>
                  <w:vAlign w:val="center"/>
                </w:tcPr>
                <w:p w14:paraId="66C31259">
                  <w:pPr>
                    <w:spacing w:line="240" w:lineRule="auto"/>
                    <w:jc w:val="center"/>
                    <w:rPr>
                      <w:rFonts w:hint="eastAsia"/>
                      <w:color w:val="auto"/>
                      <w:sz w:val="21"/>
                      <w:szCs w:val="21"/>
                      <w:highlight w:val="none"/>
                      <w:lang w:val="en-US" w:eastAsia="zh-CN"/>
                    </w:rPr>
                  </w:pPr>
                </w:p>
              </w:tc>
              <w:tc>
                <w:tcPr>
                  <w:tcW w:w="813" w:type="pct"/>
                  <w:vMerge w:val="continue"/>
                  <w:tcBorders>
                    <w:tl2br w:val="nil"/>
                    <w:tr2bl w:val="nil"/>
                  </w:tcBorders>
                  <w:vAlign w:val="center"/>
                </w:tcPr>
                <w:p w14:paraId="56778F3B">
                  <w:pPr>
                    <w:spacing w:line="240" w:lineRule="auto"/>
                    <w:jc w:val="center"/>
                    <w:rPr>
                      <w:rFonts w:hint="eastAsia"/>
                      <w:color w:val="auto"/>
                      <w:sz w:val="21"/>
                      <w:szCs w:val="21"/>
                      <w:highlight w:val="none"/>
                      <w:lang w:val="en-US" w:eastAsia="zh-CN"/>
                    </w:rPr>
                  </w:pPr>
                </w:p>
              </w:tc>
              <w:tc>
                <w:tcPr>
                  <w:tcW w:w="600" w:type="pct"/>
                  <w:vMerge w:val="continue"/>
                  <w:tcBorders>
                    <w:tl2br w:val="nil"/>
                    <w:tr2bl w:val="nil"/>
                  </w:tcBorders>
                  <w:vAlign w:val="center"/>
                </w:tcPr>
                <w:p w14:paraId="07D53FC6">
                  <w:pPr>
                    <w:spacing w:line="240" w:lineRule="auto"/>
                    <w:jc w:val="center"/>
                    <w:rPr>
                      <w:rFonts w:hint="eastAsia"/>
                      <w:color w:val="auto"/>
                      <w:sz w:val="21"/>
                      <w:szCs w:val="21"/>
                      <w:highlight w:val="none"/>
                      <w:lang w:val="en-US" w:eastAsia="zh-CN"/>
                    </w:rPr>
                  </w:pPr>
                </w:p>
              </w:tc>
            </w:tr>
            <w:tr w14:paraId="445D4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05" w:type="pct"/>
                  <w:vMerge w:val="continue"/>
                </w:tcPr>
                <w:p w14:paraId="5510BBF9">
                  <w:pPr>
                    <w:spacing w:line="240" w:lineRule="auto"/>
                    <w:jc w:val="center"/>
                    <w:rPr>
                      <w:color w:val="auto"/>
                    </w:rPr>
                  </w:pPr>
                </w:p>
              </w:tc>
              <w:tc>
                <w:tcPr>
                  <w:tcW w:w="630" w:type="pct"/>
                  <w:vMerge w:val="continue"/>
                </w:tcPr>
                <w:p w14:paraId="1671B660">
                  <w:pPr>
                    <w:spacing w:line="240" w:lineRule="auto"/>
                    <w:jc w:val="center"/>
                    <w:rPr>
                      <w:color w:val="auto"/>
                    </w:rPr>
                  </w:pPr>
                </w:p>
              </w:tc>
              <w:tc>
                <w:tcPr>
                  <w:tcW w:w="823" w:type="pct"/>
                  <w:shd w:val="clear" w:color="auto" w:fill="auto"/>
                  <w:vAlign w:val="center"/>
                </w:tcPr>
                <w:p w14:paraId="235348B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石油类</w:t>
                  </w:r>
                </w:p>
              </w:tc>
              <w:tc>
                <w:tcPr>
                  <w:tcW w:w="1211" w:type="dxa"/>
                  <w:shd w:val="clear" w:color="auto" w:fill="auto"/>
                  <w:vAlign w:val="center"/>
                </w:tcPr>
                <w:p w14:paraId="6949C463">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1.72</w:t>
                  </w:r>
                </w:p>
              </w:tc>
              <w:tc>
                <w:tcPr>
                  <w:tcW w:w="763" w:type="pct"/>
                  <w:vMerge w:val="continue"/>
                </w:tcPr>
                <w:p w14:paraId="496E7694">
                  <w:pPr>
                    <w:spacing w:line="240" w:lineRule="auto"/>
                    <w:jc w:val="center"/>
                    <w:rPr>
                      <w:rFonts w:hint="eastAsia"/>
                      <w:color w:val="auto"/>
                      <w:sz w:val="21"/>
                      <w:szCs w:val="21"/>
                      <w:highlight w:val="none"/>
                      <w:lang w:val="en-US" w:eastAsia="zh-CN"/>
                    </w:rPr>
                  </w:pPr>
                </w:p>
              </w:tc>
              <w:tc>
                <w:tcPr>
                  <w:tcW w:w="813" w:type="pct"/>
                  <w:vMerge w:val="continue"/>
                </w:tcPr>
                <w:p w14:paraId="236650F3">
                  <w:pPr>
                    <w:spacing w:line="240" w:lineRule="auto"/>
                    <w:jc w:val="center"/>
                    <w:rPr>
                      <w:rFonts w:hint="eastAsia"/>
                      <w:color w:val="auto"/>
                      <w:sz w:val="21"/>
                      <w:szCs w:val="21"/>
                      <w:highlight w:val="none"/>
                      <w:lang w:val="en-US" w:eastAsia="zh-CN"/>
                    </w:rPr>
                  </w:pPr>
                </w:p>
              </w:tc>
              <w:tc>
                <w:tcPr>
                  <w:tcW w:w="600" w:type="pct"/>
                  <w:vMerge w:val="continue"/>
                </w:tcPr>
                <w:p w14:paraId="7C204B91">
                  <w:pPr>
                    <w:spacing w:line="240" w:lineRule="auto"/>
                    <w:jc w:val="center"/>
                    <w:rPr>
                      <w:rFonts w:hint="eastAsia"/>
                      <w:color w:val="auto"/>
                      <w:sz w:val="21"/>
                      <w:szCs w:val="21"/>
                      <w:highlight w:val="none"/>
                      <w:lang w:val="en-US" w:eastAsia="zh-CN"/>
                    </w:rPr>
                  </w:pPr>
                </w:p>
              </w:tc>
            </w:tr>
            <w:tr w14:paraId="5BFAD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05" w:type="pct"/>
                  <w:vMerge w:val="continue"/>
                </w:tcPr>
                <w:p w14:paraId="3AC85943">
                  <w:pPr>
                    <w:spacing w:line="240" w:lineRule="auto"/>
                    <w:jc w:val="center"/>
                    <w:rPr>
                      <w:color w:val="auto"/>
                    </w:rPr>
                  </w:pPr>
                </w:p>
              </w:tc>
              <w:tc>
                <w:tcPr>
                  <w:tcW w:w="630" w:type="pct"/>
                  <w:vMerge w:val="continue"/>
                </w:tcPr>
                <w:p w14:paraId="2A1F1B08">
                  <w:pPr>
                    <w:spacing w:line="240" w:lineRule="auto"/>
                    <w:jc w:val="center"/>
                    <w:rPr>
                      <w:color w:val="auto"/>
                    </w:rPr>
                  </w:pPr>
                </w:p>
              </w:tc>
              <w:tc>
                <w:tcPr>
                  <w:tcW w:w="823" w:type="pct"/>
                  <w:shd w:val="clear" w:color="auto" w:fill="auto"/>
                  <w:vAlign w:val="center"/>
                </w:tcPr>
                <w:p w14:paraId="73618150">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总锌</w:t>
                  </w:r>
                </w:p>
              </w:tc>
              <w:tc>
                <w:tcPr>
                  <w:tcW w:w="1211" w:type="dxa"/>
                  <w:shd w:val="clear" w:color="auto" w:fill="auto"/>
                  <w:vAlign w:val="center"/>
                </w:tcPr>
                <w:p w14:paraId="56313A66">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sz w:val="21"/>
                      <w:szCs w:val="21"/>
                      <w:lang w:val="en-US" w:eastAsia="zh-CN"/>
                    </w:rPr>
                    <w:t>0.92</w:t>
                  </w:r>
                </w:p>
              </w:tc>
              <w:tc>
                <w:tcPr>
                  <w:tcW w:w="763" w:type="pct"/>
                  <w:vMerge w:val="continue"/>
                </w:tcPr>
                <w:p w14:paraId="5CAB483B">
                  <w:pPr>
                    <w:spacing w:line="240" w:lineRule="auto"/>
                    <w:jc w:val="center"/>
                    <w:rPr>
                      <w:rFonts w:hint="eastAsia"/>
                      <w:color w:val="auto"/>
                      <w:sz w:val="21"/>
                      <w:szCs w:val="21"/>
                      <w:highlight w:val="none"/>
                      <w:lang w:val="en-US" w:eastAsia="zh-CN"/>
                    </w:rPr>
                  </w:pPr>
                </w:p>
              </w:tc>
              <w:tc>
                <w:tcPr>
                  <w:tcW w:w="813" w:type="pct"/>
                  <w:vMerge w:val="continue"/>
                </w:tcPr>
                <w:p w14:paraId="40D94834">
                  <w:pPr>
                    <w:spacing w:line="240" w:lineRule="auto"/>
                    <w:jc w:val="center"/>
                    <w:rPr>
                      <w:rFonts w:hint="eastAsia"/>
                      <w:color w:val="auto"/>
                      <w:sz w:val="21"/>
                      <w:szCs w:val="21"/>
                      <w:highlight w:val="none"/>
                      <w:lang w:val="en-US" w:eastAsia="zh-CN"/>
                    </w:rPr>
                  </w:pPr>
                </w:p>
              </w:tc>
              <w:tc>
                <w:tcPr>
                  <w:tcW w:w="600" w:type="pct"/>
                  <w:vMerge w:val="continue"/>
                </w:tcPr>
                <w:p w14:paraId="3E6D3C20">
                  <w:pPr>
                    <w:spacing w:line="240" w:lineRule="auto"/>
                    <w:jc w:val="center"/>
                    <w:rPr>
                      <w:rFonts w:hint="eastAsia"/>
                      <w:color w:val="auto"/>
                      <w:sz w:val="21"/>
                      <w:szCs w:val="21"/>
                      <w:highlight w:val="none"/>
                      <w:lang w:val="en-US" w:eastAsia="zh-CN"/>
                    </w:rPr>
                  </w:pPr>
                </w:p>
              </w:tc>
            </w:tr>
            <w:tr w14:paraId="3819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05" w:type="pct"/>
                </w:tcPr>
                <w:p w14:paraId="6B90B669">
                  <w:pPr>
                    <w:spacing w:line="240" w:lineRule="auto"/>
                    <w:jc w:val="center"/>
                    <w:rPr>
                      <w:rFonts w:hint="default" w:eastAsia="宋体"/>
                      <w:color w:val="auto"/>
                      <w:lang w:val="en-US" w:eastAsia="zh-CN"/>
                    </w:rPr>
                  </w:pPr>
                  <w:r>
                    <w:rPr>
                      <w:rFonts w:hint="eastAsia"/>
                      <w:color w:val="auto"/>
                      <w:lang w:val="en-US" w:eastAsia="zh-CN"/>
                    </w:rPr>
                    <w:t>纯水制备废水</w:t>
                  </w:r>
                </w:p>
              </w:tc>
              <w:tc>
                <w:tcPr>
                  <w:tcW w:w="630" w:type="pct"/>
                  <w:vAlign w:val="center"/>
                </w:tcPr>
                <w:p w14:paraId="3F42B77B">
                  <w:pPr>
                    <w:spacing w:line="240" w:lineRule="auto"/>
                    <w:jc w:val="center"/>
                    <w:rPr>
                      <w:rFonts w:hint="default" w:eastAsia="宋体"/>
                      <w:color w:val="auto"/>
                      <w:lang w:val="en-US" w:eastAsia="zh-CN"/>
                    </w:rPr>
                  </w:pPr>
                  <w:r>
                    <w:rPr>
                      <w:rFonts w:hint="eastAsia"/>
                      <w:color w:val="auto"/>
                      <w:lang w:val="en-US" w:eastAsia="zh-CN"/>
                    </w:rPr>
                    <w:t>227.455</w:t>
                  </w:r>
                </w:p>
              </w:tc>
              <w:tc>
                <w:tcPr>
                  <w:tcW w:w="823" w:type="pct"/>
                  <w:shd w:val="clear" w:color="auto" w:fill="auto"/>
                  <w:vAlign w:val="center"/>
                </w:tcPr>
                <w:p w14:paraId="26D0A780">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Times New Roman"/>
                      <w:b w:val="0"/>
                      <w:bCs/>
                      <w:color w:val="auto"/>
                      <w:kern w:val="2"/>
                      <w:sz w:val="21"/>
                      <w:szCs w:val="21"/>
                      <w:lang w:val="en-US" w:eastAsia="zh-CN" w:bidi="ar-SA"/>
                    </w:rPr>
                    <w:t>COD</w:t>
                  </w:r>
                </w:p>
              </w:tc>
              <w:tc>
                <w:tcPr>
                  <w:tcW w:w="763" w:type="pct"/>
                  <w:shd w:val="clear" w:color="auto" w:fill="auto"/>
                  <w:vAlign w:val="center"/>
                </w:tcPr>
                <w:p w14:paraId="4B7CEB8F">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50</w:t>
                  </w:r>
                </w:p>
              </w:tc>
              <w:tc>
                <w:tcPr>
                  <w:tcW w:w="763" w:type="pct"/>
                  <w:vMerge w:val="continue"/>
                  <w:vAlign w:val="center"/>
                </w:tcPr>
                <w:p w14:paraId="58AB4836">
                  <w:pPr>
                    <w:spacing w:line="240" w:lineRule="auto"/>
                    <w:jc w:val="center"/>
                    <w:rPr>
                      <w:rFonts w:hint="eastAsia"/>
                      <w:color w:val="auto"/>
                      <w:sz w:val="21"/>
                      <w:szCs w:val="21"/>
                      <w:highlight w:val="none"/>
                      <w:lang w:val="en-US" w:eastAsia="zh-CN"/>
                    </w:rPr>
                  </w:pPr>
                </w:p>
              </w:tc>
              <w:tc>
                <w:tcPr>
                  <w:tcW w:w="813" w:type="pct"/>
                  <w:vMerge w:val="continue"/>
                  <w:vAlign w:val="center"/>
                </w:tcPr>
                <w:p w14:paraId="1C838727">
                  <w:pPr>
                    <w:spacing w:line="240" w:lineRule="auto"/>
                    <w:jc w:val="center"/>
                    <w:rPr>
                      <w:rFonts w:hint="eastAsia"/>
                      <w:color w:val="auto"/>
                      <w:sz w:val="21"/>
                      <w:szCs w:val="21"/>
                      <w:highlight w:val="none"/>
                      <w:lang w:val="en-US" w:eastAsia="zh-CN"/>
                    </w:rPr>
                  </w:pPr>
                </w:p>
              </w:tc>
              <w:tc>
                <w:tcPr>
                  <w:tcW w:w="600" w:type="pct"/>
                  <w:vMerge w:val="continue"/>
                  <w:vAlign w:val="center"/>
                </w:tcPr>
                <w:p w14:paraId="77E643CB">
                  <w:pPr>
                    <w:spacing w:line="240" w:lineRule="auto"/>
                    <w:jc w:val="center"/>
                    <w:rPr>
                      <w:rFonts w:hint="eastAsia"/>
                      <w:color w:val="auto"/>
                      <w:sz w:val="21"/>
                      <w:szCs w:val="21"/>
                      <w:highlight w:val="none"/>
                      <w:lang w:val="en-US" w:eastAsia="zh-CN"/>
                    </w:rPr>
                  </w:pPr>
                </w:p>
              </w:tc>
            </w:tr>
          </w:tbl>
          <w:p w14:paraId="36082AF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u w:val="none" w:color="auto"/>
                <w:lang w:eastAsia="zh-CN"/>
              </w:rPr>
              <w:t>项目</w:t>
            </w:r>
            <w:r>
              <w:rPr>
                <w:rFonts w:hint="eastAsia" w:cs="Times New Roman"/>
                <w:color w:val="auto"/>
                <w:sz w:val="24"/>
                <w:u w:val="none" w:color="auto"/>
                <w:lang w:val="en-US" w:eastAsia="zh-CN"/>
              </w:rPr>
              <w:t>厂区综合废水</w:t>
            </w:r>
            <w:r>
              <w:rPr>
                <w:rFonts w:hint="default" w:ascii="Times New Roman" w:hAnsi="Times New Roman" w:eastAsia="宋体" w:cs="Times New Roman"/>
                <w:color w:val="auto"/>
                <w:sz w:val="24"/>
                <w:u w:val="none" w:color="auto"/>
                <w:lang w:eastAsia="zh-CN"/>
              </w:rPr>
              <w:t>各污染物排放浓度均满足《污水综合排放标准》（GB8978-1996）三级标准</w:t>
            </w:r>
            <w:r>
              <w:rPr>
                <w:rFonts w:hint="default" w:ascii="Times New Roman" w:hAnsi="Times New Roman" w:eastAsia="宋体" w:cs="Times New Roman"/>
                <w:color w:val="auto"/>
                <w:sz w:val="24"/>
                <w:u w:val="none" w:color="auto"/>
                <w:lang w:val="en-US" w:eastAsia="zh-CN"/>
              </w:rPr>
              <w:t>限</w:t>
            </w:r>
            <w:r>
              <w:rPr>
                <w:rFonts w:hint="default" w:ascii="Times New Roman" w:hAnsi="Times New Roman" w:eastAsia="宋体" w:cs="Times New Roman"/>
                <w:color w:val="auto"/>
                <w:sz w:val="24"/>
                <w:szCs w:val="24"/>
                <w:u w:val="none" w:color="auto"/>
                <w:lang w:val="en-US" w:eastAsia="zh-CN"/>
              </w:rPr>
              <w:t>值</w:t>
            </w:r>
            <w:r>
              <w:rPr>
                <w:rFonts w:hint="eastAsia" w:cs="Times New Roman"/>
                <w:color w:val="auto"/>
                <w:sz w:val="24"/>
                <w:szCs w:val="24"/>
                <w:u w:val="none" w:color="auto"/>
                <w:lang w:val="en-US" w:eastAsia="zh-CN"/>
              </w:rPr>
              <w:t>及官塘污水处理厂进水水质要求</w:t>
            </w:r>
            <w:r>
              <w:rPr>
                <w:rFonts w:hint="eastAsia"/>
                <w:color w:val="auto"/>
                <w:sz w:val="24"/>
                <w:szCs w:val="24"/>
                <w:lang w:eastAsia="zh-CN"/>
              </w:rPr>
              <w:t>（COD</w:t>
            </w:r>
            <w:r>
              <w:rPr>
                <w:rFonts w:hint="default" w:ascii="Times New Roman" w:hAnsi="Times New Roman" w:eastAsia="宋体" w:cs="Times New Roman"/>
                <w:color w:val="auto"/>
                <w:spacing w:val="-6"/>
                <w:sz w:val="24"/>
                <w:szCs w:val="24"/>
              </w:rPr>
              <w:t>≤</w:t>
            </w:r>
            <w:r>
              <w:rPr>
                <w:rFonts w:hint="eastAsia"/>
                <w:color w:val="auto"/>
                <w:sz w:val="24"/>
                <w:szCs w:val="24"/>
                <w:lang w:val="en-US" w:eastAsia="zh-CN"/>
              </w:rPr>
              <w:t>220</w:t>
            </w:r>
            <w:r>
              <w:rPr>
                <w:color w:val="auto"/>
                <w:sz w:val="24"/>
                <w:szCs w:val="24"/>
                <w:highlight w:val="none"/>
              </w:rPr>
              <w:t>mg/L</w:t>
            </w:r>
            <w:r>
              <w:rPr>
                <w:rFonts w:hint="eastAsia"/>
                <w:color w:val="auto"/>
                <w:sz w:val="24"/>
                <w:szCs w:val="24"/>
                <w:lang w:eastAsia="zh-CN"/>
              </w:rPr>
              <w:t>、BOD</w:t>
            </w:r>
            <w:r>
              <w:rPr>
                <w:rFonts w:hint="default" w:ascii="Times New Roman" w:hAnsi="Times New Roman" w:eastAsia="宋体" w:cs="Times New Roman"/>
                <w:color w:val="auto"/>
                <w:spacing w:val="-6"/>
                <w:sz w:val="24"/>
                <w:szCs w:val="24"/>
              </w:rPr>
              <w:t>≤</w:t>
            </w:r>
            <w:r>
              <w:rPr>
                <w:rFonts w:hint="eastAsia"/>
                <w:color w:val="auto"/>
                <w:sz w:val="24"/>
                <w:szCs w:val="24"/>
                <w:lang w:val="en-US" w:eastAsia="zh-CN"/>
              </w:rPr>
              <w:t>120</w:t>
            </w:r>
            <w:r>
              <w:rPr>
                <w:color w:val="auto"/>
                <w:sz w:val="24"/>
                <w:szCs w:val="24"/>
                <w:highlight w:val="none"/>
              </w:rPr>
              <w:t>mg/L</w:t>
            </w:r>
            <w:r>
              <w:rPr>
                <w:rFonts w:hint="eastAsia"/>
                <w:color w:val="auto"/>
                <w:sz w:val="24"/>
                <w:szCs w:val="24"/>
                <w:lang w:eastAsia="zh-CN"/>
              </w:rPr>
              <w:t>、</w:t>
            </w:r>
            <w:r>
              <w:rPr>
                <w:rFonts w:hint="eastAsia"/>
                <w:color w:val="auto"/>
                <w:sz w:val="24"/>
                <w:szCs w:val="24"/>
                <w:lang w:val="en-US" w:eastAsia="zh-CN"/>
              </w:rPr>
              <w:t>SS</w:t>
            </w:r>
            <w:r>
              <w:rPr>
                <w:rFonts w:hint="default" w:ascii="Times New Roman" w:hAnsi="Times New Roman" w:eastAsia="宋体" w:cs="Times New Roman"/>
                <w:color w:val="auto"/>
                <w:spacing w:val="-6"/>
                <w:sz w:val="24"/>
                <w:szCs w:val="24"/>
              </w:rPr>
              <w:t>≤</w:t>
            </w:r>
            <w:r>
              <w:rPr>
                <w:rFonts w:hint="eastAsia"/>
                <w:color w:val="auto"/>
                <w:sz w:val="24"/>
                <w:szCs w:val="24"/>
                <w:lang w:val="en-US" w:eastAsia="zh-CN"/>
              </w:rPr>
              <w:t>200</w:t>
            </w:r>
            <w:r>
              <w:rPr>
                <w:color w:val="auto"/>
                <w:sz w:val="24"/>
                <w:szCs w:val="24"/>
                <w:highlight w:val="none"/>
              </w:rPr>
              <w:t>mg/L</w:t>
            </w:r>
            <w:r>
              <w:rPr>
                <w:rFonts w:hint="eastAsia"/>
                <w:color w:val="auto"/>
                <w:sz w:val="24"/>
                <w:szCs w:val="24"/>
                <w:highlight w:val="none"/>
                <w:lang w:eastAsia="zh-CN"/>
              </w:rPr>
              <w:t>、</w:t>
            </w:r>
            <w:r>
              <w:rPr>
                <w:rFonts w:hint="eastAsia"/>
                <w:color w:val="auto"/>
                <w:sz w:val="24"/>
                <w:szCs w:val="24"/>
                <w:highlight w:val="none"/>
                <w:lang w:val="en-US" w:eastAsia="zh-CN"/>
              </w:rPr>
              <w:t>石油类</w:t>
            </w:r>
            <w:r>
              <w:rPr>
                <w:rFonts w:hint="default" w:ascii="Times New Roman" w:hAnsi="Times New Roman" w:eastAsia="宋体" w:cs="Times New Roman"/>
                <w:color w:val="auto"/>
                <w:spacing w:val="-6"/>
                <w:sz w:val="24"/>
                <w:szCs w:val="24"/>
              </w:rPr>
              <w:t>≤</w:t>
            </w:r>
            <w:r>
              <w:rPr>
                <w:rFonts w:hint="eastAsia" w:cs="Times New Roman"/>
                <w:color w:val="auto"/>
                <w:spacing w:val="-6"/>
                <w:sz w:val="24"/>
                <w:szCs w:val="24"/>
                <w:lang w:val="en-US" w:eastAsia="zh-CN"/>
              </w:rPr>
              <w:t>20</w:t>
            </w:r>
            <w:r>
              <w:rPr>
                <w:color w:val="auto"/>
                <w:sz w:val="24"/>
                <w:szCs w:val="24"/>
                <w:highlight w:val="none"/>
              </w:rPr>
              <w:t>mg/L</w:t>
            </w:r>
            <w:r>
              <w:rPr>
                <w:rFonts w:hint="eastAsia"/>
                <w:color w:val="auto"/>
                <w:sz w:val="24"/>
                <w:szCs w:val="24"/>
                <w:highlight w:val="none"/>
                <w:lang w:eastAsia="zh-CN"/>
              </w:rPr>
              <w:t>、</w:t>
            </w:r>
            <w:r>
              <w:rPr>
                <w:rFonts w:hint="eastAsia"/>
                <w:color w:val="auto"/>
                <w:sz w:val="24"/>
                <w:szCs w:val="24"/>
                <w:highlight w:val="none"/>
                <w:lang w:val="en-US" w:eastAsia="zh-CN"/>
              </w:rPr>
              <w:t>总锌</w:t>
            </w:r>
            <w:r>
              <w:rPr>
                <w:rFonts w:hint="default" w:ascii="Times New Roman" w:hAnsi="Times New Roman" w:eastAsia="宋体" w:cs="Times New Roman"/>
                <w:color w:val="auto"/>
                <w:spacing w:val="-6"/>
                <w:sz w:val="24"/>
                <w:szCs w:val="24"/>
              </w:rPr>
              <w:t>≤</w:t>
            </w:r>
            <w:r>
              <w:rPr>
                <w:rFonts w:hint="eastAsia" w:ascii="Times New Roman" w:hAnsi="Times New Roman" w:eastAsia="宋体" w:cs="Times New Roman"/>
                <w:color w:val="auto"/>
                <w:spacing w:val="-6"/>
                <w:sz w:val="24"/>
                <w:szCs w:val="24"/>
                <w:lang w:val="en-US" w:eastAsia="zh-CN"/>
              </w:rPr>
              <w:t>5</w:t>
            </w:r>
            <w:r>
              <w:rPr>
                <w:color w:val="auto"/>
                <w:sz w:val="24"/>
                <w:szCs w:val="24"/>
                <w:highlight w:val="none"/>
              </w:rPr>
              <w:t>mg/L</w:t>
            </w:r>
            <w:r>
              <w:rPr>
                <w:rFonts w:hint="eastAsia"/>
                <w:color w:val="auto"/>
                <w:sz w:val="24"/>
                <w:szCs w:val="24"/>
                <w:highlight w:val="none"/>
                <w:lang w:eastAsia="zh-CN"/>
              </w:rPr>
              <w:t>、</w:t>
            </w:r>
            <w:r>
              <w:rPr>
                <w:rFonts w:hint="eastAsia"/>
                <w:color w:val="auto"/>
                <w:sz w:val="24"/>
                <w:szCs w:val="24"/>
                <w:highlight w:val="none"/>
                <w:lang w:val="en-US" w:eastAsia="zh-CN"/>
              </w:rPr>
              <w:t>氨氮</w:t>
            </w:r>
            <w:r>
              <w:rPr>
                <w:rFonts w:hint="default" w:ascii="Times New Roman" w:hAnsi="Times New Roman" w:eastAsia="宋体" w:cs="Times New Roman"/>
                <w:color w:val="auto"/>
                <w:spacing w:val="-6"/>
                <w:sz w:val="24"/>
                <w:szCs w:val="24"/>
              </w:rPr>
              <w:t>≤</w:t>
            </w:r>
            <w:r>
              <w:rPr>
                <w:rFonts w:hint="eastAsia" w:cs="Times New Roman"/>
                <w:color w:val="auto"/>
                <w:spacing w:val="-6"/>
                <w:sz w:val="24"/>
                <w:szCs w:val="24"/>
                <w:lang w:val="en-US" w:eastAsia="zh-CN"/>
              </w:rPr>
              <w:t>25</w:t>
            </w:r>
            <w:r>
              <w:rPr>
                <w:color w:val="auto"/>
                <w:sz w:val="24"/>
                <w:szCs w:val="24"/>
                <w:highlight w:val="none"/>
              </w:rPr>
              <w:t>mg/L</w:t>
            </w:r>
            <w:r>
              <w:rPr>
                <w:rFonts w:hint="eastAsia"/>
                <w:color w:val="auto"/>
                <w:sz w:val="24"/>
                <w:szCs w:val="24"/>
                <w:highlight w:val="none"/>
                <w:lang w:eastAsia="zh-CN"/>
              </w:rPr>
              <w:t>、</w:t>
            </w:r>
            <w:r>
              <w:rPr>
                <w:rFonts w:hint="eastAsia"/>
                <w:color w:val="auto"/>
                <w:sz w:val="24"/>
                <w:szCs w:val="24"/>
                <w:highlight w:val="none"/>
                <w:lang w:val="en-US" w:eastAsia="zh-CN"/>
              </w:rPr>
              <w:t>磷酸盐</w:t>
            </w:r>
            <w:r>
              <w:rPr>
                <w:rFonts w:hint="default" w:ascii="Times New Roman" w:hAnsi="Times New Roman" w:eastAsia="宋体" w:cs="Times New Roman"/>
                <w:color w:val="auto"/>
                <w:spacing w:val="-6"/>
                <w:sz w:val="24"/>
                <w:szCs w:val="24"/>
              </w:rPr>
              <w:t>≤</w:t>
            </w:r>
            <w:r>
              <w:rPr>
                <w:rFonts w:hint="eastAsia" w:cs="Times New Roman"/>
                <w:color w:val="auto"/>
                <w:spacing w:val="-6"/>
                <w:sz w:val="24"/>
                <w:szCs w:val="24"/>
                <w:lang w:val="en-US" w:eastAsia="zh-CN"/>
              </w:rPr>
              <w:t>3</w:t>
            </w:r>
            <w:r>
              <w:rPr>
                <w:color w:val="auto"/>
                <w:sz w:val="24"/>
                <w:szCs w:val="24"/>
                <w:highlight w:val="none"/>
              </w:rPr>
              <w:t>mg/L</w:t>
            </w:r>
            <w:r>
              <w:rPr>
                <w:rFonts w:hint="eastAsia"/>
                <w:color w:val="auto"/>
                <w:sz w:val="24"/>
                <w:szCs w:val="24"/>
                <w:lang w:eastAsia="zh-CN"/>
              </w:rPr>
              <w:t>）</w:t>
            </w:r>
            <w:r>
              <w:rPr>
                <w:rFonts w:hint="default" w:ascii="Times New Roman" w:hAnsi="Times New Roman" w:eastAsia="宋体" w:cs="Times New Roman"/>
                <w:color w:val="auto"/>
                <w:sz w:val="24"/>
                <w:szCs w:val="24"/>
                <w:lang w:eastAsia="zh-CN"/>
              </w:rPr>
              <w:t>。</w:t>
            </w:r>
          </w:p>
          <w:p w14:paraId="357BDC5B">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0" w:firstLineChars="200"/>
              <w:jc w:val="both"/>
              <w:textAlignment w:val="auto"/>
              <w:outlineLvl w:val="9"/>
              <w:rPr>
                <w:rFonts w:hint="default" w:ascii="Times New Roman" w:hAnsi="Times New Roman" w:cs="Times New Roman"/>
                <w:b w:val="0"/>
                <w:bCs w:val="0"/>
                <w:color w:val="auto"/>
                <w:kern w:val="0"/>
                <w:sz w:val="24"/>
                <w:szCs w:val="24"/>
                <w:lang w:val="en-US" w:eastAsia="zh-CN" w:bidi="ar"/>
              </w:rPr>
            </w:pPr>
            <w:r>
              <w:rPr>
                <w:rFonts w:hint="eastAsia" w:cs="Times New Roman"/>
                <w:b w:val="0"/>
                <w:bCs w:val="0"/>
                <w:color w:val="auto"/>
                <w:kern w:val="0"/>
                <w:sz w:val="24"/>
                <w:szCs w:val="24"/>
                <w:lang w:val="en-US" w:eastAsia="zh-CN" w:bidi="ar"/>
              </w:rPr>
              <w:t>3</w:t>
            </w:r>
            <w:r>
              <w:rPr>
                <w:rFonts w:hint="default" w:ascii="Times New Roman" w:hAnsi="Times New Roman" w:cs="Times New Roman"/>
                <w:b w:val="0"/>
                <w:bCs w:val="0"/>
                <w:color w:val="auto"/>
                <w:kern w:val="0"/>
                <w:sz w:val="24"/>
                <w:szCs w:val="24"/>
                <w:lang w:val="en-US" w:eastAsia="zh-CN" w:bidi="ar"/>
              </w:rPr>
              <w:t>.生产</w:t>
            </w:r>
            <w:r>
              <w:rPr>
                <w:rFonts w:hint="eastAsia" w:ascii="Times New Roman" w:hAnsi="Times New Roman" w:cs="Times New Roman"/>
                <w:b w:val="0"/>
                <w:bCs w:val="0"/>
                <w:color w:val="auto"/>
                <w:kern w:val="0"/>
                <w:sz w:val="24"/>
                <w:szCs w:val="24"/>
                <w:lang w:val="en-US" w:eastAsia="zh-CN" w:bidi="ar"/>
              </w:rPr>
              <w:t>废水</w:t>
            </w:r>
            <w:r>
              <w:rPr>
                <w:rFonts w:hint="default" w:ascii="Times New Roman" w:hAnsi="Times New Roman" w:cs="Times New Roman"/>
                <w:b w:val="0"/>
                <w:bCs w:val="0"/>
                <w:color w:val="auto"/>
                <w:kern w:val="0"/>
                <w:sz w:val="24"/>
                <w:szCs w:val="24"/>
                <w:lang w:val="en-US" w:eastAsia="zh-CN" w:bidi="ar"/>
              </w:rPr>
              <w:t>治理措施可行性分析</w:t>
            </w:r>
          </w:p>
          <w:p w14:paraId="43996559">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0" w:firstLineChars="200"/>
              <w:jc w:val="both"/>
              <w:textAlignment w:val="auto"/>
              <w:outlineLvl w:val="9"/>
              <w:rPr>
                <w:rFonts w:hint="default" w:ascii="Times New Roman" w:hAnsi="Times New Roman" w:eastAsia="宋体" w:cs="Times New Roman"/>
                <w:b w:val="0"/>
                <w:bCs w:val="0"/>
                <w:color w:val="auto"/>
                <w:sz w:val="24"/>
                <w:szCs w:val="24"/>
                <w:highlight w:val="none"/>
                <w:lang w:val="en-US" w:eastAsia="zh-CN"/>
              </w:rPr>
            </w:pPr>
            <w:r>
              <w:rPr>
                <w:rFonts w:hint="eastAsia" w:cs="Times New Roman"/>
                <w:caps w:val="0"/>
                <w:color w:val="auto"/>
                <w:sz w:val="24"/>
                <w:szCs w:val="24"/>
                <w:u w:val="none"/>
                <w:lang w:val="en-US" w:eastAsia="zh-CN"/>
              </w:rPr>
              <w:t>根据建设单位提供信息</w:t>
            </w:r>
            <w:r>
              <w:rPr>
                <w:rFonts w:hint="eastAsia" w:cs="Times New Roman"/>
                <w:caps w:val="0"/>
                <w:color w:val="auto"/>
                <w:sz w:val="24"/>
                <w:szCs w:val="24"/>
                <w:u w:val="none"/>
                <w:lang w:eastAsia="zh-CN"/>
              </w:rPr>
              <w:t>，</w:t>
            </w:r>
            <w:r>
              <w:rPr>
                <w:rFonts w:hint="eastAsia"/>
                <w:color w:val="auto"/>
                <w:sz w:val="24"/>
                <w:highlight w:val="none"/>
                <w:lang w:val="en-US" w:eastAsia="zh-CN"/>
              </w:rPr>
              <w:t>厂区污水处理站处理规模为10m</w:t>
            </w:r>
            <w:r>
              <w:rPr>
                <w:rFonts w:hint="eastAsia"/>
                <w:color w:val="auto"/>
                <w:sz w:val="24"/>
                <w:highlight w:val="none"/>
                <w:vertAlign w:val="superscript"/>
                <w:lang w:val="en-US" w:eastAsia="zh-CN"/>
              </w:rPr>
              <w:t>3</w:t>
            </w:r>
            <w:r>
              <w:rPr>
                <w:rFonts w:hint="eastAsia"/>
                <w:color w:val="auto"/>
                <w:sz w:val="24"/>
                <w:highlight w:val="none"/>
                <w:vertAlign w:val="baseline"/>
                <w:lang w:val="en-US" w:eastAsia="zh-CN"/>
              </w:rPr>
              <w:t>/d</w:t>
            </w:r>
            <w:r>
              <w:rPr>
                <w:rFonts w:hint="eastAsia"/>
                <w:color w:val="auto"/>
                <w:sz w:val="24"/>
                <w:highlight w:val="none"/>
                <w:lang w:val="en-US" w:eastAsia="zh-CN"/>
              </w:rPr>
              <w:t>，</w:t>
            </w:r>
            <w:r>
              <w:rPr>
                <w:rFonts w:hint="default" w:ascii="Times New Roman" w:hAnsi="Times New Roman" w:eastAsia="宋体" w:cs="Times New Roman"/>
                <w:caps w:val="0"/>
                <w:color w:val="auto"/>
                <w:sz w:val="24"/>
                <w:u w:val="none"/>
              </w:rPr>
              <w:t>项目废水排放量</w:t>
            </w:r>
            <w:r>
              <w:rPr>
                <w:rFonts w:hint="eastAsia" w:ascii="Times New Roman" w:hAnsi="Times New Roman" w:eastAsia="宋体" w:cs="Times New Roman"/>
                <w:caps w:val="0"/>
                <w:color w:val="auto"/>
                <w:sz w:val="24"/>
                <w:u w:val="none"/>
                <w:lang w:val="en-US" w:eastAsia="zh-CN"/>
              </w:rPr>
              <w:t>约</w:t>
            </w:r>
            <w:r>
              <w:rPr>
                <w:rFonts w:hint="eastAsia" w:cs="Times New Roman"/>
                <w:caps w:val="0"/>
                <w:color w:val="auto"/>
                <w:sz w:val="24"/>
                <w:u w:val="none"/>
                <w:lang w:val="en-US" w:eastAsia="zh-CN"/>
              </w:rPr>
              <w:t>4.36</w:t>
            </w:r>
            <w:r>
              <w:rPr>
                <w:rFonts w:hint="default" w:ascii="Times New Roman" w:hAnsi="Times New Roman" w:eastAsia="宋体" w:cs="Times New Roman"/>
                <w:caps w:val="0"/>
                <w:color w:val="auto"/>
                <w:sz w:val="24"/>
                <w:u w:val="none"/>
              </w:rPr>
              <w:t>m³/</w:t>
            </w:r>
            <w:r>
              <w:rPr>
                <w:rFonts w:hint="eastAsia" w:cs="Times New Roman"/>
                <w:caps w:val="0"/>
                <w:color w:val="auto"/>
                <w:sz w:val="24"/>
                <w:u w:val="none"/>
                <w:lang w:val="en-US" w:eastAsia="zh-CN"/>
              </w:rPr>
              <w:t>d</w:t>
            </w:r>
            <w:r>
              <w:rPr>
                <w:rFonts w:hint="default" w:ascii="Times New Roman" w:hAnsi="Times New Roman" w:eastAsia="宋体" w:cs="Times New Roman"/>
                <w:caps w:val="0"/>
                <w:color w:val="auto"/>
                <w:sz w:val="24"/>
                <w:u w:val="none"/>
              </w:rPr>
              <w:t>，</w:t>
            </w:r>
            <w:r>
              <w:rPr>
                <w:rFonts w:hint="eastAsia" w:ascii="Times New Roman" w:hAnsi="Times New Roman" w:eastAsia="宋体"/>
                <w:b w:val="0"/>
                <w:bCs w:val="0"/>
                <w:color w:val="auto"/>
                <w:sz w:val="24"/>
                <w:szCs w:val="24"/>
                <w:u w:val="none" w:color="auto"/>
                <w:lang w:val="en-US" w:eastAsia="zh-CN"/>
              </w:rPr>
              <w:t>占</w:t>
            </w:r>
            <w:r>
              <w:rPr>
                <w:rFonts w:hint="eastAsia"/>
                <w:color w:val="auto"/>
                <w:sz w:val="24"/>
                <w:highlight w:val="none"/>
                <w:lang w:val="en-US" w:eastAsia="zh-CN"/>
              </w:rPr>
              <w:t>厂区污水处理站</w:t>
            </w:r>
            <w:r>
              <w:rPr>
                <w:rFonts w:hint="eastAsia" w:ascii="Times New Roman" w:hAnsi="Times New Roman" w:eastAsia="宋体" w:cs="Times New Roman"/>
                <w:b w:val="0"/>
                <w:bCs w:val="0"/>
                <w:caps w:val="0"/>
                <w:color w:val="auto"/>
                <w:sz w:val="24"/>
                <w:u w:val="none" w:color="auto"/>
                <w:lang w:eastAsia="zh-CN"/>
              </w:rPr>
              <w:t>处理能力</w:t>
            </w:r>
            <w:r>
              <w:rPr>
                <w:rFonts w:hint="default" w:ascii="Times New Roman" w:hAnsi="Times New Roman" w:eastAsia="宋体" w:cs="Times New Roman"/>
                <w:b w:val="0"/>
                <w:bCs w:val="0"/>
                <w:caps w:val="0"/>
                <w:color w:val="auto"/>
                <w:sz w:val="24"/>
                <w:u w:val="none" w:color="auto"/>
              </w:rPr>
              <w:t>的</w:t>
            </w:r>
            <w:r>
              <w:rPr>
                <w:rFonts w:hint="eastAsia" w:cs="Times New Roman"/>
                <w:b w:val="0"/>
                <w:bCs w:val="0"/>
                <w:caps w:val="0"/>
                <w:color w:val="auto"/>
                <w:sz w:val="24"/>
                <w:u w:val="none" w:color="auto"/>
                <w:lang w:val="en-US" w:eastAsia="zh-CN"/>
              </w:rPr>
              <w:t>43.6</w:t>
            </w:r>
            <w:r>
              <w:rPr>
                <w:rFonts w:hint="default" w:ascii="Times New Roman" w:hAnsi="Times New Roman" w:eastAsia="宋体" w:cs="Times New Roman"/>
                <w:b w:val="0"/>
                <w:bCs w:val="0"/>
                <w:caps w:val="0"/>
                <w:color w:val="auto"/>
                <w:sz w:val="24"/>
                <w:u w:val="none" w:color="auto"/>
              </w:rPr>
              <w:t>%</w:t>
            </w:r>
            <w:r>
              <w:rPr>
                <w:rFonts w:ascii="Times New Roman" w:hAnsi="Times New Roman" w:eastAsia="宋体"/>
                <w:b w:val="0"/>
                <w:bCs w:val="0"/>
                <w:color w:val="auto"/>
                <w:sz w:val="24"/>
                <w:szCs w:val="24"/>
                <w:u w:val="none" w:color="auto"/>
              </w:rPr>
              <w:t>，</w:t>
            </w:r>
            <w:r>
              <w:rPr>
                <w:rFonts w:hint="eastAsia"/>
                <w:color w:val="auto"/>
                <w:sz w:val="24"/>
                <w:highlight w:val="none"/>
                <w:lang w:val="en-US" w:eastAsia="zh-CN"/>
              </w:rPr>
              <w:t>厂区污水处理站</w:t>
            </w:r>
            <w:r>
              <w:rPr>
                <w:rFonts w:hint="eastAsia" w:ascii="Times New Roman" w:hAnsi="Times New Roman" w:eastAsia="宋体"/>
                <w:b w:val="0"/>
                <w:bCs w:val="0"/>
                <w:color w:val="auto"/>
                <w:sz w:val="24"/>
                <w:szCs w:val="24"/>
                <w:u w:val="none" w:color="auto"/>
              </w:rPr>
              <w:t>有足够的处理能力处理本项目产生的</w:t>
            </w:r>
            <w:r>
              <w:rPr>
                <w:rFonts w:hint="eastAsia" w:ascii="Times New Roman" w:hAnsi="Times New Roman" w:eastAsia="宋体"/>
                <w:b w:val="0"/>
                <w:bCs w:val="0"/>
                <w:color w:val="auto"/>
                <w:sz w:val="24"/>
                <w:szCs w:val="24"/>
                <w:u w:val="none" w:color="auto"/>
                <w:lang w:val="en-US" w:eastAsia="zh-CN"/>
              </w:rPr>
              <w:t>生产</w:t>
            </w:r>
            <w:r>
              <w:rPr>
                <w:rFonts w:hint="eastAsia"/>
                <w:b w:val="0"/>
                <w:bCs w:val="0"/>
                <w:color w:val="auto"/>
                <w:sz w:val="24"/>
                <w:szCs w:val="24"/>
                <w:u w:val="none" w:color="auto"/>
                <w:lang w:val="en-US" w:eastAsia="zh-CN"/>
              </w:rPr>
              <w:t>废水。</w:t>
            </w:r>
          </w:p>
          <w:p w14:paraId="57BEBBB1">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0" w:firstLineChars="200"/>
              <w:jc w:val="both"/>
              <w:textAlignment w:val="auto"/>
              <w:outlineLvl w:val="9"/>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根据《排污许可证申请与核发技术规范 铁路、船舶、航空航天和其他运输设备制造业》（HJ 1124—2020）：“涂装生产单元废水处理设施包含隔油、调节、混凝、沉淀/气浮、砂滤、活性炭吸附、水解酸化、生化、二级生化、膜处理、消毒、碱性氯化法等”，</w:t>
            </w:r>
            <w:r>
              <w:rPr>
                <w:rFonts w:hint="default" w:ascii="Times New Roman" w:hAnsi="Times New Roman" w:cs="Times New Roman"/>
                <w:b w:val="0"/>
                <w:bCs w:val="0"/>
                <w:color w:val="auto"/>
                <w:sz w:val="24"/>
                <w:highlight w:val="none"/>
                <w:u w:val="none"/>
                <w:lang w:val="en-US" w:eastAsia="zh-CN"/>
              </w:rPr>
              <w:t>本项目</w:t>
            </w:r>
            <w:r>
              <w:rPr>
                <w:rFonts w:hint="eastAsia" w:cs="Times New Roman"/>
                <w:b w:val="0"/>
                <w:bCs w:val="0"/>
                <w:color w:val="auto"/>
                <w:sz w:val="24"/>
                <w:highlight w:val="none"/>
                <w:u w:val="none"/>
                <w:lang w:val="en-US" w:eastAsia="zh-CN"/>
              </w:rPr>
              <w:t>生产</w:t>
            </w:r>
            <w:r>
              <w:rPr>
                <w:rFonts w:hint="default" w:ascii="Times New Roman" w:hAnsi="Times New Roman" w:cs="Times New Roman"/>
                <w:b w:val="0"/>
                <w:bCs w:val="0"/>
                <w:color w:val="auto"/>
                <w:sz w:val="24"/>
                <w:highlight w:val="none"/>
                <w:u w:val="none"/>
                <w:lang w:val="en-US" w:eastAsia="zh-CN"/>
              </w:rPr>
              <w:t>废水采取气浮+</w:t>
            </w:r>
            <w:r>
              <w:rPr>
                <w:rFonts w:hint="eastAsia" w:cs="Times New Roman"/>
                <w:b w:val="0"/>
                <w:bCs w:val="0"/>
                <w:color w:val="auto"/>
                <w:sz w:val="24"/>
                <w:highlight w:val="none"/>
                <w:u w:val="none"/>
                <w:lang w:val="en-US" w:eastAsia="zh-CN"/>
              </w:rPr>
              <w:t>三级</w:t>
            </w:r>
            <w:r>
              <w:rPr>
                <w:rFonts w:hint="default" w:ascii="Times New Roman" w:hAnsi="Times New Roman" w:cs="Times New Roman"/>
                <w:b w:val="0"/>
                <w:bCs w:val="0"/>
                <w:color w:val="auto"/>
                <w:sz w:val="24"/>
                <w:highlight w:val="none"/>
                <w:u w:val="none"/>
                <w:lang w:val="en-US" w:eastAsia="zh-CN"/>
              </w:rPr>
              <w:t>沉淀</w:t>
            </w:r>
            <w:r>
              <w:rPr>
                <w:rFonts w:hint="eastAsia" w:cs="Times New Roman"/>
                <w:b w:val="0"/>
                <w:bCs w:val="0"/>
                <w:color w:val="auto"/>
                <w:sz w:val="24"/>
                <w:highlight w:val="none"/>
                <w:u w:val="none"/>
                <w:lang w:val="en-US" w:eastAsia="zh-CN"/>
              </w:rPr>
              <w:t>+MBR</w:t>
            </w:r>
            <w:r>
              <w:rPr>
                <w:rFonts w:hint="default" w:ascii="Times New Roman" w:hAnsi="Times New Roman" w:cs="Times New Roman"/>
                <w:b w:val="0"/>
                <w:bCs w:val="0"/>
                <w:color w:val="auto"/>
                <w:sz w:val="24"/>
                <w:highlight w:val="none"/>
                <w:u w:val="none"/>
                <w:lang w:val="en-US" w:eastAsia="zh-CN"/>
              </w:rPr>
              <w:t>措施</w:t>
            </w:r>
            <w:r>
              <w:rPr>
                <w:rFonts w:hint="default" w:ascii="Times New Roman" w:hAnsi="Times New Roman" w:cs="Times New Roman"/>
                <w:b w:val="0"/>
                <w:bCs w:val="0"/>
                <w:color w:val="auto"/>
                <w:sz w:val="24"/>
                <w:highlight w:val="none"/>
                <w:u w:val="none"/>
                <w:lang w:val="en-US" w:eastAsia="zh-CN"/>
              </w:rPr>
              <w:t>，属于</w:t>
            </w:r>
            <w:r>
              <w:rPr>
                <w:rFonts w:hint="default" w:ascii="Times New Roman" w:hAnsi="Times New Roman" w:eastAsia="宋体" w:cs="Times New Roman"/>
                <w:b w:val="0"/>
                <w:bCs w:val="0"/>
                <w:color w:val="auto"/>
                <w:sz w:val="24"/>
                <w:szCs w:val="24"/>
                <w:highlight w:val="none"/>
                <w:lang w:val="en-US" w:eastAsia="zh-CN"/>
              </w:rPr>
              <w:t>HJ 1124中的废水污染防治可行技术。</w:t>
            </w:r>
          </w:p>
          <w:p w14:paraId="698D9972">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0" w:firstLineChars="200"/>
              <w:jc w:val="both"/>
              <w:textAlignment w:val="auto"/>
              <w:outlineLvl w:val="9"/>
              <w:rPr>
                <w:rFonts w:hint="default" w:ascii="Times New Roman" w:hAnsi="Times New Roman" w:eastAsia="宋体" w:cs="Times New Roman"/>
                <w:b w:val="0"/>
                <w:bCs w:val="0"/>
                <w:color w:val="auto"/>
                <w:kern w:val="0"/>
                <w:sz w:val="24"/>
                <w:szCs w:val="24"/>
                <w:lang w:val="en-US" w:eastAsia="zh-CN" w:bidi="ar"/>
              </w:rPr>
            </w:pPr>
            <w:r>
              <w:rPr>
                <w:rFonts w:hint="eastAsia" w:cs="Times New Roman"/>
                <w:b w:val="0"/>
                <w:bCs w:val="0"/>
                <w:color w:val="auto"/>
                <w:kern w:val="0"/>
                <w:sz w:val="24"/>
                <w:szCs w:val="24"/>
                <w:lang w:val="en-US" w:eastAsia="zh-CN" w:bidi="ar"/>
              </w:rPr>
              <w:t>4.</w:t>
            </w:r>
            <w:r>
              <w:rPr>
                <w:rFonts w:hint="default" w:ascii="Times New Roman" w:hAnsi="Times New Roman" w:eastAsia="宋体" w:cs="Times New Roman"/>
                <w:b w:val="0"/>
                <w:bCs w:val="0"/>
                <w:color w:val="auto"/>
                <w:kern w:val="0"/>
                <w:sz w:val="24"/>
                <w:szCs w:val="24"/>
                <w:lang w:val="en-US" w:eastAsia="zh-CN" w:bidi="ar"/>
              </w:rPr>
              <w:t>废水</w:t>
            </w:r>
            <w:r>
              <w:rPr>
                <w:rFonts w:hint="eastAsia" w:ascii="Times New Roman" w:hAnsi="Times New Roman" w:eastAsia="宋体" w:cs="Times New Roman"/>
                <w:b w:val="0"/>
                <w:bCs w:val="0"/>
                <w:color w:val="auto"/>
                <w:kern w:val="0"/>
                <w:sz w:val="24"/>
                <w:szCs w:val="24"/>
                <w:lang w:val="en-US" w:eastAsia="zh-CN" w:bidi="ar"/>
              </w:rPr>
              <w:t>依托</w:t>
            </w:r>
            <w:r>
              <w:rPr>
                <w:rFonts w:hint="default" w:ascii="Times New Roman" w:hAnsi="Times New Roman" w:eastAsia="宋体" w:cs="Times New Roman"/>
                <w:b w:val="0"/>
                <w:bCs w:val="0"/>
                <w:color w:val="auto"/>
                <w:kern w:val="0"/>
                <w:sz w:val="24"/>
                <w:szCs w:val="24"/>
                <w:lang w:val="en-US" w:eastAsia="zh-CN" w:bidi="ar"/>
              </w:rPr>
              <w:t>处理措施可行性分析</w:t>
            </w:r>
          </w:p>
          <w:p w14:paraId="4040A4FA">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0" w:firstLineChars="200"/>
              <w:jc w:val="both"/>
              <w:textAlignment w:val="auto"/>
              <w:outlineLvl w:val="9"/>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本项目位于花岭北片区，属于官塘污水处理厂二期工程服务范围内。柳州市官塘污水处理厂位于柳州市南寨村的东南面，近期</w:t>
            </w:r>
            <w:r>
              <w:rPr>
                <w:rFonts w:hint="eastAsia"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一期、二期</w:t>
            </w:r>
            <w:r>
              <w:rPr>
                <w:rFonts w:hint="eastAsia"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收纳污水范围为官塘中心片区、花岭片区、洛埠镇及雒容镇区域，远期收纳范围为雒容镇北部、南部区域及洛清江以东区域，规划总面积121km</w:t>
            </w:r>
            <w:r>
              <w:rPr>
                <w:rFonts w:hint="default" w:ascii="Times New Roman" w:hAnsi="Times New Roman" w:eastAsia="宋体" w:cs="Times New Roman"/>
                <w:color w:val="auto"/>
                <w:kern w:val="0"/>
                <w:sz w:val="24"/>
                <w:szCs w:val="24"/>
                <w:vertAlign w:val="superscript"/>
                <w:lang w:val="en-US" w:eastAsia="zh-CN" w:bidi="ar"/>
              </w:rPr>
              <w:t>2</w:t>
            </w:r>
            <w:r>
              <w:rPr>
                <w:rFonts w:hint="default" w:ascii="Times New Roman" w:hAnsi="Times New Roman" w:eastAsia="宋体" w:cs="Times New Roman"/>
                <w:color w:val="auto"/>
                <w:kern w:val="0"/>
                <w:sz w:val="24"/>
                <w:szCs w:val="24"/>
                <w:lang w:val="en-US" w:eastAsia="zh-CN" w:bidi="ar"/>
              </w:rPr>
              <w:t>。官塘污水处理厂规划占地面积212843.47m</w:t>
            </w:r>
            <w:r>
              <w:rPr>
                <w:rFonts w:hint="default" w:ascii="Times New Roman" w:hAnsi="Times New Roman" w:eastAsia="宋体" w:cs="Times New Roman"/>
                <w:color w:val="auto"/>
                <w:kern w:val="0"/>
                <w:sz w:val="24"/>
                <w:szCs w:val="24"/>
                <w:vertAlign w:val="superscript"/>
                <w:lang w:val="en-US" w:eastAsia="zh-CN" w:bidi="ar"/>
              </w:rPr>
              <w:t>2</w:t>
            </w:r>
            <w:r>
              <w:rPr>
                <w:rFonts w:hint="default" w:ascii="Times New Roman" w:hAnsi="Times New Roman" w:eastAsia="宋体" w:cs="Times New Roman"/>
                <w:color w:val="auto"/>
                <w:kern w:val="0"/>
                <w:sz w:val="24"/>
                <w:szCs w:val="24"/>
                <w:lang w:val="en-US" w:eastAsia="zh-CN" w:bidi="ar"/>
              </w:rPr>
              <w:t>，设计总处理能力为25×104m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/d，分期进行建设；一期工程设计处理能力为4.0×104m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/d，采用改良型卡式氧化沟+二沉池+高效沉淀池+精密过滤滤池+消毒工艺，出水水质执行《城镇污水处理厂污染物排放标准》一级A标准。一期工程于2018年12月通过了柳州市柳东新区行政审批局的竣工验收。</w:t>
            </w:r>
          </w:p>
          <w:p w14:paraId="12A81915">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0" w:firstLineChars="200"/>
              <w:jc w:val="both"/>
              <w:textAlignment w:val="auto"/>
              <w:outlineLvl w:val="9"/>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官塘污水处理厂二期工程位于一期工程生物池西侧，主要建设内容为新建细格栅间及旋流沉砂池、改良型卡式氧化沟、二沉池、配水排泥井及污泥泵房等，同时增加、更换粗格栅间及进水泵房、紫外线消毒渠、加药间、污泥浓缩脱水车间、二次提升泵房、精密过滤滤池、加药间等内的设备；将污水处理能力由4.0×10</w:t>
            </w:r>
            <w:r>
              <w:rPr>
                <w:rFonts w:hint="default" w:ascii="Times New Roman" w:hAnsi="Times New Roman" w:eastAsia="宋体" w:cs="Times New Roman"/>
                <w:color w:val="auto"/>
                <w:kern w:val="0"/>
                <w:sz w:val="24"/>
                <w:szCs w:val="24"/>
                <w:vertAlign w:val="superscript"/>
                <w:lang w:val="en-US" w:eastAsia="zh-CN" w:bidi="ar"/>
              </w:rPr>
              <w:t>4</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/d提高至8.0×10</w:t>
            </w:r>
            <w:r>
              <w:rPr>
                <w:rFonts w:hint="default" w:ascii="Times New Roman" w:hAnsi="Times New Roman" w:eastAsia="宋体" w:cs="Times New Roman"/>
                <w:color w:val="auto"/>
                <w:kern w:val="0"/>
                <w:sz w:val="24"/>
                <w:szCs w:val="24"/>
                <w:vertAlign w:val="superscript"/>
                <w:lang w:val="en-US" w:eastAsia="zh-CN" w:bidi="ar"/>
              </w:rPr>
              <w:t>4</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/d，总投资7570.33万元。官塘污水处理厂二期工程收纳范围在一期工程基础上增加：洛埠镇、中欧产业园以及会展南路以南、新福路以西至新区辖区西南边界区域</w:t>
            </w:r>
            <w:r>
              <w:rPr>
                <w:rFonts w:hint="eastAsia" w:cs="Times New Roman"/>
                <w:color w:val="auto"/>
                <w:kern w:val="0"/>
                <w:sz w:val="24"/>
                <w:szCs w:val="24"/>
                <w:lang w:val="en-US" w:eastAsia="zh-CN" w:bidi="ar"/>
              </w:rPr>
              <w:t>，</w:t>
            </w:r>
            <w:r>
              <w:rPr>
                <w:rFonts w:hint="eastAsia" w:cs="Times New Roman"/>
                <w:color w:val="auto"/>
                <w:kern w:val="0"/>
                <w:sz w:val="24"/>
                <w:szCs w:val="24"/>
                <w:lang w:val="en-US" w:eastAsia="zh-CN" w:bidi="ar"/>
              </w:rPr>
              <w:t>项目所在区域已接通污水管网，目前</w:t>
            </w:r>
            <w:r>
              <w:rPr>
                <w:rFonts w:hint="default" w:ascii="Times New Roman" w:hAnsi="Times New Roman" w:eastAsia="宋体" w:cs="Times New Roman"/>
                <w:color w:val="auto"/>
                <w:kern w:val="0"/>
                <w:sz w:val="24"/>
                <w:szCs w:val="24"/>
                <w:lang w:val="en-US" w:eastAsia="zh-CN" w:bidi="ar"/>
              </w:rPr>
              <w:t>官塘污水处理厂</w:t>
            </w:r>
            <w:r>
              <w:rPr>
                <w:rFonts w:hint="eastAsia" w:ascii="Times New Roman" w:hAnsi="Times New Roman" w:cs="Times New Roman"/>
                <w:color w:val="auto"/>
                <w:kern w:val="0"/>
                <w:sz w:val="24"/>
                <w:szCs w:val="24"/>
                <w:lang w:val="en-US" w:eastAsia="zh-CN" w:bidi="ar"/>
              </w:rPr>
              <w:t>运行负荷约75%</w:t>
            </w:r>
            <w:r>
              <w:rPr>
                <w:rFonts w:hint="default" w:ascii="Times New Roman" w:hAnsi="Times New Roman" w:eastAsia="宋体" w:cs="Times New Roman"/>
                <w:color w:val="auto"/>
                <w:kern w:val="0"/>
                <w:sz w:val="24"/>
                <w:szCs w:val="24"/>
                <w:lang w:val="en-US" w:eastAsia="zh-CN" w:bidi="ar"/>
              </w:rPr>
              <w:t>。</w:t>
            </w:r>
          </w:p>
          <w:p w14:paraId="38413CF7">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0" w:firstLineChars="200"/>
              <w:jc w:val="both"/>
              <w:textAlignment w:val="auto"/>
              <w:outlineLvl w:val="9"/>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根据咨询柳州市柳东新区规划建设局，官塘污水处理厂二期已于2025年6月30日投入试运行</w:t>
            </w:r>
            <w:r>
              <w:rPr>
                <w:rFonts w:hint="eastAsia" w:cs="Times New Roman"/>
                <w:color w:val="auto"/>
                <w:kern w:val="0"/>
                <w:sz w:val="24"/>
                <w:szCs w:val="24"/>
                <w:lang w:val="en-US" w:eastAsia="zh-CN" w:bidi="ar"/>
              </w:rPr>
              <w:t>，</w:t>
            </w:r>
            <w:r>
              <w:rPr>
                <w:rFonts w:hint="eastAsia" w:cs="Times New Roman"/>
                <w:color w:val="auto"/>
                <w:kern w:val="0"/>
                <w:sz w:val="24"/>
                <w:szCs w:val="24"/>
                <w:lang w:val="en-US" w:eastAsia="zh-CN" w:bidi="ar"/>
              </w:rPr>
              <w:t>于2025年11月完成竣工环境保护验收，目前</w:t>
            </w:r>
            <w:r>
              <w:rPr>
                <w:rFonts w:hint="default" w:ascii="Times New Roman" w:hAnsi="Times New Roman" w:eastAsia="宋体" w:cs="Times New Roman"/>
                <w:color w:val="auto"/>
                <w:kern w:val="0"/>
                <w:sz w:val="24"/>
                <w:szCs w:val="24"/>
                <w:lang w:val="en-US" w:eastAsia="zh-CN" w:bidi="ar"/>
              </w:rPr>
              <w:t>官塘污水处理厂</w:t>
            </w:r>
            <w:r>
              <w:rPr>
                <w:rFonts w:hint="eastAsia" w:ascii="Times New Roman" w:hAnsi="Times New Roman" w:cs="Times New Roman"/>
                <w:color w:val="auto"/>
                <w:kern w:val="0"/>
                <w:sz w:val="24"/>
                <w:szCs w:val="24"/>
                <w:lang w:val="en-US" w:eastAsia="zh-CN" w:bidi="ar"/>
              </w:rPr>
              <w:t>运行正常</w:t>
            </w:r>
            <w:r>
              <w:rPr>
                <w:rFonts w:hint="default" w:ascii="Times New Roman" w:hAnsi="Times New Roman" w:eastAsia="宋体" w:cs="Times New Roman"/>
                <w:color w:val="auto"/>
                <w:kern w:val="0"/>
                <w:sz w:val="24"/>
                <w:szCs w:val="24"/>
                <w:lang w:val="en-US" w:eastAsia="zh-CN" w:bidi="ar"/>
              </w:rPr>
              <w:t>。本项目日排放水量约</w:t>
            </w:r>
            <w:r>
              <w:rPr>
                <w:rFonts w:hint="eastAsia" w:cs="Times New Roman"/>
                <w:color w:val="auto"/>
                <w:kern w:val="0"/>
                <w:sz w:val="24"/>
                <w:szCs w:val="24"/>
                <w:lang w:val="en-US" w:eastAsia="zh-CN" w:bidi="ar"/>
              </w:rPr>
              <w:t>25.53</w:t>
            </w:r>
            <w:r>
              <w:rPr>
                <w:rFonts w:hint="default" w:ascii="Times New Roman" w:hAnsi="Times New Roman" w:eastAsia="宋体" w:cs="Times New Roman"/>
                <w:color w:val="auto"/>
                <w:kern w:val="0"/>
                <w:sz w:val="24"/>
                <w:szCs w:val="24"/>
                <w:lang w:val="en-US" w:eastAsia="zh-CN" w:bidi="ar"/>
              </w:rPr>
              <w:t>t/d；外排废水中COD、BOD</w:t>
            </w:r>
            <w:r>
              <w:rPr>
                <w:rFonts w:hint="default" w:ascii="Times New Roman" w:hAnsi="Times New Roman" w:eastAsia="宋体" w:cs="Times New Roman"/>
                <w:color w:val="auto"/>
                <w:kern w:val="0"/>
                <w:sz w:val="24"/>
                <w:szCs w:val="24"/>
                <w:vertAlign w:val="subscript"/>
                <w:lang w:val="en-US" w:eastAsia="zh-CN" w:bidi="ar"/>
              </w:rPr>
              <w:t>5</w:t>
            </w:r>
            <w:r>
              <w:rPr>
                <w:rFonts w:hint="default" w:ascii="Times New Roman" w:hAnsi="Times New Roman" w:eastAsia="宋体" w:cs="Times New Roman"/>
                <w:color w:val="auto"/>
                <w:kern w:val="0"/>
                <w:sz w:val="24"/>
                <w:szCs w:val="24"/>
                <w:lang w:val="en-US" w:eastAsia="zh-CN" w:bidi="ar"/>
              </w:rPr>
              <w:t>、SS、NH</w:t>
            </w:r>
            <w:r>
              <w:rPr>
                <w:rFonts w:hint="default" w:ascii="Times New Roman" w:hAnsi="Times New Roman" w:eastAsia="宋体" w:cs="Times New Roman"/>
                <w:color w:val="auto"/>
                <w:kern w:val="0"/>
                <w:sz w:val="24"/>
                <w:szCs w:val="24"/>
                <w:vertAlign w:val="subscript"/>
                <w:lang w:val="en-US" w:eastAsia="zh-CN" w:bidi="ar"/>
              </w:rPr>
              <w:t>3</w:t>
            </w:r>
            <w:r>
              <w:rPr>
                <w:rFonts w:hint="default" w:ascii="Times New Roman" w:hAnsi="Times New Roman" w:eastAsia="宋体" w:cs="Times New Roman"/>
                <w:color w:val="auto"/>
                <w:kern w:val="0"/>
                <w:sz w:val="24"/>
                <w:szCs w:val="24"/>
                <w:lang w:val="en-US" w:eastAsia="zh-CN" w:bidi="ar"/>
              </w:rPr>
              <w:t>-N</w:t>
            </w:r>
            <w:r>
              <w:rPr>
                <w:rFonts w:hint="eastAsia" w:cs="Times New Roman"/>
                <w:color w:val="auto"/>
                <w:kern w:val="0"/>
                <w:sz w:val="24"/>
                <w:szCs w:val="24"/>
                <w:lang w:val="en-US" w:eastAsia="zh-CN" w:bidi="ar"/>
              </w:rPr>
              <w:t>、石油类、磷酸盐、总锌</w:t>
            </w:r>
            <w:r>
              <w:rPr>
                <w:rFonts w:hint="default" w:ascii="Times New Roman" w:hAnsi="Times New Roman" w:eastAsia="宋体" w:cs="Times New Roman"/>
                <w:color w:val="auto"/>
                <w:kern w:val="0"/>
                <w:sz w:val="24"/>
                <w:szCs w:val="24"/>
                <w:lang w:val="en-US" w:eastAsia="zh-CN" w:bidi="ar"/>
              </w:rPr>
              <w:t>的浓度分别为</w:t>
            </w:r>
            <w:r>
              <w:rPr>
                <w:rFonts w:hint="eastAsia" w:cs="Times New Roman"/>
                <w:color w:val="auto"/>
                <w:kern w:val="0"/>
                <w:sz w:val="24"/>
                <w:szCs w:val="24"/>
                <w:lang w:val="en-US" w:eastAsia="zh-CN" w:bidi="ar"/>
              </w:rPr>
              <w:t>195.37</w:t>
            </w:r>
            <w:r>
              <w:rPr>
                <w:rFonts w:hint="default" w:ascii="Times New Roman" w:hAnsi="Times New Roman" w:eastAsia="宋体" w:cs="Times New Roman"/>
                <w:color w:val="auto"/>
                <w:kern w:val="0"/>
                <w:sz w:val="24"/>
                <w:szCs w:val="24"/>
                <w:lang w:val="en-US" w:eastAsia="zh-CN" w:bidi="ar"/>
              </w:rPr>
              <w:t>mg/L、</w:t>
            </w:r>
            <w:r>
              <w:rPr>
                <w:rFonts w:hint="eastAsia" w:cs="Times New Roman"/>
                <w:color w:val="auto"/>
                <w:kern w:val="0"/>
                <w:sz w:val="24"/>
                <w:szCs w:val="24"/>
                <w:lang w:val="en-US" w:eastAsia="zh-CN" w:bidi="ar"/>
              </w:rPr>
              <w:t>139.95</w:t>
            </w:r>
            <w:r>
              <w:rPr>
                <w:rFonts w:hint="default" w:ascii="Times New Roman" w:hAnsi="Times New Roman" w:eastAsia="宋体" w:cs="Times New Roman"/>
                <w:color w:val="auto"/>
                <w:kern w:val="0"/>
                <w:sz w:val="24"/>
                <w:szCs w:val="24"/>
                <w:lang w:val="en-US" w:eastAsia="zh-CN" w:bidi="ar"/>
              </w:rPr>
              <w:t>mg/L、</w:t>
            </w:r>
            <w:r>
              <w:rPr>
                <w:rFonts w:hint="eastAsia" w:cs="Times New Roman"/>
                <w:color w:val="auto"/>
                <w:kern w:val="0"/>
                <w:sz w:val="24"/>
                <w:szCs w:val="24"/>
                <w:lang w:val="en-US" w:eastAsia="zh-CN" w:bidi="ar"/>
              </w:rPr>
              <w:t>85.18</w:t>
            </w:r>
            <w:r>
              <w:rPr>
                <w:rFonts w:hint="default" w:ascii="Times New Roman" w:hAnsi="Times New Roman" w:eastAsia="宋体" w:cs="Times New Roman"/>
                <w:color w:val="auto"/>
                <w:kern w:val="0"/>
                <w:sz w:val="24"/>
                <w:szCs w:val="24"/>
                <w:lang w:val="en-US" w:eastAsia="zh-CN" w:bidi="ar"/>
              </w:rPr>
              <w:t>mg/L、</w:t>
            </w:r>
            <w:r>
              <w:rPr>
                <w:rFonts w:hint="eastAsia" w:cs="Times New Roman"/>
                <w:color w:val="auto"/>
                <w:kern w:val="0"/>
                <w:sz w:val="24"/>
                <w:szCs w:val="24"/>
                <w:lang w:val="en-US" w:eastAsia="zh-CN" w:bidi="ar"/>
              </w:rPr>
              <w:t>27.99</w:t>
            </w:r>
            <w:r>
              <w:rPr>
                <w:rFonts w:hint="default" w:ascii="Times New Roman" w:hAnsi="Times New Roman" w:eastAsia="宋体" w:cs="Times New Roman"/>
                <w:color w:val="auto"/>
                <w:kern w:val="0"/>
                <w:sz w:val="24"/>
                <w:szCs w:val="24"/>
                <w:lang w:val="en-US" w:eastAsia="zh-CN" w:bidi="ar"/>
              </w:rPr>
              <w:t>mg/L、</w:t>
            </w:r>
            <w:r>
              <w:rPr>
                <w:rFonts w:hint="eastAsia" w:cs="Times New Roman"/>
                <w:color w:val="auto"/>
                <w:kern w:val="0"/>
                <w:sz w:val="24"/>
                <w:szCs w:val="24"/>
                <w:lang w:val="en-US" w:eastAsia="zh-CN" w:bidi="ar"/>
              </w:rPr>
              <w:t>0.29</w:t>
            </w:r>
            <w:r>
              <w:rPr>
                <w:rFonts w:hint="default" w:ascii="Times New Roman" w:hAnsi="Times New Roman" w:eastAsia="宋体" w:cs="Times New Roman"/>
                <w:color w:val="auto"/>
                <w:kern w:val="0"/>
                <w:sz w:val="24"/>
                <w:szCs w:val="24"/>
                <w:lang w:val="en-US" w:eastAsia="zh-CN" w:bidi="ar"/>
              </w:rPr>
              <w:t>mg/L、</w:t>
            </w:r>
            <w:r>
              <w:rPr>
                <w:rFonts w:hint="eastAsia" w:cs="Times New Roman"/>
                <w:color w:val="auto"/>
                <w:kern w:val="0"/>
                <w:sz w:val="24"/>
                <w:szCs w:val="24"/>
                <w:lang w:val="en-US" w:eastAsia="zh-CN" w:bidi="ar"/>
              </w:rPr>
              <w:t>0.27</w:t>
            </w:r>
            <w:r>
              <w:rPr>
                <w:rFonts w:hint="default" w:ascii="Times New Roman" w:hAnsi="Times New Roman" w:eastAsia="宋体" w:cs="Times New Roman"/>
                <w:color w:val="auto"/>
                <w:kern w:val="0"/>
                <w:sz w:val="24"/>
                <w:szCs w:val="24"/>
                <w:lang w:val="en-US" w:eastAsia="zh-CN" w:bidi="ar"/>
              </w:rPr>
              <w:t>mg/L</w:t>
            </w:r>
            <w:r>
              <w:rPr>
                <w:rFonts w:hint="eastAsia" w:cs="Times New Roman"/>
                <w:color w:val="auto"/>
                <w:kern w:val="0"/>
                <w:sz w:val="24"/>
                <w:szCs w:val="24"/>
                <w:lang w:val="en-US" w:eastAsia="zh-CN" w:bidi="ar"/>
              </w:rPr>
              <w:t>、0.16</w:t>
            </w:r>
            <w:r>
              <w:rPr>
                <w:rFonts w:hint="default" w:ascii="Times New Roman" w:hAnsi="Times New Roman" w:eastAsia="宋体" w:cs="Times New Roman"/>
                <w:color w:val="auto"/>
                <w:kern w:val="0"/>
                <w:sz w:val="24"/>
                <w:szCs w:val="24"/>
                <w:lang w:val="en-US" w:eastAsia="zh-CN" w:bidi="ar"/>
              </w:rPr>
              <w:t>mg/L，可满足官塘污水处理厂进水水质的要求（COD、BOD</w:t>
            </w:r>
            <w:r>
              <w:rPr>
                <w:rFonts w:hint="default" w:ascii="Times New Roman" w:hAnsi="Times New Roman" w:eastAsia="宋体" w:cs="Times New Roman"/>
                <w:color w:val="auto"/>
                <w:kern w:val="0"/>
                <w:sz w:val="24"/>
                <w:szCs w:val="24"/>
                <w:vertAlign w:val="subscript"/>
                <w:lang w:val="en-US" w:eastAsia="zh-CN" w:bidi="ar"/>
              </w:rPr>
              <w:t>5</w:t>
            </w:r>
            <w:r>
              <w:rPr>
                <w:rFonts w:hint="default" w:ascii="Times New Roman" w:hAnsi="Times New Roman" w:eastAsia="宋体" w:cs="Times New Roman"/>
                <w:color w:val="auto"/>
                <w:kern w:val="0"/>
                <w:sz w:val="24"/>
                <w:szCs w:val="24"/>
                <w:lang w:val="en-US" w:eastAsia="zh-CN" w:bidi="ar"/>
              </w:rPr>
              <w:t>、SS、NH</w:t>
            </w:r>
            <w:r>
              <w:rPr>
                <w:rFonts w:hint="default" w:ascii="Times New Roman" w:hAnsi="Times New Roman" w:eastAsia="宋体" w:cs="Times New Roman"/>
                <w:color w:val="auto"/>
                <w:kern w:val="0"/>
                <w:sz w:val="24"/>
                <w:szCs w:val="24"/>
                <w:vertAlign w:val="subscript"/>
                <w:lang w:val="en-US" w:eastAsia="zh-CN" w:bidi="ar"/>
              </w:rPr>
              <w:t>3</w:t>
            </w:r>
            <w:r>
              <w:rPr>
                <w:rFonts w:hint="default" w:ascii="Times New Roman" w:hAnsi="Times New Roman" w:eastAsia="宋体" w:cs="Times New Roman"/>
                <w:color w:val="auto"/>
                <w:kern w:val="0"/>
                <w:sz w:val="24"/>
                <w:szCs w:val="24"/>
                <w:lang w:val="en-US" w:eastAsia="zh-CN" w:bidi="ar"/>
              </w:rPr>
              <w:t>-N</w:t>
            </w:r>
            <w:r>
              <w:rPr>
                <w:rFonts w:hint="eastAsia" w:cs="Times New Roman"/>
                <w:color w:val="auto"/>
                <w:kern w:val="0"/>
                <w:sz w:val="24"/>
                <w:szCs w:val="24"/>
                <w:lang w:val="en-US" w:eastAsia="zh-CN" w:bidi="ar"/>
              </w:rPr>
              <w:t>、磷酸盐</w:t>
            </w:r>
            <w:r>
              <w:rPr>
                <w:rFonts w:hint="default" w:ascii="Times New Roman" w:hAnsi="Times New Roman" w:eastAsia="宋体" w:cs="Times New Roman"/>
                <w:color w:val="auto"/>
                <w:kern w:val="0"/>
                <w:sz w:val="24"/>
                <w:szCs w:val="24"/>
                <w:lang w:val="en-US" w:eastAsia="zh-CN" w:bidi="ar"/>
              </w:rPr>
              <w:t>的浓度分别为220mg/L、120mg/L、200mg/L、25mg/L、</w:t>
            </w:r>
            <w:r>
              <w:rPr>
                <w:rFonts w:hint="eastAsia" w:cs="Times New Roman"/>
                <w:color w:val="auto"/>
                <w:kern w:val="0"/>
                <w:sz w:val="24"/>
                <w:szCs w:val="24"/>
                <w:lang w:val="en-US" w:eastAsia="zh-CN" w:bidi="ar"/>
              </w:rPr>
              <w:t>3</w:t>
            </w:r>
            <w:r>
              <w:rPr>
                <w:rFonts w:hint="default" w:ascii="Times New Roman" w:hAnsi="Times New Roman" w:eastAsia="宋体" w:cs="Times New Roman"/>
                <w:color w:val="auto"/>
                <w:kern w:val="0"/>
                <w:sz w:val="24"/>
                <w:szCs w:val="24"/>
                <w:lang w:val="en-US" w:eastAsia="zh-CN" w:bidi="ar"/>
              </w:rPr>
              <w:t>mg/L）。</w:t>
            </w:r>
          </w:p>
          <w:p w14:paraId="1F6D0B27">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0" w:firstLineChars="200"/>
              <w:jc w:val="both"/>
              <w:textAlignment w:val="auto"/>
              <w:outlineLvl w:val="9"/>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综上，本项目外排废水远小于</w:t>
            </w:r>
            <w:r>
              <w:rPr>
                <w:rFonts w:hint="default" w:ascii="Times New Roman" w:hAnsi="Times New Roman" w:eastAsia="宋体" w:cs="Times New Roman"/>
                <w:color w:val="auto"/>
                <w:kern w:val="0"/>
                <w:sz w:val="24"/>
                <w:szCs w:val="24"/>
                <w:lang w:val="en-US" w:eastAsia="zh-CN" w:bidi="ar"/>
              </w:rPr>
              <w:t>官塘污水处理厂</w:t>
            </w:r>
            <w:r>
              <w:rPr>
                <w:rFonts w:hint="eastAsia" w:cs="Times New Roman"/>
                <w:color w:val="auto"/>
                <w:kern w:val="0"/>
                <w:sz w:val="24"/>
                <w:szCs w:val="24"/>
                <w:lang w:val="en-US" w:eastAsia="zh-CN" w:bidi="ar"/>
              </w:rPr>
              <w:t>剩余</w:t>
            </w:r>
            <w:r>
              <w:rPr>
                <w:rFonts w:hint="default" w:ascii="Times New Roman" w:hAnsi="Times New Roman" w:eastAsia="宋体" w:cs="Times New Roman"/>
                <w:color w:val="auto"/>
                <w:kern w:val="0"/>
                <w:sz w:val="24"/>
                <w:szCs w:val="24"/>
                <w:lang w:val="en-US" w:eastAsia="zh-CN" w:bidi="ar"/>
              </w:rPr>
              <w:t>处理水量</w:t>
            </w:r>
            <w:r>
              <w:rPr>
                <w:rFonts w:hint="eastAsia" w:cs="Times New Roman"/>
                <w:color w:val="auto"/>
                <w:kern w:val="0"/>
                <w:sz w:val="24"/>
                <w:szCs w:val="24"/>
                <w:lang w:val="en-US" w:eastAsia="zh-CN" w:bidi="ar"/>
              </w:rPr>
              <w:t>（20000</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/d</w:t>
            </w:r>
            <w:r>
              <w:rPr>
                <w:rFonts w:hint="eastAsia"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且满足其进水水质要求，不会对其处理规模及处理工艺、出水水质等造成影响。根据官塘污水处理厂公布的排污许可公报，官塘污水处理厂出水水质执行《城镇污水处理厂污染物排放标准》一级A标准。因此，本项目外排废水依托官塘污水处理厂进行处理可行，不会对周边地表水体交壅沟、柳江等造成影响</w:t>
            </w:r>
            <w:r>
              <w:rPr>
                <w:rFonts w:hint="eastAsia" w:cs="Times New Roman"/>
                <w:color w:val="auto"/>
                <w:kern w:val="0"/>
                <w:sz w:val="24"/>
                <w:szCs w:val="24"/>
                <w:lang w:val="en-US" w:eastAsia="zh-CN" w:bidi="ar"/>
              </w:rPr>
              <w:t>。</w:t>
            </w:r>
          </w:p>
          <w:p w14:paraId="4DC386A3">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0" w:firstLineChars="200"/>
              <w:jc w:val="both"/>
              <w:textAlignment w:val="auto"/>
              <w:outlineLvl w:val="9"/>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项目生产废水及生活污水治理设施情况详见下表4-</w:t>
            </w:r>
            <w:r>
              <w:rPr>
                <w:rFonts w:hint="eastAsia" w:cs="Times New Roman"/>
                <w:color w:val="auto"/>
                <w:kern w:val="0"/>
                <w:sz w:val="24"/>
                <w:szCs w:val="24"/>
                <w:lang w:val="en-US" w:eastAsia="zh-CN" w:bidi="ar"/>
              </w:rPr>
              <w:t>17</w:t>
            </w:r>
            <w:r>
              <w:rPr>
                <w:rFonts w:hint="default" w:ascii="Times New Roman" w:hAnsi="Times New Roman" w:eastAsia="宋体" w:cs="Times New Roman"/>
                <w:color w:val="auto"/>
                <w:kern w:val="0"/>
                <w:sz w:val="24"/>
                <w:szCs w:val="24"/>
                <w:lang w:val="en-US" w:eastAsia="zh-CN" w:bidi="ar"/>
              </w:rPr>
              <w:t>。</w:t>
            </w:r>
          </w:p>
          <w:p w14:paraId="1390ABC8">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2" w:firstLineChars="200"/>
              <w:jc w:val="center"/>
              <w:textAlignment w:val="auto"/>
              <w:outlineLvl w:val="9"/>
              <w:rPr>
                <w:rFonts w:hint="default" w:ascii="Times New Roman" w:hAnsi="Times New Roman" w:eastAsia="宋体" w:cs="Times New Roman"/>
                <w:b/>
                <w:bCs/>
                <w:color w:val="auto"/>
                <w:kern w:val="0"/>
                <w:sz w:val="24"/>
                <w:szCs w:val="24"/>
                <w:lang w:val="en-US" w:eastAsia="zh-CN" w:bidi="ar"/>
              </w:rPr>
            </w:pPr>
          </w:p>
          <w:p w14:paraId="12AF0B9F">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2" w:firstLineChars="200"/>
              <w:jc w:val="center"/>
              <w:textAlignment w:val="auto"/>
              <w:outlineLvl w:val="9"/>
              <w:rPr>
                <w:rFonts w:hint="default" w:ascii="Times New Roman" w:hAnsi="Times New Roman" w:eastAsia="宋体" w:cs="Times New Roman"/>
                <w:b/>
                <w:bCs/>
                <w:color w:val="auto"/>
                <w:kern w:val="0"/>
                <w:sz w:val="24"/>
                <w:szCs w:val="24"/>
                <w:lang w:val="en-US" w:eastAsia="zh-CN" w:bidi="ar"/>
              </w:rPr>
            </w:pPr>
          </w:p>
          <w:p w14:paraId="0A76C66A">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2" w:firstLineChars="200"/>
              <w:jc w:val="center"/>
              <w:textAlignment w:val="auto"/>
              <w:outlineLvl w:val="9"/>
              <w:rPr>
                <w:rFonts w:hint="default" w:ascii="Times New Roman" w:hAnsi="Times New Roman" w:eastAsia="宋体" w:cs="Times New Roman"/>
                <w:b/>
                <w:bCs/>
                <w:color w:val="auto"/>
                <w:kern w:val="0"/>
                <w:sz w:val="24"/>
                <w:szCs w:val="24"/>
                <w:lang w:val="en-US" w:eastAsia="zh-CN" w:bidi="ar"/>
              </w:rPr>
            </w:pPr>
          </w:p>
          <w:p w14:paraId="261A9258">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2" w:firstLineChars="200"/>
              <w:jc w:val="center"/>
              <w:textAlignment w:val="auto"/>
              <w:outlineLvl w:val="9"/>
              <w:rPr>
                <w:rFonts w:hint="default" w:ascii="Times New Roman" w:hAnsi="Times New Roman" w:eastAsia="宋体" w:cs="Times New Roman"/>
                <w:b/>
                <w:bCs/>
                <w:color w:val="auto"/>
                <w:kern w:val="0"/>
                <w:sz w:val="24"/>
                <w:szCs w:val="24"/>
                <w:lang w:val="en-US" w:eastAsia="zh-CN" w:bidi="ar"/>
              </w:rPr>
            </w:pPr>
          </w:p>
          <w:p w14:paraId="60409636">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2" w:firstLineChars="200"/>
              <w:jc w:val="center"/>
              <w:textAlignment w:val="auto"/>
              <w:outlineLvl w:val="9"/>
              <w:rPr>
                <w:rFonts w:hint="default" w:ascii="Times New Roman" w:hAnsi="Times New Roman" w:eastAsia="宋体" w:cs="Times New Roman"/>
                <w:b/>
                <w:bCs/>
                <w:color w:val="auto"/>
                <w:kern w:val="0"/>
                <w:sz w:val="24"/>
                <w:szCs w:val="24"/>
                <w:lang w:val="en-US" w:eastAsia="zh-CN" w:bidi="ar"/>
              </w:rPr>
            </w:pPr>
          </w:p>
          <w:p w14:paraId="4CCB9C34">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2" w:firstLineChars="200"/>
              <w:jc w:val="center"/>
              <w:textAlignment w:val="auto"/>
              <w:outlineLvl w:val="9"/>
              <w:rPr>
                <w:rFonts w:hint="default" w:ascii="Times New Roman" w:hAnsi="Times New Roman" w:eastAsia="宋体" w:cs="Times New Roman"/>
                <w:b/>
                <w:bCs/>
                <w:color w:val="auto"/>
                <w:kern w:val="0"/>
                <w:sz w:val="24"/>
                <w:szCs w:val="24"/>
                <w:lang w:val="en-US" w:eastAsia="zh-CN" w:bidi="ar"/>
              </w:rPr>
            </w:pPr>
          </w:p>
          <w:p w14:paraId="52011944">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2" w:firstLineChars="200"/>
              <w:jc w:val="center"/>
              <w:textAlignment w:val="auto"/>
              <w:outlineLvl w:val="9"/>
              <w:rPr>
                <w:rFonts w:hint="default" w:ascii="Times New Roman" w:hAnsi="Times New Roman" w:eastAsia="宋体" w:cs="Times New Roman"/>
                <w:b/>
                <w:bCs/>
                <w:color w:val="auto"/>
                <w:kern w:val="0"/>
                <w:sz w:val="24"/>
                <w:szCs w:val="24"/>
                <w:lang w:val="en-US" w:eastAsia="zh-CN" w:bidi="ar"/>
              </w:rPr>
            </w:pPr>
          </w:p>
          <w:p w14:paraId="64156071">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2" w:firstLineChars="200"/>
              <w:jc w:val="center"/>
              <w:textAlignment w:val="auto"/>
              <w:outlineLvl w:val="9"/>
              <w:rPr>
                <w:rFonts w:hint="default" w:ascii="Times New Roman" w:hAnsi="Times New Roman" w:eastAsia="宋体" w:cs="Times New Roman"/>
                <w:b/>
                <w:bCs/>
                <w:color w:val="auto"/>
                <w:kern w:val="0"/>
                <w:sz w:val="24"/>
                <w:szCs w:val="24"/>
                <w:lang w:val="en-US" w:eastAsia="zh-CN" w:bidi="ar"/>
              </w:rPr>
            </w:pPr>
          </w:p>
          <w:p w14:paraId="4243A179">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2" w:firstLineChars="200"/>
              <w:jc w:val="center"/>
              <w:textAlignment w:val="auto"/>
              <w:outlineLvl w:val="9"/>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szCs w:val="24"/>
                <w:lang w:val="en-US" w:eastAsia="zh-CN" w:bidi="ar"/>
              </w:rPr>
              <w:t>表4-</w:t>
            </w:r>
            <w:r>
              <w:rPr>
                <w:rFonts w:hint="eastAsia" w:ascii="Times New Roman" w:hAnsi="Times New Roman" w:eastAsia="宋体" w:cs="Times New Roman"/>
                <w:b/>
                <w:bCs/>
                <w:color w:val="auto"/>
                <w:kern w:val="0"/>
                <w:sz w:val="24"/>
                <w:szCs w:val="24"/>
                <w:lang w:val="en-US" w:eastAsia="zh-CN" w:bidi="ar"/>
              </w:rPr>
              <w:t>1</w:t>
            </w:r>
            <w:r>
              <w:rPr>
                <w:rFonts w:hint="eastAsia" w:cs="Times New Roman"/>
                <w:b/>
                <w:bCs/>
                <w:color w:val="auto"/>
                <w:kern w:val="0"/>
                <w:sz w:val="24"/>
                <w:szCs w:val="24"/>
                <w:lang w:val="en-US" w:eastAsia="zh-CN" w:bidi="ar"/>
              </w:rPr>
              <w:t>7</w:t>
            </w:r>
            <w:r>
              <w:rPr>
                <w:rFonts w:hint="default" w:ascii="Times New Roman" w:hAnsi="Times New Roman" w:eastAsia="宋体" w:cs="Times New Roman"/>
                <w:b/>
                <w:bCs/>
                <w:color w:val="auto"/>
                <w:kern w:val="0"/>
                <w:sz w:val="24"/>
                <w:szCs w:val="24"/>
                <w:lang w:val="en-US" w:eastAsia="zh-CN" w:bidi="ar"/>
              </w:rPr>
              <w:t>废水污染治理设施信息表</w:t>
            </w:r>
          </w:p>
          <w:tbl>
            <w:tblPr>
              <w:tblStyle w:val="40"/>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917"/>
              <w:gridCol w:w="925"/>
              <w:gridCol w:w="836"/>
              <w:gridCol w:w="809"/>
              <w:gridCol w:w="771"/>
              <w:gridCol w:w="840"/>
              <w:gridCol w:w="630"/>
              <w:gridCol w:w="411"/>
              <w:gridCol w:w="412"/>
              <w:gridCol w:w="628"/>
            </w:tblGrid>
            <w:tr w14:paraId="3187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Merge w:val="restart"/>
                  <w:vAlign w:val="center"/>
                </w:tcPr>
                <w:p w14:paraId="79125B31">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废水类别</w:t>
                  </w:r>
                </w:p>
              </w:tc>
              <w:tc>
                <w:tcPr>
                  <w:tcW w:w="578" w:type="pct"/>
                  <w:vMerge w:val="restart"/>
                  <w:vAlign w:val="center"/>
                </w:tcPr>
                <w:p w14:paraId="57656B10">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污染物种类</w:t>
                  </w:r>
                </w:p>
              </w:tc>
              <w:tc>
                <w:tcPr>
                  <w:tcW w:w="1620" w:type="pct"/>
                  <w:gridSpan w:val="3"/>
                  <w:vAlign w:val="center"/>
                </w:tcPr>
                <w:p w14:paraId="286B2B7A">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ascii="Times New Roman" w:hAnsi="Times New Roman" w:cs="Times New Roman"/>
                      <w:color w:val="auto"/>
                      <w:kern w:val="0"/>
                      <w:sz w:val="21"/>
                      <w:szCs w:val="21"/>
                      <w:vertAlign w:val="baseline"/>
                      <w:lang w:val="en-US" w:eastAsia="zh-CN" w:bidi="ar"/>
                    </w:rPr>
                    <w:t>污染治理设施</w:t>
                  </w:r>
                </w:p>
              </w:tc>
              <w:tc>
                <w:tcPr>
                  <w:tcW w:w="486" w:type="pct"/>
                  <w:vMerge w:val="restart"/>
                  <w:vAlign w:val="center"/>
                </w:tcPr>
                <w:p w14:paraId="31E9361E">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ascii="Times New Roman" w:hAnsi="Times New Roman" w:cs="Times New Roman"/>
                      <w:color w:val="auto"/>
                      <w:kern w:val="0"/>
                      <w:sz w:val="21"/>
                      <w:szCs w:val="21"/>
                      <w:vertAlign w:val="baseline"/>
                      <w:lang w:val="en-US" w:eastAsia="zh-CN" w:bidi="ar"/>
                    </w:rPr>
                    <w:t>排放去向</w:t>
                  </w:r>
                </w:p>
              </w:tc>
              <w:tc>
                <w:tcPr>
                  <w:tcW w:w="529" w:type="pct"/>
                  <w:vMerge w:val="restart"/>
                  <w:vAlign w:val="center"/>
                </w:tcPr>
                <w:p w14:paraId="431EE770">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ascii="Times New Roman" w:hAnsi="Times New Roman" w:cs="Times New Roman"/>
                      <w:color w:val="auto"/>
                      <w:kern w:val="0"/>
                      <w:sz w:val="21"/>
                      <w:szCs w:val="21"/>
                      <w:vertAlign w:val="baseline"/>
                      <w:lang w:val="en-US" w:eastAsia="zh-CN" w:bidi="ar"/>
                    </w:rPr>
                    <w:t>排放规律</w:t>
                  </w:r>
                </w:p>
              </w:tc>
              <w:tc>
                <w:tcPr>
                  <w:tcW w:w="397" w:type="pct"/>
                  <w:vMerge w:val="restart"/>
                  <w:vAlign w:val="center"/>
                </w:tcPr>
                <w:p w14:paraId="2CFF4AB0">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ascii="Times New Roman" w:hAnsi="Times New Roman" w:cs="Times New Roman"/>
                      <w:color w:val="auto"/>
                      <w:kern w:val="0"/>
                      <w:sz w:val="21"/>
                      <w:szCs w:val="21"/>
                      <w:vertAlign w:val="baseline"/>
                      <w:lang w:val="en-US" w:eastAsia="zh-CN" w:bidi="ar"/>
                    </w:rPr>
                    <w:t>排放口设置是否符合要求</w:t>
                  </w:r>
                </w:p>
              </w:tc>
              <w:tc>
                <w:tcPr>
                  <w:tcW w:w="259" w:type="pct"/>
                  <w:vMerge w:val="restart"/>
                  <w:vAlign w:val="center"/>
                </w:tcPr>
                <w:p w14:paraId="0EEA1176">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eastAsia" w:ascii="Times New Roman" w:hAnsi="Times New Roman"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排放口编号</w:t>
                  </w:r>
                </w:p>
              </w:tc>
              <w:tc>
                <w:tcPr>
                  <w:tcW w:w="259" w:type="pct"/>
                  <w:vMerge w:val="restart"/>
                  <w:vAlign w:val="center"/>
                </w:tcPr>
                <w:p w14:paraId="432BEF80">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ascii="Times New Roman" w:hAnsi="Times New Roman" w:cs="Times New Roman"/>
                      <w:color w:val="auto"/>
                      <w:kern w:val="0"/>
                      <w:sz w:val="21"/>
                      <w:szCs w:val="21"/>
                      <w:vertAlign w:val="baseline"/>
                      <w:lang w:val="en-US" w:eastAsia="zh-CN" w:bidi="ar"/>
                    </w:rPr>
                    <w:t>排放口类型</w:t>
                  </w:r>
                </w:p>
              </w:tc>
              <w:tc>
                <w:tcPr>
                  <w:tcW w:w="395" w:type="pct"/>
                  <w:vMerge w:val="restart"/>
                  <w:vAlign w:val="center"/>
                </w:tcPr>
                <w:p w14:paraId="4958E4FE">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ascii="Times New Roman" w:hAnsi="Times New Roman" w:cs="Times New Roman"/>
                      <w:color w:val="auto"/>
                      <w:kern w:val="0"/>
                      <w:sz w:val="21"/>
                      <w:szCs w:val="21"/>
                      <w:vertAlign w:val="baseline"/>
                      <w:lang w:val="en-US" w:eastAsia="zh-CN" w:bidi="ar"/>
                    </w:rPr>
                    <w:t>是否为可行技术</w:t>
                  </w:r>
                </w:p>
              </w:tc>
            </w:tr>
            <w:tr w14:paraId="1DC22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3" w:type="pct"/>
                  <w:vMerge w:val="continue"/>
                  <w:vAlign w:val="center"/>
                </w:tcPr>
                <w:p w14:paraId="750AD832">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p>
              </w:tc>
              <w:tc>
                <w:tcPr>
                  <w:tcW w:w="578" w:type="pct"/>
                  <w:vMerge w:val="continue"/>
                  <w:vAlign w:val="center"/>
                </w:tcPr>
                <w:p w14:paraId="7A25E7BD">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eastAsia" w:ascii="Times New Roman" w:hAnsi="Times New Roman" w:cs="Times New Roman"/>
                      <w:color w:val="auto"/>
                      <w:kern w:val="0"/>
                      <w:sz w:val="21"/>
                      <w:szCs w:val="21"/>
                      <w:vertAlign w:val="baseline"/>
                      <w:lang w:val="en-US" w:eastAsia="zh-CN" w:bidi="ar"/>
                    </w:rPr>
                  </w:pPr>
                </w:p>
              </w:tc>
              <w:tc>
                <w:tcPr>
                  <w:tcW w:w="583" w:type="pct"/>
                  <w:vAlign w:val="center"/>
                </w:tcPr>
                <w:p w14:paraId="14EDA763">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ascii="Times New Roman" w:hAnsi="Times New Roman" w:cs="Times New Roman"/>
                      <w:color w:val="auto"/>
                      <w:kern w:val="0"/>
                      <w:sz w:val="21"/>
                      <w:szCs w:val="21"/>
                      <w:vertAlign w:val="baseline"/>
                      <w:lang w:val="en-US" w:eastAsia="zh-CN" w:bidi="ar"/>
                    </w:rPr>
                    <w:t>名称</w:t>
                  </w:r>
                </w:p>
              </w:tc>
              <w:tc>
                <w:tcPr>
                  <w:tcW w:w="527" w:type="pct"/>
                  <w:vAlign w:val="center"/>
                </w:tcPr>
                <w:p w14:paraId="73658399">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ascii="Times New Roman" w:hAnsi="Times New Roman" w:cs="Times New Roman"/>
                      <w:color w:val="auto"/>
                      <w:kern w:val="0"/>
                      <w:sz w:val="21"/>
                      <w:szCs w:val="21"/>
                      <w:vertAlign w:val="baseline"/>
                      <w:lang w:val="en-US" w:eastAsia="zh-CN" w:bidi="ar"/>
                    </w:rPr>
                    <w:t>工艺</w:t>
                  </w:r>
                </w:p>
              </w:tc>
              <w:tc>
                <w:tcPr>
                  <w:tcW w:w="508" w:type="pct"/>
                  <w:vAlign w:val="center"/>
                </w:tcPr>
                <w:p w14:paraId="0022E051">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ascii="Times New Roman" w:hAnsi="Times New Roman" w:cs="Times New Roman"/>
                      <w:color w:val="auto"/>
                      <w:kern w:val="0"/>
                      <w:sz w:val="21"/>
                      <w:szCs w:val="21"/>
                      <w:vertAlign w:val="baseline"/>
                      <w:lang w:val="en-US" w:eastAsia="zh-CN" w:bidi="ar"/>
                    </w:rPr>
                    <w:t>容积/处理能力</w:t>
                  </w:r>
                </w:p>
              </w:tc>
              <w:tc>
                <w:tcPr>
                  <w:tcW w:w="486" w:type="pct"/>
                  <w:vMerge w:val="continue"/>
                  <w:vAlign w:val="center"/>
                </w:tcPr>
                <w:p w14:paraId="41D46D87">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p>
              </w:tc>
              <w:tc>
                <w:tcPr>
                  <w:tcW w:w="529" w:type="pct"/>
                  <w:vMerge w:val="continue"/>
                  <w:vAlign w:val="center"/>
                </w:tcPr>
                <w:p w14:paraId="0F373E07">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p>
              </w:tc>
              <w:tc>
                <w:tcPr>
                  <w:tcW w:w="397" w:type="pct"/>
                  <w:vMerge w:val="continue"/>
                  <w:vAlign w:val="center"/>
                </w:tcPr>
                <w:p w14:paraId="32DCF088">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p>
              </w:tc>
              <w:tc>
                <w:tcPr>
                  <w:tcW w:w="259" w:type="pct"/>
                  <w:vMerge w:val="continue"/>
                  <w:vAlign w:val="center"/>
                </w:tcPr>
                <w:p w14:paraId="6DBCC6B0">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p>
              </w:tc>
              <w:tc>
                <w:tcPr>
                  <w:tcW w:w="259" w:type="pct"/>
                  <w:vMerge w:val="continue"/>
                  <w:vAlign w:val="center"/>
                </w:tcPr>
                <w:p w14:paraId="3320D52C">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p>
              </w:tc>
              <w:tc>
                <w:tcPr>
                  <w:tcW w:w="395" w:type="pct"/>
                  <w:vMerge w:val="continue"/>
                  <w:vAlign w:val="center"/>
                </w:tcPr>
                <w:p w14:paraId="45D5C0A1">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p>
              </w:tc>
            </w:tr>
            <w:tr w14:paraId="6CD2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Align w:val="center"/>
                </w:tcPr>
                <w:p w14:paraId="11ACD818">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生活污水</w:t>
                  </w:r>
                </w:p>
              </w:tc>
              <w:tc>
                <w:tcPr>
                  <w:tcW w:w="578" w:type="pct"/>
                  <w:vAlign w:val="center"/>
                </w:tcPr>
                <w:p w14:paraId="5C26CC1A">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COD、BOD、SS、氨氮</w:t>
                  </w:r>
                </w:p>
              </w:tc>
              <w:tc>
                <w:tcPr>
                  <w:tcW w:w="583" w:type="pct"/>
                  <w:vAlign w:val="center"/>
                </w:tcPr>
                <w:p w14:paraId="27C3E08B">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ascii="Times New Roman" w:hAnsi="Times New Roman" w:cs="Times New Roman"/>
                      <w:color w:val="auto"/>
                      <w:kern w:val="0"/>
                      <w:sz w:val="21"/>
                      <w:szCs w:val="21"/>
                      <w:vertAlign w:val="baseline"/>
                      <w:lang w:val="en-US" w:eastAsia="zh-CN" w:bidi="ar"/>
                    </w:rPr>
                    <w:t>化粪池</w:t>
                  </w:r>
                </w:p>
              </w:tc>
              <w:tc>
                <w:tcPr>
                  <w:tcW w:w="527" w:type="pct"/>
                  <w:vAlign w:val="center"/>
                </w:tcPr>
                <w:p w14:paraId="3F0FD07F">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ascii="Times New Roman" w:hAnsi="Times New Roman" w:cs="Times New Roman"/>
                      <w:color w:val="auto"/>
                      <w:kern w:val="0"/>
                      <w:sz w:val="21"/>
                      <w:szCs w:val="21"/>
                      <w:vertAlign w:val="baseline"/>
                      <w:lang w:val="en-US" w:eastAsia="zh-CN" w:bidi="ar"/>
                    </w:rPr>
                    <w:t>沉淀+厌氧</w:t>
                  </w:r>
                </w:p>
              </w:tc>
              <w:tc>
                <w:tcPr>
                  <w:tcW w:w="508" w:type="pct"/>
                  <w:vAlign w:val="center"/>
                </w:tcPr>
                <w:p w14:paraId="37D4E0CF">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30</w:t>
                  </w:r>
                  <w:r>
                    <w:rPr>
                      <w:rFonts w:hint="eastAsia" w:ascii="Times New Roman" w:hAnsi="Times New Roman" w:cs="Times New Roman"/>
                      <w:color w:val="auto"/>
                      <w:kern w:val="0"/>
                      <w:sz w:val="21"/>
                      <w:szCs w:val="21"/>
                      <w:vertAlign w:val="baseline"/>
                      <w:lang w:val="en-US" w:eastAsia="zh-CN" w:bidi="ar"/>
                    </w:rPr>
                    <w:t>m</w:t>
                  </w:r>
                  <w:r>
                    <w:rPr>
                      <w:rFonts w:hint="eastAsia" w:ascii="Times New Roman" w:hAnsi="Times New Roman" w:cs="Times New Roman"/>
                      <w:color w:val="auto"/>
                      <w:kern w:val="0"/>
                      <w:sz w:val="21"/>
                      <w:szCs w:val="21"/>
                      <w:vertAlign w:val="superscript"/>
                      <w:lang w:val="en-US" w:eastAsia="zh-CN" w:bidi="ar"/>
                    </w:rPr>
                    <w:t>3</w:t>
                  </w:r>
                </w:p>
              </w:tc>
              <w:tc>
                <w:tcPr>
                  <w:tcW w:w="486" w:type="pct"/>
                  <w:vMerge w:val="restart"/>
                  <w:vAlign w:val="center"/>
                </w:tcPr>
                <w:p w14:paraId="11801164">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官塘</w:t>
                  </w:r>
                  <w:r>
                    <w:rPr>
                      <w:rFonts w:hint="eastAsia" w:ascii="Times New Roman" w:hAnsi="Times New Roman" w:cs="Times New Roman"/>
                      <w:color w:val="auto"/>
                      <w:kern w:val="0"/>
                      <w:sz w:val="21"/>
                      <w:szCs w:val="21"/>
                      <w:vertAlign w:val="baseline"/>
                      <w:lang w:val="en-US" w:eastAsia="zh-CN" w:bidi="ar"/>
                    </w:rPr>
                    <w:t>污水处理厂</w:t>
                  </w:r>
                </w:p>
              </w:tc>
              <w:tc>
                <w:tcPr>
                  <w:tcW w:w="529" w:type="pct"/>
                  <w:vAlign w:val="center"/>
                </w:tcPr>
                <w:p w14:paraId="53EEE68D">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outlineLvl w:val="9"/>
                    <w:rPr>
                      <w:rFonts w:hint="default" w:ascii="Times New Roman" w:hAnsi="Times New Roman" w:cs="Times New Roman"/>
                      <w:color w:val="auto"/>
                      <w:kern w:val="0"/>
                      <w:sz w:val="21"/>
                      <w:szCs w:val="21"/>
                      <w:vertAlign w:val="baseline"/>
                      <w:lang w:val="en-US" w:eastAsia="zh-CN" w:bidi="ar"/>
                    </w:rPr>
                  </w:pPr>
                  <w:r>
                    <w:rPr>
                      <w:rFonts w:hint="default" w:ascii="Times New Roman" w:hAnsi="Times New Roman" w:cs="Times New Roman"/>
                      <w:color w:val="auto"/>
                      <w:kern w:val="0"/>
                      <w:sz w:val="21"/>
                      <w:szCs w:val="21"/>
                      <w:vertAlign w:val="baseline"/>
                      <w:lang w:val="en-US" w:eastAsia="zh-CN" w:bidi="ar"/>
                    </w:rPr>
                    <w:t>间断排放，排放期间流量不稳定且不规律，但不属于冲击型排放</w:t>
                  </w:r>
                </w:p>
              </w:tc>
              <w:tc>
                <w:tcPr>
                  <w:tcW w:w="397" w:type="pct"/>
                  <w:vMerge w:val="restart"/>
                  <w:vAlign w:val="center"/>
                </w:tcPr>
                <w:p w14:paraId="34548921">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ascii="Times New Roman" w:hAnsi="Times New Roman" w:cs="Times New Roman"/>
                      <w:color w:val="auto"/>
                      <w:kern w:val="0"/>
                      <w:sz w:val="21"/>
                      <w:szCs w:val="21"/>
                      <w:vertAlign w:val="baseline"/>
                      <w:lang w:val="en-US" w:eastAsia="zh-CN" w:bidi="ar"/>
                    </w:rPr>
                    <w:t>是</w:t>
                  </w:r>
                </w:p>
              </w:tc>
              <w:tc>
                <w:tcPr>
                  <w:tcW w:w="259" w:type="pct"/>
                  <w:vMerge w:val="restart"/>
                  <w:vAlign w:val="center"/>
                </w:tcPr>
                <w:p w14:paraId="7616E30B">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DW001</w:t>
                  </w:r>
                </w:p>
              </w:tc>
              <w:tc>
                <w:tcPr>
                  <w:tcW w:w="259" w:type="pct"/>
                  <w:vMerge w:val="restart"/>
                  <w:vAlign w:val="center"/>
                </w:tcPr>
                <w:p w14:paraId="112B7B85">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企业总排口/</w:t>
                  </w:r>
                  <w:r>
                    <w:rPr>
                      <w:rFonts w:hint="eastAsia" w:ascii="Times New Roman" w:hAnsi="Times New Roman" w:cs="Times New Roman"/>
                      <w:color w:val="auto"/>
                      <w:kern w:val="0"/>
                      <w:sz w:val="21"/>
                      <w:szCs w:val="21"/>
                      <w:vertAlign w:val="baseline"/>
                      <w:lang w:val="en-US" w:eastAsia="zh-CN" w:bidi="ar"/>
                    </w:rPr>
                    <w:t>一般排放口</w:t>
                  </w:r>
                </w:p>
              </w:tc>
              <w:tc>
                <w:tcPr>
                  <w:tcW w:w="395" w:type="pct"/>
                  <w:vMerge w:val="restart"/>
                  <w:vAlign w:val="center"/>
                </w:tcPr>
                <w:p w14:paraId="3F2FC216">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ascii="Times New Roman" w:hAnsi="Times New Roman" w:cs="Times New Roman"/>
                      <w:color w:val="auto"/>
                      <w:kern w:val="0"/>
                      <w:sz w:val="21"/>
                      <w:szCs w:val="21"/>
                      <w:vertAlign w:val="baseline"/>
                      <w:lang w:val="en-US" w:eastAsia="zh-CN" w:bidi="ar"/>
                    </w:rPr>
                    <w:t>是</w:t>
                  </w:r>
                </w:p>
              </w:tc>
            </w:tr>
            <w:tr w14:paraId="22DAB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Align w:val="center"/>
                </w:tcPr>
                <w:p w14:paraId="5D67056C">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eastAsia"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生产废水</w:t>
                  </w:r>
                </w:p>
              </w:tc>
              <w:tc>
                <w:tcPr>
                  <w:tcW w:w="578" w:type="pct"/>
                  <w:vAlign w:val="center"/>
                </w:tcPr>
                <w:p w14:paraId="34137CD9">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eastAsia"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pH、COD、BOD、SS、氨氮、石油类、磷酸盐、总锌</w:t>
                  </w:r>
                </w:p>
              </w:tc>
              <w:tc>
                <w:tcPr>
                  <w:tcW w:w="583" w:type="pct"/>
                  <w:vAlign w:val="center"/>
                </w:tcPr>
                <w:p w14:paraId="4222B4EC">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污水处理站</w:t>
                  </w:r>
                </w:p>
              </w:tc>
              <w:tc>
                <w:tcPr>
                  <w:tcW w:w="527" w:type="pct"/>
                  <w:vAlign w:val="center"/>
                </w:tcPr>
                <w:p w14:paraId="2AB89B87">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ascii="Times New Roman" w:hAnsi="Times New Roman" w:cs="Times New Roman"/>
                      <w:color w:val="auto"/>
                      <w:kern w:val="0"/>
                      <w:sz w:val="21"/>
                      <w:szCs w:val="21"/>
                      <w:vertAlign w:val="baseline"/>
                      <w:lang w:val="en-US" w:eastAsia="zh-CN" w:bidi="ar"/>
                    </w:rPr>
                    <w:t>气浮+</w:t>
                  </w:r>
                  <w:r>
                    <w:rPr>
                      <w:rFonts w:hint="eastAsia" w:cs="Times New Roman"/>
                      <w:color w:val="auto"/>
                      <w:kern w:val="0"/>
                      <w:sz w:val="21"/>
                      <w:szCs w:val="21"/>
                      <w:vertAlign w:val="baseline"/>
                      <w:lang w:val="en-US" w:eastAsia="zh-CN" w:bidi="ar"/>
                    </w:rPr>
                    <w:t>三级</w:t>
                  </w:r>
                  <w:r>
                    <w:rPr>
                      <w:rFonts w:hint="eastAsia" w:ascii="Times New Roman" w:hAnsi="Times New Roman" w:cs="Times New Roman"/>
                      <w:color w:val="auto"/>
                      <w:kern w:val="0"/>
                      <w:sz w:val="21"/>
                      <w:szCs w:val="21"/>
                      <w:vertAlign w:val="baseline"/>
                      <w:lang w:val="en-US" w:eastAsia="zh-CN" w:bidi="ar"/>
                    </w:rPr>
                    <w:t>沉淀</w:t>
                  </w:r>
                  <w:r>
                    <w:rPr>
                      <w:rFonts w:hint="eastAsia" w:cs="Times New Roman"/>
                      <w:color w:val="auto"/>
                      <w:kern w:val="0"/>
                      <w:sz w:val="21"/>
                      <w:szCs w:val="21"/>
                      <w:vertAlign w:val="baseline"/>
                      <w:lang w:val="en-US" w:eastAsia="zh-CN" w:bidi="ar"/>
                    </w:rPr>
                    <w:t>+MBR</w:t>
                  </w:r>
                </w:p>
              </w:tc>
              <w:tc>
                <w:tcPr>
                  <w:tcW w:w="508" w:type="pct"/>
                  <w:vAlign w:val="center"/>
                </w:tcPr>
                <w:p w14:paraId="3EC1D957">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10</w:t>
                  </w:r>
                  <w:r>
                    <w:rPr>
                      <w:rFonts w:hint="eastAsia" w:ascii="Times New Roman" w:hAnsi="Times New Roman" w:cs="Times New Roman"/>
                      <w:color w:val="auto"/>
                      <w:kern w:val="0"/>
                      <w:sz w:val="21"/>
                      <w:szCs w:val="21"/>
                      <w:vertAlign w:val="baseline"/>
                      <w:lang w:val="en-US" w:eastAsia="zh-CN" w:bidi="ar"/>
                    </w:rPr>
                    <w:t>m</w:t>
                  </w:r>
                  <w:r>
                    <w:rPr>
                      <w:rFonts w:hint="eastAsia" w:ascii="Times New Roman" w:hAnsi="Times New Roman" w:cs="Times New Roman"/>
                      <w:color w:val="auto"/>
                      <w:kern w:val="0"/>
                      <w:sz w:val="21"/>
                      <w:szCs w:val="21"/>
                      <w:vertAlign w:val="superscript"/>
                      <w:lang w:val="en-US" w:eastAsia="zh-CN" w:bidi="ar"/>
                    </w:rPr>
                    <w:t>3</w:t>
                  </w:r>
                  <w:r>
                    <w:rPr>
                      <w:rFonts w:hint="eastAsia" w:ascii="Times New Roman" w:hAnsi="Times New Roman" w:cs="Times New Roman"/>
                      <w:color w:val="auto"/>
                      <w:kern w:val="0"/>
                      <w:sz w:val="21"/>
                      <w:szCs w:val="21"/>
                      <w:vertAlign w:val="baseline"/>
                      <w:lang w:val="en-US" w:eastAsia="zh-CN" w:bidi="ar"/>
                    </w:rPr>
                    <w:t>/d</w:t>
                  </w:r>
                </w:p>
              </w:tc>
              <w:tc>
                <w:tcPr>
                  <w:tcW w:w="486" w:type="pct"/>
                  <w:vMerge w:val="continue"/>
                  <w:vAlign w:val="center"/>
                </w:tcPr>
                <w:p w14:paraId="3463D4DE">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eastAsia" w:ascii="Times New Roman" w:hAnsi="Times New Roman" w:cs="Times New Roman"/>
                      <w:color w:val="auto"/>
                      <w:kern w:val="0"/>
                      <w:sz w:val="21"/>
                      <w:szCs w:val="21"/>
                      <w:vertAlign w:val="baseline"/>
                      <w:lang w:val="en-US" w:eastAsia="zh-CN" w:bidi="ar"/>
                    </w:rPr>
                  </w:pPr>
                </w:p>
              </w:tc>
              <w:tc>
                <w:tcPr>
                  <w:tcW w:w="529" w:type="pct"/>
                  <w:vAlign w:val="center"/>
                </w:tcPr>
                <w:p w14:paraId="785BCD8D">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outlineLvl w:val="9"/>
                    <w:rPr>
                      <w:rFonts w:hint="default" w:ascii="Times New Roman" w:hAnsi="Times New Roman" w:cs="Times New Roman"/>
                      <w:color w:val="auto"/>
                      <w:kern w:val="0"/>
                      <w:sz w:val="21"/>
                      <w:szCs w:val="21"/>
                      <w:vertAlign w:val="baseline"/>
                      <w:lang w:val="en-US" w:eastAsia="zh-CN" w:bidi="ar"/>
                    </w:rPr>
                  </w:pPr>
                  <w:r>
                    <w:rPr>
                      <w:rFonts w:hint="default" w:ascii="Times New Roman" w:hAnsi="Times New Roman" w:cs="Times New Roman"/>
                      <w:color w:val="auto"/>
                      <w:kern w:val="0"/>
                      <w:sz w:val="21"/>
                      <w:szCs w:val="21"/>
                      <w:vertAlign w:val="baseline"/>
                      <w:lang w:val="en-US" w:eastAsia="zh-CN" w:bidi="ar"/>
                    </w:rPr>
                    <w:t>间断排放，排放期间流量不稳定，但有周期性规律</w:t>
                  </w:r>
                </w:p>
              </w:tc>
              <w:tc>
                <w:tcPr>
                  <w:tcW w:w="397" w:type="pct"/>
                  <w:vMerge w:val="continue"/>
                  <w:shd w:val="clear" w:color="auto" w:fill="auto"/>
                  <w:vAlign w:val="center"/>
                </w:tcPr>
                <w:p w14:paraId="646A7D8A">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eastAsia" w:ascii="Times New Roman" w:hAnsi="Times New Roman" w:eastAsia="宋体" w:cs="Times New Roman"/>
                      <w:color w:val="auto"/>
                      <w:kern w:val="0"/>
                      <w:sz w:val="21"/>
                      <w:szCs w:val="21"/>
                      <w:vertAlign w:val="baseline"/>
                      <w:lang w:val="en-US" w:eastAsia="zh-CN" w:bidi="ar"/>
                    </w:rPr>
                  </w:pPr>
                </w:p>
              </w:tc>
              <w:tc>
                <w:tcPr>
                  <w:tcW w:w="259" w:type="pct"/>
                  <w:vMerge w:val="continue"/>
                  <w:shd w:val="clear" w:color="auto" w:fill="auto"/>
                  <w:vAlign w:val="center"/>
                </w:tcPr>
                <w:p w14:paraId="6C7D1040">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eastAsia" w:ascii="Times New Roman" w:hAnsi="Times New Roman" w:cs="Times New Roman"/>
                      <w:color w:val="auto"/>
                      <w:kern w:val="0"/>
                      <w:sz w:val="21"/>
                      <w:szCs w:val="21"/>
                      <w:vertAlign w:val="baseline"/>
                      <w:lang w:val="en-US" w:eastAsia="zh-CN" w:bidi="ar"/>
                    </w:rPr>
                  </w:pPr>
                </w:p>
              </w:tc>
              <w:tc>
                <w:tcPr>
                  <w:tcW w:w="259" w:type="pct"/>
                  <w:vMerge w:val="continue"/>
                  <w:shd w:val="clear" w:color="auto" w:fill="auto"/>
                  <w:vAlign w:val="center"/>
                </w:tcPr>
                <w:p w14:paraId="33A9A7F2">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eastAsia" w:ascii="Times New Roman" w:hAnsi="Times New Roman" w:eastAsia="宋体" w:cs="Times New Roman"/>
                      <w:color w:val="auto"/>
                      <w:kern w:val="0"/>
                      <w:sz w:val="21"/>
                      <w:szCs w:val="21"/>
                      <w:vertAlign w:val="baseline"/>
                      <w:lang w:val="en-US" w:eastAsia="zh-CN" w:bidi="ar"/>
                    </w:rPr>
                  </w:pPr>
                </w:p>
              </w:tc>
              <w:tc>
                <w:tcPr>
                  <w:tcW w:w="395" w:type="pct"/>
                  <w:vMerge w:val="continue"/>
                  <w:shd w:val="clear" w:color="auto" w:fill="auto"/>
                  <w:vAlign w:val="center"/>
                </w:tcPr>
                <w:p w14:paraId="6A4F8BCB">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eastAsia" w:ascii="Times New Roman" w:hAnsi="Times New Roman" w:eastAsia="宋体" w:cs="Times New Roman"/>
                      <w:color w:val="auto"/>
                      <w:kern w:val="0"/>
                      <w:sz w:val="21"/>
                      <w:szCs w:val="21"/>
                      <w:vertAlign w:val="baseline"/>
                      <w:lang w:val="en-US" w:eastAsia="zh-CN" w:bidi="ar"/>
                    </w:rPr>
                  </w:pPr>
                </w:p>
              </w:tc>
            </w:tr>
          </w:tbl>
          <w:p w14:paraId="6D0921C5">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0" w:firstLineChars="200"/>
              <w:jc w:val="both"/>
              <w:textAlignment w:val="auto"/>
              <w:outlineLvl w:val="9"/>
              <w:rPr>
                <w:rFonts w:hint="default" w:ascii="宋体" w:hAnsi="宋体" w:cs="宋体"/>
                <w:b w:val="0"/>
                <w:bCs w:val="0"/>
                <w:color w:val="auto"/>
                <w:kern w:val="0"/>
                <w:sz w:val="24"/>
                <w:szCs w:val="24"/>
                <w:lang w:val="en-US" w:eastAsia="zh-CN" w:bidi="ar"/>
              </w:rPr>
            </w:pPr>
            <w:r>
              <w:rPr>
                <w:rFonts w:hint="eastAsia" w:cs="Times New Roman"/>
                <w:b w:val="0"/>
                <w:bCs w:val="0"/>
                <w:color w:val="auto"/>
                <w:kern w:val="0"/>
                <w:sz w:val="24"/>
                <w:szCs w:val="24"/>
                <w:lang w:val="en-US" w:eastAsia="zh-CN" w:bidi="ar"/>
              </w:rPr>
              <w:t>5.</w:t>
            </w:r>
            <w:r>
              <w:rPr>
                <w:rFonts w:hint="default" w:ascii="Times New Roman" w:hAnsi="Times New Roman" w:cs="Times New Roman"/>
                <w:b w:val="0"/>
                <w:bCs w:val="0"/>
                <w:color w:val="auto"/>
                <w:kern w:val="0"/>
                <w:sz w:val="24"/>
                <w:szCs w:val="24"/>
                <w:lang w:val="en-US" w:eastAsia="zh-CN" w:bidi="ar"/>
              </w:rPr>
              <w:t>排放口情</w:t>
            </w:r>
            <w:r>
              <w:rPr>
                <w:rFonts w:hint="eastAsia" w:ascii="宋体" w:hAnsi="宋体" w:cs="宋体"/>
                <w:b w:val="0"/>
                <w:bCs w:val="0"/>
                <w:color w:val="auto"/>
                <w:kern w:val="0"/>
                <w:sz w:val="24"/>
                <w:szCs w:val="24"/>
                <w:lang w:val="en-US" w:eastAsia="zh-CN" w:bidi="ar"/>
              </w:rPr>
              <w:t>况</w:t>
            </w:r>
          </w:p>
          <w:p w14:paraId="043AEF44">
            <w:pPr>
              <w:spacing w:line="500" w:lineRule="exact"/>
              <w:ind w:firstLine="482"/>
              <w:jc w:val="center"/>
              <w:rPr>
                <w:b/>
                <w:bCs/>
                <w:color w:val="auto"/>
                <w:sz w:val="24"/>
                <w:highlight w:val="none"/>
              </w:rPr>
            </w:pPr>
          </w:p>
          <w:p w14:paraId="25BB6BB0">
            <w:pPr>
              <w:spacing w:line="500" w:lineRule="exact"/>
              <w:ind w:firstLine="482"/>
              <w:jc w:val="center"/>
              <w:rPr>
                <w:b/>
                <w:bCs/>
                <w:color w:val="auto"/>
                <w:sz w:val="24"/>
                <w:highlight w:val="none"/>
              </w:rPr>
            </w:pPr>
          </w:p>
          <w:p w14:paraId="7F1A663B">
            <w:pPr>
              <w:spacing w:line="500" w:lineRule="exact"/>
              <w:ind w:firstLine="482"/>
              <w:jc w:val="center"/>
              <w:rPr>
                <w:b/>
                <w:bCs/>
                <w:color w:val="auto"/>
                <w:sz w:val="24"/>
                <w:highlight w:val="none"/>
              </w:rPr>
            </w:pPr>
          </w:p>
          <w:p w14:paraId="4CEE969B">
            <w:pPr>
              <w:spacing w:line="500" w:lineRule="exact"/>
              <w:ind w:firstLine="482"/>
              <w:jc w:val="center"/>
              <w:rPr>
                <w:b/>
                <w:bCs/>
                <w:color w:val="auto"/>
                <w:sz w:val="24"/>
                <w:highlight w:val="none"/>
              </w:rPr>
            </w:pPr>
          </w:p>
          <w:p w14:paraId="330E56B2">
            <w:pPr>
              <w:spacing w:line="500" w:lineRule="exact"/>
              <w:ind w:firstLine="482"/>
              <w:jc w:val="center"/>
              <w:rPr>
                <w:b/>
                <w:bCs/>
                <w:color w:val="auto"/>
                <w:sz w:val="24"/>
                <w:highlight w:val="none"/>
              </w:rPr>
            </w:pPr>
          </w:p>
          <w:p w14:paraId="6ACAFB4D">
            <w:pPr>
              <w:spacing w:line="500" w:lineRule="exact"/>
              <w:ind w:firstLine="482"/>
              <w:jc w:val="center"/>
              <w:rPr>
                <w:b/>
                <w:bCs/>
                <w:color w:val="auto"/>
                <w:highlight w:val="none"/>
              </w:rPr>
            </w:pPr>
            <w:r>
              <w:rPr>
                <w:b/>
                <w:bCs/>
                <w:color w:val="auto"/>
                <w:sz w:val="24"/>
                <w:highlight w:val="none"/>
              </w:rPr>
              <w:t>表</w:t>
            </w:r>
            <w:r>
              <w:rPr>
                <w:rFonts w:hint="eastAsia"/>
                <w:b/>
                <w:bCs/>
                <w:color w:val="auto"/>
                <w:sz w:val="24"/>
                <w:highlight w:val="none"/>
              </w:rPr>
              <w:t>4-</w:t>
            </w:r>
            <w:r>
              <w:rPr>
                <w:rFonts w:hint="eastAsia"/>
                <w:b/>
                <w:bCs/>
                <w:color w:val="auto"/>
                <w:sz w:val="24"/>
                <w:highlight w:val="none"/>
                <w:lang w:val="en-US" w:eastAsia="zh-CN"/>
              </w:rPr>
              <w:t>18</w:t>
            </w:r>
            <w:r>
              <w:rPr>
                <w:rFonts w:hint="eastAsia"/>
                <w:b/>
                <w:bCs/>
                <w:color w:val="auto"/>
                <w:sz w:val="24"/>
                <w:highlight w:val="none"/>
              </w:rPr>
              <w:t>废水间接排放口基本情况表</w:t>
            </w:r>
          </w:p>
          <w:tbl>
            <w:tblPr>
              <w:tblStyle w:val="39"/>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
              <w:gridCol w:w="446"/>
              <w:gridCol w:w="807"/>
              <w:gridCol w:w="1731"/>
              <w:gridCol w:w="938"/>
              <w:gridCol w:w="822"/>
              <w:gridCol w:w="822"/>
              <w:gridCol w:w="893"/>
              <w:gridCol w:w="1117"/>
            </w:tblGrid>
            <w:tr w14:paraId="7EF2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221" w:type="pct"/>
                  <w:vMerge w:val="restart"/>
                  <w:tcBorders>
                    <w:tl2br w:val="nil"/>
                    <w:tr2bl w:val="nil"/>
                  </w:tcBorders>
                  <w:noWrap/>
                  <w:vAlign w:val="center"/>
                </w:tcPr>
                <w:p w14:paraId="1A504807">
                  <w:pPr>
                    <w:pStyle w:val="107"/>
                    <w:spacing w:beforeLines="0"/>
                    <w:rPr>
                      <w:rFonts w:hint="eastAsia" w:eastAsia="宋体" w:cs="Times New Roman"/>
                      <w:bCs/>
                      <w:color w:val="auto"/>
                      <w:szCs w:val="21"/>
                      <w:highlight w:val="none"/>
                      <w:lang w:eastAsia="zh-CN"/>
                    </w:rPr>
                  </w:pPr>
                  <w:r>
                    <w:rPr>
                      <w:rFonts w:hint="eastAsia" w:eastAsia="宋体" w:cs="Times New Roman"/>
                      <w:bCs/>
                      <w:color w:val="auto"/>
                      <w:szCs w:val="21"/>
                      <w:highlight w:val="none"/>
                      <w:lang w:val="en-US" w:eastAsia="zh-CN"/>
                    </w:rPr>
                    <w:t>序号</w:t>
                  </w:r>
                </w:p>
              </w:tc>
              <w:tc>
                <w:tcPr>
                  <w:tcW w:w="281" w:type="pct"/>
                  <w:vMerge w:val="restart"/>
                  <w:tcBorders>
                    <w:tl2br w:val="nil"/>
                    <w:tr2bl w:val="nil"/>
                  </w:tcBorders>
                  <w:noWrap/>
                  <w:vAlign w:val="center"/>
                </w:tcPr>
                <w:p w14:paraId="10C42B8B">
                  <w:pPr>
                    <w:jc w:val="center"/>
                    <w:rPr>
                      <w:rFonts w:hint="default" w:eastAsia="宋体"/>
                      <w:bCs/>
                      <w:color w:val="auto"/>
                      <w:szCs w:val="21"/>
                      <w:highlight w:val="none"/>
                      <w:lang w:val="en-US" w:eastAsia="zh-CN"/>
                    </w:rPr>
                  </w:pPr>
                  <w:r>
                    <w:rPr>
                      <w:rFonts w:hint="eastAsia"/>
                      <w:bCs/>
                      <w:color w:val="auto"/>
                      <w:szCs w:val="21"/>
                      <w:highlight w:val="none"/>
                      <w:lang w:val="en-US" w:eastAsia="zh-CN"/>
                    </w:rPr>
                    <w:t>排放口编号</w:t>
                  </w:r>
                </w:p>
              </w:tc>
              <w:tc>
                <w:tcPr>
                  <w:tcW w:w="509" w:type="pct"/>
                  <w:vMerge w:val="restart"/>
                  <w:tcBorders>
                    <w:tl2br w:val="nil"/>
                    <w:tr2bl w:val="nil"/>
                  </w:tcBorders>
                  <w:noWrap/>
                  <w:vAlign w:val="center"/>
                </w:tcPr>
                <w:p w14:paraId="76192C24">
                  <w:pPr>
                    <w:jc w:val="center"/>
                    <w:rPr>
                      <w:rFonts w:hint="default" w:eastAsia="宋体"/>
                      <w:bCs/>
                      <w:color w:val="auto"/>
                      <w:szCs w:val="21"/>
                      <w:highlight w:val="none"/>
                      <w:lang w:val="en-US" w:eastAsia="zh-CN"/>
                    </w:rPr>
                  </w:pPr>
                  <w:r>
                    <w:rPr>
                      <w:rFonts w:hint="eastAsia"/>
                      <w:bCs/>
                      <w:color w:val="auto"/>
                      <w:szCs w:val="21"/>
                      <w:highlight w:val="none"/>
                      <w:lang w:val="en-US" w:eastAsia="zh-CN"/>
                    </w:rPr>
                    <w:t>排放口类型</w:t>
                  </w:r>
                </w:p>
              </w:tc>
              <w:tc>
                <w:tcPr>
                  <w:tcW w:w="1091" w:type="pct"/>
                  <w:vMerge w:val="restart"/>
                  <w:tcBorders>
                    <w:tl2br w:val="nil"/>
                    <w:tr2bl w:val="nil"/>
                  </w:tcBorders>
                  <w:noWrap/>
                  <w:vAlign w:val="center"/>
                </w:tcPr>
                <w:p w14:paraId="1DFE05A0">
                  <w:pPr>
                    <w:jc w:val="center"/>
                    <w:rPr>
                      <w:bCs/>
                      <w:color w:val="auto"/>
                      <w:szCs w:val="21"/>
                      <w:highlight w:val="none"/>
                    </w:rPr>
                  </w:pPr>
                  <w:r>
                    <w:rPr>
                      <w:rFonts w:hint="eastAsia"/>
                      <w:bCs/>
                      <w:color w:val="auto"/>
                      <w:szCs w:val="21"/>
                      <w:highlight w:val="none"/>
                    </w:rPr>
                    <w:t>地理坐标</w:t>
                  </w:r>
                </w:p>
              </w:tc>
              <w:tc>
                <w:tcPr>
                  <w:tcW w:w="591" w:type="pct"/>
                  <w:vMerge w:val="restart"/>
                  <w:tcBorders>
                    <w:tl2br w:val="nil"/>
                    <w:tr2bl w:val="nil"/>
                  </w:tcBorders>
                  <w:noWrap/>
                  <w:vAlign w:val="center"/>
                </w:tcPr>
                <w:p w14:paraId="26D44155">
                  <w:pPr>
                    <w:jc w:val="center"/>
                    <w:rPr>
                      <w:rFonts w:hint="default" w:eastAsia="宋体"/>
                      <w:bCs/>
                      <w:color w:val="auto"/>
                      <w:szCs w:val="21"/>
                      <w:highlight w:val="none"/>
                      <w:lang w:val="en-US" w:eastAsia="zh-CN"/>
                    </w:rPr>
                  </w:pPr>
                  <w:r>
                    <w:rPr>
                      <w:rFonts w:hint="eastAsia"/>
                      <w:bCs/>
                      <w:color w:val="auto"/>
                      <w:szCs w:val="21"/>
                      <w:highlight w:val="none"/>
                      <w:lang w:val="en-US" w:eastAsia="zh-CN"/>
                    </w:rPr>
                    <w:t>排放去向</w:t>
                  </w:r>
                </w:p>
              </w:tc>
              <w:tc>
                <w:tcPr>
                  <w:tcW w:w="518" w:type="pct"/>
                  <w:vMerge w:val="restart"/>
                  <w:tcBorders>
                    <w:tl2br w:val="nil"/>
                    <w:tr2bl w:val="nil"/>
                  </w:tcBorders>
                  <w:noWrap/>
                  <w:vAlign w:val="center"/>
                </w:tcPr>
                <w:p w14:paraId="0BA3B56B">
                  <w:pPr>
                    <w:jc w:val="center"/>
                    <w:rPr>
                      <w:rFonts w:hint="default"/>
                      <w:bCs/>
                      <w:color w:val="auto"/>
                      <w:szCs w:val="21"/>
                      <w:highlight w:val="none"/>
                      <w:lang w:val="en-US" w:eastAsia="zh-CN"/>
                    </w:rPr>
                  </w:pPr>
                  <w:r>
                    <w:rPr>
                      <w:rFonts w:hint="eastAsia"/>
                      <w:bCs/>
                      <w:color w:val="auto"/>
                      <w:szCs w:val="21"/>
                      <w:highlight w:val="none"/>
                      <w:lang w:val="en-US" w:eastAsia="zh-CN"/>
                    </w:rPr>
                    <w:t>排放规律</w:t>
                  </w:r>
                </w:p>
              </w:tc>
              <w:tc>
                <w:tcPr>
                  <w:tcW w:w="1785" w:type="pct"/>
                  <w:gridSpan w:val="3"/>
                  <w:tcBorders>
                    <w:tl2br w:val="nil"/>
                    <w:tr2bl w:val="nil"/>
                  </w:tcBorders>
                  <w:noWrap/>
                  <w:vAlign w:val="center"/>
                </w:tcPr>
                <w:p w14:paraId="17C9A76B">
                  <w:pPr>
                    <w:jc w:val="center"/>
                    <w:rPr>
                      <w:rFonts w:hint="default"/>
                      <w:bCs/>
                      <w:color w:val="auto"/>
                      <w:szCs w:val="21"/>
                      <w:highlight w:val="none"/>
                      <w:lang w:val="en-US" w:eastAsia="zh-CN"/>
                    </w:rPr>
                  </w:pPr>
                  <w:r>
                    <w:rPr>
                      <w:rFonts w:hint="eastAsia"/>
                      <w:bCs/>
                      <w:color w:val="auto"/>
                      <w:szCs w:val="21"/>
                      <w:highlight w:val="none"/>
                      <w:lang w:val="en-US" w:eastAsia="zh-CN"/>
                    </w:rPr>
                    <w:t>受纳污水处理厂信息</w:t>
                  </w:r>
                </w:p>
              </w:tc>
            </w:tr>
            <w:tr w14:paraId="654B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221" w:type="pct"/>
                  <w:vMerge w:val="continue"/>
                  <w:tcBorders>
                    <w:tl2br w:val="nil"/>
                    <w:tr2bl w:val="nil"/>
                  </w:tcBorders>
                  <w:noWrap/>
                  <w:vAlign w:val="center"/>
                </w:tcPr>
                <w:p w14:paraId="12DC18D9">
                  <w:pPr>
                    <w:jc w:val="center"/>
                    <w:rPr>
                      <w:color w:val="auto"/>
                    </w:rPr>
                  </w:pPr>
                </w:p>
              </w:tc>
              <w:tc>
                <w:tcPr>
                  <w:tcW w:w="281" w:type="pct"/>
                  <w:vMerge w:val="continue"/>
                  <w:tcBorders>
                    <w:tl2br w:val="nil"/>
                    <w:tr2bl w:val="nil"/>
                  </w:tcBorders>
                  <w:noWrap/>
                  <w:vAlign w:val="center"/>
                </w:tcPr>
                <w:p w14:paraId="4CBE05AB">
                  <w:pPr>
                    <w:jc w:val="center"/>
                    <w:rPr>
                      <w:color w:val="auto"/>
                    </w:rPr>
                  </w:pPr>
                </w:p>
              </w:tc>
              <w:tc>
                <w:tcPr>
                  <w:tcW w:w="509" w:type="pct"/>
                  <w:vMerge w:val="continue"/>
                  <w:tcBorders>
                    <w:tl2br w:val="nil"/>
                    <w:tr2bl w:val="nil"/>
                  </w:tcBorders>
                  <w:noWrap/>
                  <w:vAlign w:val="center"/>
                </w:tcPr>
                <w:p w14:paraId="217BA805">
                  <w:pPr>
                    <w:jc w:val="center"/>
                    <w:rPr>
                      <w:color w:val="auto"/>
                    </w:rPr>
                  </w:pPr>
                </w:p>
              </w:tc>
              <w:tc>
                <w:tcPr>
                  <w:tcW w:w="1091" w:type="pct"/>
                  <w:vMerge w:val="continue"/>
                  <w:tcBorders>
                    <w:tl2br w:val="nil"/>
                    <w:tr2bl w:val="nil"/>
                  </w:tcBorders>
                  <w:noWrap/>
                  <w:vAlign w:val="center"/>
                </w:tcPr>
                <w:p w14:paraId="19194362">
                  <w:pPr>
                    <w:jc w:val="center"/>
                    <w:rPr>
                      <w:color w:val="auto"/>
                    </w:rPr>
                  </w:pPr>
                </w:p>
              </w:tc>
              <w:tc>
                <w:tcPr>
                  <w:tcW w:w="591" w:type="pct"/>
                  <w:vMerge w:val="continue"/>
                  <w:tcBorders>
                    <w:tl2br w:val="nil"/>
                    <w:tr2bl w:val="nil"/>
                  </w:tcBorders>
                  <w:noWrap/>
                  <w:vAlign w:val="center"/>
                </w:tcPr>
                <w:p w14:paraId="0F04BE05">
                  <w:pPr>
                    <w:jc w:val="center"/>
                    <w:rPr>
                      <w:color w:val="auto"/>
                    </w:rPr>
                  </w:pPr>
                </w:p>
              </w:tc>
              <w:tc>
                <w:tcPr>
                  <w:tcW w:w="518" w:type="pct"/>
                  <w:vMerge w:val="continue"/>
                  <w:tcBorders>
                    <w:tl2br w:val="nil"/>
                    <w:tr2bl w:val="nil"/>
                  </w:tcBorders>
                  <w:noWrap/>
                  <w:vAlign w:val="center"/>
                </w:tcPr>
                <w:p w14:paraId="0D79FD19">
                  <w:pPr>
                    <w:jc w:val="center"/>
                    <w:rPr>
                      <w:color w:val="auto"/>
                    </w:rPr>
                  </w:pPr>
                </w:p>
              </w:tc>
              <w:tc>
                <w:tcPr>
                  <w:tcW w:w="518" w:type="pct"/>
                  <w:tcBorders>
                    <w:tl2br w:val="nil"/>
                    <w:tr2bl w:val="nil"/>
                  </w:tcBorders>
                  <w:noWrap/>
                  <w:vAlign w:val="center"/>
                </w:tcPr>
                <w:p w14:paraId="05A49D32">
                  <w:pPr>
                    <w:jc w:val="center"/>
                    <w:rPr>
                      <w:rFonts w:hint="default"/>
                      <w:bCs/>
                      <w:color w:val="auto"/>
                      <w:szCs w:val="21"/>
                      <w:highlight w:val="none"/>
                      <w:lang w:val="en-US" w:eastAsia="zh-CN"/>
                    </w:rPr>
                  </w:pPr>
                  <w:r>
                    <w:rPr>
                      <w:rFonts w:hint="eastAsia"/>
                      <w:bCs/>
                      <w:color w:val="auto"/>
                      <w:szCs w:val="21"/>
                      <w:highlight w:val="none"/>
                      <w:lang w:val="en-US" w:eastAsia="zh-CN"/>
                    </w:rPr>
                    <w:t>名称</w:t>
                  </w:r>
                </w:p>
              </w:tc>
              <w:tc>
                <w:tcPr>
                  <w:tcW w:w="563" w:type="pct"/>
                  <w:tcBorders>
                    <w:tl2br w:val="nil"/>
                    <w:tr2bl w:val="nil"/>
                  </w:tcBorders>
                  <w:noWrap/>
                  <w:vAlign w:val="center"/>
                </w:tcPr>
                <w:p w14:paraId="69F43723">
                  <w:pPr>
                    <w:jc w:val="center"/>
                    <w:rPr>
                      <w:rFonts w:hint="default"/>
                      <w:bCs/>
                      <w:color w:val="auto"/>
                      <w:szCs w:val="21"/>
                      <w:highlight w:val="none"/>
                      <w:lang w:val="en-US" w:eastAsia="zh-CN"/>
                    </w:rPr>
                  </w:pPr>
                  <w:r>
                    <w:rPr>
                      <w:rFonts w:hint="eastAsia"/>
                      <w:bCs/>
                      <w:color w:val="auto"/>
                      <w:szCs w:val="21"/>
                      <w:highlight w:val="none"/>
                      <w:lang w:val="en-US" w:eastAsia="zh-CN"/>
                    </w:rPr>
                    <w:t>污染物种类</w:t>
                  </w:r>
                </w:p>
              </w:tc>
              <w:tc>
                <w:tcPr>
                  <w:tcW w:w="703" w:type="pct"/>
                  <w:tcBorders>
                    <w:tl2br w:val="nil"/>
                    <w:tr2bl w:val="nil"/>
                  </w:tcBorders>
                  <w:noWrap/>
                  <w:vAlign w:val="center"/>
                </w:tcPr>
                <w:p w14:paraId="7044B31F">
                  <w:pPr>
                    <w:jc w:val="center"/>
                    <w:rPr>
                      <w:rFonts w:hint="default"/>
                      <w:bCs/>
                      <w:color w:val="auto"/>
                      <w:szCs w:val="21"/>
                      <w:highlight w:val="none"/>
                      <w:lang w:val="en-US" w:eastAsia="zh-CN"/>
                    </w:rPr>
                  </w:pPr>
                  <w:r>
                    <w:rPr>
                      <w:rFonts w:hint="eastAsia"/>
                      <w:bCs/>
                      <w:color w:val="auto"/>
                      <w:szCs w:val="21"/>
                      <w:highlight w:val="none"/>
                      <w:lang w:val="en-US" w:eastAsia="zh-CN"/>
                    </w:rPr>
                    <w:t>国家或地方污染物排放标准浓度限值（mg/L）</w:t>
                  </w:r>
                </w:p>
              </w:tc>
            </w:tr>
            <w:tr w14:paraId="0858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21" w:type="pct"/>
                  <w:vMerge w:val="restart"/>
                  <w:tcBorders>
                    <w:tl2br w:val="nil"/>
                    <w:tr2bl w:val="nil"/>
                  </w:tcBorders>
                  <w:noWrap/>
                  <w:vAlign w:val="center"/>
                </w:tcPr>
                <w:p w14:paraId="4121F71B">
                  <w:pPr>
                    <w:pStyle w:val="107"/>
                    <w:spacing w:beforeLines="0"/>
                    <w:rPr>
                      <w:rFonts w:hint="eastAsia" w:eastAsia="宋体" w:cs="Times New Roman"/>
                      <w:bCs/>
                      <w:color w:val="auto"/>
                      <w:szCs w:val="21"/>
                      <w:highlight w:val="none"/>
                      <w:lang w:val="en-US" w:eastAsia="zh-CN"/>
                    </w:rPr>
                  </w:pPr>
                  <w:r>
                    <w:rPr>
                      <w:rFonts w:hint="eastAsia" w:eastAsia="宋体" w:cs="Times New Roman"/>
                      <w:bCs/>
                      <w:color w:val="auto"/>
                      <w:szCs w:val="21"/>
                      <w:highlight w:val="none"/>
                      <w:lang w:val="en-US" w:eastAsia="zh-CN"/>
                    </w:rPr>
                    <w:t>1</w:t>
                  </w:r>
                </w:p>
              </w:tc>
              <w:tc>
                <w:tcPr>
                  <w:tcW w:w="281" w:type="pct"/>
                  <w:vMerge w:val="restart"/>
                  <w:tcBorders>
                    <w:tl2br w:val="nil"/>
                    <w:tr2bl w:val="nil"/>
                  </w:tcBorders>
                  <w:noWrap/>
                  <w:vAlign w:val="center"/>
                </w:tcPr>
                <w:p w14:paraId="3B5C636F">
                  <w:pPr>
                    <w:jc w:val="center"/>
                    <w:rPr>
                      <w:rFonts w:hint="default" w:eastAsia="宋体"/>
                      <w:bCs/>
                      <w:color w:val="auto"/>
                      <w:kern w:val="0"/>
                      <w:szCs w:val="21"/>
                      <w:highlight w:val="none"/>
                      <w:lang w:val="en-US" w:eastAsia="zh-CN"/>
                    </w:rPr>
                  </w:pPr>
                  <w:r>
                    <w:rPr>
                      <w:rFonts w:hint="eastAsia"/>
                      <w:bCs/>
                      <w:color w:val="auto"/>
                      <w:kern w:val="0"/>
                      <w:szCs w:val="21"/>
                      <w:highlight w:val="none"/>
                      <w:lang w:val="en-US" w:eastAsia="zh-CN"/>
                    </w:rPr>
                    <w:t>DW001</w:t>
                  </w:r>
                </w:p>
              </w:tc>
              <w:tc>
                <w:tcPr>
                  <w:tcW w:w="509" w:type="pct"/>
                  <w:vMerge w:val="restart"/>
                  <w:tcBorders>
                    <w:tl2br w:val="nil"/>
                    <w:tr2bl w:val="nil"/>
                  </w:tcBorders>
                  <w:noWrap/>
                  <w:vAlign w:val="center"/>
                </w:tcPr>
                <w:p w14:paraId="2175EBD9">
                  <w:pPr>
                    <w:jc w:val="center"/>
                    <w:rPr>
                      <w:rFonts w:hint="eastAsia" w:eastAsia="宋体"/>
                      <w:bCs/>
                      <w:color w:val="auto"/>
                      <w:kern w:val="0"/>
                      <w:szCs w:val="21"/>
                      <w:highlight w:val="none"/>
                      <w:lang w:val="en-US" w:eastAsia="zh-CN"/>
                    </w:rPr>
                  </w:pPr>
                  <w:r>
                    <w:rPr>
                      <w:rFonts w:hint="eastAsia"/>
                      <w:bCs/>
                      <w:color w:val="auto"/>
                      <w:kern w:val="0"/>
                      <w:szCs w:val="21"/>
                      <w:highlight w:val="none"/>
                      <w:lang w:val="en-US" w:eastAsia="zh-CN"/>
                    </w:rPr>
                    <w:t>一般排放口</w:t>
                  </w:r>
                </w:p>
              </w:tc>
              <w:tc>
                <w:tcPr>
                  <w:tcW w:w="1091" w:type="pct"/>
                  <w:vMerge w:val="restart"/>
                  <w:tcBorders>
                    <w:tl2br w:val="nil"/>
                    <w:tr2bl w:val="nil"/>
                  </w:tcBorders>
                  <w:noWrap/>
                  <w:vAlign w:val="center"/>
                </w:tcPr>
                <w:p w14:paraId="696A6E1C">
                  <w:pPr>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E109°34′40.090″</w:t>
                  </w:r>
                </w:p>
                <w:p w14:paraId="582F5601">
                  <w:pPr>
                    <w:jc w:val="center"/>
                    <w:rPr>
                      <w:bCs/>
                      <w:color w:val="auto"/>
                      <w:kern w:val="0"/>
                      <w:szCs w:val="21"/>
                      <w:highlight w:val="none"/>
                    </w:rPr>
                  </w:pPr>
                  <w:r>
                    <w:rPr>
                      <w:rFonts w:hint="default" w:ascii="Times New Roman" w:hAnsi="Times New Roman" w:cs="Times New Roman"/>
                      <w:bCs/>
                      <w:color w:val="auto"/>
                      <w:kern w:val="0"/>
                      <w:szCs w:val="21"/>
                      <w:highlight w:val="none"/>
                    </w:rPr>
                    <w:t>N24°26′10.048″</w:t>
                  </w:r>
                </w:p>
              </w:tc>
              <w:tc>
                <w:tcPr>
                  <w:tcW w:w="591" w:type="pct"/>
                  <w:vMerge w:val="restart"/>
                  <w:tcBorders>
                    <w:tl2br w:val="nil"/>
                    <w:tr2bl w:val="nil"/>
                  </w:tcBorders>
                  <w:noWrap/>
                  <w:vAlign w:val="center"/>
                </w:tcPr>
                <w:p w14:paraId="298F3DB4">
                  <w:pPr>
                    <w:jc w:val="center"/>
                    <w:rPr>
                      <w:rFonts w:hint="default" w:ascii="Times New Roman" w:hAnsi="Times New Roman" w:eastAsia="宋体" w:cs="Times New Roman"/>
                      <w:bCs/>
                      <w:color w:val="auto"/>
                      <w:kern w:val="0"/>
                      <w:szCs w:val="21"/>
                      <w:highlight w:val="none"/>
                      <w:lang w:val="en-US" w:eastAsia="zh-CN"/>
                    </w:rPr>
                  </w:pPr>
                  <w:r>
                    <w:rPr>
                      <w:rFonts w:hint="eastAsia" w:cs="Times New Roman"/>
                      <w:bCs/>
                      <w:color w:val="auto"/>
                      <w:kern w:val="0"/>
                      <w:szCs w:val="21"/>
                      <w:highlight w:val="none"/>
                      <w:lang w:val="en-US" w:eastAsia="zh-CN"/>
                    </w:rPr>
                    <w:t>市政污水管网</w:t>
                  </w:r>
                </w:p>
              </w:tc>
              <w:tc>
                <w:tcPr>
                  <w:tcW w:w="518" w:type="pct"/>
                  <w:vMerge w:val="restart"/>
                  <w:tcBorders>
                    <w:tl2br w:val="nil"/>
                    <w:tr2bl w:val="nil"/>
                  </w:tcBorders>
                  <w:noWrap/>
                  <w:vAlign w:val="center"/>
                </w:tcPr>
                <w:p w14:paraId="49E6A1FD">
                  <w:pPr>
                    <w:jc w:val="center"/>
                    <w:rPr>
                      <w:rFonts w:hint="default" w:ascii="Times New Roman" w:hAnsi="Times New Roman" w:eastAsia="宋体" w:cs="Times New Roman"/>
                      <w:bCs/>
                      <w:color w:val="auto"/>
                      <w:kern w:val="0"/>
                      <w:szCs w:val="21"/>
                      <w:highlight w:val="none"/>
                      <w:lang w:val="en-US" w:eastAsia="zh-CN"/>
                    </w:rPr>
                  </w:pPr>
                  <w:r>
                    <w:rPr>
                      <w:rFonts w:hint="eastAsia" w:cs="Times New Roman"/>
                      <w:bCs/>
                      <w:color w:val="auto"/>
                      <w:kern w:val="0"/>
                      <w:szCs w:val="21"/>
                      <w:highlight w:val="none"/>
                      <w:lang w:val="en-US" w:eastAsia="zh-CN"/>
                    </w:rPr>
                    <w:t>间断，流量不稳定</w:t>
                  </w:r>
                </w:p>
              </w:tc>
              <w:tc>
                <w:tcPr>
                  <w:tcW w:w="518" w:type="pct"/>
                  <w:vMerge w:val="restart"/>
                  <w:tcBorders>
                    <w:tl2br w:val="nil"/>
                    <w:tr2bl w:val="nil"/>
                  </w:tcBorders>
                  <w:noWrap/>
                  <w:vAlign w:val="center"/>
                </w:tcPr>
                <w:p w14:paraId="3484977B">
                  <w:pPr>
                    <w:jc w:val="center"/>
                    <w:rPr>
                      <w:rFonts w:hint="default" w:ascii="Times New Roman" w:hAnsi="Times New Roman" w:eastAsia="宋体" w:cs="Times New Roman"/>
                      <w:bCs/>
                      <w:color w:val="auto"/>
                      <w:kern w:val="0"/>
                      <w:szCs w:val="21"/>
                      <w:highlight w:val="none"/>
                      <w:lang w:val="en-US" w:eastAsia="zh-CN"/>
                    </w:rPr>
                  </w:pPr>
                  <w:r>
                    <w:rPr>
                      <w:rFonts w:hint="eastAsia" w:cs="Times New Roman"/>
                      <w:bCs/>
                      <w:color w:val="auto"/>
                      <w:kern w:val="0"/>
                      <w:szCs w:val="21"/>
                      <w:highlight w:val="none"/>
                      <w:lang w:val="en-US" w:eastAsia="zh-CN"/>
                    </w:rPr>
                    <w:t>官塘污水处理厂</w:t>
                  </w:r>
                </w:p>
              </w:tc>
              <w:tc>
                <w:tcPr>
                  <w:tcW w:w="563" w:type="pct"/>
                  <w:tcBorders>
                    <w:tl2br w:val="nil"/>
                    <w:tr2bl w:val="nil"/>
                  </w:tcBorders>
                  <w:noWrap/>
                  <w:vAlign w:val="center"/>
                </w:tcPr>
                <w:p w14:paraId="072FF35F">
                  <w:pPr>
                    <w:jc w:val="center"/>
                    <w:rPr>
                      <w:rFonts w:hint="default" w:ascii="Times New Roman" w:hAnsi="Times New Roman" w:eastAsia="宋体" w:cs="Times New Roman"/>
                      <w:bCs/>
                      <w:color w:val="auto"/>
                      <w:kern w:val="0"/>
                      <w:szCs w:val="21"/>
                      <w:highlight w:val="none"/>
                      <w:lang w:val="en-US" w:eastAsia="zh-CN"/>
                    </w:rPr>
                  </w:pPr>
                  <w:r>
                    <w:rPr>
                      <w:rFonts w:hint="eastAsia" w:cs="Times New Roman"/>
                      <w:bCs/>
                      <w:color w:val="auto"/>
                      <w:kern w:val="0"/>
                      <w:szCs w:val="21"/>
                      <w:highlight w:val="none"/>
                      <w:lang w:val="en-US" w:eastAsia="zh-CN"/>
                    </w:rPr>
                    <w:t>pH</w:t>
                  </w:r>
                </w:p>
              </w:tc>
              <w:tc>
                <w:tcPr>
                  <w:tcW w:w="703" w:type="pct"/>
                  <w:tcBorders>
                    <w:tl2br w:val="nil"/>
                    <w:tr2bl w:val="nil"/>
                  </w:tcBorders>
                  <w:noWrap/>
                  <w:vAlign w:val="center"/>
                </w:tcPr>
                <w:p w14:paraId="01C3C7A5">
                  <w:pPr>
                    <w:jc w:val="center"/>
                    <w:rPr>
                      <w:rFonts w:hint="default" w:ascii="Times New Roman" w:hAnsi="Times New Roman" w:eastAsia="宋体" w:cs="Times New Roman"/>
                      <w:bCs/>
                      <w:color w:val="auto"/>
                      <w:kern w:val="0"/>
                      <w:szCs w:val="21"/>
                      <w:highlight w:val="none"/>
                      <w:lang w:val="en-US" w:eastAsia="zh-CN"/>
                    </w:rPr>
                  </w:pPr>
                  <w:r>
                    <w:rPr>
                      <w:rFonts w:hint="eastAsia" w:cs="Times New Roman"/>
                      <w:bCs/>
                      <w:color w:val="auto"/>
                      <w:kern w:val="0"/>
                      <w:szCs w:val="21"/>
                      <w:highlight w:val="none"/>
                      <w:lang w:val="en-US" w:eastAsia="zh-CN"/>
                    </w:rPr>
                    <w:t>6-9</w:t>
                  </w:r>
                </w:p>
              </w:tc>
            </w:tr>
            <w:tr w14:paraId="787A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21" w:type="pct"/>
                  <w:vMerge w:val="continue"/>
                  <w:tcBorders>
                    <w:tl2br w:val="nil"/>
                    <w:tr2bl w:val="nil"/>
                  </w:tcBorders>
                  <w:noWrap/>
                  <w:vAlign w:val="center"/>
                </w:tcPr>
                <w:p w14:paraId="2CE1540E">
                  <w:pPr>
                    <w:jc w:val="center"/>
                    <w:rPr>
                      <w:color w:val="auto"/>
                    </w:rPr>
                  </w:pPr>
                </w:p>
              </w:tc>
              <w:tc>
                <w:tcPr>
                  <w:tcW w:w="281" w:type="pct"/>
                  <w:vMerge w:val="continue"/>
                  <w:tcBorders>
                    <w:tl2br w:val="nil"/>
                    <w:tr2bl w:val="nil"/>
                  </w:tcBorders>
                  <w:noWrap/>
                  <w:vAlign w:val="center"/>
                </w:tcPr>
                <w:p w14:paraId="134AB33F">
                  <w:pPr>
                    <w:jc w:val="center"/>
                    <w:rPr>
                      <w:color w:val="auto"/>
                    </w:rPr>
                  </w:pPr>
                </w:p>
              </w:tc>
              <w:tc>
                <w:tcPr>
                  <w:tcW w:w="509" w:type="pct"/>
                  <w:vMerge w:val="continue"/>
                  <w:tcBorders>
                    <w:tl2br w:val="nil"/>
                    <w:tr2bl w:val="nil"/>
                  </w:tcBorders>
                  <w:noWrap/>
                  <w:vAlign w:val="center"/>
                </w:tcPr>
                <w:p w14:paraId="632389DF">
                  <w:pPr>
                    <w:jc w:val="center"/>
                    <w:rPr>
                      <w:color w:val="auto"/>
                    </w:rPr>
                  </w:pPr>
                </w:p>
              </w:tc>
              <w:tc>
                <w:tcPr>
                  <w:tcW w:w="1091" w:type="pct"/>
                  <w:vMerge w:val="continue"/>
                  <w:tcBorders>
                    <w:tl2br w:val="nil"/>
                    <w:tr2bl w:val="nil"/>
                  </w:tcBorders>
                  <w:noWrap/>
                  <w:vAlign w:val="center"/>
                </w:tcPr>
                <w:p w14:paraId="2C0893EF">
                  <w:pPr>
                    <w:jc w:val="center"/>
                    <w:rPr>
                      <w:color w:val="auto"/>
                    </w:rPr>
                  </w:pPr>
                </w:p>
              </w:tc>
              <w:tc>
                <w:tcPr>
                  <w:tcW w:w="591" w:type="pct"/>
                  <w:vMerge w:val="continue"/>
                  <w:tcBorders>
                    <w:tl2br w:val="nil"/>
                    <w:tr2bl w:val="nil"/>
                  </w:tcBorders>
                  <w:noWrap/>
                  <w:vAlign w:val="center"/>
                </w:tcPr>
                <w:p w14:paraId="28558F86">
                  <w:pPr>
                    <w:jc w:val="center"/>
                    <w:rPr>
                      <w:color w:val="auto"/>
                    </w:rPr>
                  </w:pPr>
                </w:p>
              </w:tc>
              <w:tc>
                <w:tcPr>
                  <w:tcW w:w="518" w:type="pct"/>
                  <w:vMerge w:val="continue"/>
                  <w:tcBorders>
                    <w:tl2br w:val="nil"/>
                    <w:tr2bl w:val="nil"/>
                  </w:tcBorders>
                  <w:noWrap/>
                  <w:vAlign w:val="center"/>
                </w:tcPr>
                <w:p w14:paraId="0315819E">
                  <w:pPr>
                    <w:jc w:val="center"/>
                    <w:rPr>
                      <w:color w:val="auto"/>
                    </w:rPr>
                  </w:pPr>
                </w:p>
              </w:tc>
              <w:tc>
                <w:tcPr>
                  <w:tcW w:w="518" w:type="pct"/>
                  <w:vMerge w:val="continue"/>
                  <w:tcBorders>
                    <w:tl2br w:val="nil"/>
                    <w:tr2bl w:val="nil"/>
                  </w:tcBorders>
                  <w:noWrap/>
                  <w:vAlign w:val="center"/>
                </w:tcPr>
                <w:p w14:paraId="33FD629E">
                  <w:pPr>
                    <w:jc w:val="center"/>
                    <w:rPr>
                      <w:color w:val="auto"/>
                    </w:rPr>
                  </w:pPr>
                </w:p>
              </w:tc>
              <w:tc>
                <w:tcPr>
                  <w:tcW w:w="563" w:type="pct"/>
                  <w:tcBorders>
                    <w:tl2br w:val="nil"/>
                    <w:tr2bl w:val="nil"/>
                  </w:tcBorders>
                  <w:noWrap/>
                  <w:vAlign w:val="center"/>
                </w:tcPr>
                <w:p w14:paraId="0EBB09F4">
                  <w:pPr>
                    <w:jc w:val="center"/>
                    <w:rPr>
                      <w:rFonts w:hint="default" w:ascii="Times New Roman" w:hAnsi="Times New Roman" w:eastAsia="宋体" w:cs="Times New Roman"/>
                      <w:bCs/>
                      <w:color w:val="auto"/>
                      <w:kern w:val="0"/>
                      <w:szCs w:val="21"/>
                      <w:highlight w:val="none"/>
                      <w:lang w:val="en-US" w:eastAsia="zh-CN"/>
                    </w:rPr>
                  </w:pPr>
                  <w:r>
                    <w:rPr>
                      <w:rFonts w:hint="eastAsia" w:cs="Times New Roman"/>
                      <w:bCs/>
                      <w:color w:val="auto"/>
                      <w:kern w:val="0"/>
                      <w:szCs w:val="21"/>
                      <w:highlight w:val="none"/>
                      <w:lang w:val="en-US" w:eastAsia="zh-CN"/>
                    </w:rPr>
                    <w:t>COD</w:t>
                  </w:r>
                </w:p>
              </w:tc>
              <w:tc>
                <w:tcPr>
                  <w:tcW w:w="703" w:type="pct"/>
                  <w:tcBorders>
                    <w:tl2br w:val="nil"/>
                    <w:tr2bl w:val="nil"/>
                  </w:tcBorders>
                  <w:noWrap/>
                  <w:vAlign w:val="center"/>
                </w:tcPr>
                <w:p w14:paraId="04EC1D89">
                  <w:pPr>
                    <w:jc w:val="center"/>
                    <w:rPr>
                      <w:rFonts w:hint="default" w:ascii="Times New Roman" w:hAnsi="Times New Roman" w:eastAsia="宋体" w:cs="Times New Roman"/>
                      <w:bCs/>
                      <w:color w:val="auto"/>
                      <w:kern w:val="0"/>
                      <w:szCs w:val="21"/>
                      <w:highlight w:val="none"/>
                      <w:lang w:val="en-US" w:eastAsia="zh-CN"/>
                    </w:rPr>
                  </w:pPr>
                  <w:r>
                    <w:rPr>
                      <w:rFonts w:hint="eastAsia" w:cs="Times New Roman"/>
                      <w:bCs/>
                      <w:color w:val="auto"/>
                      <w:kern w:val="0"/>
                      <w:szCs w:val="21"/>
                      <w:highlight w:val="none"/>
                      <w:lang w:val="en-US" w:eastAsia="zh-CN"/>
                    </w:rPr>
                    <w:t>50</w:t>
                  </w:r>
                </w:p>
              </w:tc>
            </w:tr>
            <w:tr w14:paraId="354B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21" w:type="pct"/>
                  <w:vMerge w:val="continue"/>
                  <w:tcBorders>
                    <w:tl2br w:val="nil"/>
                    <w:tr2bl w:val="nil"/>
                  </w:tcBorders>
                  <w:noWrap/>
                  <w:vAlign w:val="center"/>
                </w:tcPr>
                <w:p w14:paraId="31C115E7">
                  <w:pPr>
                    <w:jc w:val="center"/>
                    <w:rPr>
                      <w:rFonts w:hint="default" w:ascii="Times New Roman" w:hAnsi="Times New Roman" w:cs="Times New Roman"/>
                      <w:bCs/>
                      <w:color w:val="auto"/>
                      <w:kern w:val="0"/>
                      <w:szCs w:val="21"/>
                      <w:highlight w:val="none"/>
                    </w:rPr>
                  </w:pPr>
                </w:p>
              </w:tc>
              <w:tc>
                <w:tcPr>
                  <w:tcW w:w="281" w:type="pct"/>
                  <w:vMerge w:val="continue"/>
                  <w:tcBorders>
                    <w:tl2br w:val="nil"/>
                    <w:tr2bl w:val="nil"/>
                  </w:tcBorders>
                  <w:noWrap/>
                  <w:vAlign w:val="center"/>
                </w:tcPr>
                <w:p w14:paraId="636A3DDE">
                  <w:pPr>
                    <w:jc w:val="center"/>
                    <w:rPr>
                      <w:rFonts w:hint="default" w:ascii="Times New Roman" w:hAnsi="Times New Roman" w:cs="Times New Roman"/>
                      <w:bCs/>
                      <w:color w:val="auto"/>
                      <w:kern w:val="0"/>
                      <w:szCs w:val="21"/>
                      <w:highlight w:val="none"/>
                    </w:rPr>
                  </w:pPr>
                </w:p>
              </w:tc>
              <w:tc>
                <w:tcPr>
                  <w:tcW w:w="509" w:type="pct"/>
                  <w:vMerge w:val="continue"/>
                  <w:tcBorders>
                    <w:tl2br w:val="nil"/>
                    <w:tr2bl w:val="nil"/>
                  </w:tcBorders>
                  <w:noWrap/>
                  <w:vAlign w:val="center"/>
                </w:tcPr>
                <w:p w14:paraId="10C60FB5">
                  <w:pPr>
                    <w:jc w:val="center"/>
                    <w:rPr>
                      <w:rFonts w:hint="default" w:ascii="Times New Roman" w:hAnsi="Times New Roman" w:cs="Times New Roman"/>
                      <w:bCs/>
                      <w:color w:val="auto"/>
                      <w:kern w:val="0"/>
                      <w:szCs w:val="21"/>
                      <w:highlight w:val="none"/>
                    </w:rPr>
                  </w:pPr>
                </w:p>
              </w:tc>
              <w:tc>
                <w:tcPr>
                  <w:tcW w:w="1091" w:type="pct"/>
                  <w:vMerge w:val="continue"/>
                  <w:tcBorders>
                    <w:tl2br w:val="nil"/>
                    <w:tr2bl w:val="nil"/>
                  </w:tcBorders>
                  <w:noWrap/>
                  <w:vAlign w:val="center"/>
                </w:tcPr>
                <w:p w14:paraId="4F29D0BF">
                  <w:pPr>
                    <w:jc w:val="center"/>
                    <w:rPr>
                      <w:rFonts w:hint="default" w:ascii="Times New Roman" w:hAnsi="Times New Roman" w:cs="Times New Roman"/>
                      <w:bCs/>
                      <w:color w:val="auto"/>
                      <w:kern w:val="0"/>
                      <w:szCs w:val="21"/>
                      <w:highlight w:val="none"/>
                    </w:rPr>
                  </w:pPr>
                </w:p>
              </w:tc>
              <w:tc>
                <w:tcPr>
                  <w:tcW w:w="591" w:type="pct"/>
                  <w:vMerge w:val="continue"/>
                  <w:tcBorders>
                    <w:tl2br w:val="nil"/>
                    <w:tr2bl w:val="nil"/>
                  </w:tcBorders>
                  <w:noWrap/>
                  <w:vAlign w:val="center"/>
                </w:tcPr>
                <w:p w14:paraId="49704B9B">
                  <w:pPr>
                    <w:jc w:val="center"/>
                    <w:rPr>
                      <w:rFonts w:hint="default" w:ascii="Times New Roman" w:hAnsi="Times New Roman" w:cs="Times New Roman"/>
                      <w:bCs/>
                      <w:color w:val="auto"/>
                      <w:kern w:val="0"/>
                      <w:szCs w:val="21"/>
                      <w:highlight w:val="none"/>
                    </w:rPr>
                  </w:pPr>
                </w:p>
              </w:tc>
              <w:tc>
                <w:tcPr>
                  <w:tcW w:w="518" w:type="pct"/>
                  <w:vMerge w:val="continue"/>
                  <w:tcBorders>
                    <w:tl2br w:val="nil"/>
                    <w:tr2bl w:val="nil"/>
                  </w:tcBorders>
                  <w:noWrap/>
                  <w:vAlign w:val="center"/>
                </w:tcPr>
                <w:p w14:paraId="48EC07C3">
                  <w:pPr>
                    <w:jc w:val="center"/>
                    <w:rPr>
                      <w:rFonts w:hint="default" w:ascii="Times New Roman" w:hAnsi="Times New Roman" w:cs="Times New Roman"/>
                      <w:bCs/>
                      <w:color w:val="auto"/>
                      <w:kern w:val="0"/>
                      <w:szCs w:val="21"/>
                      <w:highlight w:val="none"/>
                    </w:rPr>
                  </w:pPr>
                </w:p>
              </w:tc>
              <w:tc>
                <w:tcPr>
                  <w:tcW w:w="518" w:type="pct"/>
                  <w:vMerge w:val="continue"/>
                  <w:tcBorders>
                    <w:tl2br w:val="nil"/>
                    <w:tr2bl w:val="nil"/>
                  </w:tcBorders>
                  <w:noWrap/>
                  <w:vAlign w:val="center"/>
                </w:tcPr>
                <w:p w14:paraId="6C493E4C">
                  <w:pPr>
                    <w:jc w:val="center"/>
                    <w:rPr>
                      <w:rFonts w:hint="default" w:ascii="Times New Roman" w:hAnsi="Times New Roman" w:cs="Times New Roman"/>
                      <w:bCs/>
                      <w:color w:val="auto"/>
                      <w:kern w:val="0"/>
                      <w:szCs w:val="21"/>
                      <w:highlight w:val="none"/>
                    </w:rPr>
                  </w:pPr>
                </w:p>
              </w:tc>
              <w:tc>
                <w:tcPr>
                  <w:tcW w:w="563" w:type="pct"/>
                  <w:tcBorders>
                    <w:tl2br w:val="nil"/>
                    <w:tr2bl w:val="nil"/>
                  </w:tcBorders>
                  <w:noWrap/>
                  <w:vAlign w:val="center"/>
                </w:tcPr>
                <w:p w14:paraId="5D2D9E62">
                  <w:pPr>
                    <w:jc w:val="center"/>
                    <w:rPr>
                      <w:rFonts w:hint="default" w:ascii="Times New Roman" w:hAnsi="Times New Roman" w:eastAsia="宋体" w:cs="Times New Roman"/>
                      <w:bCs/>
                      <w:color w:val="auto"/>
                      <w:kern w:val="0"/>
                      <w:szCs w:val="21"/>
                      <w:highlight w:val="none"/>
                      <w:lang w:val="en-US" w:eastAsia="zh-CN"/>
                    </w:rPr>
                  </w:pPr>
                  <w:r>
                    <w:rPr>
                      <w:rFonts w:hint="eastAsia" w:cs="Times New Roman"/>
                      <w:bCs/>
                      <w:color w:val="auto"/>
                      <w:kern w:val="0"/>
                      <w:szCs w:val="21"/>
                      <w:highlight w:val="none"/>
                      <w:lang w:val="en-US" w:eastAsia="zh-CN"/>
                    </w:rPr>
                    <w:t>BOD</w:t>
                  </w:r>
                </w:p>
              </w:tc>
              <w:tc>
                <w:tcPr>
                  <w:tcW w:w="703" w:type="pct"/>
                  <w:tcBorders>
                    <w:tl2br w:val="nil"/>
                    <w:tr2bl w:val="nil"/>
                  </w:tcBorders>
                  <w:noWrap/>
                  <w:vAlign w:val="center"/>
                </w:tcPr>
                <w:p w14:paraId="045B726D">
                  <w:pPr>
                    <w:jc w:val="center"/>
                    <w:rPr>
                      <w:rFonts w:hint="default" w:ascii="Times New Roman" w:hAnsi="Times New Roman" w:eastAsia="宋体" w:cs="Times New Roman"/>
                      <w:bCs/>
                      <w:color w:val="auto"/>
                      <w:kern w:val="0"/>
                      <w:szCs w:val="21"/>
                      <w:highlight w:val="none"/>
                      <w:lang w:val="en-US" w:eastAsia="zh-CN"/>
                    </w:rPr>
                  </w:pPr>
                  <w:r>
                    <w:rPr>
                      <w:rFonts w:hint="eastAsia" w:cs="Times New Roman"/>
                      <w:bCs/>
                      <w:color w:val="auto"/>
                      <w:kern w:val="0"/>
                      <w:szCs w:val="21"/>
                      <w:highlight w:val="none"/>
                      <w:lang w:val="en-US" w:eastAsia="zh-CN"/>
                    </w:rPr>
                    <w:t>10</w:t>
                  </w:r>
                </w:p>
              </w:tc>
            </w:tr>
            <w:tr w14:paraId="2F08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21" w:type="pct"/>
                  <w:vMerge w:val="continue"/>
                  <w:tcBorders>
                    <w:tl2br w:val="nil"/>
                    <w:tr2bl w:val="nil"/>
                  </w:tcBorders>
                  <w:noWrap/>
                  <w:vAlign w:val="center"/>
                </w:tcPr>
                <w:p w14:paraId="7681F0FD">
                  <w:pPr>
                    <w:jc w:val="center"/>
                    <w:rPr>
                      <w:rFonts w:hint="default" w:ascii="Times New Roman" w:hAnsi="Times New Roman" w:cs="Times New Roman"/>
                      <w:bCs/>
                      <w:color w:val="auto"/>
                      <w:kern w:val="0"/>
                      <w:szCs w:val="21"/>
                      <w:highlight w:val="none"/>
                    </w:rPr>
                  </w:pPr>
                </w:p>
              </w:tc>
              <w:tc>
                <w:tcPr>
                  <w:tcW w:w="281" w:type="pct"/>
                  <w:vMerge w:val="continue"/>
                  <w:tcBorders>
                    <w:tl2br w:val="nil"/>
                    <w:tr2bl w:val="nil"/>
                  </w:tcBorders>
                  <w:noWrap/>
                  <w:vAlign w:val="center"/>
                </w:tcPr>
                <w:p w14:paraId="5AABEFDD">
                  <w:pPr>
                    <w:jc w:val="center"/>
                    <w:rPr>
                      <w:rFonts w:hint="default" w:ascii="Times New Roman" w:hAnsi="Times New Roman" w:cs="Times New Roman"/>
                      <w:bCs/>
                      <w:color w:val="auto"/>
                      <w:kern w:val="0"/>
                      <w:szCs w:val="21"/>
                      <w:highlight w:val="none"/>
                    </w:rPr>
                  </w:pPr>
                </w:p>
              </w:tc>
              <w:tc>
                <w:tcPr>
                  <w:tcW w:w="509" w:type="pct"/>
                  <w:vMerge w:val="continue"/>
                  <w:tcBorders>
                    <w:tl2br w:val="nil"/>
                    <w:tr2bl w:val="nil"/>
                  </w:tcBorders>
                  <w:noWrap/>
                  <w:vAlign w:val="center"/>
                </w:tcPr>
                <w:p w14:paraId="0E022FE7">
                  <w:pPr>
                    <w:jc w:val="center"/>
                    <w:rPr>
                      <w:rFonts w:hint="default" w:ascii="Times New Roman" w:hAnsi="Times New Roman" w:cs="Times New Roman"/>
                      <w:bCs/>
                      <w:color w:val="auto"/>
                      <w:kern w:val="0"/>
                      <w:szCs w:val="21"/>
                      <w:highlight w:val="none"/>
                    </w:rPr>
                  </w:pPr>
                </w:p>
              </w:tc>
              <w:tc>
                <w:tcPr>
                  <w:tcW w:w="1091" w:type="pct"/>
                  <w:vMerge w:val="continue"/>
                  <w:tcBorders>
                    <w:tl2br w:val="nil"/>
                    <w:tr2bl w:val="nil"/>
                  </w:tcBorders>
                  <w:noWrap/>
                  <w:vAlign w:val="center"/>
                </w:tcPr>
                <w:p w14:paraId="10E2307D">
                  <w:pPr>
                    <w:jc w:val="center"/>
                    <w:rPr>
                      <w:rFonts w:hint="default" w:ascii="Times New Roman" w:hAnsi="Times New Roman" w:cs="Times New Roman"/>
                      <w:bCs/>
                      <w:color w:val="auto"/>
                      <w:kern w:val="0"/>
                      <w:szCs w:val="21"/>
                      <w:highlight w:val="none"/>
                    </w:rPr>
                  </w:pPr>
                </w:p>
              </w:tc>
              <w:tc>
                <w:tcPr>
                  <w:tcW w:w="591" w:type="pct"/>
                  <w:vMerge w:val="continue"/>
                  <w:tcBorders>
                    <w:tl2br w:val="nil"/>
                    <w:tr2bl w:val="nil"/>
                  </w:tcBorders>
                  <w:noWrap/>
                  <w:vAlign w:val="center"/>
                </w:tcPr>
                <w:p w14:paraId="4359BE1F">
                  <w:pPr>
                    <w:jc w:val="center"/>
                    <w:rPr>
                      <w:rFonts w:hint="default" w:ascii="Times New Roman" w:hAnsi="Times New Roman" w:cs="Times New Roman"/>
                      <w:bCs/>
                      <w:color w:val="auto"/>
                      <w:kern w:val="0"/>
                      <w:szCs w:val="21"/>
                      <w:highlight w:val="none"/>
                    </w:rPr>
                  </w:pPr>
                </w:p>
              </w:tc>
              <w:tc>
                <w:tcPr>
                  <w:tcW w:w="518" w:type="pct"/>
                  <w:vMerge w:val="continue"/>
                  <w:tcBorders>
                    <w:tl2br w:val="nil"/>
                    <w:tr2bl w:val="nil"/>
                  </w:tcBorders>
                  <w:noWrap/>
                  <w:vAlign w:val="center"/>
                </w:tcPr>
                <w:p w14:paraId="29A36B1C">
                  <w:pPr>
                    <w:jc w:val="center"/>
                    <w:rPr>
                      <w:rFonts w:hint="default" w:ascii="Times New Roman" w:hAnsi="Times New Roman" w:cs="Times New Roman"/>
                      <w:bCs/>
                      <w:color w:val="auto"/>
                      <w:kern w:val="0"/>
                      <w:szCs w:val="21"/>
                      <w:highlight w:val="none"/>
                    </w:rPr>
                  </w:pPr>
                </w:p>
              </w:tc>
              <w:tc>
                <w:tcPr>
                  <w:tcW w:w="518" w:type="pct"/>
                  <w:vMerge w:val="continue"/>
                  <w:tcBorders>
                    <w:tl2br w:val="nil"/>
                    <w:tr2bl w:val="nil"/>
                  </w:tcBorders>
                  <w:noWrap/>
                  <w:vAlign w:val="center"/>
                </w:tcPr>
                <w:p w14:paraId="6BC47498">
                  <w:pPr>
                    <w:jc w:val="center"/>
                    <w:rPr>
                      <w:rFonts w:hint="default" w:ascii="Times New Roman" w:hAnsi="Times New Roman" w:cs="Times New Roman"/>
                      <w:bCs/>
                      <w:color w:val="auto"/>
                      <w:kern w:val="0"/>
                      <w:szCs w:val="21"/>
                      <w:highlight w:val="none"/>
                    </w:rPr>
                  </w:pPr>
                </w:p>
              </w:tc>
              <w:tc>
                <w:tcPr>
                  <w:tcW w:w="563" w:type="pct"/>
                  <w:tcBorders>
                    <w:tl2br w:val="nil"/>
                    <w:tr2bl w:val="nil"/>
                  </w:tcBorders>
                  <w:noWrap/>
                  <w:vAlign w:val="center"/>
                </w:tcPr>
                <w:p w14:paraId="1E604836">
                  <w:pPr>
                    <w:jc w:val="center"/>
                    <w:rPr>
                      <w:rFonts w:hint="default" w:ascii="Times New Roman" w:hAnsi="Times New Roman" w:eastAsia="宋体" w:cs="Times New Roman"/>
                      <w:bCs/>
                      <w:color w:val="auto"/>
                      <w:kern w:val="0"/>
                      <w:szCs w:val="21"/>
                      <w:highlight w:val="none"/>
                      <w:lang w:val="en-US" w:eastAsia="zh-CN"/>
                    </w:rPr>
                  </w:pPr>
                  <w:r>
                    <w:rPr>
                      <w:rFonts w:hint="eastAsia" w:cs="Times New Roman"/>
                      <w:bCs/>
                      <w:color w:val="auto"/>
                      <w:kern w:val="0"/>
                      <w:szCs w:val="21"/>
                      <w:highlight w:val="none"/>
                      <w:lang w:val="en-US" w:eastAsia="zh-CN"/>
                    </w:rPr>
                    <w:t>SS</w:t>
                  </w:r>
                </w:p>
              </w:tc>
              <w:tc>
                <w:tcPr>
                  <w:tcW w:w="703" w:type="pct"/>
                  <w:tcBorders>
                    <w:tl2br w:val="nil"/>
                    <w:tr2bl w:val="nil"/>
                  </w:tcBorders>
                  <w:noWrap/>
                  <w:vAlign w:val="center"/>
                </w:tcPr>
                <w:p w14:paraId="0A676A9D">
                  <w:pPr>
                    <w:jc w:val="center"/>
                    <w:rPr>
                      <w:rFonts w:hint="default" w:ascii="Times New Roman" w:hAnsi="Times New Roman" w:eastAsia="宋体" w:cs="Times New Roman"/>
                      <w:bCs/>
                      <w:color w:val="auto"/>
                      <w:kern w:val="0"/>
                      <w:szCs w:val="21"/>
                      <w:highlight w:val="none"/>
                      <w:lang w:val="en-US" w:eastAsia="zh-CN"/>
                    </w:rPr>
                  </w:pPr>
                  <w:r>
                    <w:rPr>
                      <w:rFonts w:hint="eastAsia" w:cs="Times New Roman"/>
                      <w:bCs/>
                      <w:color w:val="auto"/>
                      <w:kern w:val="0"/>
                      <w:szCs w:val="21"/>
                      <w:highlight w:val="none"/>
                      <w:lang w:val="en-US" w:eastAsia="zh-CN"/>
                    </w:rPr>
                    <w:t>10</w:t>
                  </w:r>
                </w:p>
              </w:tc>
            </w:tr>
            <w:tr w14:paraId="3AC49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21" w:type="pct"/>
                  <w:vMerge w:val="continue"/>
                  <w:tcBorders>
                    <w:tl2br w:val="nil"/>
                    <w:tr2bl w:val="nil"/>
                  </w:tcBorders>
                  <w:noWrap/>
                  <w:vAlign w:val="center"/>
                </w:tcPr>
                <w:p w14:paraId="01F21653">
                  <w:pPr>
                    <w:jc w:val="center"/>
                    <w:rPr>
                      <w:rFonts w:hint="default" w:ascii="Times New Roman" w:hAnsi="Times New Roman" w:cs="Times New Roman"/>
                      <w:bCs/>
                      <w:color w:val="auto"/>
                      <w:kern w:val="0"/>
                      <w:szCs w:val="21"/>
                      <w:highlight w:val="none"/>
                    </w:rPr>
                  </w:pPr>
                </w:p>
              </w:tc>
              <w:tc>
                <w:tcPr>
                  <w:tcW w:w="281" w:type="pct"/>
                  <w:vMerge w:val="continue"/>
                  <w:tcBorders>
                    <w:tl2br w:val="nil"/>
                    <w:tr2bl w:val="nil"/>
                  </w:tcBorders>
                  <w:noWrap/>
                  <w:vAlign w:val="center"/>
                </w:tcPr>
                <w:p w14:paraId="2F75CE7D">
                  <w:pPr>
                    <w:jc w:val="center"/>
                    <w:rPr>
                      <w:rFonts w:hint="default" w:ascii="Times New Roman" w:hAnsi="Times New Roman" w:cs="Times New Roman"/>
                      <w:bCs/>
                      <w:color w:val="auto"/>
                      <w:kern w:val="0"/>
                      <w:szCs w:val="21"/>
                      <w:highlight w:val="none"/>
                    </w:rPr>
                  </w:pPr>
                </w:p>
              </w:tc>
              <w:tc>
                <w:tcPr>
                  <w:tcW w:w="509" w:type="pct"/>
                  <w:vMerge w:val="continue"/>
                  <w:tcBorders>
                    <w:tl2br w:val="nil"/>
                    <w:tr2bl w:val="nil"/>
                  </w:tcBorders>
                  <w:noWrap/>
                  <w:vAlign w:val="center"/>
                </w:tcPr>
                <w:p w14:paraId="300002DC">
                  <w:pPr>
                    <w:jc w:val="center"/>
                    <w:rPr>
                      <w:rFonts w:hint="default" w:ascii="Times New Roman" w:hAnsi="Times New Roman" w:cs="Times New Roman"/>
                      <w:bCs/>
                      <w:color w:val="auto"/>
                      <w:kern w:val="0"/>
                      <w:szCs w:val="21"/>
                      <w:highlight w:val="none"/>
                    </w:rPr>
                  </w:pPr>
                </w:p>
              </w:tc>
              <w:tc>
                <w:tcPr>
                  <w:tcW w:w="1091" w:type="pct"/>
                  <w:vMerge w:val="continue"/>
                  <w:tcBorders>
                    <w:tl2br w:val="nil"/>
                    <w:tr2bl w:val="nil"/>
                  </w:tcBorders>
                  <w:noWrap/>
                  <w:vAlign w:val="center"/>
                </w:tcPr>
                <w:p w14:paraId="7BF40967">
                  <w:pPr>
                    <w:jc w:val="center"/>
                    <w:rPr>
                      <w:rFonts w:hint="default" w:ascii="Times New Roman" w:hAnsi="Times New Roman" w:cs="Times New Roman"/>
                      <w:bCs/>
                      <w:color w:val="auto"/>
                      <w:kern w:val="0"/>
                      <w:szCs w:val="21"/>
                      <w:highlight w:val="none"/>
                    </w:rPr>
                  </w:pPr>
                </w:p>
              </w:tc>
              <w:tc>
                <w:tcPr>
                  <w:tcW w:w="591" w:type="pct"/>
                  <w:vMerge w:val="continue"/>
                  <w:tcBorders>
                    <w:tl2br w:val="nil"/>
                    <w:tr2bl w:val="nil"/>
                  </w:tcBorders>
                  <w:noWrap/>
                  <w:vAlign w:val="center"/>
                </w:tcPr>
                <w:p w14:paraId="6511ADC4">
                  <w:pPr>
                    <w:jc w:val="center"/>
                    <w:rPr>
                      <w:rFonts w:hint="default" w:ascii="Times New Roman" w:hAnsi="Times New Roman" w:cs="Times New Roman"/>
                      <w:bCs/>
                      <w:color w:val="auto"/>
                      <w:kern w:val="0"/>
                      <w:szCs w:val="21"/>
                      <w:highlight w:val="none"/>
                    </w:rPr>
                  </w:pPr>
                </w:p>
              </w:tc>
              <w:tc>
                <w:tcPr>
                  <w:tcW w:w="518" w:type="pct"/>
                  <w:vMerge w:val="continue"/>
                  <w:tcBorders>
                    <w:tl2br w:val="nil"/>
                    <w:tr2bl w:val="nil"/>
                  </w:tcBorders>
                  <w:noWrap/>
                  <w:vAlign w:val="center"/>
                </w:tcPr>
                <w:p w14:paraId="1BC4142D">
                  <w:pPr>
                    <w:jc w:val="center"/>
                    <w:rPr>
                      <w:rFonts w:hint="default" w:ascii="Times New Roman" w:hAnsi="Times New Roman" w:cs="Times New Roman"/>
                      <w:bCs/>
                      <w:color w:val="auto"/>
                      <w:kern w:val="0"/>
                      <w:szCs w:val="21"/>
                      <w:highlight w:val="none"/>
                    </w:rPr>
                  </w:pPr>
                </w:p>
              </w:tc>
              <w:tc>
                <w:tcPr>
                  <w:tcW w:w="518" w:type="pct"/>
                  <w:vMerge w:val="continue"/>
                  <w:tcBorders>
                    <w:tl2br w:val="nil"/>
                    <w:tr2bl w:val="nil"/>
                  </w:tcBorders>
                  <w:noWrap/>
                  <w:vAlign w:val="center"/>
                </w:tcPr>
                <w:p w14:paraId="5A8D567E">
                  <w:pPr>
                    <w:jc w:val="center"/>
                    <w:rPr>
                      <w:rFonts w:hint="default" w:ascii="Times New Roman" w:hAnsi="Times New Roman" w:cs="Times New Roman"/>
                      <w:bCs/>
                      <w:color w:val="auto"/>
                      <w:kern w:val="0"/>
                      <w:szCs w:val="21"/>
                      <w:highlight w:val="none"/>
                    </w:rPr>
                  </w:pPr>
                </w:p>
              </w:tc>
              <w:tc>
                <w:tcPr>
                  <w:tcW w:w="563" w:type="pct"/>
                  <w:tcBorders>
                    <w:tl2br w:val="nil"/>
                    <w:tr2bl w:val="nil"/>
                  </w:tcBorders>
                  <w:noWrap/>
                  <w:vAlign w:val="center"/>
                </w:tcPr>
                <w:p w14:paraId="726860D3">
                  <w:pPr>
                    <w:jc w:val="center"/>
                    <w:rPr>
                      <w:rFonts w:hint="default" w:ascii="Times New Roman" w:hAnsi="Times New Roman" w:eastAsia="宋体" w:cs="Times New Roman"/>
                      <w:bCs/>
                      <w:color w:val="auto"/>
                      <w:kern w:val="0"/>
                      <w:szCs w:val="21"/>
                      <w:highlight w:val="none"/>
                      <w:lang w:val="en-US" w:eastAsia="zh-CN"/>
                    </w:rPr>
                  </w:pPr>
                  <w:r>
                    <w:rPr>
                      <w:rFonts w:hint="eastAsia" w:cs="Times New Roman"/>
                      <w:bCs/>
                      <w:color w:val="auto"/>
                      <w:kern w:val="0"/>
                      <w:szCs w:val="21"/>
                      <w:highlight w:val="none"/>
                      <w:lang w:val="en-US" w:eastAsia="zh-CN"/>
                    </w:rPr>
                    <w:t>NH</w:t>
                  </w:r>
                  <w:r>
                    <w:rPr>
                      <w:rFonts w:hint="eastAsia" w:cs="Times New Roman"/>
                      <w:bCs/>
                      <w:color w:val="auto"/>
                      <w:kern w:val="0"/>
                      <w:szCs w:val="21"/>
                      <w:highlight w:val="none"/>
                      <w:vertAlign w:val="subscript"/>
                      <w:lang w:val="en-US" w:eastAsia="zh-CN"/>
                    </w:rPr>
                    <w:t>3</w:t>
                  </w:r>
                  <w:r>
                    <w:rPr>
                      <w:rFonts w:hint="eastAsia" w:cs="Times New Roman"/>
                      <w:bCs/>
                      <w:color w:val="auto"/>
                      <w:kern w:val="0"/>
                      <w:szCs w:val="21"/>
                      <w:highlight w:val="none"/>
                      <w:lang w:val="en-US" w:eastAsia="zh-CN"/>
                    </w:rPr>
                    <w:t>-N</w:t>
                  </w:r>
                </w:p>
              </w:tc>
              <w:tc>
                <w:tcPr>
                  <w:tcW w:w="703" w:type="pct"/>
                  <w:tcBorders>
                    <w:tl2br w:val="nil"/>
                    <w:tr2bl w:val="nil"/>
                  </w:tcBorders>
                  <w:noWrap/>
                  <w:vAlign w:val="center"/>
                </w:tcPr>
                <w:p w14:paraId="7548A7CD">
                  <w:pPr>
                    <w:jc w:val="center"/>
                    <w:rPr>
                      <w:rFonts w:hint="default" w:ascii="Times New Roman" w:hAnsi="Times New Roman" w:eastAsia="宋体" w:cs="Times New Roman"/>
                      <w:bCs/>
                      <w:color w:val="auto"/>
                      <w:kern w:val="0"/>
                      <w:szCs w:val="21"/>
                      <w:highlight w:val="none"/>
                      <w:lang w:val="en-US" w:eastAsia="zh-CN"/>
                    </w:rPr>
                  </w:pPr>
                  <w:r>
                    <w:rPr>
                      <w:rFonts w:hint="eastAsia" w:cs="Times New Roman"/>
                      <w:bCs/>
                      <w:color w:val="auto"/>
                      <w:kern w:val="0"/>
                      <w:szCs w:val="21"/>
                      <w:highlight w:val="none"/>
                      <w:lang w:val="en-US" w:eastAsia="zh-CN"/>
                    </w:rPr>
                    <w:t>5（8）</w:t>
                  </w:r>
                </w:p>
              </w:tc>
            </w:tr>
            <w:tr w14:paraId="3022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21" w:type="pct"/>
                  <w:vMerge w:val="continue"/>
                  <w:tcBorders>
                    <w:tl2br w:val="nil"/>
                    <w:tr2bl w:val="nil"/>
                  </w:tcBorders>
                  <w:noWrap/>
                  <w:vAlign w:val="center"/>
                </w:tcPr>
                <w:p w14:paraId="223A098D">
                  <w:pPr>
                    <w:jc w:val="center"/>
                    <w:rPr>
                      <w:rFonts w:hint="default" w:ascii="Times New Roman" w:hAnsi="Times New Roman" w:cs="Times New Roman"/>
                      <w:bCs/>
                      <w:color w:val="auto"/>
                      <w:kern w:val="0"/>
                      <w:szCs w:val="21"/>
                      <w:highlight w:val="none"/>
                    </w:rPr>
                  </w:pPr>
                </w:p>
              </w:tc>
              <w:tc>
                <w:tcPr>
                  <w:tcW w:w="281" w:type="pct"/>
                  <w:vMerge w:val="continue"/>
                  <w:tcBorders>
                    <w:tl2br w:val="nil"/>
                    <w:tr2bl w:val="nil"/>
                  </w:tcBorders>
                  <w:noWrap/>
                  <w:vAlign w:val="center"/>
                </w:tcPr>
                <w:p w14:paraId="18CFB463">
                  <w:pPr>
                    <w:jc w:val="center"/>
                    <w:rPr>
                      <w:rFonts w:hint="default" w:ascii="Times New Roman" w:hAnsi="Times New Roman" w:cs="Times New Roman"/>
                      <w:bCs/>
                      <w:color w:val="auto"/>
                      <w:kern w:val="0"/>
                      <w:szCs w:val="21"/>
                      <w:highlight w:val="none"/>
                    </w:rPr>
                  </w:pPr>
                </w:p>
              </w:tc>
              <w:tc>
                <w:tcPr>
                  <w:tcW w:w="509" w:type="pct"/>
                  <w:vMerge w:val="continue"/>
                  <w:tcBorders>
                    <w:tl2br w:val="nil"/>
                    <w:tr2bl w:val="nil"/>
                  </w:tcBorders>
                  <w:noWrap/>
                  <w:vAlign w:val="center"/>
                </w:tcPr>
                <w:p w14:paraId="5BF5EB72">
                  <w:pPr>
                    <w:jc w:val="center"/>
                    <w:rPr>
                      <w:rFonts w:hint="default" w:ascii="Times New Roman" w:hAnsi="Times New Roman" w:cs="Times New Roman"/>
                      <w:bCs/>
                      <w:color w:val="auto"/>
                      <w:kern w:val="0"/>
                      <w:szCs w:val="21"/>
                      <w:highlight w:val="none"/>
                    </w:rPr>
                  </w:pPr>
                </w:p>
              </w:tc>
              <w:tc>
                <w:tcPr>
                  <w:tcW w:w="1091" w:type="pct"/>
                  <w:vMerge w:val="continue"/>
                  <w:tcBorders>
                    <w:tl2br w:val="nil"/>
                    <w:tr2bl w:val="nil"/>
                  </w:tcBorders>
                  <w:noWrap/>
                  <w:vAlign w:val="center"/>
                </w:tcPr>
                <w:p w14:paraId="7B0BEB54">
                  <w:pPr>
                    <w:jc w:val="center"/>
                    <w:rPr>
                      <w:rFonts w:hint="default" w:ascii="Times New Roman" w:hAnsi="Times New Roman" w:cs="Times New Roman"/>
                      <w:bCs/>
                      <w:color w:val="auto"/>
                      <w:kern w:val="0"/>
                      <w:szCs w:val="21"/>
                      <w:highlight w:val="none"/>
                    </w:rPr>
                  </w:pPr>
                </w:p>
              </w:tc>
              <w:tc>
                <w:tcPr>
                  <w:tcW w:w="591" w:type="pct"/>
                  <w:vMerge w:val="continue"/>
                  <w:tcBorders>
                    <w:tl2br w:val="nil"/>
                    <w:tr2bl w:val="nil"/>
                  </w:tcBorders>
                  <w:noWrap/>
                  <w:vAlign w:val="center"/>
                </w:tcPr>
                <w:p w14:paraId="216D022E">
                  <w:pPr>
                    <w:jc w:val="center"/>
                    <w:rPr>
                      <w:rFonts w:hint="default" w:ascii="Times New Roman" w:hAnsi="Times New Roman" w:cs="Times New Roman"/>
                      <w:bCs/>
                      <w:color w:val="auto"/>
                      <w:kern w:val="0"/>
                      <w:szCs w:val="21"/>
                      <w:highlight w:val="none"/>
                    </w:rPr>
                  </w:pPr>
                </w:p>
              </w:tc>
              <w:tc>
                <w:tcPr>
                  <w:tcW w:w="518" w:type="pct"/>
                  <w:vMerge w:val="continue"/>
                  <w:tcBorders>
                    <w:tl2br w:val="nil"/>
                    <w:tr2bl w:val="nil"/>
                  </w:tcBorders>
                  <w:noWrap/>
                  <w:vAlign w:val="center"/>
                </w:tcPr>
                <w:p w14:paraId="195D6676">
                  <w:pPr>
                    <w:jc w:val="center"/>
                    <w:rPr>
                      <w:rFonts w:hint="default" w:ascii="Times New Roman" w:hAnsi="Times New Roman" w:cs="Times New Roman"/>
                      <w:bCs/>
                      <w:color w:val="auto"/>
                      <w:kern w:val="0"/>
                      <w:szCs w:val="21"/>
                      <w:highlight w:val="none"/>
                    </w:rPr>
                  </w:pPr>
                </w:p>
              </w:tc>
              <w:tc>
                <w:tcPr>
                  <w:tcW w:w="518" w:type="pct"/>
                  <w:vMerge w:val="continue"/>
                  <w:tcBorders>
                    <w:tl2br w:val="nil"/>
                    <w:tr2bl w:val="nil"/>
                  </w:tcBorders>
                  <w:noWrap/>
                  <w:vAlign w:val="center"/>
                </w:tcPr>
                <w:p w14:paraId="20193534">
                  <w:pPr>
                    <w:jc w:val="center"/>
                    <w:rPr>
                      <w:rFonts w:hint="default" w:ascii="Times New Roman" w:hAnsi="Times New Roman" w:cs="Times New Roman"/>
                      <w:bCs/>
                      <w:color w:val="auto"/>
                      <w:kern w:val="0"/>
                      <w:szCs w:val="21"/>
                      <w:highlight w:val="none"/>
                    </w:rPr>
                  </w:pPr>
                </w:p>
              </w:tc>
              <w:tc>
                <w:tcPr>
                  <w:tcW w:w="563" w:type="pct"/>
                  <w:tcBorders>
                    <w:tl2br w:val="nil"/>
                    <w:tr2bl w:val="nil"/>
                  </w:tcBorders>
                  <w:noWrap/>
                  <w:vAlign w:val="center"/>
                </w:tcPr>
                <w:p w14:paraId="555EC399">
                  <w:pPr>
                    <w:jc w:val="center"/>
                    <w:rPr>
                      <w:rFonts w:hint="default" w:ascii="Times New Roman" w:hAnsi="Times New Roman" w:eastAsia="宋体" w:cs="Times New Roman"/>
                      <w:bCs/>
                      <w:color w:val="auto"/>
                      <w:kern w:val="0"/>
                      <w:szCs w:val="21"/>
                      <w:highlight w:val="none"/>
                      <w:lang w:val="en-US" w:eastAsia="zh-CN"/>
                    </w:rPr>
                  </w:pPr>
                  <w:r>
                    <w:rPr>
                      <w:rFonts w:hint="eastAsia" w:cs="Times New Roman"/>
                      <w:bCs/>
                      <w:color w:val="auto"/>
                      <w:kern w:val="0"/>
                      <w:szCs w:val="21"/>
                      <w:highlight w:val="none"/>
                      <w:lang w:val="en-US" w:eastAsia="zh-CN"/>
                    </w:rPr>
                    <w:t>TP</w:t>
                  </w:r>
                </w:p>
              </w:tc>
              <w:tc>
                <w:tcPr>
                  <w:tcW w:w="703" w:type="pct"/>
                  <w:tcBorders>
                    <w:tl2br w:val="nil"/>
                    <w:tr2bl w:val="nil"/>
                  </w:tcBorders>
                  <w:noWrap/>
                  <w:vAlign w:val="center"/>
                </w:tcPr>
                <w:p w14:paraId="213664B8">
                  <w:pPr>
                    <w:jc w:val="center"/>
                    <w:rPr>
                      <w:rFonts w:hint="default" w:ascii="Times New Roman" w:hAnsi="Times New Roman" w:eastAsia="宋体" w:cs="Times New Roman"/>
                      <w:bCs/>
                      <w:color w:val="auto"/>
                      <w:kern w:val="0"/>
                      <w:szCs w:val="21"/>
                      <w:highlight w:val="none"/>
                      <w:lang w:val="en-US" w:eastAsia="zh-CN"/>
                    </w:rPr>
                  </w:pPr>
                  <w:r>
                    <w:rPr>
                      <w:rFonts w:hint="eastAsia" w:cs="Times New Roman"/>
                      <w:bCs/>
                      <w:color w:val="auto"/>
                      <w:kern w:val="0"/>
                      <w:szCs w:val="21"/>
                      <w:highlight w:val="none"/>
                      <w:lang w:val="en-US" w:eastAsia="zh-CN"/>
                    </w:rPr>
                    <w:t>-</w:t>
                  </w:r>
                </w:p>
              </w:tc>
            </w:tr>
          </w:tbl>
          <w:p w14:paraId="44A5D9F3">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80" w:firstLineChars="200"/>
              <w:jc w:val="both"/>
              <w:textAlignment w:val="auto"/>
              <w:outlineLvl w:val="9"/>
              <w:rPr>
                <w:rFonts w:hint="default" w:ascii="Times New Roman" w:hAnsi="Times New Roman" w:cs="Times New Roman"/>
                <w:b w:val="0"/>
                <w:bCs w:val="0"/>
                <w:color w:val="auto"/>
                <w:kern w:val="0"/>
                <w:sz w:val="24"/>
                <w:szCs w:val="24"/>
                <w:lang w:val="en-US" w:eastAsia="zh-CN" w:bidi="ar"/>
              </w:rPr>
            </w:pPr>
            <w:r>
              <w:rPr>
                <w:rFonts w:hint="eastAsia" w:cs="Times New Roman"/>
                <w:b w:val="0"/>
                <w:bCs w:val="0"/>
                <w:color w:val="auto"/>
                <w:kern w:val="0"/>
                <w:sz w:val="24"/>
                <w:szCs w:val="24"/>
                <w:lang w:val="en-US" w:eastAsia="zh-CN" w:bidi="ar"/>
              </w:rPr>
              <w:t>6.</w:t>
            </w:r>
            <w:r>
              <w:rPr>
                <w:rFonts w:hint="default" w:ascii="Times New Roman" w:hAnsi="Times New Roman" w:cs="Times New Roman"/>
                <w:b w:val="0"/>
                <w:bCs w:val="0"/>
                <w:color w:val="auto"/>
                <w:kern w:val="0"/>
                <w:sz w:val="24"/>
                <w:szCs w:val="24"/>
                <w:lang w:val="en-US" w:eastAsia="zh-CN" w:bidi="ar"/>
              </w:rPr>
              <w:t>监测要求</w:t>
            </w:r>
          </w:p>
          <w:p w14:paraId="4C8D0E7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s="Times New Roman"/>
                <w:color w:val="auto"/>
                <w:sz w:val="24"/>
                <w:szCs w:val="24"/>
                <w:lang w:eastAsia="zh-CN"/>
              </w:rPr>
            </w:pPr>
            <w:r>
              <w:rPr>
                <w:rFonts w:hint="default" w:ascii="Times New Roman" w:hAnsi="Times New Roman" w:cs="Times New Roman"/>
                <w:color w:val="auto"/>
                <w:kern w:val="0"/>
                <w:sz w:val="24"/>
                <w:szCs w:val="24"/>
                <w:lang w:val="en-US" w:eastAsia="zh-CN" w:bidi="ar"/>
              </w:rPr>
              <w:t>项目</w:t>
            </w:r>
            <w:r>
              <w:rPr>
                <w:rFonts w:hint="eastAsia" w:ascii="宋体" w:hAnsi="宋体" w:cs="宋体"/>
                <w:color w:val="auto"/>
                <w:kern w:val="0"/>
                <w:sz w:val="24"/>
                <w:szCs w:val="24"/>
                <w:lang w:val="en-US" w:eastAsia="zh-CN" w:bidi="ar"/>
              </w:rPr>
              <w:t>生活污水经化粪池处理</w:t>
            </w:r>
            <w:r>
              <w:rPr>
                <w:rFonts w:hint="eastAsia" w:cs="Times New Roman"/>
                <w:color w:val="auto"/>
                <w:kern w:val="0"/>
                <w:sz w:val="24"/>
                <w:szCs w:val="24"/>
                <w:lang w:val="en-US" w:eastAsia="zh-CN" w:bidi="ar"/>
              </w:rPr>
              <w:t>、生产废水经污水处理站处理后，两股处理废水与纯水制备废水在厂界内汇聚，一同经同一排污口排入</w:t>
            </w:r>
            <w:r>
              <w:rPr>
                <w:rFonts w:hint="default" w:ascii="Times New Roman" w:hAnsi="Times New Roman" w:cs="Times New Roman"/>
                <w:color w:val="auto"/>
                <w:kern w:val="0"/>
                <w:sz w:val="24"/>
                <w:szCs w:val="24"/>
                <w:lang w:val="en-US" w:eastAsia="zh-CN" w:bidi="ar"/>
              </w:rPr>
              <w:t>市政污水管网进入</w:t>
            </w:r>
            <w:r>
              <w:rPr>
                <w:rFonts w:hint="eastAsia" w:cs="Times New Roman"/>
                <w:color w:val="auto"/>
                <w:kern w:val="0"/>
                <w:sz w:val="24"/>
                <w:szCs w:val="24"/>
                <w:lang w:val="en-US" w:eastAsia="zh-CN" w:bidi="ar"/>
              </w:rPr>
              <w:t>官塘</w:t>
            </w:r>
            <w:r>
              <w:rPr>
                <w:rFonts w:hint="default" w:ascii="Times New Roman" w:hAnsi="Times New Roman" w:eastAsia="宋体" w:cs="Times New Roman"/>
                <w:color w:val="auto"/>
                <w:kern w:val="0"/>
                <w:sz w:val="24"/>
                <w:szCs w:val="24"/>
                <w:lang w:val="en-US" w:eastAsia="zh-CN" w:bidi="ar"/>
              </w:rPr>
              <w:t>污水处理厂</w:t>
            </w:r>
            <w:r>
              <w:rPr>
                <w:rFonts w:hint="default" w:ascii="Times New Roman" w:hAnsi="Times New Roman" w:cs="Times New Roman"/>
                <w:color w:val="auto"/>
                <w:kern w:val="0"/>
                <w:sz w:val="24"/>
                <w:szCs w:val="24"/>
                <w:lang w:val="en-US" w:eastAsia="zh-CN" w:bidi="ar"/>
              </w:rPr>
              <w:t>处理，属于间接排放。根据《排污单位自行监测技术指南</w:t>
            </w:r>
            <w:r>
              <w:rPr>
                <w:rFonts w:hint="eastAsia" w:cs="Times New Roman"/>
                <w:color w:val="auto"/>
                <w:kern w:val="0"/>
                <w:sz w:val="24"/>
                <w:szCs w:val="24"/>
                <w:lang w:val="en-US" w:eastAsia="zh-CN" w:bidi="ar"/>
              </w:rPr>
              <w:t xml:space="preserve"> </w:t>
            </w:r>
            <w:r>
              <w:rPr>
                <w:rFonts w:hint="default" w:ascii="Times New Roman" w:hAnsi="Times New Roman" w:cs="Times New Roman"/>
                <w:color w:val="auto"/>
                <w:kern w:val="0"/>
                <w:sz w:val="24"/>
                <w:szCs w:val="24"/>
                <w:lang w:val="en-US" w:eastAsia="zh-CN" w:bidi="ar"/>
              </w:rPr>
              <w:t>总则》（HJ819-2017）等相关要求，单独排入城镇污水集中处理设施的生活污水不需监测，仅说明排放去向</w:t>
            </w:r>
            <w:r>
              <w:rPr>
                <w:rFonts w:hint="eastAsia" w:ascii="Times New Roman" w:hAnsi="Times New Roman" w:cs="Times New Roman"/>
                <w:color w:val="auto"/>
                <w:kern w:val="0"/>
                <w:sz w:val="24"/>
                <w:szCs w:val="24"/>
                <w:lang w:val="en-US" w:eastAsia="zh-CN" w:bidi="ar"/>
              </w:rPr>
              <w:t>。</w:t>
            </w:r>
          </w:p>
          <w:p w14:paraId="07CAD45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color w:val="auto"/>
                <w:sz w:val="24"/>
                <w:szCs w:val="24"/>
                <w:lang w:val="en-US" w:eastAsia="zh-CN"/>
              </w:rPr>
            </w:pPr>
          </w:p>
          <w:p w14:paraId="54F567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Cs/>
                <w:color w:val="auto"/>
                <w:spacing w:val="-10"/>
                <w:szCs w:val="21"/>
                <w:lang w:val="en-US" w:eastAsia="zh-CN"/>
              </w:rPr>
            </w:pPr>
          </w:p>
          <w:p w14:paraId="009604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Cs/>
                <w:color w:val="auto"/>
                <w:spacing w:val="-10"/>
                <w:szCs w:val="21"/>
                <w:lang w:val="en-US" w:eastAsia="zh-CN"/>
              </w:rPr>
            </w:pPr>
          </w:p>
          <w:p w14:paraId="44A831E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Cs/>
                <w:color w:val="auto"/>
                <w:spacing w:val="-10"/>
                <w:szCs w:val="21"/>
                <w:lang w:val="en-US" w:eastAsia="zh-CN"/>
              </w:rPr>
            </w:pPr>
          </w:p>
          <w:p w14:paraId="2E3B8F7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Cs/>
                <w:color w:val="auto"/>
                <w:spacing w:val="-10"/>
                <w:szCs w:val="21"/>
                <w:lang w:val="en-US" w:eastAsia="zh-CN"/>
              </w:rPr>
            </w:pPr>
          </w:p>
          <w:p w14:paraId="083BDC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Cs/>
                <w:color w:val="auto"/>
                <w:spacing w:val="-10"/>
                <w:szCs w:val="21"/>
                <w:lang w:val="en-US" w:eastAsia="zh-CN"/>
              </w:rPr>
            </w:pPr>
          </w:p>
          <w:p w14:paraId="5BCBA8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Cs/>
                <w:color w:val="auto"/>
                <w:spacing w:val="-10"/>
                <w:szCs w:val="21"/>
                <w:lang w:val="en-US" w:eastAsia="zh-CN"/>
              </w:rPr>
            </w:pPr>
          </w:p>
          <w:p w14:paraId="55B027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Cs/>
                <w:color w:val="auto"/>
                <w:spacing w:val="-10"/>
                <w:szCs w:val="21"/>
                <w:lang w:val="en-US" w:eastAsia="zh-CN"/>
              </w:rPr>
            </w:pPr>
          </w:p>
          <w:p w14:paraId="0F31AD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Cs/>
                <w:color w:val="auto"/>
                <w:spacing w:val="-10"/>
                <w:szCs w:val="21"/>
                <w:lang w:val="en-US" w:eastAsia="zh-CN"/>
              </w:rPr>
            </w:pPr>
          </w:p>
          <w:p w14:paraId="3A371E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Cs/>
                <w:color w:val="auto"/>
                <w:spacing w:val="-10"/>
                <w:szCs w:val="21"/>
                <w:lang w:val="en-US" w:eastAsia="zh-CN"/>
              </w:rPr>
            </w:pPr>
          </w:p>
          <w:p w14:paraId="59D0B5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Cs/>
                <w:color w:val="auto"/>
                <w:spacing w:val="-10"/>
                <w:szCs w:val="21"/>
                <w:lang w:val="en-US" w:eastAsia="zh-CN"/>
              </w:rPr>
            </w:pPr>
          </w:p>
          <w:p w14:paraId="48E2260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Cs/>
                <w:color w:val="auto"/>
                <w:spacing w:val="-10"/>
                <w:szCs w:val="21"/>
                <w:lang w:val="en-US" w:eastAsia="zh-CN"/>
              </w:rPr>
            </w:pPr>
          </w:p>
          <w:p w14:paraId="509ED9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Cs/>
                <w:color w:val="auto"/>
                <w:spacing w:val="-10"/>
                <w:szCs w:val="21"/>
                <w:lang w:val="en-US" w:eastAsia="zh-CN"/>
              </w:rPr>
            </w:pPr>
          </w:p>
          <w:p w14:paraId="3B51E48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Cs/>
                <w:color w:val="auto"/>
                <w:spacing w:val="-10"/>
                <w:szCs w:val="21"/>
                <w:lang w:val="en-US" w:eastAsia="zh-CN"/>
              </w:rPr>
            </w:pPr>
          </w:p>
        </w:tc>
      </w:tr>
    </w:tbl>
    <w:p w14:paraId="1537A27B">
      <w:pPr>
        <w:adjustRightInd w:val="0"/>
        <w:snapToGrid w:val="0"/>
        <w:spacing w:line="360" w:lineRule="auto"/>
        <w:rPr>
          <w:rFonts w:hint="eastAsia" w:ascii="宋体" w:cs="宋体"/>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5"/>
        <w:gridCol w:w="11763"/>
      </w:tblGrid>
      <w:tr w14:paraId="76D0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1" w:hRule="atLeast"/>
        </w:trPr>
        <w:tc>
          <w:tcPr>
            <w:tcW w:w="1465" w:type="dxa"/>
          </w:tcPr>
          <w:p w14:paraId="2F4F558E">
            <w:pPr>
              <w:adjustRightInd w:val="0"/>
              <w:snapToGrid w:val="0"/>
              <w:spacing w:line="360" w:lineRule="auto"/>
              <w:rPr>
                <w:rFonts w:hint="eastAsia" w:ascii="宋体" w:cs="宋体"/>
                <w:b/>
                <w:color w:val="auto"/>
                <w:kern w:val="0"/>
                <w:sz w:val="28"/>
                <w:szCs w:val="28"/>
                <w:vertAlign w:val="baseline"/>
              </w:rPr>
            </w:pPr>
          </w:p>
        </w:tc>
        <w:tc>
          <w:tcPr>
            <w:tcW w:w="11763" w:type="dxa"/>
          </w:tcPr>
          <w:p w14:paraId="61D41761">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eastAsia" w:ascii="Times New Roman" w:hAnsi="Times New Roman" w:eastAsia="宋体"/>
                <w:b/>
                <w:bCs/>
                <w:color w:val="auto"/>
                <w:sz w:val="24"/>
                <w:szCs w:val="24"/>
                <w:lang w:val="en-US" w:eastAsia="zh-CN"/>
              </w:rPr>
            </w:pPr>
            <w:r>
              <w:rPr>
                <w:rFonts w:hint="eastAsia"/>
                <w:b/>
                <w:bCs/>
                <w:color w:val="auto"/>
                <w:sz w:val="24"/>
                <w:szCs w:val="24"/>
                <w:lang w:val="en-US" w:eastAsia="zh-CN"/>
              </w:rPr>
              <w:t>三、</w:t>
            </w:r>
            <w:r>
              <w:rPr>
                <w:rFonts w:hint="eastAsia" w:ascii="Times New Roman" w:hAnsi="Times New Roman"/>
                <w:b/>
                <w:bCs/>
                <w:color w:val="auto"/>
                <w:sz w:val="24"/>
                <w:szCs w:val="24"/>
                <w:lang w:val="en-US" w:eastAsia="zh-CN"/>
              </w:rPr>
              <w:t>噪声</w:t>
            </w:r>
          </w:p>
          <w:p w14:paraId="5C42E23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eastAsia="宋体"/>
                <w:b w:val="0"/>
                <w:bCs/>
                <w:color w:val="auto"/>
                <w:sz w:val="24"/>
                <w:szCs w:val="24"/>
              </w:rPr>
            </w:pPr>
            <w:r>
              <w:rPr>
                <w:rFonts w:eastAsia="宋体"/>
                <w:b w:val="0"/>
                <w:bCs/>
                <w:color w:val="auto"/>
                <w:sz w:val="24"/>
                <w:szCs w:val="24"/>
              </w:rPr>
              <w:t>（1</w:t>
            </w:r>
            <w:r>
              <w:rPr>
                <w:rFonts w:eastAsia="宋体"/>
                <w:b w:val="0"/>
                <w:bCs/>
                <w:color w:val="auto"/>
                <w:sz w:val="24"/>
                <w:szCs w:val="24"/>
                <w:highlight w:val="none"/>
              </w:rPr>
              <w:t>）噪声源强</w:t>
            </w:r>
          </w:p>
          <w:p w14:paraId="201156A6">
            <w:pPr>
              <w:pStyle w:val="9"/>
              <w:spacing w:before="0" w:after="0"/>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
                <w:snapToGrid w:val="0"/>
                <w:color w:val="auto"/>
                <w:kern w:val="0"/>
                <w:sz w:val="24"/>
                <w:szCs w:val="24"/>
                <w:shd w:val="clear" w:color="auto" w:fill="auto"/>
              </w:rPr>
              <w:t>表4-</w:t>
            </w:r>
            <w:r>
              <w:rPr>
                <w:rFonts w:hint="default" w:ascii="Times New Roman" w:hAnsi="Times New Roman" w:eastAsia="宋体" w:cs="Times New Roman"/>
                <w:b/>
                <w:snapToGrid w:val="0"/>
                <w:color w:val="auto"/>
                <w:kern w:val="0"/>
                <w:sz w:val="24"/>
                <w:szCs w:val="24"/>
                <w:shd w:val="clear" w:color="auto" w:fill="auto"/>
                <w:lang w:val="en-US" w:eastAsia="zh-CN"/>
              </w:rPr>
              <w:t>1</w:t>
            </w:r>
            <w:r>
              <w:rPr>
                <w:rFonts w:hint="eastAsia" w:ascii="Times New Roman" w:hAnsi="Times New Roman" w:eastAsia="宋体" w:cs="Times New Roman"/>
                <w:b/>
                <w:snapToGrid w:val="0"/>
                <w:color w:val="auto"/>
                <w:kern w:val="0"/>
                <w:sz w:val="24"/>
                <w:szCs w:val="24"/>
                <w:shd w:val="clear" w:color="auto" w:fill="auto"/>
                <w:lang w:val="en-US" w:eastAsia="zh-CN"/>
              </w:rPr>
              <w:t>9</w:t>
            </w:r>
            <w:r>
              <w:rPr>
                <w:rFonts w:hint="default" w:ascii="Times New Roman" w:hAnsi="Times New Roman" w:eastAsia="宋体"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rPr>
              <w:t>项目噪声源强调查清单   单位： dB(A)</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558"/>
              <w:gridCol w:w="788"/>
              <w:gridCol w:w="1079"/>
              <w:gridCol w:w="885"/>
              <w:gridCol w:w="811"/>
              <w:gridCol w:w="920"/>
              <w:gridCol w:w="929"/>
              <w:gridCol w:w="543"/>
              <w:gridCol w:w="601"/>
              <w:gridCol w:w="1035"/>
              <w:gridCol w:w="647"/>
              <w:gridCol w:w="1005"/>
              <w:gridCol w:w="788"/>
              <w:gridCol w:w="522"/>
            </w:tblGrid>
            <w:tr w14:paraId="74B0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4" w:type="pct"/>
                  <w:vMerge w:val="restart"/>
                  <w:tcBorders>
                    <w:tl2br w:val="nil"/>
                    <w:tr2bl w:val="nil"/>
                  </w:tcBorders>
                  <w:noWrap w:val="0"/>
                  <w:vAlign w:val="center"/>
                </w:tcPr>
                <w:p w14:paraId="02395EF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序号</w:t>
                  </w:r>
                </w:p>
              </w:tc>
              <w:tc>
                <w:tcPr>
                  <w:tcW w:w="242" w:type="pct"/>
                  <w:vMerge w:val="restart"/>
                  <w:tcBorders>
                    <w:tl2br w:val="nil"/>
                    <w:tr2bl w:val="nil"/>
                  </w:tcBorders>
                  <w:noWrap w:val="0"/>
                  <w:vAlign w:val="center"/>
                </w:tcPr>
                <w:p w14:paraId="0077995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建筑物名称</w:t>
                  </w:r>
                </w:p>
              </w:tc>
              <w:tc>
                <w:tcPr>
                  <w:tcW w:w="341" w:type="pct"/>
                  <w:vMerge w:val="restart"/>
                  <w:tcBorders>
                    <w:tl2br w:val="nil"/>
                    <w:tr2bl w:val="nil"/>
                  </w:tcBorders>
                  <w:noWrap w:val="0"/>
                  <w:vAlign w:val="center"/>
                </w:tcPr>
                <w:p w14:paraId="6CCE3CC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声源</w:t>
                  </w:r>
                </w:p>
                <w:p w14:paraId="7CE313F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名称</w:t>
                  </w:r>
                </w:p>
              </w:tc>
              <w:tc>
                <w:tcPr>
                  <w:tcW w:w="467" w:type="pct"/>
                  <w:vMerge w:val="restart"/>
                  <w:tcBorders>
                    <w:tl2br w:val="nil"/>
                    <w:tr2bl w:val="nil"/>
                  </w:tcBorders>
                  <w:noWrap w:val="0"/>
                  <w:vAlign w:val="center"/>
                </w:tcPr>
                <w:p w14:paraId="201162A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color w:val="auto"/>
                      <w:sz w:val="21"/>
                      <w:szCs w:val="21"/>
                      <w:u w:val="none"/>
                    </w:rPr>
                    <w:t>距噪声源 1 米处声压级/dB(A)</w:t>
                  </w:r>
                </w:p>
              </w:tc>
              <w:tc>
                <w:tcPr>
                  <w:tcW w:w="383" w:type="pct"/>
                  <w:vMerge w:val="restart"/>
                  <w:tcBorders>
                    <w:tl2br w:val="nil"/>
                    <w:tr2bl w:val="nil"/>
                  </w:tcBorders>
                  <w:noWrap w:val="0"/>
                  <w:vAlign w:val="center"/>
                </w:tcPr>
                <w:p w14:paraId="33C515B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声源控制措施</w:t>
                  </w:r>
                </w:p>
              </w:tc>
              <w:tc>
                <w:tcPr>
                  <w:tcW w:w="351" w:type="pct"/>
                  <w:vMerge w:val="restart"/>
                  <w:tcBorders>
                    <w:tl2br w:val="nil"/>
                    <w:tr2bl w:val="nil"/>
                  </w:tcBorders>
                  <w:noWrap w:val="0"/>
                  <w:vAlign w:val="center"/>
                </w:tcPr>
                <w:p w14:paraId="180CA51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降噪量/dB(A)</w:t>
                  </w:r>
                </w:p>
              </w:tc>
              <w:tc>
                <w:tcPr>
                  <w:tcW w:w="1035" w:type="pct"/>
                  <w:gridSpan w:val="3"/>
                  <w:tcBorders>
                    <w:tl2br w:val="nil"/>
                    <w:tr2bl w:val="nil"/>
                  </w:tcBorders>
                  <w:noWrap w:val="0"/>
                  <w:vAlign w:val="center"/>
                </w:tcPr>
                <w:p w14:paraId="1B64ABC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空间相对位置/m</w:t>
                  </w:r>
                </w:p>
              </w:tc>
              <w:tc>
                <w:tcPr>
                  <w:tcW w:w="260" w:type="pct"/>
                  <w:vMerge w:val="restart"/>
                  <w:tcBorders>
                    <w:tl2br w:val="nil"/>
                    <w:tr2bl w:val="nil"/>
                  </w:tcBorders>
                  <w:noWrap w:val="0"/>
                  <w:vAlign w:val="center"/>
                </w:tcPr>
                <w:p w14:paraId="6E6A7A1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距室内边界距离/m</w:t>
                  </w:r>
                </w:p>
              </w:tc>
              <w:tc>
                <w:tcPr>
                  <w:tcW w:w="448" w:type="pct"/>
                  <w:vMerge w:val="restart"/>
                  <w:tcBorders>
                    <w:tl2br w:val="nil"/>
                    <w:tr2bl w:val="nil"/>
                  </w:tcBorders>
                  <w:noWrap w:val="0"/>
                  <w:vAlign w:val="center"/>
                </w:tcPr>
                <w:p w14:paraId="41D2BC2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室内边界声级dB（A）</w:t>
                  </w:r>
                </w:p>
              </w:tc>
              <w:tc>
                <w:tcPr>
                  <w:tcW w:w="280" w:type="pct"/>
                  <w:vMerge w:val="restart"/>
                  <w:tcBorders>
                    <w:tl2br w:val="nil"/>
                    <w:tr2bl w:val="nil"/>
                  </w:tcBorders>
                  <w:noWrap w:val="0"/>
                  <w:vAlign w:val="center"/>
                </w:tcPr>
                <w:p w14:paraId="0F0FEAA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运行时段</w:t>
                  </w:r>
                </w:p>
              </w:tc>
              <w:tc>
                <w:tcPr>
                  <w:tcW w:w="435" w:type="pct"/>
                  <w:vMerge w:val="restart"/>
                  <w:tcBorders>
                    <w:tl2br w:val="nil"/>
                    <w:tr2bl w:val="nil"/>
                  </w:tcBorders>
                  <w:noWrap w:val="0"/>
                  <w:vAlign w:val="center"/>
                </w:tcPr>
                <w:p w14:paraId="7412197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建筑物插入损失/dB（A）</w:t>
                  </w:r>
                </w:p>
              </w:tc>
              <w:tc>
                <w:tcPr>
                  <w:tcW w:w="567" w:type="pct"/>
                  <w:gridSpan w:val="2"/>
                  <w:tcBorders>
                    <w:tl2br w:val="nil"/>
                    <w:tr2bl w:val="nil"/>
                  </w:tcBorders>
                  <w:noWrap w:val="0"/>
                  <w:vAlign w:val="center"/>
                </w:tcPr>
                <w:p w14:paraId="0E60EBD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建筑物外噪声</w:t>
                  </w:r>
                </w:p>
              </w:tc>
            </w:tr>
            <w:tr w14:paraId="32C8C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blHeader/>
                <w:jc w:val="center"/>
              </w:trPr>
              <w:tc>
                <w:tcPr>
                  <w:tcW w:w="184" w:type="pct"/>
                  <w:vMerge w:val="continue"/>
                  <w:tcBorders>
                    <w:tl2br w:val="nil"/>
                    <w:tr2bl w:val="nil"/>
                  </w:tcBorders>
                  <w:noWrap w:val="0"/>
                  <w:vAlign w:val="center"/>
                </w:tcPr>
                <w:p w14:paraId="5D09D4D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p>
              </w:tc>
              <w:tc>
                <w:tcPr>
                  <w:tcW w:w="242" w:type="pct"/>
                  <w:vMerge w:val="continue"/>
                  <w:tcBorders>
                    <w:tl2br w:val="nil"/>
                    <w:tr2bl w:val="nil"/>
                  </w:tcBorders>
                  <w:noWrap w:val="0"/>
                  <w:vAlign w:val="center"/>
                </w:tcPr>
                <w:p w14:paraId="5EBF3A8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p>
              </w:tc>
              <w:tc>
                <w:tcPr>
                  <w:tcW w:w="341" w:type="pct"/>
                  <w:vMerge w:val="continue"/>
                  <w:tcBorders>
                    <w:tl2br w:val="nil"/>
                    <w:tr2bl w:val="nil"/>
                  </w:tcBorders>
                  <w:noWrap w:val="0"/>
                  <w:vAlign w:val="center"/>
                </w:tcPr>
                <w:p w14:paraId="61EEF4E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p>
              </w:tc>
              <w:tc>
                <w:tcPr>
                  <w:tcW w:w="467" w:type="pct"/>
                  <w:vMerge w:val="continue"/>
                  <w:tcBorders>
                    <w:tl2br w:val="nil"/>
                    <w:tr2bl w:val="nil"/>
                  </w:tcBorders>
                  <w:noWrap w:val="0"/>
                  <w:vAlign w:val="center"/>
                </w:tcPr>
                <w:p w14:paraId="34320F9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color w:val="auto"/>
                      <w:sz w:val="21"/>
                      <w:szCs w:val="21"/>
                      <w:u w:val="none"/>
                    </w:rPr>
                  </w:pPr>
                </w:p>
              </w:tc>
              <w:tc>
                <w:tcPr>
                  <w:tcW w:w="383" w:type="pct"/>
                  <w:vMerge w:val="continue"/>
                  <w:tcBorders>
                    <w:tl2br w:val="nil"/>
                    <w:tr2bl w:val="nil"/>
                  </w:tcBorders>
                  <w:noWrap w:val="0"/>
                  <w:vAlign w:val="center"/>
                </w:tcPr>
                <w:p w14:paraId="7B1C60C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p>
              </w:tc>
              <w:tc>
                <w:tcPr>
                  <w:tcW w:w="351" w:type="pct"/>
                  <w:vMerge w:val="continue"/>
                  <w:tcBorders>
                    <w:tl2br w:val="nil"/>
                    <w:tr2bl w:val="nil"/>
                  </w:tcBorders>
                  <w:noWrap w:val="0"/>
                  <w:vAlign w:val="center"/>
                </w:tcPr>
                <w:p w14:paraId="392F602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p>
              </w:tc>
              <w:tc>
                <w:tcPr>
                  <w:tcW w:w="398" w:type="pct"/>
                  <w:tcBorders>
                    <w:tl2br w:val="nil"/>
                    <w:tr2bl w:val="nil"/>
                  </w:tcBorders>
                  <w:noWrap w:val="0"/>
                  <w:vAlign w:val="center"/>
                </w:tcPr>
                <w:p w14:paraId="31FC911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X</w:t>
                  </w:r>
                </w:p>
              </w:tc>
              <w:tc>
                <w:tcPr>
                  <w:tcW w:w="402" w:type="pct"/>
                  <w:tcBorders>
                    <w:tl2br w:val="nil"/>
                    <w:tr2bl w:val="nil"/>
                  </w:tcBorders>
                  <w:noWrap w:val="0"/>
                  <w:vAlign w:val="center"/>
                </w:tcPr>
                <w:p w14:paraId="1E6E34B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Y</w:t>
                  </w:r>
                </w:p>
              </w:tc>
              <w:tc>
                <w:tcPr>
                  <w:tcW w:w="234" w:type="pct"/>
                  <w:tcBorders>
                    <w:tl2br w:val="nil"/>
                    <w:tr2bl w:val="nil"/>
                  </w:tcBorders>
                  <w:noWrap w:val="0"/>
                  <w:vAlign w:val="center"/>
                </w:tcPr>
                <w:p w14:paraId="639DA61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Z</w:t>
                  </w:r>
                </w:p>
              </w:tc>
              <w:tc>
                <w:tcPr>
                  <w:tcW w:w="260" w:type="pct"/>
                  <w:vMerge w:val="continue"/>
                  <w:tcBorders>
                    <w:tl2br w:val="nil"/>
                    <w:tr2bl w:val="nil"/>
                  </w:tcBorders>
                  <w:noWrap w:val="0"/>
                  <w:vAlign w:val="center"/>
                </w:tcPr>
                <w:p w14:paraId="113A88C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p>
              </w:tc>
              <w:tc>
                <w:tcPr>
                  <w:tcW w:w="448" w:type="pct"/>
                  <w:vMerge w:val="continue"/>
                  <w:tcBorders>
                    <w:tl2br w:val="nil"/>
                    <w:tr2bl w:val="nil"/>
                  </w:tcBorders>
                  <w:noWrap w:val="0"/>
                  <w:vAlign w:val="center"/>
                </w:tcPr>
                <w:p w14:paraId="4EB7B92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p>
              </w:tc>
              <w:tc>
                <w:tcPr>
                  <w:tcW w:w="280" w:type="pct"/>
                  <w:vMerge w:val="continue"/>
                  <w:tcBorders>
                    <w:tl2br w:val="nil"/>
                    <w:tr2bl w:val="nil"/>
                  </w:tcBorders>
                  <w:noWrap w:val="0"/>
                  <w:vAlign w:val="center"/>
                </w:tcPr>
                <w:p w14:paraId="2931659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p>
              </w:tc>
              <w:tc>
                <w:tcPr>
                  <w:tcW w:w="435" w:type="pct"/>
                  <w:vMerge w:val="continue"/>
                  <w:tcBorders>
                    <w:tl2br w:val="nil"/>
                    <w:tr2bl w:val="nil"/>
                  </w:tcBorders>
                  <w:noWrap w:val="0"/>
                  <w:vAlign w:val="center"/>
                </w:tcPr>
                <w:p w14:paraId="04A1ABA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p>
              </w:tc>
              <w:tc>
                <w:tcPr>
                  <w:tcW w:w="341" w:type="pct"/>
                  <w:tcBorders>
                    <w:tl2br w:val="nil"/>
                    <w:tr2bl w:val="nil"/>
                  </w:tcBorders>
                  <w:noWrap w:val="0"/>
                  <w:vAlign w:val="center"/>
                </w:tcPr>
                <w:p w14:paraId="3266DF6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声压级/dB（A）</w:t>
                  </w:r>
                </w:p>
              </w:tc>
              <w:tc>
                <w:tcPr>
                  <w:tcW w:w="226" w:type="pct"/>
                  <w:tcBorders>
                    <w:tl2br w:val="nil"/>
                    <w:tr2bl w:val="nil"/>
                  </w:tcBorders>
                  <w:noWrap w:val="0"/>
                  <w:vAlign w:val="center"/>
                </w:tcPr>
                <w:p w14:paraId="5DDD0B1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建筑物外距离/m</w:t>
                  </w:r>
                </w:p>
              </w:tc>
            </w:tr>
            <w:tr w14:paraId="6CBF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tcBorders>
                    <w:tl2br w:val="nil"/>
                    <w:tr2bl w:val="nil"/>
                  </w:tcBorders>
                  <w:noWrap w:val="0"/>
                  <w:vAlign w:val="center"/>
                </w:tcPr>
                <w:p w14:paraId="1E0B923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1</w:t>
                  </w:r>
                </w:p>
              </w:tc>
              <w:tc>
                <w:tcPr>
                  <w:tcW w:w="242" w:type="pct"/>
                  <w:vMerge w:val="restart"/>
                  <w:tcBorders>
                    <w:tl2br w:val="nil"/>
                    <w:tr2bl w:val="nil"/>
                  </w:tcBorders>
                  <w:noWrap w:val="0"/>
                  <w:vAlign w:val="center"/>
                </w:tcPr>
                <w:p w14:paraId="4B5E2FE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eastAsia" w:ascii="Times New Roman" w:hAnsi="Times New Roman" w:eastAsia="宋体" w:cs="Times New Roman"/>
                      <w:b w:val="0"/>
                      <w:bCs w:val="0"/>
                      <w:color w:val="auto"/>
                      <w:sz w:val="21"/>
                      <w:szCs w:val="21"/>
                      <w:u w:val="none"/>
                      <w:lang w:val="en-US" w:eastAsia="zh-CN"/>
                    </w:rPr>
                    <w:t>2号厂房</w:t>
                  </w:r>
                </w:p>
              </w:tc>
              <w:tc>
                <w:tcPr>
                  <w:tcW w:w="341" w:type="pct"/>
                  <w:tcBorders>
                    <w:tl2br w:val="nil"/>
                    <w:tr2bl w:val="nil"/>
                  </w:tcBorders>
                  <w:shd w:val="clear" w:color="auto" w:fill="auto"/>
                  <w:noWrap w:val="0"/>
                  <w:vAlign w:val="center"/>
                </w:tcPr>
                <w:p w14:paraId="11A4C1C0">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rPr>
                    <w:t>激光切管机</w:t>
                  </w:r>
                </w:p>
              </w:tc>
              <w:tc>
                <w:tcPr>
                  <w:tcW w:w="467" w:type="pct"/>
                  <w:tcBorders>
                    <w:tl2br w:val="nil"/>
                    <w:tr2bl w:val="nil"/>
                  </w:tcBorders>
                  <w:noWrap w:val="0"/>
                  <w:vAlign w:val="center"/>
                </w:tcPr>
                <w:p w14:paraId="44B110C6">
                  <w:pPr>
                    <w:jc w:val="center"/>
                    <w:rPr>
                      <w:rFonts w:hint="default" w:ascii="Times New Roman" w:hAnsi="Times New Roman" w:eastAsia="宋体" w:cs="Times New Roman"/>
                      <w:b w:val="0"/>
                      <w:bCs w:val="0"/>
                      <w:color w:val="auto"/>
                      <w:sz w:val="21"/>
                      <w:szCs w:val="21"/>
                      <w:u w:val="none"/>
                      <w:lang w:val="en-US"/>
                    </w:rPr>
                  </w:pPr>
                  <w:r>
                    <w:rPr>
                      <w:rFonts w:hint="eastAsia" w:cs="Times New Roman"/>
                      <w:color w:val="auto"/>
                      <w:sz w:val="21"/>
                      <w:szCs w:val="21"/>
                      <w:lang w:val="en-US" w:eastAsia="zh-CN"/>
                    </w:rPr>
                    <w:t>90</w:t>
                  </w:r>
                </w:p>
              </w:tc>
              <w:tc>
                <w:tcPr>
                  <w:tcW w:w="383" w:type="pct"/>
                  <w:tcBorders>
                    <w:tl2br w:val="nil"/>
                    <w:tr2bl w:val="nil"/>
                  </w:tcBorders>
                  <w:noWrap w:val="0"/>
                  <w:vAlign w:val="center"/>
                </w:tcPr>
                <w:p w14:paraId="1EB335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tcBorders>
                    <w:tl2br w:val="nil"/>
                    <w:tr2bl w:val="nil"/>
                  </w:tcBorders>
                  <w:noWrap w:val="0"/>
                  <w:vAlign w:val="center"/>
                </w:tcPr>
                <w:p w14:paraId="4091C7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tcBorders>
                    <w:tl2br w:val="nil"/>
                    <w:tr2bl w:val="nil"/>
                  </w:tcBorders>
                  <w:shd w:val="clear" w:color="auto" w:fill="auto"/>
                  <w:noWrap w:val="0"/>
                  <w:vAlign w:val="center"/>
                </w:tcPr>
                <w:p w14:paraId="12B2FAA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-74.75</w:t>
                  </w:r>
                </w:p>
              </w:tc>
              <w:tc>
                <w:tcPr>
                  <w:tcW w:w="402" w:type="pct"/>
                  <w:tcBorders>
                    <w:tl2br w:val="nil"/>
                    <w:tr2bl w:val="nil"/>
                  </w:tcBorders>
                  <w:shd w:val="clear" w:color="auto" w:fill="auto"/>
                  <w:noWrap w:val="0"/>
                  <w:vAlign w:val="center"/>
                </w:tcPr>
                <w:p w14:paraId="577E67C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-161.02</w:t>
                  </w:r>
                </w:p>
              </w:tc>
              <w:tc>
                <w:tcPr>
                  <w:tcW w:w="234" w:type="pct"/>
                  <w:tcBorders>
                    <w:tl2br w:val="nil"/>
                    <w:tr2bl w:val="nil"/>
                  </w:tcBorders>
                  <w:shd w:val="clear" w:color="auto" w:fill="auto"/>
                  <w:noWrap w:val="0"/>
                  <w:vAlign w:val="center"/>
                </w:tcPr>
                <w:p w14:paraId="09C3776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260" w:type="pct"/>
                  <w:tcBorders>
                    <w:tl2br w:val="nil"/>
                    <w:tr2bl w:val="nil"/>
                  </w:tcBorders>
                  <w:shd w:val="clear" w:color="auto" w:fill="auto"/>
                  <w:noWrap w:val="0"/>
                  <w:vAlign w:val="center"/>
                </w:tcPr>
                <w:p w14:paraId="6B4921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1.0</w:t>
                  </w:r>
                </w:p>
              </w:tc>
              <w:tc>
                <w:tcPr>
                  <w:tcW w:w="448" w:type="pct"/>
                  <w:tcBorders>
                    <w:tl2br w:val="nil"/>
                    <w:tr2bl w:val="nil"/>
                  </w:tcBorders>
                  <w:shd w:val="clear" w:color="auto" w:fill="auto"/>
                  <w:noWrap w:val="0"/>
                  <w:vAlign w:val="center"/>
                </w:tcPr>
                <w:p w14:paraId="35DC0311">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75</w:t>
                  </w:r>
                </w:p>
              </w:tc>
              <w:tc>
                <w:tcPr>
                  <w:tcW w:w="280" w:type="pct"/>
                  <w:tcBorders>
                    <w:tl2br w:val="nil"/>
                    <w:tr2bl w:val="nil"/>
                  </w:tcBorders>
                  <w:shd w:val="clear" w:color="auto" w:fill="auto"/>
                  <w:noWrap w:val="0"/>
                  <w:vAlign w:val="center"/>
                </w:tcPr>
                <w:p w14:paraId="0D8B6C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tcBorders>
                    <w:tl2br w:val="nil"/>
                    <w:tr2bl w:val="nil"/>
                  </w:tcBorders>
                  <w:shd w:val="clear" w:color="auto" w:fill="auto"/>
                  <w:noWrap w:val="0"/>
                  <w:vAlign w:val="center"/>
                </w:tcPr>
                <w:p w14:paraId="73A937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10</w:t>
                  </w:r>
                </w:p>
              </w:tc>
              <w:tc>
                <w:tcPr>
                  <w:tcW w:w="341" w:type="pct"/>
                  <w:tcBorders>
                    <w:tl2br w:val="nil"/>
                    <w:tr2bl w:val="nil"/>
                  </w:tcBorders>
                  <w:shd w:val="clear" w:color="auto" w:fill="auto"/>
                  <w:noWrap w:val="0"/>
                  <w:vAlign w:val="center"/>
                </w:tcPr>
                <w:p w14:paraId="1A0FBBE7">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65</w:t>
                  </w:r>
                </w:p>
              </w:tc>
              <w:tc>
                <w:tcPr>
                  <w:tcW w:w="226" w:type="pct"/>
                  <w:tcBorders>
                    <w:tl2br w:val="nil"/>
                    <w:tr2bl w:val="nil"/>
                  </w:tcBorders>
                  <w:shd w:val="clear" w:color="auto" w:fill="auto"/>
                  <w:noWrap w:val="0"/>
                  <w:vAlign w:val="center"/>
                </w:tcPr>
                <w:p w14:paraId="231212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rPr>
                    <w:t>1</w:t>
                  </w:r>
                  <w:r>
                    <w:rPr>
                      <w:rFonts w:hint="default" w:ascii="Times New Roman" w:hAnsi="Times New Roman" w:eastAsia="宋体" w:cs="Times New Roman"/>
                      <w:b w:val="0"/>
                      <w:bCs w:val="0"/>
                      <w:color w:val="auto"/>
                      <w:sz w:val="21"/>
                      <w:szCs w:val="21"/>
                      <w:u w:val="none"/>
                      <w:lang w:val="en-US" w:eastAsia="zh-CN"/>
                    </w:rPr>
                    <w:t>.0</w:t>
                  </w:r>
                </w:p>
              </w:tc>
            </w:tr>
            <w:tr w14:paraId="59E8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tcBorders>
                    <w:tl2br w:val="nil"/>
                    <w:tr2bl w:val="nil"/>
                  </w:tcBorders>
                  <w:noWrap w:val="0"/>
                  <w:vAlign w:val="center"/>
                </w:tcPr>
                <w:p w14:paraId="70123914">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2</w:t>
                  </w:r>
                </w:p>
              </w:tc>
              <w:tc>
                <w:tcPr>
                  <w:tcW w:w="242" w:type="pct"/>
                  <w:vMerge w:val="continue"/>
                  <w:tcBorders>
                    <w:tl2br w:val="nil"/>
                    <w:tr2bl w:val="nil"/>
                  </w:tcBorders>
                  <w:noWrap w:val="0"/>
                  <w:vAlign w:val="center"/>
                </w:tcPr>
                <w:p w14:paraId="0A5B454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tcBorders>
                    <w:tl2br w:val="nil"/>
                    <w:tr2bl w:val="nil"/>
                  </w:tcBorders>
                  <w:shd w:val="clear" w:color="auto" w:fill="auto"/>
                  <w:noWrap w:val="0"/>
                  <w:vAlign w:val="center"/>
                </w:tcPr>
                <w:p w14:paraId="32A4AC16">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全自动切割机</w:t>
                  </w:r>
                </w:p>
              </w:tc>
              <w:tc>
                <w:tcPr>
                  <w:tcW w:w="467" w:type="pct"/>
                  <w:tcBorders>
                    <w:tl2br w:val="nil"/>
                    <w:tr2bl w:val="nil"/>
                  </w:tcBorders>
                  <w:noWrap w:val="0"/>
                  <w:vAlign w:val="center"/>
                </w:tcPr>
                <w:p w14:paraId="3CF31A20">
                  <w:pPr>
                    <w:jc w:val="center"/>
                    <w:rPr>
                      <w:rFonts w:hint="default" w:ascii="Times New Roman" w:hAnsi="Times New Roman" w:eastAsia="宋体" w:cs="Times New Roman"/>
                      <w:b w:val="0"/>
                      <w:bCs w:val="0"/>
                      <w:color w:val="auto"/>
                      <w:sz w:val="21"/>
                      <w:szCs w:val="21"/>
                      <w:u w:val="none"/>
                    </w:rPr>
                  </w:pPr>
                  <w:r>
                    <w:rPr>
                      <w:rFonts w:hint="eastAsia" w:cs="Times New Roman"/>
                      <w:color w:val="auto"/>
                      <w:sz w:val="21"/>
                      <w:szCs w:val="21"/>
                      <w:lang w:val="en-US" w:eastAsia="zh-CN"/>
                    </w:rPr>
                    <w:t>90</w:t>
                  </w:r>
                </w:p>
              </w:tc>
              <w:tc>
                <w:tcPr>
                  <w:tcW w:w="383" w:type="pct"/>
                  <w:tcBorders>
                    <w:tl2br w:val="nil"/>
                    <w:tr2bl w:val="nil"/>
                  </w:tcBorders>
                  <w:noWrap w:val="0"/>
                  <w:vAlign w:val="center"/>
                </w:tcPr>
                <w:p w14:paraId="5A6EAA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tcBorders>
                    <w:tl2br w:val="nil"/>
                    <w:tr2bl w:val="nil"/>
                  </w:tcBorders>
                  <w:noWrap w:val="0"/>
                  <w:vAlign w:val="center"/>
                </w:tcPr>
                <w:p w14:paraId="43934F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tcBorders>
                    <w:tl2br w:val="nil"/>
                    <w:tr2bl w:val="nil"/>
                  </w:tcBorders>
                  <w:shd w:val="clear" w:color="auto" w:fill="auto"/>
                  <w:noWrap w:val="0"/>
                  <w:vAlign w:val="center"/>
                </w:tcPr>
                <w:p w14:paraId="00B77B6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-7</w:t>
                  </w:r>
                  <w:r>
                    <w:rPr>
                      <w:rFonts w:hint="eastAsia" w:ascii="Times New Roman" w:hAnsi="Times New Roman" w:cs="Times New Roman"/>
                      <w:b w:val="0"/>
                      <w:bCs w:val="0"/>
                      <w:color w:val="auto"/>
                      <w:sz w:val="21"/>
                      <w:szCs w:val="21"/>
                      <w:u w:val="none"/>
                      <w:lang w:val="en-US" w:eastAsia="zh-CN"/>
                    </w:rPr>
                    <w:t>3</w:t>
                  </w:r>
                  <w:r>
                    <w:rPr>
                      <w:rFonts w:hint="default" w:ascii="Times New Roman" w:hAnsi="Times New Roman" w:eastAsia="宋体" w:cs="Times New Roman"/>
                      <w:b w:val="0"/>
                      <w:bCs w:val="0"/>
                      <w:color w:val="auto"/>
                      <w:sz w:val="21"/>
                      <w:szCs w:val="21"/>
                      <w:u w:val="none"/>
                      <w:lang w:val="en-US" w:eastAsia="zh-CN"/>
                    </w:rPr>
                    <w:t>.7</w:t>
                  </w:r>
                  <w:r>
                    <w:rPr>
                      <w:rFonts w:hint="eastAsia" w:ascii="Times New Roman" w:hAnsi="Times New Roman" w:cs="Times New Roman"/>
                      <w:b w:val="0"/>
                      <w:bCs w:val="0"/>
                      <w:color w:val="auto"/>
                      <w:sz w:val="21"/>
                      <w:szCs w:val="21"/>
                      <w:u w:val="none"/>
                      <w:lang w:val="en-US" w:eastAsia="zh-CN"/>
                    </w:rPr>
                    <w:t>4</w:t>
                  </w:r>
                </w:p>
              </w:tc>
              <w:tc>
                <w:tcPr>
                  <w:tcW w:w="402" w:type="pct"/>
                  <w:tcBorders>
                    <w:tl2br w:val="nil"/>
                    <w:tr2bl w:val="nil"/>
                  </w:tcBorders>
                  <w:shd w:val="clear" w:color="auto" w:fill="auto"/>
                  <w:noWrap w:val="0"/>
                  <w:vAlign w:val="center"/>
                </w:tcPr>
                <w:p w14:paraId="4DBA7DD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-161.</w:t>
                  </w:r>
                  <w:r>
                    <w:rPr>
                      <w:rFonts w:hint="eastAsia" w:ascii="Times New Roman" w:hAnsi="Times New Roman" w:cs="Times New Roman"/>
                      <w:b w:val="0"/>
                      <w:bCs w:val="0"/>
                      <w:color w:val="auto"/>
                      <w:sz w:val="21"/>
                      <w:szCs w:val="21"/>
                      <w:u w:val="none"/>
                      <w:lang w:val="en-US" w:eastAsia="zh-CN"/>
                    </w:rPr>
                    <w:t>15</w:t>
                  </w:r>
                </w:p>
              </w:tc>
              <w:tc>
                <w:tcPr>
                  <w:tcW w:w="234" w:type="pct"/>
                  <w:tcBorders>
                    <w:tl2br w:val="nil"/>
                    <w:tr2bl w:val="nil"/>
                  </w:tcBorders>
                  <w:shd w:val="clear" w:color="auto" w:fill="auto"/>
                  <w:noWrap w:val="0"/>
                  <w:vAlign w:val="center"/>
                </w:tcPr>
                <w:p w14:paraId="5697C1F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260" w:type="pct"/>
                  <w:tcBorders>
                    <w:tl2br w:val="nil"/>
                    <w:tr2bl w:val="nil"/>
                  </w:tcBorders>
                  <w:noWrap w:val="0"/>
                  <w:vAlign w:val="center"/>
                </w:tcPr>
                <w:p w14:paraId="62DC22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lang w:val="en-US" w:eastAsia="zh-CN"/>
                    </w:rPr>
                    <w:t>1.0</w:t>
                  </w:r>
                </w:p>
              </w:tc>
              <w:tc>
                <w:tcPr>
                  <w:tcW w:w="448" w:type="pct"/>
                  <w:tcBorders>
                    <w:tl2br w:val="nil"/>
                    <w:tr2bl w:val="nil"/>
                  </w:tcBorders>
                  <w:shd w:val="clear" w:color="auto" w:fill="auto"/>
                  <w:noWrap w:val="0"/>
                  <w:vAlign w:val="center"/>
                </w:tcPr>
                <w:p w14:paraId="7838A13C">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75</w:t>
                  </w:r>
                </w:p>
              </w:tc>
              <w:tc>
                <w:tcPr>
                  <w:tcW w:w="280" w:type="pct"/>
                  <w:tcBorders>
                    <w:tl2br w:val="nil"/>
                    <w:tr2bl w:val="nil"/>
                  </w:tcBorders>
                  <w:shd w:val="clear" w:color="auto" w:fill="auto"/>
                  <w:noWrap w:val="0"/>
                  <w:vAlign w:val="center"/>
                </w:tcPr>
                <w:p w14:paraId="6B52A8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tcBorders>
                    <w:tl2br w:val="nil"/>
                    <w:tr2bl w:val="nil"/>
                  </w:tcBorders>
                  <w:shd w:val="clear" w:color="auto" w:fill="auto"/>
                  <w:noWrap w:val="0"/>
                  <w:vAlign w:val="center"/>
                </w:tcPr>
                <w:p w14:paraId="47933E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10</w:t>
                  </w:r>
                </w:p>
              </w:tc>
              <w:tc>
                <w:tcPr>
                  <w:tcW w:w="341" w:type="pct"/>
                  <w:tcBorders>
                    <w:tl2br w:val="nil"/>
                    <w:tr2bl w:val="nil"/>
                  </w:tcBorders>
                  <w:shd w:val="clear" w:color="auto" w:fill="auto"/>
                  <w:noWrap w:val="0"/>
                  <w:vAlign w:val="center"/>
                </w:tcPr>
                <w:p w14:paraId="7517D9A5">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65</w:t>
                  </w:r>
                </w:p>
              </w:tc>
              <w:tc>
                <w:tcPr>
                  <w:tcW w:w="226" w:type="pct"/>
                  <w:tcBorders>
                    <w:tl2br w:val="nil"/>
                    <w:tr2bl w:val="nil"/>
                  </w:tcBorders>
                  <w:shd w:val="clear" w:color="auto" w:fill="auto"/>
                  <w:noWrap w:val="0"/>
                  <w:vAlign w:val="center"/>
                </w:tcPr>
                <w:p w14:paraId="676F66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rPr>
                    <w:t>1</w:t>
                  </w:r>
                  <w:r>
                    <w:rPr>
                      <w:rFonts w:hint="default" w:ascii="Times New Roman" w:hAnsi="Times New Roman" w:eastAsia="宋体" w:cs="Times New Roman"/>
                      <w:b w:val="0"/>
                      <w:bCs w:val="0"/>
                      <w:color w:val="auto"/>
                      <w:sz w:val="21"/>
                      <w:szCs w:val="21"/>
                      <w:u w:val="none"/>
                      <w:lang w:val="en-US" w:eastAsia="zh-CN"/>
                    </w:rPr>
                    <w:t>.0</w:t>
                  </w:r>
                </w:p>
              </w:tc>
            </w:tr>
            <w:tr w14:paraId="6E2AE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tcBorders>
                    <w:tl2br w:val="nil"/>
                    <w:tr2bl w:val="nil"/>
                  </w:tcBorders>
                  <w:shd w:val="clear" w:color="auto" w:fill="auto"/>
                  <w:noWrap w:val="0"/>
                  <w:vAlign w:val="center"/>
                </w:tcPr>
                <w:p w14:paraId="59957735">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w:t>
                  </w:r>
                </w:p>
              </w:tc>
              <w:tc>
                <w:tcPr>
                  <w:tcW w:w="242" w:type="pct"/>
                  <w:vMerge w:val="continue"/>
                  <w:tcBorders>
                    <w:tl2br w:val="nil"/>
                    <w:tr2bl w:val="nil"/>
                  </w:tcBorders>
                  <w:noWrap w:val="0"/>
                  <w:vAlign w:val="center"/>
                </w:tcPr>
                <w:p w14:paraId="3ADB9F1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tcBorders>
                    <w:tl2br w:val="nil"/>
                    <w:tr2bl w:val="nil"/>
                  </w:tcBorders>
                  <w:shd w:val="clear" w:color="auto" w:fill="auto"/>
                  <w:noWrap w:val="0"/>
                  <w:vAlign w:val="center"/>
                </w:tcPr>
                <w:p w14:paraId="3002BAB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lang w:val="en-US" w:eastAsia="zh-CN"/>
                    </w:rPr>
                    <w:t>全自动切割机</w:t>
                  </w:r>
                </w:p>
              </w:tc>
              <w:tc>
                <w:tcPr>
                  <w:tcW w:w="467" w:type="pct"/>
                  <w:tcBorders>
                    <w:tl2br w:val="nil"/>
                    <w:tr2bl w:val="nil"/>
                  </w:tcBorders>
                  <w:shd w:val="clear" w:color="auto" w:fill="auto"/>
                  <w:noWrap w:val="0"/>
                  <w:vAlign w:val="center"/>
                </w:tcPr>
                <w:p w14:paraId="4D21133C">
                  <w:pPr>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sz w:val="21"/>
                      <w:szCs w:val="21"/>
                      <w:lang w:val="en-US" w:eastAsia="zh-CN"/>
                    </w:rPr>
                    <w:t>90</w:t>
                  </w:r>
                </w:p>
              </w:tc>
              <w:tc>
                <w:tcPr>
                  <w:tcW w:w="383" w:type="pct"/>
                  <w:tcBorders>
                    <w:tl2br w:val="nil"/>
                    <w:tr2bl w:val="nil"/>
                  </w:tcBorders>
                  <w:shd w:val="clear" w:color="auto" w:fill="auto"/>
                  <w:noWrap w:val="0"/>
                  <w:vAlign w:val="center"/>
                </w:tcPr>
                <w:p w14:paraId="4040A1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rPr>
                    <w:t>基础减振</w:t>
                  </w:r>
                </w:p>
              </w:tc>
              <w:tc>
                <w:tcPr>
                  <w:tcW w:w="351" w:type="pct"/>
                  <w:tcBorders>
                    <w:tl2br w:val="nil"/>
                    <w:tr2bl w:val="nil"/>
                  </w:tcBorders>
                  <w:shd w:val="clear" w:color="auto" w:fill="auto"/>
                  <w:noWrap w:val="0"/>
                  <w:vAlign w:val="center"/>
                </w:tcPr>
                <w:p w14:paraId="25AD5A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15</w:t>
                  </w:r>
                </w:p>
              </w:tc>
              <w:tc>
                <w:tcPr>
                  <w:tcW w:w="398" w:type="pct"/>
                  <w:tcBorders>
                    <w:tl2br w:val="nil"/>
                    <w:tr2bl w:val="nil"/>
                  </w:tcBorders>
                  <w:shd w:val="clear" w:color="auto" w:fill="auto"/>
                  <w:noWrap w:val="0"/>
                  <w:vAlign w:val="center"/>
                </w:tcPr>
                <w:p w14:paraId="11EF531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rPr>
                    <w:t>-68.55</w:t>
                  </w:r>
                </w:p>
              </w:tc>
              <w:tc>
                <w:tcPr>
                  <w:tcW w:w="402" w:type="pct"/>
                  <w:tcBorders>
                    <w:tl2br w:val="nil"/>
                    <w:tr2bl w:val="nil"/>
                  </w:tcBorders>
                  <w:shd w:val="clear" w:color="auto" w:fill="auto"/>
                  <w:noWrap w:val="0"/>
                  <w:vAlign w:val="center"/>
                </w:tcPr>
                <w:p w14:paraId="2FC5845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rPr>
                    <w:t>-161.02</w:t>
                  </w:r>
                </w:p>
              </w:tc>
              <w:tc>
                <w:tcPr>
                  <w:tcW w:w="234" w:type="pct"/>
                  <w:tcBorders>
                    <w:tl2br w:val="nil"/>
                    <w:tr2bl w:val="nil"/>
                  </w:tcBorders>
                  <w:shd w:val="clear" w:color="auto" w:fill="auto"/>
                  <w:noWrap w:val="0"/>
                  <w:vAlign w:val="center"/>
                </w:tcPr>
                <w:p w14:paraId="6B2FD1D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w:t>
                  </w:r>
                </w:p>
              </w:tc>
              <w:tc>
                <w:tcPr>
                  <w:tcW w:w="260" w:type="pct"/>
                  <w:tcBorders>
                    <w:tl2br w:val="nil"/>
                    <w:tr2bl w:val="nil"/>
                  </w:tcBorders>
                  <w:shd w:val="clear" w:color="auto" w:fill="auto"/>
                  <w:noWrap w:val="0"/>
                  <w:vAlign w:val="center"/>
                </w:tcPr>
                <w:p w14:paraId="249C74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1.0</w:t>
                  </w:r>
                </w:p>
              </w:tc>
              <w:tc>
                <w:tcPr>
                  <w:tcW w:w="448" w:type="pct"/>
                  <w:tcBorders>
                    <w:tl2br w:val="nil"/>
                    <w:tr2bl w:val="nil"/>
                  </w:tcBorders>
                  <w:shd w:val="clear" w:color="auto" w:fill="auto"/>
                  <w:noWrap w:val="0"/>
                  <w:vAlign w:val="center"/>
                </w:tcPr>
                <w:p w14:paraId="56B2B56C">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75</w:t>
                  </w:r>
                </w:p>
              </w:tc>
              <w:tc>
                <w:tcPr>
                  <w:tcW w:w="280" w:type="pct"/>
                  <w:tcBorders>
                    <w:tl2br w:val="nil"/>
                    <w:tr2bl w:val="nil"/>
                  </w:tcBorders>
                  <w:shd w:val="clear" w:color="auto" w:fill="auto"/>
                  <w:noWrap w:val="0"/>
                  <w:vAlign w:val="center"/>
                </w:tcPr>
                <w:p w14:paraId="3FD459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tcBorders>
                    <w:tl2br w:val="nil"/>
                    <w:tr2bl w:val="nil"/>
                  </w:tcBorders>
                  <w:shd w:val="clear" w:color="auto" w:fill="auto"/>
                  <w:noWrap w:val="0"/>
                  <w:vAlign w:val="center"/>
                </w:tcPr>
                <w:p w14:paraId="46AA91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10</w:t>
                  </w:r>
                </w:p>
              </w:tc>
              <w:tc>
                <w:tcPr>
                  <w:tcW w:w="341" w:type="pct"/>
                  <w:tcBorders>
                    <w:tl2br w:val="nil"/>
                    <w:tr2bl w:val="nil"/>
                  </w:tcBorders>
                  <w:shd w:val="clear" w:color="auto" w:fill="auto"/>
                  <w:noWrap w:val="0"/>
                  <w:vAlign w:val="center"/>
                </w:tcPr>
                <w:p w14:paraId="3781AA78">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65</w:t>
                  </w:r>
                </w:p>
              </w:tc>
              <w:tc>
                <w:tcPr>
                  <w:tcW w:w="226" w:type="pct"/>
                  <w:tcBorders>
                    <w:tl2br w:val="nil"/>
                    <w:tr2bl w:val="nil"/>
                  </w:tcBorders>
                  <w:shd w:val="clear" w:color="auto" w:fill="auto"/>
                  <w:noWrap w:val="0"/>
                  <w:vAlign w:val="center"/>
                </w:tcPr>
                <w:p w14:paraId="5F9D62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rPr>
                    <w:t>1</w:t>
                  </w:r>
                  <w:r>
                    <w:rPr>
                      <w:rFonts w:hint="default" w:ascii="Times New Roman" w:hAnsi="Times New Roman" w:eastAsia="宋体" w:cs="Times New Roman"/>
                      <w:b w:val="0"/>
                      <w:bCs w:val="0"/>
                      <w:color w:val="auto"/>
                      <w:sz w:val="21"/>
                      <w:szCs w:val="21"/>
                      <w:u w:val="none"/>
                      <w:lang w:val="en-US" w:eastAsia="zh-CN"/>
                    </w:rPr>
                    <w:t>.0</w:t>
                  </w:r>
                </w:p>
              </w:tc>
            </w:tr>
            <w:tr w14:paraId="18BDD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tcBorders>
                    <w:tl2br w:val="nil"/>
                    <w:tr2bl w:val="nil"/>
                  </w:tcBorders>
                  <w:shd w:val="clear" w:color="auto" w:fill="auto"/>
                  <w:noWrap w:val="0"/>
                  <w:vAlign w:val="center"/>
                </w:tcPr>
                <w:p w14:paraId="3BBBBEE4">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w:t>
                  </w:r>
                </w:p>
              </w:tc>
              <w:tc>
                <w:tcPr>
                  <w:tcW w:w="242" w:type="pct"/>
                  <w:vMerge w:val="continue"/>
                  <w:tcBorders>
                    <w:tl2br w:val="nil"/>
                    <w:tr2bl w:val="nil"/>
                  </w:tcBorders>
                  <w:noWrap w:val="0"/>
                  <w:vAlign w:val="center"/>
                </w:tcPr>
                <w:p w14:paraId="6471502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tcBorders>
                    <w:tl2br w:val="nil"/>
                    <w:tr2bl w:val="nil"/>
                  </w:tcBorders>
                  <w:shd w:val="clear" w:color="auto" w:fill="auto"/>
                  <w:noWrap w:val="0"/>
                  <w:vAlign w:val="center"/>
                </w:tcPr>
                <w:p w14:paraId="51D627F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0"/>
                      <w:sz w:val="21"/>
                      <w:szCs w:val="21"/>
                      <w:lang w:val="en-US" w:eastAsia="zh-CN"/>
                    </w:rPr>
                    <w:t>数控弯管机</w:t>
                  </w:r>
                </w:p>
              </w:tc>
              <w:tc>
                <w:tcPr>
                  <w:tcW w:w="467" w:type="pct"/>
                  <w:tcBorders>
                    <w:tl2br w:val="nil"/>
                    <w:tr2bl w:val="nil"/>
                  </w:tcBorders>
                  <w:noWrap w:val="0"/>
                  <w:vAlign w:val="center"/>
                </w:tcPr>
                <w:p w14:paraId="7F89BDC3">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80</w:t>
                  </w:r>
                </w:p>
              </w:tc>
              <w:tc>
                <w:tcPr>
                  <w:tcW w:w="383" w:type="pct"/>
                  <w:tcBorders>
                    <w:tl2br w:val="nil"/>
                    <w:tr2bl w:val="nil"/>
                  </w:tcBorders>
                  <w:noWrap w:val="0"/>
                  <w:vAlign w:val="center"/>
                </w:tcPr>
                <w:p w14:paraId="5ABB3F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tcBorders>
                    <w:tl2br w:val="nil"/>
                    <w:tr2bl w:val="nil"/>
                  </w:tcBorders>
                  <w:noWrap w:val="0"/>
                  <w:vAlign w:val="center"/>
                </w:tcPr>
                <w:p w14:paraId="61C735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tcBorders>
                    <w:tl2br w:val="nil"/>
                    <w:tr2bl w:val="nil"/>
                  </w:tcBorders>
                  <w:shd w:val="clear" w:color="auto" w:fill="auto"/>
                  <w:noWrap w:val="0"/>
                  <w:vAlign w:val="center"/>
                </w:tcPr>
                <w:p w14:paraId="56AE6B0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rPr>
                    <w:t>-63.39</w:t>
                  </w:r>
                </w:p>
              </w:tc>
              <w:tc>
                <w:tcPr>
                  <w:tcW w:w="402" w:type="pct"/>
                  <w:tcBorders>
                    <w:tl2br w:val="nil"/>
                    <w:tr2bl w:val="nil"/>
                  </w:tcBorders>
                  <w:shd w:val="clear" w:color="auto" w:fill="auto"/>
                  <w:noWrap w:val="0"/>
                  <w:vAlign w:val="center"/>
                </w:tcPr>
                <w:p w14:paraId="3891AF7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rPr>
                    <w:t>-162.05</w:t>
                  </w:r>
                </w:p>
              </w:tc>
              <w:tc>
                <w:tcPr>
                  <w:tcW w:w="234" w:type="pct"/>
                  <w:tcBorders>
                    <w:tl2br w:val="nil"/>
                    <w:tr2bl w:val="nil"/>
                  </w:tcBorders>
                  <w:shd w:val="clear" w:color="auto" w:fill="auto"/>
                  <w:noWrap w:val="0"/>
                  <w:vAlign w:val="center"/>
                </w:tcPr>
                <w:p w14:paraId="383C113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260" w:type="pct"/>
                  <w:tcBorders>
                    <w:tl2br w:val="nil"/>
                    <w:tr2bl w:val="nil"/>
                  </w:tcBorders>
                  <w:noWrap w:val="0"/>
                  <w:vAlign w:val="center"/>
                </w:tcPr>
                <w:p w14:paraId="1C12E2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tcBorders>
                    <w:tl2br w:val="nil"/>
                    <w:tr2bl w:val="nil"/>
                  </w:tcBorders>
                  <w:noWrap w:val="0"/>
                  <w:vAlign w:val="center"/>
                </w:tcPr>
                <w:p w14:paraId="2BF055CC">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280" w:type="pct"/>
                  <w:tcBorders>
                    <w:tl2br w:val="nil"/>
                    <w:tr2bl w:val="nil"/>
                  </w:tcBorders>
                  <w:noWrap w:val="0"/>
                  <w:vAlign w:val="center"/>
                </w:tcPr>
                <w:p w14:paraId="4E2C77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tcBorders>
                    <w:tl2br w:val="nil"/>
                    <w:tr2bl w:val="nil"/>
                  </w:tcBorders>
                  <w:noWrap w:val="0"/>
                  <w:vAlign w:val="center"/>
                </w:tcPr>
                <w:p w14:paraId="2E84E4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tcBorders>
                    <w:tl2br w:val="nil"/>
                    <w:tr2bl w:val="nil"/>
                  </w:tcBorders>
                  <w:noWrap w:val="0"/>
                  <w:vAlign w:val="center"/>
                </w:tcPr>
                <w:p w14:paraId="795FAF6F">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26" w:type="pct"/>
                  <w:tcBorders>
                    <w:tl2br w:val="nil"/>
                    <w:tr2bl w:val="nil"/>
                  </w:tcBorders>
                  <w:noWrap w:val="0"/>
                  <w:vAlign w:val="center"/>
                </w:tcPr>
                <w:p w14:paraId="4AEEB5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1</w:t>
                  </w:r>
                  <w:r>
                    <w:rPr>
                      <w:rFonts w:hint="default" w:ascii="Times New Roman" w:hAnsi="Times New Roman" w:eastAsia="宋体" w:cs="Times New Roman"/>
                      <w:b w:val="0"/>
                      <w:bCs w:val="0"/>
                      <w:color w:val="auto"/>
                      <w:sz w:val="21"/>
                      <w:szCs w:val="21"/>
                      <w:u w:val="none"/>
                      <w:lang w:val="en-US" w:eastAsia="zh-CN"/>
                    </w:rPr>
                    <w:t>.0</w:t>
                  </w:r>
                </w:p>
              </w:tc>
            </w:tr>
            <w:tr w14:paraId="7037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tcBorders>
                    <w:tl2br w:val="nil"/>
                    <w:tr2bl w:val="nil"/>
                  </w:tcBorders>
                  <w:shd w:val="clear" w:color="auto" w:fill="auto"/>
                  <w:noWrap w:val="0"/>
                  <w:vAlign w:val="center"/>
                </w:tcPr>
                <w:p w14:paraId="4FA28762">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w:t>
                  </w:r>
                </w:p>
              </w:tc>
              <w:tc>
                <w:tcPr>
                  <w:tcW w:w="242" w:type="pct"/>
                  <w:vMerge w:val="continue"/>
                  <w:tcBorders>
                    <w:tl2br w:val="nil"/>
                    <w:tr2bl w:val="nil"/>
                  </w:tcBorders>
                  <w:noWrap w:val="0"/>
                  <w:vAlign w:val="center"/>
                </w:tcPr>
                <w:p w14:paraId="017F510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tcBorders>
                    <w:tl2br w:val="nil"/>
                    <w:tr2bl w:val="nil"/>
                  </w:tcBorders>
                  <w:shd w:val="clear" w:color="auto" w:fill="auto"/>
                  <w:noWrap w:val="0"/>
                  <w:vAlign w:val="center"/>
                </w:tcPr>
                <w:p w14:paraId="75C64987">
                  <w:pPr>
                    <w:keepNext w:val="0"/>
                    <w:keepLines w:val="0"/>
                    <w:pageBreakBefore w:val="0"/>
                    <w:kinsoku/>
                    <w:wordWrap/>
                    <w:overflowPunct/>
                    <w:topLinePunct w:val="0"/>
                    <w:autoSpaceDE/>
                    <w:autoSpaceDN/>
                    <w:bidi w:val="0"/>
                    <w:ind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0"/>
                      <w:sz w:val="21"/>
                      <w:szCs w:val="21"/>
                      <w:lang w:val="en-US" w:eastAsia="zh-CN"/>
                    </w:rPr>
                    <w:t>数控弯管机</w:t>
                  </w:r>
                </w:p>
              </w:tc>
              <w:tc>
                <w:tcPr>
                  <w:tcW w:w="467" w:type="pct"/>
                  <w:tcBorders>
                    <w:tl2br w:val="nil"/>
                    <w:tr2bl w:val="nil"/>
                  </w:tcBorders>
                  <w:noWrap w:val="0"/>
                  <w:vAlign w:val="center"/>
                </w:tcPr>
                <w:p w14:paraId="4BC779B8">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80</w:t>
                  </w:r>
                </w:p>
              </w:tc>
              <w:tc>
                <w:tcPr>
                  <w:tcW w:w="383" w:type="pct"/>
                  <w:tcBorders>
                    <w:tl2br w:val="nil"/>
                    <w:tr2bl w:val="nil"/>
                  </w:tcBorders>
                  <w:noWrap w:val="0"/>
                  <w:vAlign w:val="center"/>
                </w:tcPr>
                <w:p w14:paraId="034D5D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tcBorders>
                    <w:tl2br w:val="nil"/>
                    <w:tr2bl w:val="nil"/>
                  </w:tcBorders>
                  <w:noWrap w:val="0"/>
                  <w:vAlign w:val="center"/>
                </w:tcPr>
                <w:p w14:paraId="5FC003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tcBorders>
                    <w:tl2br w:val="nil"/>
                    <w:tr2bl w:val="nil"/>
                  </w:tcBorders>
                  <w:shd w:val="clear" w:color="auto" w:fill="auto"/>
                  <w:noWrap w:val="0"/>
                  <w:vAlign w:val="center"/>
                </w:tcPr>
                <w:p w14:paraId="38A41BA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rPr>
                    <w:t>-63.</w:t>
                  </w:r>
                  <w:r>
                    <w:rPr>
                      <w:rFonts w:hint="eastAsia" w:ascii="Times New Roman" w:hAnsi="Times New Roman" w:cs="Times New Roman"/>
                      <w:b w:val="0"/>
                      <w:bCs w:val="0"/>
                      <w:color w:val="auto"/>
                      <w:sz w:val="21"/>
                      <w:szCs w:val="21"/>
                      <w:u w:val="none"/>
                      <w:lang w:val="en-US" w:eastAsia="zh-CN"/>
                    </w:rPr>
                    <w:t>52</w:t>
                  </w:r>
                </w:p>
              </w:tc>
              <w:tc>
                <w:tcPr>
                  <w:tcW w:w="402" w:type="pct"/>
                  <w:tcBorders>
                    <w:tl2br w:val="nil"/>
                    <w:tr2bl w:val="nil"/>
                  </w:tcBorders>
                  <w:shd w:val="clear" w:color="auto" w:fill="auto"/>
                  <w:noWrap w:val="0"/>
                  <w:vAlign w:val="center"/>
                </w:tcPr>
                <w:p w14:paraId="43E57BE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rPr>
                    <w:t>-162.</w:t>
                  </w:r>
                  <w:r>
                    <w:rPr>
                      <w:rFonts w:hint="eastAsia" w:ascii="Times New Roman" w:hAnsi="Times New Roman" w:cs="Times New Roman"/>
                      <w:b w:val="0"/>
                      <w:bCs w:val="0"/>
                      <w:color w:val="auto"/>
                      <w:sz w:val="21"/>
                      <w:szCs w:val="21"/>
                      <w:u w:val="none"/>
                      <w:lang w:val="en-US" w:eastAsia="zh-CN"/>
                    </w:rPr>
                    <w:t>34</w:t>
                  </w:r>
                </w:p>
              </w:tc>
              <w:tc>
                <w:tcPr>
                  <w:tcW w:w="234" w:type="pct"/>
                  <w:tcBorders>
                    <w:tl2br w:val="nil"/>
                    <w:tr2bl w:val="nil"/>
                  </w:tcBorders>
                  <w:shd w:val="clear" w:color="auto" w:fill="auto"/>
                  <w:noWrap w:val="0"/>
                  <w:vAlign w:val="center"/>
                </w:tcPr>
                <w:p w14:paraId="78DDC75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260" w:type="pct"/>
                  <w:tcBorders>
                    <w:tl2br w:val="nil"/>
                    <w:tr2bl w:val="nil"/>
                  </w:tcBorders>
                  <w:noWrap w:val="0"/>
                  <w:vAlign w:val="center"/>
                </w:tcPr>
                <w:p w14:paraId="744C1A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tcBorders>
                    <w:tl2br w:val="nil"/>
                    <w:tr2bl w:val="nil"/>
                  </w:tcBorders>
                  <w:noWrap w:val="0"/>
                  <w:vAlign w:val="center"/>
                </w:tcPr>
                <w:p w14:paraId="73EF1F06">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280" w:type="pct"/>
                  <w:tcBorders>
                    <w:tl2br w:val="nil"/>
                    <w:tr2bl w:val="nil"/>
                  </w:tcBorders>
                  <w:noWrap w:val="0"/>
                  <w:vAlign w:val="center"/>
                </w:tcPr>
                <w:p w14:paraId="1498B6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tcBorders>
                    <w:tl2br w:val="nil"/>
                    <w:tr2bl w:val="nil"/>
                  </w:tcBorders>
                  <w:noWrap w:val="0"/>
                  <w:vAlign w:val="center"/>
                </w:tcPr>
                <w:p w14:paraId="597098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tcBorders>
                    <w:tl2br w:val="nil"/>
                    <w:tr2bl w:val="nil"/>
                  </w:tcBorders>
                  <w:noWrap w:val="0"/>
                  <w:vAlign w:val="center"/>
                </w:tcPr>
                <w:p w14:paraId="456D6834">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26" w:type="pct"/>
                  <w:tcBorders>
                    <w:tl2br w:val="nil"/>
                    <w:tr2bl w:val="nil"/>
                  </w:tcBorders>
                  <w:noWrap w:val="0"/>
                  <w:vAlign w:val="center"/>
                </w:tcPr>
                <w:p w14:paraId="37D6F8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1</w:t>
                  </w:r>
                  <w:r>
                    <w:rPr>
                      <w:rFonts w:hint="default" w:ascii="Times New Roman" w:hAnsi="Times New Roman" w:eastAsia="宋体" w:cs="Times New Roman"/>
                      <w:b w:val="0"/>
                      <w:bCs w:val="0"/>
                      <w:color w:val="auto"/>
                      <w:sz w:val="21"/>
                      <w:szCs w:val="21"/>
                      <w:u w:val="none"/>
                      <w:lang w:val="en-US" w:eastAsia="zh-CN"/>
                    </w:rPr>
                    <w:t>.0</w:t>
                  </w:r>
                </w:p>
              </w:tc>
            </w:tr>
            <w:tr w14:paraId="65A2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tcBorders>
                    <w:tl2br w:val="nil"/>
                    <w:tr2bl w:val="nil"/>
                  </w:tcBorders>
                  <w:shd w:val="clear" w:color="auto" w:fill="auto"/>
                  <w:noWrap w:val="0"/>
                  <w:vAlign w:val="center"/>
                </w:tcPr>
                <w:p w14:paraId="5FB97AB0">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w:t>
                  </w:r>
                </w:p>
              </w:tc>
              <w:tc>
                <w:tcPr>
                  <w:tcW w:w="242" w:type="pct"/>
                  <w:vMerge w:val="continue"/>
                  <w:tcBorders>
                    <w:tl2br w:val="nil"/>
                    <w:tr2bl w:val="nil"/>
                  </w:tcBorders>
                  <w:noWrap w:val="0"/>
                  <w:vAlign w:val="center"/>
                </w:tcPr>
                <w:p w14:paraId="07EF23E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tcBorders>
                    <w:tl2br w:val="nil"/>
                    <w:tr2bl w:val="nil"/>
                  </w:tcBorders>
                  <w:shd w:val="clear" w:color="auto" w:fill="auto"/>
                  <w:noWrap w:val="0"/>
                  <w:vAlign w:val="center"/>
                </w:tcPr>
                <w:p w14:paraId="1003DFC3">
                  <w:pPr>
                    <w:keepNext w:val="0"/>
                    <w:keepLines w:val="0"/>
                    <w:pageBreakBefore w:val="0"/>
                    <w:kinsoku/>
                    <w:wordWrap/>
                    <w:overflowPunct/>
                    <w:topLinePunct w:val="0"/>
                    <w:autoSpaceDE/>
                    <w:autoSpaceDN/>
                    <w:bidi w:val="0"/>
                    <w:ind w:right="0" w:rightChars="0" w:firstLine="0" w:firstLineChars="0"/>
                    <w:jc w:val="center"/>
                    <w:textAlignment w:val="auto"/>
                    <w:rPr>
                      <w:rFonts w:hint="default" w:ascii="Times New Roman" w:hAnsi="Times New Roman" w:eastAsia="宋体" w:cs="Times New Roman"/>
                      <w:color w:val="auto"/>
                      <w:kern w:val="0"/>
                      <w:sz w:val="21"/>
                      <w:szCs w:val="21"/>
                      <w:shd w:val="clear" w:color="auto" w:fill="auto"/>
                      <w:lang w:val="en-US" w:eastAsia="zh-CN" w:bidi="ar-SA"/>
                    </w:rPr>
                  </w:pPr>
                  <w:r>
                    <w:rPr>
                      <w:rFonts w:hint="default" w:ascii="Times New Roman" w:hAnsi="Times New Roman" w:cs="Times New Roman"/>
                      <w:color w:val="auto"/>
                      <w:kern w:val="0"/>
                      <w:sz w:val="21"/>
                      <w:szCs w:val="21"/>
                      <w:lang w:val="en-US" w:eastAsia="zh-CN"/>
                    </w:rPr>
                    <w:t>数控弯管机</w:t>
                  </w:r>
                </w:p>
              </w:tc>
              <w:tc>
                <w:tcPr>
                  <w:tcW w:w="467" w:type="pct"/>
                  <w:tcBorders>
                    <w:tl2br w:val="nil"/>
                    <w:tr2bl w:val="nil"/>
                  </w:tcBorders>
                  <w:shd w:val="clear" w:color="auto" w:fill="auto"/>
                  <w:noWrap w:val="0"/>
                  <w:vAlign w:val="center"/>
                </w:tcPr>
                <w:p w14:paraId="2C10A3F1">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80</w:t>
                  </w:r>
                </w:p>
              </w:tc>
              <w:tc>
                <w:tcPr>
                  <w:tcW w:w="383" w:type="pct"/>
                  <w:tcBorders>
                    <w:tl2br w:val="nil"/>
                    <w:tr2bl w:val="nil"/>
                  </w:tcBorders>
                  <w:shd w:val="clear" w:color="auto" w:fill="auto"/>
                  <w:noWrap w:val="0"/>
                  <w:vAlign w:val="center"/>
                </w:tcPr>
                <w:p w14:paraId="31F3C8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rPr>
                    <w:t>基础减振</w:t>
                  </w:r>
                </w:p>
              </w:tc>
              <w:tc>
                <w:tcPr>
                  <w:tcW w:w="351" w:type="pct"/>
                  <w:tcBorders>
                    <w:tl2br w:val="nil"/>
                    <w:tr2bl w:val="nil"/>
                  </w:tcBorders>
                  <w:shd w:val="clear" w:color="auto" w:fill="auto"/>
                  <w:noWrap w:val="0"/>
                  <w:vAlign w:val="center"/>
                </w:tcPr>
                <w:p w14:paraId="5E5A9F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15</w:t>
                  </w:r>
                </w:p>
              </w:tc>
              <w:tc>
                <w:tcPr>
                  <w:tcW w:w="398" w:type="pct"/>
                  <w:tcBorders>
                    <w:tl2br w:val="nil"/>
                    <w:tr2bl w:val="nil"/>
                  </w:tcBorders>
                  <w:shd w:val="clear" w:color="auto" w:fill="auto"/>
                  <w:noWrap w:val="0"/>
                  <w:vAlign w:val="center"/>
                </w:tcPr>
                <w:p w14:paraId="2F2C405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rPr>
                    <w:t>-58.74</w:t>
                  </w:r>
                </w:p>
              </w:tc>
              <w:tc>
                <w:tcPr>
                  <w:tcW w:w="402" w:type="pct"/>
                  <w:tcBorders>
                    <w:tl2br w:val="nil"/>
                    <w:tr2bl w:val="nil"/>
                  </w:tcBorders>
                  <w:shd w:val="clear" w:color="auto" w:fill="auto"/>
                  <w:noWrap w:val="0"/>
                  <w:vAlign w:val="center"/>
                </w:tcPr>
                <w:p w14:paraId="0C08E01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rPr>
                    <w:t>-162.56</w:t>
                  </w:r>
                </w:p>
              </w:tc>
              <w:tc>
                <w:tcPr>
                  <w:tcW w:w="234" w:type="pct"/>
                  <w:tcBorders>
                    <w:tl2br w:val="nil"/>
                    <w:tr2bl w:val="nil"/>
                  </w:tcBorders>
                  <w:shd w:val="clear" w:color="auto" w:fill="auto"/>
                  <w:noWrap w:val="0"/>
                  <w:vAlign w:val="center"/>
                </w:tcPr>
                <w:p w14:paraId="57770BA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260" w:type="pct"/>
                  <w:tcBorders>
                    <w:tl2br w:val="nil"/>
                    <w:tr2bl w:val="nil"/>
                  </w:tcBorders>
                  <w:noWrap w:val="0"/>
                  <w:vAlign w:val="center"/>
                </w:tcPr>
                <w:p w14:paraId="05F50E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tcBorders>
                    <w:tl2br w:val="nil"/>
                    <w:tr2bl w:val="nil"/>
                  </w:tcBorders>
                  <w:shd w:val="clear" w:color="auto" w:fill="auto"/>
                  <w:noWrap w:val="0"/>
                  <w:vAlign w:val="center"/>
                </w:tcPr>
                <w:p w14:paraId="66081475">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65</w:t>
                  </w:r>
                </w:p>
              </w:tc>
              <w:tc>
                <w:tcPr>
                  <w:tcW w:w="280" w:type="pct"/>
                  <w:tcBorders>
                    <w:tl2br w:val="nil"/>
                    <w:tr2bl w:val="nil"/>
                  </w:tcBorders>
                  <w:shd w:val="clear" w:color="auto" w:fill="auto"/>
                  <w:noWrap w:val="0"/>
                  <w:vAlign w:val="center"/>
                </w:tcPr>
                <w:p w14:paraId="6D687D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tcBorders>
                    <w:tl2br w:val="nil"/>
                    <w:tr2bl w:val="nil"/>
                  </w:tcBorders>
                  <w:shd w:val="clear" w:color="auto" w:fill="auto"/>
                  <w:noWrap w:val="0"/>
                  <w:vAlign w:val="center"/>
                </w:tcPr>
                <w:p w14:paraId="2466FD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10</w:t>
                  </w:r>
                </w:p>
              </w:tc>
              <w:tc>
                <w:tcPr>
                  <w:tcW w:w="341" w:type="pct"/>
                  <w:tcBorders>
                    <w:tl2br w:val="nil"/>
                    <w:tr2bl w:val="nil"/>
                  </w:tcBorders>
                  <w:shd w:val="clear" w:color="auto" w:fill="auto"/>
                  <w:noWrap w:val="0"/>
                  <w:vAlign w:val="center"/>
                </w:tcPr>
                <w:p w14:paraId="05739A91">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26" w:type="pct"/>
                  <w:tcBorders>
                    <w:tl2br w:val="nil"/>
                    <w:tr2bl w:val="nil"/>
                  </w:tcBorders>
                  <w:shd w:val="clear" w:color="auto" w:fill="auto"/>
                  <w:noWrap w:val="0"/>
                  <w:vAlign w:val="center"/>
                </w:tcPr>
                <w:p w14:paraId="1CC522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rPr>
                    <w:t>1</w:t>
                  </w:r>
                  <w:r>
                    <w:rPr>
                      <w:rFonts w:hint="default" w:ascii="Times New Roman" w:hAnsi="Times New Roman" w:eastAsia="宋体" w:cs="Times New Roman"/>
                      <w:b w:val="0"/>
                      <w:bCs w:val="0"/>
                      <w:color w:val="auto"/>
                      <w:sz w:val="21"/>
                      <w:szCs w:val="21"/>
                      <w:u w:val="none"/>
                      <w:lang w:val="en-US" w:eastAsia="zh-CN"/>
                    </w:rPr>
                    <w:t>.0</w:t>
                  </w:r>
                </w:p>
              </w:tc>
            </w:tr>
            <w:tr w14:paraId="6249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tcBorders>
                    <w:tl2br w:val="nil"/>
                    <w:tr2bl w:val="nil"/>
                  </w:tcBorders>
                  <w:shd w:val="clear" w:color="auto" w:fill="auto"/>
                  <w:noWrap w:val="0"/>
                  <w:vAlign w:val="center"/>
                </w:tcPr>
                <w:p w14:paraId="607CB11D">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w:t>
                  </w:r>
                </w:p>
              </w:tc>
              <w:tc>
                <w:tcPr>
                  <w:tcW w:w="242" w:type="pct"/>
                  <w:vMerge w:val="continue"/>
                  <w:tcBorders>
                    <w:tl2br w:val="nil"/>
                    <w:tr2bl w:val="nil"/>
                  </w:tcBorders>
                  <w:noWrap w:val="0"/>
                  <w:vAlign w:val="center"/>
                </w:tcPr>
                <w:p w14:paraId="249FE00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tcBorders>
                    <w:tl2br w:val="nil"/>
                    <w:tr2bl w:val="nil"/>
                  </w:tcBorders>
                  <w:shd w:val="clear" w:color="auto" w:fill="auto"/>
                  <w:noWrap w:val="0"/>
                  <w:vAlign w:val="center"/>
                </w:tcPr>
                <w:p w14:paraId="255D8084">
                  <w:pPr>
                    <w:keepNext w:val="0"/>
                    <w:keepLines w:val="0"/>
                    <w:pageBreakBefore w:val="0"/>
                    <w:kinsoku/>
                    <w:wordWrap/>
                    <w:overflowPunct/>
                    <w:topLinePunct w:val="0"/>
                    <w:autoSpaceDE/>
                    <w:autoSpaceDN/>
                    <w:bidi w:val="0"/>
                    <w:ind w:right="0" w:rightChars="0" w:firstLine="0" w:firstLineChars="0"/>
                    <w:jc w:val="center"/>
                    <w:textAlignment w:val="auto"/>
                    <w:rPr>
                      <w:rFonts w:hint="default" w:ascii="Times New Roman" w:hAnsi="Times New Roman" w:eastAsia="宋体" w:cs="Times New Roman"/>
                      <w:color w:val="auto"/>
                      <w:kern w:val="0"/>
                      <w:sz w:val="21"/>
                      <w:szCs w:val="21"/>
                      <w:shd w:val="clear" w:color="auto" w:fill="auto"/>
                      <w:lang w:val="en-US" w:eastAsia="zh-CN" w:bidi="ar-SA"/>
                    </w:rPr>
                  </w:pPr>
                  <w:r>
                    <w:rPr>
                      <w:rFonts w:hint="default" w:ascii="Times New Roman" w:hAnsi="Times New Roman" w:cs="Times New Roman"/>
                      <w:color w:val="auto"/>
                      <w:kern w:val="0"/>
                      <w:sz w:val="21"/>
                      <w:szCs w:val="21"/>
                      <w:lang w:val="en-US" w:eastAsia="zh-CN"/>
                    </w:rPr>
                    <w:t>数控弯管机</w:t>
                  </w:r>
                </w:p>
              </w:tc>
              <w:tc>
                <w:tcPr>
                  <w:tcW w:w="467" w:type="pct"/>
                  <w:tcBorders>
                    <w:tl2br w:val="nil"/>
                    <w:tr2bl w:val="nil"/>
                  </w:tcBorders>
                  <w:shd w:val="clear" w:color="auto" w:fill="auto"/>
                  <w:noWrap w:val="0"/>
                  <w:vAlign w:val="center"/>
                </w:tcPr>
                <w:p w14:paraId="27A0D7CF">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80</w:t>
                  </w:r>
                </w:p>
              </w:tc>
              <w:tc>
                <w:tcPr>
                  <w:tcW w:w="383" w:type="pct"/>
                  <w:tcBorders>
                    <w:tl2br w:val="nil"/>
                    <w:tr2bl w:val="nil"/>
                  </w:tcBorders>
                  <w:shd w:val="clear" w:color="auto" w:fill="auto"/>
                  <w:noWrap w:val="0"/>
                  <w:vAlign w:val="center"/>
                </w:tcPr>
                <w:p w14:paraId="45EFE2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rPr>
                    <w:t>基础减振</w:t>
                  </w:r>
                </w:p>
              </w:tc>
              <w:tc>
                <w:tcPr>
                  <w:tcW w:w="351" w:type="pct"/>
                  <w:tcBorders>
                    <w:tl2br w:val="nil"/>
                    <w:tr2bl w:val="nil"/>
                  </w:tcBorders>
                  <w:shd w:val="clear" w:color="auto" w:fill="auto"/>
                  <w:noWrap w:val="0"/>
                  <w:vAlign w:val="center"/>
                </w:tcPr>
                <w:p w14:paraId="1453ED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15</w:t>
                  </w:r>
                </w:p>
              </w:tc>
              <w:tc>
                <w:tcPr>
                  <w:tcW w:w="398" w:type="pct"/>
                  <w:tcBorders>
                    <w:tl2br w:val="nil"/>
                    <w:tr2bl w:val="nil"/>
                  </w:tcBorders>
                  <w:shd w:val="clear" w:color="auto" w:fill="auto"/>
                  <w:noWrap w:val="0"/>
                  <w:vAlign w:val="center"/>
                </w:tcPr>
                <w:p w14:paraId="19E8DCD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rPr>
                    <w:t>-53.58</w:t>
                  </w:r>
                </w:p>
              </w:tc>
              <w:tc>
                <w:tcPr>
                  <w:tcW w:w="402" w:type="pct"/>
                  <w:tcBorders>
                    <w:tl2br w:val="nil"/>
                    <w:tr2bl w:val="nil"/>
                  </w:tcBorders>
                  <w:shd w:val="clear" w:color="auto" w:fill="auto"/>
                  <w:noWrap w:val="0"/>
                  <w:vAlign w:val="center"/>
                </w:tcPr>
                <w:p w14:paraId="1694C15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rPr>
                    <w:t>-164.11</w:t>
                  </w:r>
                </w:p>
              </w:tc>
              <w:tc>
                <w:tcPr>
                  <w:tcW w:w="234" w:type="pct"/>
                  <w:tcBorders>
                    <w:tl2br w:val="nil"/>
                    <w:tr2bl w:val="nil"/>
                  </w:tcBorders>
                  <w:shd w:val="clear" w:color="auto" w:fill="auto"/>
                  <w:noWrap w:val="0"/>
                  <w:vAlign w:val="center"/>
                </w:tcPr>
                <w:p w14:paraId="1969050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260" w:type="pct"/>
                  <w:tcBorders>
                    <w:tl2br w:val="nil"/>
                    <w:tr2bl w:val="nil"/>
                  </w:tcBorders>
                  <w:noWrap w:val="0"/>
                  <w:vAlign w:val="center"/>
                </w:tcPr>
                <w:p w14:paraId="4DFC66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tcBorders>
                    <w:tl2br w:val="nil"/>
                    <w:tr2bl w:val="nil"/>
                  </w:tcBorders>
                  <w:shd w:val="clear" w:color="auto" w:fill="auto"/>
                  <w:noWrap w:val="0"/>
                  <w:vAlign w:val="center"/>
                </w:tcPr>
                <w:p w14:paraId="0EA07AF2">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65</w:t>
                  </w:r>
                </w:p>
              </w:tc>
              <w:tc>
                <w:tcPr>
                  <w:tcW w:w="280" w:type="pct"/>
                  <w:tcBorders>
                    <w:tl2br w:val="nil"/>
                    <w:tr2bl w:val="nil"/>
                  </w:tcBorders>
                  <w:shd w:val="clear" w:color="auto" w:fill="auto"/>
                  <w:noWrap w:val="0"/>
                  <w:vAlign w:val="center"/>
                </w:tcPr>
                <w:p w14:paraId="4EEAB2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tcBorders>
                    <w:tl2br w:val="nil"/>
                    <w:tr2bl w:val="nil"/>
                  </w:tcBorders>
                  <w:shd w:val="clear" w:color="auto" w:fill="auto"/>
                  <w:noWrap w:val="0"/>
                  <w:vAlign w:val="center"/>
                </w:tcPr>
                <w:p w14:paraId="249C4F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10</w:t>
                  </w:r>
                </w:p>
              </w:tc>
              <w:tc>
                <w:tcPr>
                  <w:tcW w:w="341" w:type="pct"/>
                  <w:tcBorders>
                    <w:tl2br w:val="nil"/>
                    <w:tr2bl w:val="nil"/>
                  </w:tcBorders>
                  <w:shd w:val="clear" w:color="auto" w:fill="auto"/>
                  <w:noWrap w:val="0"/>
                  <w:vAlign w:val="center"/>
                </w:tcPr>
                <w:p w14:paraId="7D598828">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26" w:type="pct"/>
                  <w:tcBorders>
                    <w:tl2br w:val="nil"/>
                    <w:tr2bl w:val="nil"/>
                  </w:tcBorders>
                  <w:shd w:val="clear" w:color="auto" w:fill="auto"/>
                  <w:noWrap w:val="0"/>
                  <w:vAlign w:val="center"/>
                </w:tcPr>
                <w:p w14:paraId="06F4F3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rPr>
                    <w:t>1</w:t>
                  </w:r>
                  <w:r>
                    <w:rPr>
                      <w:rFonts w:hint="default" w:ascii="Times New Roman" w:hAnsi="Times New Roman" w:eastAsia="宋体" w:cs="Times New Roman"/>
                      <w:b w:val="0"/>
                      <w:bCs w:val="0"/>
                      <w:color w:val="auto"/>
                      <w:sz w:val="21"/>
                      <w:szCs w:val="21"/>
                      <w:u w:val="none"/>
                      <w:lang w:val="en-US" w:eastAsia="zh-CN"/>
                    </w:rPr>
                    <w:t>.0</w:t>
                  </w:r>
                </w:p>
              </w:tc>
            </w:tr>
            <w:tr w14:paraId="4D2E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tcBorders>
                    <w:tl2br w:val="nil"/>
                    <w:tr2bl w:val="nil"/>
                  </w:tcBorders>
                  <w:shd w:val="clear" w:color="auto" w:fill="auto"/>
                  <w:noWrap w:val="0"/>
                  <w:vAlign w:val="center"/>
                </w:tcPr>
                <w:p w14:paraId="4D0C160D">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8</w:t>
                  </w:r>
                </w:p>
              </w:tc>
              <w:tc>
                <w:tcPr>
                  <w:tcW w:w="242" w:type="pct"/>
                  <w:vMerge w:val="continue"/>
                  <w:tcBorders>
                    <w:tl2br w:val="nil"/>
                    <w:tr2bl w:val="nil"/>
                  </w:tcBorders>
                  <w:noWrap w:val="0"/>
                  <w:vAlign w:val="center"/>
                </w:tcPr>
                <w:p w14:paraId="3D5B654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tcBorders>
                    <w:tl2br w:val="nil"/>
                    <w:tr2bl w:val="nil"/>
                  </w:tcBorders>
                  <w:shd w:val="clear" w:color="auto" w:fill="auto"/>
                  <w:noWrap w:val="0"/>
                  <w:vAlign w:val="center"/>
                </w:tcPr>
                <w:p w14:paraId="26DC6ECC">
                  <w:pPr>
                    <w:keepNext w:val="0"/>
                    <w:keepLines w:val="0"/>
                    <w:pageBreakBefore w:val="0"/>
                    <w:kinsoku/>
                    <w:wordWrap/>
                    <w:overflowPunct/>
                    <w:topLinePunct w:val="0"/>
                    <w:autoSpaceDE/>
                    <w:autoSpaceDN/>
                    <w:bidi w:val="0"/>
                    <w:ind w:right="0" w:rightChars="0" w:firstLine="0" w:firstLineChars="0"/>
                    <w:jc w:val="center"/>
                    <w:textAlignment w:val="auto"/>
                    <w:rPr>
                      <w:rFonts w:hint="default" w:ascii="Times New Roman" w:hAnsi="Times New Roman" w:eastAsia="宋体" w:cs="Times New Roman"/>
                      <w:color w:val="auto"/>
                      <w:kern w:val="0"/>
                      <w:sz w:val="21"/>
                      <w:szCs w:val="21"/>
                      <w:shd w:val="clear" w:color="auto" w:fill="auto"/>
                      <w:lang w:val="en-US" w:eastAsia="zh-CN" w:bidi="ar-SA"/>
                    </w:rPr>
                  </w:pPr>
                  <w:r>
                    <w:rPr>
                      <w:rFonts w:hint="default" w:ascii="Times New Roman" w:hAnsi="Times New Roman" w:cs="Times New Roman"/>
                      <w:color w:val="auto"/>
                      <w:kern w:val="0"/>
                      <w:sz w:val="21"/>
                      <w:szCs w:val="21"/>
                      <w:lang w:val="en-US" w:eastAsia="zh-CN"/>
                    </w:rPr>
                    <w:t>弯管机</w:t>
                  </w:r>
                </w:p>
              </w:tc>
              <w:tc>
                <w:tcPr>
                  <w:tcW w:w="467" w:type="pct"/>
                  <w:tcBorders>
                    <w:tl2br w:val="nil"/>
                    <w:tr2bl w:val="nil"/>
                  </w:tcBorders>
                  <w:shd w:val="clear" w:color="auto" w:fill="auto"/>
                  <w:noWrap w:val="0"/>
                  <w:vAlign w:val="center"/>
                </w:tcPr>
                <w:p w14:paraId="0CD6C824">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80</w:t>
                  </w:r>
                </w:p>
              </w:tc>
              <w:tc>
                <w:tcPr>
                  <w:tcW w:w="383" w:type="pct"/>
                  <w:tcBorders>
                    <w:tl2br w:val="nil"/>
                    <w:tr2bl w:val="nil"/>
                  </w:tcBorders>
                  <w:shd w:val="clear" w:color="auto" w:fill="auto"/>
                  <w:noWrap w:val="0"/>
                  <w:vAlign w:val="center"/>
                </w:tcPr>
                <w:p w14:paraId="3A0C48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rPr>
                    <w:t>基础减振</w:t>
                  </w:r>
                </w:p>
              </w:tc>
              <w:tc>
                <w:tcPr>
                  <w:tcW w:w="351" w:type="pct"/>
                  <w:tcBorders>
                    <w:tl2br w:val="nil"/>
                    <w:tr2bl w:val="nil"/>
                  </w:tcBorders>
                  <w:shd w:val="clear" w:color="auto" w:fill="auto"/>
                  <w:noWrap w:val="0"/>
                  <w:vAlign w:val="center"/>
                </w:tcPr>
                <w:p w14:paraId="60C939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15</w:t>
                  </w:r>
                </w:p>
              </w:tc>
              <w:tc>
                <w:tcPr>
                  <w:tcW w:w="398" w:type="pct"/>
                  <w:tcBorders>
                    <w:tl2br w:val="nil"/>
                    <w:tr2bl w:val="nil"/>
                  </w:tcBorders>
                  <w:shd w:val="clear" w:color="auto" w:fill="auto"/>
                  <w:noWrap w:val="0"/>
                  <w:vAlign w:val="center"/>
                </w:tcPr>
                <w:p w14:paraId="3AFF699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rPr>
                    <w:t>-47.39</w:t>
                  </w:r>
                </w:p>
              </w:tc>
              <w:tc>
                <w:tcPr>
                  <w:tcW w:w="402" w:type="pct"/>
                  <w:tcBorders>
                    <w:tl2br w:val="nil"/>
                    <w:tr2bl w:val="nil"/>
                  </w:tcBorders>
                  <w:shd w:val="clear" w:color="auto" w:fill="auto"/>
                  <w:noWrap w:val="0"/>
                  <w:vAlign w:val="center"/>
                </w:tcPr>
                <w:p w14:paraId="679A30A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rPr>
                    <w:t>-165.66</w:t>
                  </w:r>
                </w:p>
              </w:tc>
              <w:tc>
                <w:tcPr>
                  <w:tcW w:w="234" w:type="pct"/>
                  <w:tcBorders>
                    <w:tl2br w:val="nil"/>
                    <w:tr2bl w:val="nil"/>
                  </w:tcBorders>
                  <w:shd w:val="clear" w:color="auto" w:fill="auto"/>
                  <w:noWrap w:val="0"/>
                  <w:vAlign w:val="center"/>
                </w:tcPr>
                <w:p w14:paraId="443DCBB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260" w:type="pct"/>
                  <w:tcBorders>
                    <w:tl2br w:val="nil"/>
                    <w:tr2bl w:val="nil"/>
                  </w:tcBorders>
                  <w:noWrap w:val="0"/>
                  <w:vAlign w:val="center"/>
                </w:tcPr>
                <w:p w14:paraId="1952C7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tcBorders>
                    <w:tl2br w:val="nil"/>
                    <w:tr2bl w:val="nil"/>
                  </w:tcBorders>
                  <w:shd w:val="clear" w:color="auto" w:fill="auto"/>
                  <w:noWrap w:val="0"/>
                  <w:vAlign w:val="center"/>
                </w:tcPr>
                <w:p w14:paraId="35136389">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65</w:t>
                  </w:r>
                </w:p>
              </w:tc>
              <w:tc>
                <w:tcPr>
                  <w:tcW w:w="280" w:type="pct"/>
                  <w:tcBorders>
                    <w:tl2br w:val="nil"/>
                    <w:tr2bl w:val="nil"/>
                  </w:tcBorders>
                  <w:shd w:val="clear" w:color="auto" w:fill="auto"/>
                  <w:noWrap w:val="0"/>
                  <w:vAlign w:val="center"/>
                </w:tcPr>
                <w:p w14:paraId="601C45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tcBorders>
                    <w:tl2br w:val="nil"/>
                    <w:tr2bl w:val="nil"/>
                  </w:tcBorders>
                  <w:shd w:val="clear" w:color="auto" w:fill="auto"/>
                  <w:noWrap w:val="0"/>
                  <w:vAlign w:val="center"/>
                </w:tcPr>
                <w:p w14:paraId="0E9046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10</w:t>
                  </w:r>
                </w:p>
              </w:tc>
              <w:tc>
                <w:tcPr>
                  <w:tcW w:w="341" w:type="pct"/>
                  <w:tcBorders>
                    <w:tl2br w:val="nil"/>
                    <w:tr2bl w:val="nil"/>
                  </w:tcBorders>
                  <w:shd w:val="clear" w:color="auto" w:fill="auto"/>
                  <w:noWrap w:val="0"/>
                  <w:vAlign w:val="center"/>
                </w:tcPr>
                <w:p w14:paraId="2FA10C6B">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26" w:type="pct"/>
                  <w:tcBorders>
                    <w:tl2br w:val="nil"/>
                    <w:tr2bl w:val="nil"/>
                  </w:tcBorders>
                  <w:shd w:val="clear" w:color="auto" w:fill="auto"/>
                  <w:noWrap w:val="0"/>
                  <w:vAlign w:val="center"/>
                </w:tcPr>
                <w:p w14:paraId="415FA0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rPr>
                    <w:t>1</w:t>
                  </w:r>
                  <w:r>
                    <w:rPr>
                      <w:rFonts w:hint="default" w:ascii="Times New Roman" w:hAnsi="Times New Roman" w:eastAsia="宋体" w:cs="Times New Roman"/>
                      <w:b w:val="0"/>
                      <w:bCs w:val="0"/>
                      <w:color w:val="auto"/>
                      <w:sz w:val="21"/>
                      <w:szCs w:val="21"/>
                      <w:u w:val="none"/>
                      <w:lang w:val="en-US" w:eastAsia="zh-CN"/>
                    </w:rPr>
                    <w:t>.0</w:t>
                  </w:r>
                </w:p>
              </w:tc>
            </w:tr>
            <w:tr w14:paraId="49E59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tcBorders>
                    <w:tl2br w:val="nil"/>
                    <w:tr2bl w:val="nil"/>
                  </w:tcBorders>
                  <w:shd w:val="clear" w:color="auto" w:fill="auto"/>
                  <w:noWrap w:val="0"/>
                  <w:vAlign w:val="center"/>
                </w:tcPr>
                <w:p w14:paraId="72E8BFDC">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9</w:t>
                  </w:r>
                </w:p>
              </w:tc>
              <w:tc>
                <w:tcPr>
                  <w:tcW w:w="242" w:type="pct"/>
                  <w:vMerge w:val="continue"/>
                  <w:tcBorders>
                    <w:tl2br w:val="nil"/>
                    <w:tr2bl w:val="nil"/>
                  </w:tcBorders>
                  <w:noWrap w:val="0"/>
                  <w:vAlign w:val="center"/>
                </w:tcPr>
                <w:p w14:paraId="1DE5C2C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tcBorders>
                    <w:tl2br w:val="nil"/>
                    <w:tr2bl w:val="nil"/>
                  </w:tcBorders>
                  <w:shd w:val="clear" w:color="auto" w:fill="auto"/>
                  <w:noWrap w:val="0"/>
                  <w:vAlign w:val="center"/>
                </w:tcPr>
                <w:p w14:paraId="0109913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center"/>
                    <w:rPr>
                      <w:rFonts w:hint="default" w:ascii="Times New Roman" w:hAnsi="Times New Roman" w:eastAsia="宋体" w:cs="Times New Roman"/>
                      <w:color w:val="auto"/>
                      <w:kern w:val="0"/>
                      <w:sz w:val="21"/>
                      <w:szCs w:val="21"/>
                      <w:shd w:val="clear" w:color="auto" w:fill="auto"/>
                      <w:lang w:val="en-US" w:eastAsia="zh-CN" w:bidi="ar-SA"/>
                    </w:rPr>
                  </w:pPr>
                  <w:r>
                    <w:rPr>
                      <w:rFonts w:hint="default" w:ascii="Times New Roman" w:hAnsi="Times New Roman" w:cs="Times New Roman"/>
                      <w:color w:val="auto"/>
                      <w:kern w:val="0"/>
                      <w:sz w:val="21"/>
                      <w:szCs w:val="21"/>
                      <w:lang w:val="en-US" w:eastAsia="zh-CN"/>
                    </w:rPr>
                    <w:t>弯管机</w:t>
                  </w:r>
                </w:p>
              </w:tc>
              <w:tc>
                <w:tcPr>
                  <w:tcW w:w="467" w:type="pct"/>
                  <w:tcBorders>
                    <w:tl2br w:val="nil"/>
                    <w:tr2bl w:val="nil"/>
                  </w:tcBorders>
                  <w:shd w:val="clear" w:color="auto" w:fill="auto"/>
                  <w:noWrap w:val="0"/>
                  <w:vAlign w:val="center"/>
                </w:tcPr>
                <w:p w14:paraId="6F993CD7">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85</w:t>
                  </w:r>
                </w:p>
              </w:tc>
              <w:tc>
                <w:tcPr>
                  <w:tcW w:w="383" w:type="pct"/>
                  <w:tcBorders>
                    <w:tl2br w:val="nil"/>
                    <w:tr2bl w:val="nil"/>
                  </w:tcBorders>
                  <w:shd w:val="clear" w:color="auto" w:fill="auto"/>
                  <w:noWrap w:val="0"/>
                  <w:vAlign w:val="center"/>
                </w:tcPr>
                <w:p w14:paraId="013211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rPr>
                    <w:t>基础减振</w:t>
                  </w:r>
                </w:p>
              </w:tc>
              <w:tc>
                <w:tcPr>
                  <w:tcW w:w="351" w:type="pct"/>
                  <w:tcBorders>
                    <w:tl2br w:val="nil"/>
                    <w:tr2bl w:val="nil"/>
                  </w:tcBorders>
                  <w:shd w:val="clear" w:color="auto" w:fill="auto"/>
                  <w:noWrap w:val="0"/>
                  <w:vAlign w:val="center"/>
                </w:tcPr>
                <w:p w14:paraId="5BB429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15</w:t>
                  </w:r>
                </w:p>
              </w:tc>
              <w:tc>
                <w:tcPr>
                  <w:tcW w:w="398" w:type="pct"/>
                  <w:tcBorders>
                    <w:tl2br w:val="nil"/>
                    <w:tr2bl w:val="nil"/>
                  </w:tcBorders>
                  <w:shd w:val="clear" w:color="auto" w:fill="auto"/>
                  <w:noWrap w:val="0"/>
                  <w:vAlign w:val="center"/>
                </w:tcPr>
                <w:p w14:paraId="52A5A2E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rPr>
                    <w:t>-47.</w:t>
                  </w:r>
                  <w:r>
                    <w:rPr>
                      <w:rFonts w:hint="eastAsia" w:ascii="Times New Roman" w:hAnsi="Times New Roman" w:cs="Times New Roman"/>
                      <w:b w:val="0"/>
                      <w:bCs w:val="0"/>
                      <w:color w:val="auto"/>
                      <w:sz w:val="21"/>
                      <w:szCs w:val="21"/>
                      <w:u w:val="none"/>
                      <w:lang w:val="en-US" w:eastAsia="zh-CN"/>
                    </w:rPr>
                    <w:t>4</w:t>
                  </w:r>
                  <w:r>
                    <w:rPr>
                      <w:rFonts w:hint="default" w:ascii="Times New Roman" w:hAnsi="Times New Roman" w:cs="Times New Roman"/>
                      <w:b w:val="0"/>
                      <w:bCs w:val="0"/>
                      <w:color w:val="auto"/>
                      <w:sz w:val="21"/>
                      <w:szCs w:val="21"/>
                      <w:u w:val="none"/>
                    </w:rPr>
                    <w:t>9</w:t>
                  </w:r>
                </w:p>
              </w:tc>
              <w:tc>
                <w:tcPr>
                  <w:tcW w:w="402" w:type="pct"/>
                  <w:tcBorders>
                    <w:tl2br w:val="nil"/>
                    <w:tr2bl w:val="nil"/>
                  </w:tcBorders>
                  <w:shd w:val="clear" w:color="auto" w:fill="auto"/>
                  <w:noWrap w:val="0"/>
                  <w:vAlign w:val="center"/>
                </w:tcPr>
                <w:p w14:paraId="654CD0A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rPr>
                    <w:t>-165.</w:t>
                  </w:r>
                  <w:r>
                    <w:rPr>
                      <w:rFonts w:hint="eastAsia" w:ascii="Times New Roman" w:hAnsi="Times New Roman" w:cs="Times New Roman"/>
                      <w:b w:val="0"/>
                      <w:bCs w:val="0"/>
                      <w:color w:val="auto"/>
                      <w:sz w:val="21"/>
                      <w:szCs w:val="21"/>
                      <w:u w:val="none"/>
                      <w:lang w:val="en-US" w:eastAsia="zh-CN"/>
                    </w:rPr>
                    <w:t>00</w:t>
                  </w:r>
                </w:p>
              </w:tc>
              <w:tc>
                <w:tcPr>
                  <w:tcW w:w="234" w:type="pct"/>
                  <w:tcBorders>
                    <w:tl2br w:val="nil"/>
                    <w:tr2bl w:val="nil"/>
                  </w:tcBorders>
                  <w:shd w:val="clear" w:color="auto" w:fill="auto"/>
                  <w:noWrap w:val="0"/>
                  <w:vAlign w:val="center"/>
                </w:tcPr>
                <w:p w14:paraId="22722CF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260" w:type="pct"/>
                  <w:tcBorders>
                    <w:tl2br w:val="nil"/>
                    <w:tr2bl w:val="nil"/>
                  </w:tcBorders>
                  <w:noWrap w:val="0"/>
                  <w:vAlign w:val="center"/>
                </w:tcPr>
                <w:p w14:paraId="7B702C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tcBorders>
                    <w:tl2br w:val="nil"/>
                    <w:tr2bl w:val="nil"/>
                  </w:tcBorders>
                  <w:shd w:val="clear" w:color="auto" w:fill="auto"/>
                  <w:noWrap w:val="0"/>
                  <w:vAlign w:val="center"/>
                </w:tcPr>
                <w:p w14:paraId="3888A2A1">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tcBorders>
                    <w:tl2br w:val="nil"/>
                    <w:tr2bl w:val="nil"/>
                  </w:tcBorders>
                  <w:shd w:val="clear" w:color="auto" w:fill="auto"/>
                  <w:noWrap w:val="0"/>
                  <w:vAlign w:val="center"/>
                </w:tcPr>
                <w:p w14:paraId="21EAF0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tcBorders>
                    <w:tl2br w:val="nil"/>
                    <w:tr2bl w:val="nil"/>
                  </w:tcBorders>
                  <w:shd w:val="clear" w:color="auto" w:fill="auto"/>
                  <w:noWrap w:val="0"/>
                  <w:vAlign w:val="center"/>
                </w:tcPr>
                <w:p w14:paraId="10A8BA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10</w:t>
                  </w:r>
                </w:p>
              </w:tc>
              <w:tc>
                <w:tcPr>
                  <w:tcW w:w="341" w:type="pct"/>
                  <w:tcBorders>
                    <w:tl2br w:val="nil"/>
                    <w:tr2bl w:val="nil"/>
                  </w:tcBorders>
                  <w:shd w:val="clear" w:color="auto" w:fill="auto"/>
                  <w:noWrap w:val="0"/>
                  <w:vAlign w:val="center"/>
                </w:tcPr>
                <w:p w14:paraId="1B4F63E4">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60</w:t>
                  </w:r>
                </w:p>
              </w:tc>
              <w:tc>
                <w:tcPr>
                  <w:tcW w:w="226" w:type="pct"/>
                  <w:tcBorders>
                    <w:tl2br w:val="nil"/>
                    <w:tr2bl w:val="nil"/>
                  </w:tcBorders>
                  <w:shd w:val="clear" w:color="auto" w:fill="auto"/>
                  <w:noWrap w:val="0"/>
                  <w:vAlign w:val="center"/>
                </w:tcPr>
                <w:p w14:paraId="1F1833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rPr>
                    <w:t>1</w:t>
                  </w:r>
                  <w:r>
                    <w:rPr>
                      <w:rFonts w:hint="default" w:ascii="Times New Roman" w:hAnsi="Times New Roman" w:eastAsia="宋体" w:cs="Times New Roman"/>
                      <w:b w:val="0"/>
                      <w:bCs w:val="0"/>
                      <w:color w:val="auto"/>
                      <w:sz w:val="21"/>
                      <w:szCs w:val="21"/>
                      <w:u w:val="none"/>
                      <w:lang w:val="en-US" w:eastAsia="zh-CN"/>
                    </w:rPr>
                    <w:t>.0</w:t>
                  </w:r>
                </w:p>
              </w:tc>
            </w:tr>
            <w:tr w14:paraId="1A22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tcBorders>
                    <w:tl2br w:val="nil"/>
                    <w:tr2bl w:val="nil"/>
                  </w:tcBorders>
                  <w:shd w:val="clear" w:color="auto" w:fill="auto"/>
                  <w:noWrap w:val="0"/>
                  <w:vAlign w:val="center"/>
                </w:tcPr>
                <w:p w14:paraId="6DF9F295">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10</w:t>
                  </w:r>
                </w:p>
              </w:tc>
              <w:tc>
                <w:tcPr>
                  <w:tcW w:w="242" w:type="pct"/>
                  <w:vMerge w:val="continue"/>
                  <w:tcBorders>
                    <w:tl2br w:val="nil"/>
                    <w:tr2bl w:val="nil"/>
                  </w:tcBorders>
                  <w:noWrap w:val="0"/>
                  <w:vAlign w:val="center"/>
                </w:tcPr>
                <w:p w14:paraId="26F09F2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tcBorders>
                    <w:tl2br w:val="nil"/>
                    <w:tr2bl w:val="nil"/>
                  </w:tcBorders>
                  <w:shd w:val="clear" w:color="auto" w:fill="auto"/>
                  <w:noWrap w:val="0"/>
                  <w:vAlign w:val="center"/>
                </w:tcPr>
                <w:p w14:paraId="4B7BD8F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center"/>
                    <w:rPr>
                      <w:rFonts w:hint="default" w:ascii="Times New Roman" w:hAnsi="Times New Roman" w:eastAsia="宋体" w:cs="Times New Roman"/>
                      <w:color w:val="auto"/>
                      <w:kern w:val="0"/>
                      <w:sz w:val="21"/>
                      <w:szCs w:val="21"/>
                      <w:shd w:val="clear" w:color="auto" w:fill="auto"/>
                      <w:lang w:val="en-US" w:eastAsia="zh-CN" w:bidi="ar-SA"/>
                    </w:rPr>
                  </w:pPr>
                  <w:r>
                    <w:rPr>
                      <w:rFonts w:hint="default" w:ascii="Times New Roman" w:hAnsi="Times New Roman" w:cs="Times New Roman"/>
                      <w:color w:val="auto"/>
                      <w:kern w:val="0"/>
                      <w:sz w:val="21"/>
                      <w:szCs w:val="21"/>
                      <w:lang w:val="en-US" w:eastAsia="zh-CN"/>
                    </w:rPr>
                    <w:t>缩管机</w:t>
                  </w:r>
                </w:p>
              </w:tc>
              <w:tc>
                <w:tcPr>
                  <w:tcW w:w="467" w:type="pct"/>
                  <w:tcBorders>
                    <w:tl2br w:val="nil"/>
                    <w:tr2bl w:val="nil"/>
                  </w:tcBorders>
                  <w:noWrap w:val="0"/>
                  <w:vAlign w:val="center"/>
                </w:tcPr>
                <w:p w14:paraId="466F10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85</w:t>
                  </w:r>
                </w:p>
              </w:tc>
              <w:tc>
                <w:tcPr>
                  <w:tcW w:w="383" w:type="pct"/>
                  <w:tcBorders>
                    <w:tl2br w:val="nil"/>
                    <w:tr2bl w:val="nil"/>
                  </w:tcBorders>
                  <w:noWrap w:val="0"/>
                  <w:vAlign w:val="center"/>
                </w:tcPr>
                <w:p w14:paraId="19FB62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tcBorders>
                    <w:tl2br w:val="nil"/>
                    <w:tr2bl w:val="nil"/>
                  </w:tcBorders>
                  <w:noWrap w:val="0"/>
                  <w:vAlign w:val="center"/>
                </w:tcPr>
                <w:p w14:paraId="38C0EA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tcBorders>
                    <w:tl2br w:val="nil"/>
                    <w:tr2bl w:val="nil"/>
                  </w:tcBorders>
                  <w:shd w:val="clear" w:color="auto" w:fill="auto"/>
                  <w:noWrap w:val="0"/>
                  <w:vAlign w:val="center"/>
                </w:tcPr>
                <w:p w14:paraId="6FB126C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rPr>
                    <w:t>-47.39</w:t>
                  </w:r>
                </w:p>
              </w:tc>
              <w:tc>
                <w:tcPr>
                  <w:tcW w:w="402" w:type="pct"/>
                  <w:tcBorders>
                    <w:tl2br w:val="nil"/>
                    <w:tr2bl w:val="nil"/>
                  </w:tcBorders>
                  <w:shd w:val="clear" w:color="auto" w:fill="auto"/>
                  <w:noWrap w:val="0"/>
                  <w:vAlign w:val="center"/>
                </w:tcPr>
                <w:p w14:paraId="209A004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rPr>
                    <w:t>-170.31</w:t>
                  </w:r>
                </w:p>
              </w:tc>
              <w:tc>
                <w:tcPr>
                  <w:tcW w:w="234" w:type="pct"/>
                  <w:tcBorders>
                    <w:tl2br w:val="nil"/>
                    <w:tr2bl w:val="nil"/>
                  </w:tcBorders>
                  <w:shd w:val="clear" w:color="auto" w:fill="auto"/>
                  <w:noWrap w:val="0"/>
                  <w:vAlign w:val="center"/>
                </w:tcPr>
                <w:p w14:paraId="4A6FC1A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260" w:type="pct"/>
                  <w:tcBorders>
                    <w:tl2br w:val="nil"/>
                    <w:tr2bl w:val="nil"/>
                  </w:tcBorders>
                  <w:noWrap w:val="0"/>
                  <w:vAlign w:val="center"/>
                </w:tcPr>
                <w:p w14:paraId="6C732A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tcBorders>
                    <w:tl2br w:val="nil"/>
                    <w:tr2bl w:val="nil"/>
                  </w:tcBorders>
                  <w:noWrap w:val="0"/>
                  <w:vAlign w:val="center"/>
                </w:tcPr>
                <w:p w14:paraId="0C3D0515">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tcBorders>
                    <w:tl2br w:val="nil"/>
                    <w:tr2bl w:val="nil"/>
                  </w:tcBorders>
                  <w:noWrap w:val="0"/>
                  <w:vAlign w:val="center"/>
                </w:tcPr>
                <w:p w14:paraId="22EB97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tcBorders>
                    <w:tl2br w:val="nil"/>
                    <w:tr2bl w:val="nil"/>
                  </w:tcBorders>
                  <w:noWrap w:val="0"/>
                  <w:vAlign w:val="center"/>
                </w:tcPr>
                <w:p w14:paraId="6571FF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tcBorders>
                    <w:tl2br w:val="nil"/>
                    <w:tr2bl w:val="nil"/>
                  </w:tcBorders>
                  <w:noWrap w:val="0"/>
                  <w:vAlign w:val="center"/>
                </w:tcPr>
                <w:p w14:paraId="4EB83956">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60</w:t>
                  </w:r>
                </w:p>
              </w:tc>
              <w:tc>
                <w:tcPr>
                  <w:tcW w:w="226" w:type="pct"/>
                  <w:tcBorders>
                    <w:tl2br w:val="nil"/>
                    <w:tr2bl w:val="nil"/>
                  </w:tcBorders>
                  <w:noWrap w:val="0"/>
                  <w:vAlign w:val="center"/>
                </w:tcPr>
                <w:p w14:paraId="1F9E57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1</w:t>
                  </w:r>
                  <w:r>
                    <w:rPr>
                      <w:rFonts w:hint="default" w:ascii="Times New Roman" w:hAnsi="Times New Roman" w:eastAsia="宋体" w:cs="Times New Roman"/>
                      <w:b w:val="0"/>
                      <w:bCs w:val="0"/>
                      <w:color w:val="auto"/>
                      <w:sz w:val="21"/>
                      <w:szCs w:val="21"/>
                      <w:u w:val="none"/>
                      <w:lang w:val="en-US" w:eastAsia="zh-CN"/>
                    </w:rPr>
                    <w:t>.0</w:t>
                  </w:r>
                </w:p>
              </w:tc>
            </w:tr>
            <w:tr w14:paraId="7164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tcBorders>
                    <w:tl2br w:val="nil"/>
                    <w:tr2bl w:val="nil"/>
                  </w:tcBorders>
                  <w:shd w:val="clear" w:color="auto" w:fill="auto"/>
                  <w:noWrap w:val="0"/>
                  <w:vAlign w:val="center"/>
                </w:tcPr>
                <w:p w14:paraId="446E4406">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11</w:t>
                  </w:r>
                </w:p>
              </w:tc>
              <w:tc>
                <w:tcPr>
                  <w:tcW w:w="242" w:type="pct"/>
                  <w:vMerge w:val="continue"/>
                  <w:tcBorders>
                    <w:tl2br w:val="nil"/>
                    <w:tr2bl w:val="nil"/>
                  </w:tcBorders>
                  <w:noWrap w:val="0"/>
                  <w:vAlign w:val="center"/>
                </w:tcPr>
                <w:p w14:paraId="7D5BC4E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tcBorders>
                    <w:tl2br w:val="nil"/>
                    <w:tr2bl w:val="nil"/>
                  </w:tcBorders>
                  <w:shd w:val="clear" w:color="auto" w:fill="auto"/>
                  <w:noWrap w:val="0"/>
                  <w:vAlign w:val="center"/>
                </w:tcPr>
                <w:p w14:paraId="70B1752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center"/>
                    <w:rPr>
                      <w:rFonts w:hint="default" w:ascii="Times New Roman" w:hAnsi="Times New Roman" w:eastAsia="宋体" w:cs="Times New Roman"/>
                      <w:color w:val="auto"/>
                      <w:kern w:val="0"/>
                      <w:sz w:val="21"/>
                      <w:szCs w:val="21"/>
                      <w:shd w:val="clear" w:color="auto" w:fill="auto"/>
                      <w:lang w:val="en-US" w:eastAsia="zh-CN" w:bidi="ar-SA"/>
                    </w:rPr>
                  </w:pPr>
                  <w:r>
                    <w:rPr>
                      <w:rFonts w:hint="default" w:ascii="Times New Roman" w:hAnsi="Times New Roman" w:cs="Times New Roman"/>
                      <w:color w:val="auto"/>
                      <w:kern w:val="0"/>
                      <w:sz w:val="21"/>
                      <w:szCs w:val="21"/>
                      <w:lang w:val="en-US" w:eastAsia="zh-CN"/>
                    </w:rPr>
                    <w:t>缩管机</w:t>
                  </w:r>
                </w:p>
              </w:tc>
              <w:tc>
                <w:tcPr>
                  <w:tcW w:w="467" w:type="pct"/>
                  <w:tcBorders>
                    <w:tl2br w:val="nil"/>
                    <w:tr2bl w:val="nil"/>
                  </w:tcBorders>
                  <w:noWrap w:val="0"/>
                  <w:vAlign w:val="center"/>
                </w:tcPr>
                <w:p w14:paraId="49761D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85</w:t>
                  </w:r>
                </w:p>
              </w:tc>
              <w:tc>
                <w:tcPr>
                  <w:tcW w:w="383" w:type="pct"/>
                  <w:tcBorders>
                    <w:tl2br w:val="nil"/>
                    <w:tr2bl w:val="nil"/>
                  </w:tcBorders>
                  <w:noWrap w:val="0"/>
                  <w:vAlign w:val="center"/>
                </w:tcPr>
                <w:p w14:paraId="1348E4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tcBorders>
                    <w:tl2br w:val="nil"/>
                    <w:tr2bl w:val="nil"/>
                  </w:tcBorders>
                  <w:noWrap w:val="0"/>
                  <w:vAlign w:val="center"/>
                </w:tcPr>
                <w:p w14:paraId="08CCDF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tcBorders>
                    <w:tl2br w:val="nil"/>
                    <w:tr2bl w:val="nil"/>
                  </w:tcBorders>
                  <w:shd w:val="clear" w:color="auto" w:fill="auto"/>
                  <w:noWrap w:val="0"/>
                  <w:vAlign w:val="center"/>
                </w:tcPr>
                <w:p w14:paraId="1443E76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-54.</w:t>
                  </w:r>
                  <w:r>
                    <w:rPr>
                      <w:rFonts w:hint="eastAsia" w:ascii="Times New Roman" w:hAnsi="Times New Roman" w:cs="Times New Roman"/>
                      <w:b w:val="0"/>
                      <w:bCs w:val="0"/>
                      <w:color w:val="auto"/>
                      <w:sz w:val="21"/>
                      <w:szCs w:val="21"/>
                      <w:u w:val="none"/>
                      <w:lang w:val="en-US" w:eastAsia="zh-CN"/>
                    </w:rPr>
                    <w:t>44</w:t>
                  </w:r>
                </w:p>
              </w:tc>
              <w:tc>
                <w:tcPr>
                  <w:tcW w:w="402" w:type="pct"/>
                  <w:tcBorders>
                    <w:tl2br w:val="nil"/>
                    <w:tr2bl w:val="nil"/>
                  </w:tcBorders>
                  <w:shd w:val="clear" w:color="auto" w:fill="auto"/>
                  <w:noWrap w:val="0"/>
                  <w:vAlign w:val="center"/>
                </w:tcPr>
                <w:p w14:paraId="118F435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-164.</w:t>
                  </w:r>
                  <w:r>
                    <w:rPr>
                      <w:rFonts w:hint="eastAsia" w:ascii="Times New Roman" w:hAnsi="Times New Roman" w:cs="Times New Roman"/>
                      <w:b w:val="0"/>
                      <w:bCs w:val="0"/>
                      <w:color w:val="auto"/>
                      <w:sz w:val="21"/>
                      <w:szCs w:val="21"/>
                      <w:u w:val="none"/>
                      <w:lang w:val="en-US" w:eastAsia="zh-CN"/>
                    </w:rPr>
                    <w:t>54</w:t>
                  </w:r>
                </w:p>
              </w:tc>
              <w:tc>
                <w:tcPr>
                  <w:tcW w:w="234" w:type="pct"/>
                  <w:tcBorders>
                    <w:tl2br w:val="nil"/>
                    <w:tr2bl w:val="nil"/>
                  </w:tcBorders>
                  <w:shd w:val="clear" w:color="auto" w:fill="auto"/>
                  <w:noWrap w:val="0"/>
                  <w:vAlign w:val="center"/>
                </w:tcPr>
                <w:p w14:paraId="48A3157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260" w:type="pct"/>
                  <w:tcBorders>
                    <w:tl2br w:val="nil"/>
                    <w:tr2bl w:val="nil"/>
                  </w:tcBorders>
                  <w:noWrap w:val="0"/>
                  <w:vAlign w:val="center"/>
                </w:tcPr>
                <w:p w14:paraId="536FCD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tcBorders>
                    <w:tl2br w:val="nil"/>
                    <w:tr2bl w:val="nil"/>
                  </w:tcBorders>
                  <w:noWrap w:val="0"/>
                  <w:vAlign w:val="center"/>
                </w:tcPr>
                <w:p w14:paraId="5768B04D">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tcBorders>
                    <w:tl2br w:val="nil"/>
                    <w:tr2bl w:val="nil"/>
                  </w:tcBorders>
                  <w:noWrap w:val="0"/>
                  <w:vAlign w:val="center"/>
                </w:tcPr>
                <w:p w14:paraId="6189AE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tcBorders>
                    <w:tl2br w:val="nil"/>
                    <w:tr2bl w:val="nil"/>
                  </w:tcBorders>
                  <w:noWrap w:val="0"/>
                  <w:vAlign w:val="center"/>
                </w:tcPr>
                <w:p w14:paraId="030E99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tcBorders>
                    <w:tl2br w:val="nil"/>
                    <w:tr2bl w:val="nil"/>
                  </w:tcBorders>
                  <w:noWrap w:val="0"/>
                  <w:vAlign w:val="center"/>
                </w:tcPr>
                <w:p w14:paraId="33B3396E">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60</w:t>
                  </w:r>
                </w:p>
              </w:tc>
              <w:tc>
                <w:tcPr>
                  <w:tcW w:w="226" w:type="pct"/>
                  <w:tcBorders>
                    <w:tl2br w:val="nil"/>
                    <w:tr2bl w:val="nil"/>
                  </w:tcBorders>
                  <w:noWrap w:val="0"/>
                  <w:vAlign w:val="center"/>
                </w:tcPr>
                <w:p w14:paraId="24D525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1</w:t>
                  </w:r>
                  <w:r>
                    <w:rPr>
                      <w:rFonts w:hint="default" w:ascii="Times New Roman" w:hAnsi="Times New Roman" w:eastAsia="宋体" w:cs="Times New Roman"/>
                      <w:b w:val="0"/>
                      <w:bCs w:val="0"/>
                      <w:color w:val="auto"/>
                      <w:sz w:val="21"/>
                      <w:szCs w:val="21"/>
                      <w:u w:val="none"/>
                      <w:lang w:val="en-US" w:eastAsia="zh-CN"/>
                    </w:rPr>
                    <w:t>.0</w:t>
                  </w:r>
                </w:p>
              </w:tc>
            </w:tr>
            <w:tr w14:paraId="52EB9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tcBorders>
                    <w:tl2br w:val="nil"/>
                    <w:tr2bl w:val="nil"/>
                  </w:tcBorders>
                  <w:shd w:val="clear" w:color="auto" w:fill="auto"/>
                  <w:noWrap w:val="0"/>
                  <w:vAlign w:val="center"/>
                </w:tcPr>
                <w:p w14:paraId="2A88E656">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12</w:t>
                  </w:r>
                </w:p>
              </w:tc>
              <w:tc>
                <w:tcPr>
                  <w:tcW w:w="242" w:type="pct"/>
                  <w:vMerge w:val="continue"/>
                  <w:tcBorders>
                    <w:tl2br w:val="nil"/>
                    <w:tr2bl w:val="nil"/>
                  </w:tcBorders>
                  <w:noWrap w:val="0"/>
                  <w:vAlign w:val="center"/>
                </w:tcPr>
                <w:p w14:paraId="6144280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tcBorders>
                    <w:tl2br w:val="nil"/>
                    <w:tr2bl w:val="nil"/>
                  </w:tcBorders>
                  <w:shd w:val="clear" w:color="auto" w:fill="auto"/>
                  <w:noWrap w:val="0"/>
                  <w:vAlign w:val="center"/>
                </w:tcPr>
                <w:p w14:paraId="57DE320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center"/>
                    <w:rPr>
                      <w:rFonts w:hint="default" w:ascii="Times New Roman" w:hAnsi="Times New Roman" w:eastAsia="宋体" w:cs="Times New Roman"/>
                      <w:color w:val="auto"/>
                      <w:kern w:val="0"/>
                      <w:sz w:val="21"/>
                      <w:szCs w:val="21"/>
                      <w:shd w:val="clear" w:color="auto" w:fill="auto"/>
                      <w:lang w:val="en-US" w:eastAsia="zh-CN" w:bidi="ar-SA"/>
                    </w:rPr>
                  </w:pPr>
                  <w:r>
                    <w:rPr>
                      <w:rFonts w:hint="default" w:ascii="Times New Roman" w:hAnsi="Times New Roman" w:cs="Times New Roman"/>
                      <w:color w:val="auto"/>
                      <w:sz w:val="21"/>
                      <w:szCs w:val="21"/>
                      <w:lang w:val="en-US" w:eastAsia="zh-CN"/>
                    </w:rPr>
                    <w:t>自动双头倒角机</w:t>
                  </w:r>
                </w:p>
              </w:tc>
              <w:tc>
                <w:tcPr>
                  <w:tcW w:w="467" w:type="pct"/>
                  <w:tcBorders>
                    <w:tl2br w:val="nil"/>
                    <w:tr2bl w:val="nil"/>
                  </w:tcBorders>
                  <w:noWrap w:val="0"/>
                  <w:vAlign w:val="center"/>
                </w:tcPr>
                <w:p w14:paraId="43AC9B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383" w:type="pct"/>
                  <w:tcBorders>
                    <w:tl2br w:val="nil"/>
                    <w:tr2bl w:val="nil"/>
                  </w:tcBorders>
                  <w:noWrap w:val="0"/>
                  <w:vAlign w:val="center"/>
                </w:tcPr>
                <w:p w14:paraId="2DBEB7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tcBorders>
                    <w:tl2br w:val="nil"/>
                    <w:tr2bl w:val="nil"/>
                  </w:tcBorders>
                  <w:noWrap w:val="0"/>
                  <w:vAlign w:val="center"/>
                </w:tcPr>
                <w:p w14:paraId="2BE554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tcBorders>
                    <w:tl2br w:val="nil"/>
                    <w:tr2bl w:val="nil"/>
                  </w:tcBorders>
                  <w:shd w:val="clear" w:color="auto" w:fill="auto"/>
                  <w:noWrap w:val="0"/>
                  <w:vAlign w:val="center"/>
                </w:tcPr>
                <w:p w14:paraId="74C7C6F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-54.89</w:t>
                  </w:r>
                </w:p>
              </w:tc>
              <w:tc>
                <w:tcPr>
                  <w:tcW w:w="402" w:type="pct"/>
                  <w:tcBorders>
                    <w:tl2br w:val="nil"/>
                    <w:tr2bl w:val="nil"/>
                  </w:tcBorders>
                  <w:shd w:val="clear" w:color="auto" w:fill="auto"/>
                  <w:noWrap w:val="0"/>
                  <w:vAlign w:val="center"/>
                </w:tcPr>
                <w:p w14:paraId="1C8CB56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-164.</w:t>
                  </w:r>
                  <w:r>
                    <w:rPr>
                      <w:rFonts w:hint="eastAsia" w:ascii="Times New Roman" w:hAnsi="Times New Roman" w:cs="Times New Roman"/>
                      <w:b w:val="0"/>
                      <w:bCs w:val="0"/>
                      <w:color w:val="auto"/>
                      <w:sz w:val="21"/>
                      <w:szCs w:val="21"/>
                      <w:u w:val="none"/>
                      <w:lang w:val="en-US" w:eastAsia="zh-CN"/>
                    </w:rPr>
                    <w:t>15</w:t>
                  </w:r>
                </w:p>
              </w:tc>
              <w:tc>
                <w:tcPr>
                  <w:tcW w:w="234" w:type="pct"/>
                  <w:tcBorders>
                    <w:tl2br w:val="nil"/>
                    <w:tr2bl w:val="nil"/>
                  </w:tcBorders>
                  <w:shd w:val="clear" w:color="auto" w:fill="auto"/>
                  <w:noWrap w:val="0"/>
                  <w:vAlign w:val="center"/>
                </w:tcPr>
                <w:p w14:paraId="302393C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260" w:type="pct"/>
                  <w:tcBorders>
                    <w:tl2br w:val="nil"/>
                    <w:tr2bl w:val="nil"/>
                  </w:tcBorders>
                  <w:noWrap w:val="0"/>
                  <w:vAlign w:val="center"/>
                </w:tcPr>
                <w:p w14:paraId="64725B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tcBorders>
                    <w:tl2br w:val="nil"/>
                    <w:tr2bl w:val="nil"/>
                  </w:tcBorders>
                  <w:noWrap w:val="0"/>
                  <w:vAlign w:val="center"/>
                </w:tcPr>
                <w:p w14:paraId="214650CB">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280" w:type="pct"/>
                  <w:tcBorders>
                    <w:tl2br w:val="nil"/>
                    <w:tr2bl w:val="nil"/>
                  </w:tcBorders>
                  <w:noWrap w:val="0"/>
                  <w:vAlign w:val="center"/>
                </w:tcPr>
                <w:p w14:paraId="1BF0B4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tcBorders>
                    <w:tl2br w:val="nil"/>
                    <w:tr2bl w:val="nil"/>
                  </w:tcBorders>
                  <w:noWrap w:val="0"/>
                  <w:vAlign w:val="center"/>
                </w:tcPr>
                <w:p w14:paraId="292907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tcBorders>
                    <w:tl2br w:val="nil"/>
                    <w:tr2bl w:val="nil"/>
                  </w:tcBorders>
                  <w:noWrap w:val="0"/>
                  <w:vAlign w:val="center"/>
                </w:tcPr>
                <w:p w14:paraId="5CF0A435">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226" w:type="pct"/>
                  <w:tcBorders>
                    <w:tl2br w:val="nil"/>
                    <w:tr2bl w:val="nil"/>
                  </w:tcBorders>
                  <w:noWrap w:val="0"/>
                  <w:vAlign w:val="center"/>
                </w:tcPr>
                <w:p w14:paraId="5C0CC2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1</w:t>
                  </w:r>
                  <w:r>
                    <w:rPr>
                      <w:rFonts w:hint="default" w:ascii="Times New Roman" w:hAnsi="Times New Roman" w:eastAsia="宋体" w:cs="Times New Roman"/>
                      <w:b w:val="0"/>
                      <w:bCs w:val="0"/>
                      <w:color w:val="auto"/>
                      <w:sz w:val="21"/>
                      <w:szCs w:val="21"/>
                      <w:u w:val="none"/>
                      <w:lang w:val="en-US" w:eastAsia="zh-CN"/>
                    </w:rPr>
                    <w:t>.0</w:t>
                  </w:r>
                </w:p>
              </w:tc>
            </w:tr>
            <w:tr w14:paraId="0E45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tcBorders>
                    <w:tl2br w:val="nil"/>
                    <w:tr2bl w:val="nil"/>
                  </w:tcBorders>
                  <w:shd w:val="clear" w:color="auto" w:fill="auto"/>
                  <w:noWrap w:val="0"/>
                  <w:vAlign w:val="center"/>
                </w:tcPr>
                <w:p w14:paraId="5637115F">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13</w:t>
                  </w:r>
                </w:p>
              </w:tc>
              <w:tc>
                <w:tcPr>
                  <w:tcW w:w="242" w:type="pct"/>
                  <w:vMerge w:val="continue"/>
                  <w:tcBorders>
                    <w:tl2br w:val="nil"/>
                    <w:tr2bl w:val="nil"/>
                  </w:tcBorders>
                  <w:noWrap w:val="0"/>
                  <w:vAlign w:val="center"/>
                </w:tcPr>
                <w:p w14:paraId="57C2A9D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tcBorders>
                    <w:tl2br w:val="nil"/>
                    <w:tr2bl w:val="nil"/>
                  </w:tcBorders>
                  <w:shd w:val="clear" w:color="auto" w:fill="auto"/>
                  <w:noWrap w:val="0"/>
                  <w:vAlign w:val="center"/>
                </w:tcPr>
                <w:p w14:paraId="2F9AC7D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center"/>
                    <w:rPr>
                      <w:rFonts w:hint="default" w:ascii="Times New Roman" w:hAnsi="Times New Roman" w:eastAsia="宋体" w:cs="Times New Roman"/>
                      <w:color w:val="auto"/>
                      <w:kern w:val="0"/>
                      <w:sz w:val="21"/>
                      <w:szCs w:val="21"/>
                      <w:shd w:val="clear" w:color="auto" w:fill="auto"/>
                      <w:lang w:val="en-US" w:eastAsia="zh-CN" w:bidi="ar-SA"/>
                    </w:rPr>
                  </w:pPr>
                  <w:r>
                    <w:rPr>
                      <w:rFonts w:hint="default" w:ascii="Times New Roman" w:hAnsi="Times New Roman" w:cs="Times New Roman"/>
                      <w:color w:val="auto"/>
                      <w:sz w:val="21"/>
                      <w:szCs w:val="21"/>
                      <w:lang w:val="en-US" w:eastAsia="zh-CN"/>
                    </w:rPr>
                    <w:t>自动双头倒角机</w:t>
                  </w:r>
                </w:p>
              </w:tc>
              <w:tc>
                <w:tcPr>
                  <w:tcW w:w="467" w:type="pct"/>
                  <w:tcBorders>
                    <w:tl2br w:val="nil"/>
                    <w:tr2bl w:val="nil"/>
                  </w:tcBorders>
                  <w:shd w:val="clear" w:color="auto" w:fill="auto"/>
                  <w:noWrap w:val="0"/>
                  <w:vAlign w:val="center"/>
                </w:tcPr>
                <w:p w14:paraId="6185E5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90</w:t>
                  </w:r>
                </w:p>
              </w:tc>
              <w:tc>
                <w:tcPr>
                  <w:tcW w:w="383" w:type="pct"/>
                  <w:tcBorders>
                    <w:tl2br w:val="nil"/>
                    <w:tr2bl w:val="nil"/>
                  </w:tcBorders>
                  <w:shd w:val="clear" w:color="auto" w:fill="auto"/>
                  <w:noWrap w:val="0"/>
                  <w:vAlign w:val="center"/>
                </w:tcPr>
                <w:p w14:paraId="3D1E11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rPr>
                    <w:t>基础减振</w:t>
                  </w:r>
                </w:p>
              </w:tc>
              <w:tc>
                <w:tcPr>
                  <w:tcW w:w="351" w:type="pct"/>
                  <w:tcBorders>
                    <w:tl2br w:val="nil"/>
                    <w:tr2bl w:val="nil"/>
                  </w:tcBorders>
                  <w:shd w:val="clear" w:color="auto" w:fill="auto"/>
                  <w:noWrap w:val="0"/>
                  <w:vAlign w:val="center"/>
                </w:tcPr>
                <w:p w14:paraId="0E031A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15</w:t>
                  </w:r>
                </w:p>
              </w:tc>
              <w:tc>
                <w:tcPr>
                  <w:tcW w:w="398" w:type="pct"/>
                  <w:tcBorders>
                    <w:tl2br w:val="nil"/>
                    <w:tr2bl w:val="nil"/>
                  </w:tcBorders>
                  <w:shd w:val="clear" w:color="auto" w:fill="auto"/>
                  <w:noWrap w:val="0"/>
                  <w:vAlign w:val="center"/>
                </w:tcPr>
                <w:p w14:paraId="42A2D4D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-54.</w:t>
                  </w:r>
                  <w:r>
                    <w:rPr>
                      <w:rFonts w:hint="eastAsia" w:ascii="Times New Roman" w:hAnsi="Times New Roman" w:cs="Times New Roman"/>
                      <w:b w:val="0"/>
                      <w:bCs w:val="0"/>
                      <w:color w:val="auto"/>
                      <w:sz w:val="21"/>
                      <w:szCs w:val="21"/>
                      <w:u w:val="none"/>
                      <w:lang w:val="en-US" w:eastAsia="zh-CN"/>
                    </w:rPr>
                    <w:t>82</w:t>
                  </w:r>
                </w:p>
              </w:tc>
              <w:tc>
                <w:tcPr>
                  <w:tcW w:w="402" w:type="pct"/>
                  <w:tcBorders>
                    <w:tl2br w:val="nil"/>
                    <w:tr2bl w:val="nil"/>
                  </w:tcBorders>
                  <w:shd w:val="clear" w:color="auto" w:fill="auto"/>
                  <w:noWrap w:val="0"/>
                  <w:vAlign w:val="center"/>
                </w:tcPr>
                <w:p w14:paraId="1154342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-164.</w:t>
                  </w:r>
                  <w:r>
                    <w:rPr>
                      <w:rFonts w:hint="eastAsia" w:ascii="Times New Roman" w:hAnsi="Times New Roman" w:cs="Times New Roman"/>
                      <w:b w:val="0"/>
                      <w:bCs w:val="0"/>
                      <w:color w:val="auto"/>
                      <w:sz w:val="21"/>
                      <w:szCs w:val="21"/>
                      <w:u w:val="none"/>
                      <w:lang w:val="en-US" w:eastAsia="zh-CN"/>
                    </w:rPr>
                    <w:t>17</w:t>
                  </w:r>
                </w:p>
              </w:tc>
              <w:tc>
                <w:tcPr>
                  <w:tcW w:w="234" w:type="pct"/>
                  <w:tcBorders>
                    <w:tl2br w:val="nil"/>
                    <w:tr2bl w:val="nil"/>
                  </w:tcBorders>
                  <w:shd w:val="clear" w:color="auto" w:fill="auto"/>
                  <w:noWrap w:val="0"/>
                  <w:vAlign w:val="center"/>
                </w:tcPr>
                <w:p w14:paraId="36FCD40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260" w:type="pct"/>
                  <w:tcBorders>
                    <w:tl2br w:val="nil"/>
                    <w:tr2bl w:val="nil"/>
                  </w:tcBorders>
                  <w:shd w:val="clear" w:color="auto" w:fill="auto"/>
                  <w:noWrap w:val="0"/>
                  <w:vAlign w:val="center"/>
                </w:tcPr>
                <w:p w14:paraId="114BE0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1.0</w:t>
                  </w:r>
                </w:p>
              </w:tc>
              <w:tc>
                <w:tcPr>
                  <w:tcW w:w="448" w:type="pct"/>
                  <w:tcBorders>
                    <w:tl2br w:val="nil"/>
                    <w:tr2bl w:val="nil"/>
                  </w:tcBorders>
                  <w:shd w:val="clear" w:color="auto" w:fill="auto"/>
                  <w:noWrap w:val="0"/>
                  <w:vAlign w:val="center"/>
                </w:tcPr>
                <w:p w14:paraId="4E67C24A">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75</w:t>
                  </w:r>
                </w:p>
              </w:tc>
              <w:tc>
                <w:tcPr>
                  <w:tcW w:w="280" w:type="pct"/>
                  <w:tcBorders>
                    <w:tl2br w:val="nil"/>
                    <w:tr2bl w:val="nil"/>
                  </w:tcBorders>
                  <w:shd w:val="clear" w:color="auto" w:fill="auto"/>
                  <w:noWrap w:val="0"/>
                  <w:vAlign w:val="center"/>
                </w:tcPr>
                <w:p w14:paraId="402335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tcBorders>
                    <w:tl2br w:val="nil"/>
                    <w:tr2bl w:val="nil"/>
                  </w:tcBorders>
                  <w:shd w:val="clear" w:color="auto" w:fill="auto"/>
                  <w:noWrap w:val="0"/>
                  <w:vAlign w:val="center"/>
                </w:tcPr>
                <w:p w14:paraId="6D9734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10</w:t>
                  </w:r>
                </w:p>
              </w:tc>
              <w:tc>
                <w:tcPr>
                  <w:tcW w:w="341" w:type="pct"/>
                  <w:tcBorders>
                    <w:tl2br w:val="nil"/>
                    <w:tr2bl w:val="nil"/>
                  </w:tcBorders>
                  <w:shd w:val="clear" w:color="auto" w:fill="auto"/>
                  <w:noWrap w:val="0"/>
                  <w:vAlign w:val="center"/>
                </w:tcPr>
                <w:p w14:paraId="2C68DC4D">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65</w:t>
                  </w:r>
                </w:p>
              </w:tc>
              <w:tc>
                <w:tcPr>
                  <w:tcW w:w="226" w:type="pct"/>
                  <w:tcBorders>
                    <w:tl2br w:val="nil"/>
                    <w:tr2bl w:val="nil"/>
                  </w:tcBorders>
                  <w:shd w:val="clear" w:color="auto" w:fill="auto"/>
                  <w:noWrap w:val="0"/>
                  <w:vAlign w:val="center"/>
                </w:tcPr>
                <w:p w14:paraId="320787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rPr>
                    <w:t>1</w:t>
                  </w:r>
                  <w:r>
                    <w:rPr>
                      <w:rFonts w:hint="default" w:ascii="Times New Roman" w:hAnsi="Times New Roman" w:eastAsia="宋体" w:cs="Times New Roman"/>
                      <w:b w:val="0"/>
                      <w:bCs w:val="0"/>
                      <w:color w:val="auto"/>
                      <w:sz w:val="21"/>
                      <w:szCs w:val="21"/>
                      <w:u w:val="none"/>
                      <w:lang w:val="en-US" w:eastAsia="zh-CN"/>
                    </w:rPr>
                    <w:t>.0</w:t>
                  </w:r>
                </w:p>
              </w:tc>
            </w:tr>
            <w:tr w14:paraId="5EA1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tcBorders>
                    <w:tl2br w:val="nil"/>
                    <w:tr2bl w:val="nil"/>
                  </w:tcBorders>
                  <w:shd w:val="clear" w:color="auto" w:fill="auto"/>
                  <w:noWrap w:val="0"/>
                  <w:vAlign w:val="center"/>
                </w:tcPr>
                <w:p w14:paraId="6C57021B">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14</w:t>
                  </w:r>
                </w:p>
              </w:tc>
              <w:tc>
                <w:tcPr>
                  <w:tcW w:w="242" w:type="pct"/>
                  <w:vMerge w:val="continue"/>
                  <w:tcBorders>
                    <w:tl2br w:val="nil"/>
                    <w:tr2bl w:val="nil"/>
                  </w:tcBorders>
                  <w:noWrap w:val="0"/>
                  <w:vAlign w:val="center"/>
                </w:tcPr>
                <w:p w14:paraId="4E05695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tcBorders>
                    <w:tl2br w:val="nil"/>
                    <w:tr2bl w:val="nil"/>
                  </w:tcBorders>
                  <w:shd w:val="clear" w:color="auto" w:fill="auto"/>
                  <w:noWrap w:val="0"/>
                  <w:vAlign w:val="center"/>
                </w:tcPr>
                <w:p w14:paraId="611ECCEA">
                  <w:pPr>
                    <w:keepNext w:val="0"/>
                    <w:keepLines w:val="0"/>
                    <w:pageBreakBefore w:val="0"/>
                    <w:kinsoku/>
                    <w:wordWrap/>
                    <w:overflowPunct/>
                    <w:topLinePunct w:val="0"/>
                    <w:autoSpaceDE/>
                    <w:autoSpaceDN/>
                    <w:bidi w:val="0"/>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467" w:type="pct"/>
                  <w:tcBorders>
                    <w:tl2br w:val="nil"/>
                    <w:tr2bl w:val="nil"/>
                  </w:tcBorders>
                  <w:shd w:val="clear" w:color="auto" w:fill="auto"/>
                  <w:noWrap w:val="0"/>
                  <w:vAlign w:val="center"/>
                </w:tcPr>
                <w:p w14:paraId="29E339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383" w:type="pct"/>
                  <w:tcBorders>
                    <w:tl2br w:val="nil"/>
                    <w:tr2bl w:val="nil"/>
                  </w:tcBorders>
                  <w:shd w:val="clear" w:color="auto" w:fill="auto"/>
                  <w:noWrap w:val="0"/>
                  <w:vAlign w:val="center"/>
                </w:tcPr>
                <w:p w14:paraId="679746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tcBorders>
                    <w:tl2br w:val="nil"/>
                    <w:tr2bl w:val="nil"/>
                  </w:tcBorders>
                  <w:shd w:val="clear" w:color="auto" w:fill="auto"/>
                  <w:noWrap w:val="0"/>
                  <w:vAlign w:val="center"/>
                </w:tcPr>
                <w:p w14:paraId="07E706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tcBorders>
                    <w:tl2br w:val="nil"/>
                    <w:tr2bl w:val="nil"/>
                  </w:tcBorders>
                  <w:shd w:val="clear" w:color="auto" w:fill="auto"/>
                  <w:noWrap w:val="0"/>
                  <w:vAlign w:val="center"/>
                </w:tcPr>
                <w:p w14:paraId="57F0C33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-54.8</w:t>
                  </w:r>
                  <w:r>
                    <w:rPr>
                      <w:rFonts w:hint="eastAsia" w:ascii="Times New Roman" w:hAnsi="Times New Roman" w:cs="Times New Roman"/>
                      <w:b w:val="0"/>
                      <w:bCs w:val="0"/>
                      <w:color w:val="auto"/>
                      <w:sz w:val="21"/>
                      <w:szCs w:val="21"/>
                      <w:u w:val="none"/>
                      <w:lang w:val="en-US" w:eastAsia="zh-CN"/>
                    </w:rPr>
                    <w:t>3</w:t>
                  </w:r>
                </w:p>
              </w:tc>
              <w:tc>
                <w:tcPr>
                  <w:tcW w:w="402" w:type="pct"/>
                  <w:tcBorders>
                    <w:tl2br w:val="nil"/>
                    <w:tr2bl w:val="nil"/>
                  </w:tcBorders>
                  <w:shd w:val="clear" w:color="auto" w:fill="auto"/>
                  <w:noWrap w:val="0"/>
                  <w:vAlign w:val="center"/>
                </w:tcPr>
                <w:p w14:paraId="4BD4325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-164.</w:t>
                  </w:r>
                  <w:r>
                    <w:rPr>
                      <w:rFonts w:hint="eastAsia" w:ascii="Times New Roman" w:hAnsi="Times New Roman" w:cs="Times New Roman"/>
                      <w:b w:val="0"/>
                      <w:bCs w:val="0"/>
                      <w:color w:val="auto"/>
                      <w:sz w:val="21"/>
                      <w:szCs w:val="21"/>
                      <w:u w:val="none"/>
                      <w:lang w:val="en-US" w:eastAsia="zh-CN"/>
                    </w:rPr>
                    <w:t>26</w:t>
                  </w:r>
                </w:p>
              </w:tc>
              <w:tc>
                <w:tcPr>
                  <w:tcW w:w="234" w:type="pct"/>
                  <w:tcBorders>
                    <w:tl2br w:val="nil"/>
                    <w:tr2bl w:val="nil"/>
                  </w:tcBorders>
                  <w:shd w:val="clear" w:color="auto" w:fill="auto"/>
                  <w:noWrap w:val="0"/>
                  <w:vAlign w:val="center"/>
                </w:tcPr>
                <w:p w14:paraId="3FA15F4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260" w:type="pct"/>
                  <w:tcBorders>
                    <w:tl2br w:val="nil"/>
                    <w:tr2bl w:val="nil"/>
                  </w:tcBorders>
                  <w:shd w:val="clear" w:color="auto" w:fill="auto"/>
                  <w:noWrap w:val="0"/>
                  <w:vAlign w:val="center"/>
                </w:tcPr>
                <w:p w14:paraId="7BCFBA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tcBorders>
                    <w:tl2br w:val="nil"/>
                    <w:tr2bl w:val="nil"/>
                  </w:tcBorders>
                  <w:shd w:val="clear" w:color="auto" w:fill="auto"/>
                  <w:noWrap w:val="0"/>
                  <w:vAlign w:val="center"/>
                </w:tcPr>
                <w:p w14:paraId="5EA34D72">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280" w:type="pct"/>
                  <w:tcBorders>
                    <w:tl2br w:val="nil"/>
                    <w:tr2bl w:val="nil"/>
                  </w:tcBorders>
                  <w:shd w:val="clear" w:color="auto" w:fill="auto"/>
                  <w:noWrap w:val="0"/>
                  <w:vAlign w:val="center"/>
                </w:tcPr>
                <w:p w14:paraId="63EB71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tcBorders>
                    <w:tl2br w:val="nil"/>
                    <w:tr2bl w:val="nil"/>
                  </w:tcBorders>
                  <w:shd w:val="clear" w:color="auto" w:fill="auto"/>
                  <w:noWrap w:val="0"/>
                  <w:vAlign w:val="center"/>
                </w:tcPr>
                <w:p w14:paraId="0922B2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tcBorders>
                    <w:tl2br w:val="nil"/>
                    <w:tr2bl w:val="nil"/>
                  </w:tcBorders>
                  <w:shd w:val="clear" w:color="auto" w:fill="auto"/>
                  <w:noWrap w:val="0"/>
                  <w:vAlign w:val="center"/>
                </w:tcPr>
                <w:p w14:paraId="72991088">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226" w:type="pct"/>
                  <w:tcBorders>
                    <w:tl2br w:val="nil"/>
                    <w:tr2bl w:val="nil"/>
                  </w:tcBorders>
                  <w:shd w:val="clear" w:color="auto" w:fill="auto"/>
                  <w:noWrap w:val="0"/>
                  <w:vAlign w:val="center"/>
                </w:tcPr>
                <w:p w14:paraId="176D19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1</w:t>
                  </w:r>
                  <w:r>
                    <w:rPr>
                      <w:rFonts w:hint="default" w:ascii="Times New Roman" w:hAnsi="Times New Roman" w:eastAsia="宋体" w:cs="Times New Roman"/>
                      <w:b w:val="0"/>
                      <w:bCs w:val="0"/>
                      <w:color w:val="auto"/>
                      <w:sz w:val="21"/>
                      <w:szCs w:val="21"/>
                      <w:u w:val="none"/>
                      <w:lang w:val="en-US" w:eastAsia="zh-CN"/>
                    </w:rPr>
                    <w:t>.0</w:t>
                  </w:r>
                </w:p>
              </w:tc>
            </w:tr>
            <w:tr w14:paraId="31FA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tcBorders>
                    <w:tl2br w:val="nil"/>
                    <w:tr2bl w:val="nil"/>
                  </w:tcBorders>
                  <w:shd w:val="clear" w:color="auto" w:fill="auto"/>
                  <w:noWrap w:val="0"/>
                  <w:vAlign w:val="center"/>
                </w:tcPr>
                <w:p w14:paraId="6CBCC512">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15</w:t>
                  </w:r>
                </w:p>
              </w:tc>
              <w:tc>
                <w:tcPr>
                  <w:tcW w:w="242" w:type="pct"/>
                  <w:vMerge w:val="continue"/>
                  <w:tcBorders>
                    <w:tl2br w:val="nil"/>
                    <w:tr2bl w:val="nil"/>
                  </w:tcBorders>
                  <w:noWrap w:val="0"/>
                  <w:vAlign w:val="center"/>
                </w:tcPr>
                <w:p w14:paraId="6C2A84E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tcBorders>
                    <w:tl2br w:val="nil"/>
                    <w:tr2bl w:val="nil"/>
                  </w:tcBorders>
                  <w:shd w:val="clear" w:color="auto" w:fill="auto"/>
                  <w:noWrap w:val="0"/>
                  <w:vAlign w:val="center"/>
                </w:tcPr>
                <w:p w14:paraId="33D6C4BB">
                  <w:pPr>
                    <w:keepNext w:val="0"/>
                    <w:keepLines w:val="0"/>
                    <w:pageBreakBefore w:val="0"/>
                    <w:kinsoku/>
                    <w:wordWrap/>
                    <w:overflowPunct/>
                    <w:topLinePunct w:val="0"/>
                    <w:autoSpaceDE/>
                    <w:autoSpaceDN/>
                    <w:bidi w:val="0"/>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467" w:type="pct"/>
                  <w:tcBorders>
                    <w:tl2br w:val="nil"/>
                    <w:tr2bl w:val="nil"/>
                  </w:tcBorders>
                  <w:shd w:val="clear" w:color="auto" w:fill="auto"/>
                  <w:noWrap w:val="0"/>
                  <w:vAlign w:val="center"/>
                </w:tcPr>
                <w:p w14:paraId="589982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383" w:type="pct"/>
                  <w:tcBorders>
                    <w:tl2br w:val="nil"/>
                    <w:tr2bl w:val="nil"/>
                  </w:tcBorders>
                  <w:shd w:val="clear" w:color="auto" w:fill="auto"/>
                  <w:noWrap w:val="0"/>
                  <w:vAlign w:val="center"/>
                </w:tcPr>
                <w:p w14:paraId="00B8E1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tcBorders>
                    <w:tl2br w:val="nil"/>
                    <w:tr2bl w:val="nil"/>
                  </w:tcBorders>
                  <w:shd w:val="clear" w:color="auto" w:fill="auto"/>
                  <w:noWrap w:val="0"/>
                  <w:vAlign w:val="center"/>
                </w:tcPr>
                <w:p w14:paraId="4CC662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tcBorders>
                    <w:tl2br w:val="nil"/>
                    <w:tr2bl w:val="nil"/>
                  </w:tcBorders>
                  <w:shd w:val="clear" w:color="auto" w:fill="auto"/>
                  <w:noWrap w:val="0"/>
                  <w:vAlign w:val="center"/>
                </w:tcPr>
                <w:p w14:paraId="7262CAD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-54.89</w:t>
                  </w:r>
                </w:p>
              </w:tc>
              <w:tc>
                <w:tcPr>
                  <w:tcW w:w="402" w:type="pct"/>
                  <w:tcBorders>
                    <w:tl2br w:val="nil"/>
                    <w:tr2bl w:val="nil"/>
                  </w:tcBorders>
                  <w:shd w:val="clear" w:color="auto" w:fill="auto"/>
                  <w:noWrap w:val="0"/>
                  <w:vAlign w:val="center"/>
                </w:tcPr>
                <w:p w14:paraId="704FE37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-164.74</w:t>
                  </w:r>
                </w:p>
              </w:tc>
              <w:tc>
                <w:tcPr>
                  <w:tcW w:w="234" w:type="pct"/>
                  <w:tcBorders>
                    <w:tl2br w:val="nil"/>
                    <w:tr2bl w:val="nil"/>
                  </w:tcBorders>
                  <w:shd w:val="clear" w:color="auto" w:fill="auto"/>
                  <w:noWrap w:val="0"/>
                  <w:vAlign w:val="center"/>
                </w:tcPr>
                <w:p w14:paraId="43B23A9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260" w:type="pct"/>
                  <w:tcBorders>
                    <w:tl2br w:val="nil"/>
                    <w:tr2bl w:val="nil"/>
                  </w:tcBorders>
                  <w:shd w:val="clear" w:color="auto" w:fill="auto"/>
                  <w:noWrap w:val="0"/>
                  <w:vAlign w:val="center"/>
                </w:tcPr>
                <w:p w14:paraId="7CBD94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tcBorders>
                    <w:tl2br w:val="nil"/>
                    <w:tr2bl w:val="nil"/>
                  </w:tcBorders>
                  <w:shd w:val="clear" w:color="auto" w:fill="auto"/>
                  <w:noWrap w:val="0"/>
                  <w:vAlign w:val="center"/>
                </w:tcPr>
                <w:p w14:paraId="769EBE78">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280" w:type="pct"/>
                  <w:tcBorders>
                    <w:tl2br w:val="nil"/>
                    <w:tr2bl w:val="nil"/>
                  </w:tcBorders>
                  <w:shd w:val="clear" w:color="auto" w:fill="auto"/>
                  <w:noWrap w:val="0"/>
                  <w:vAlign w:val="center"/>
                </w:tcPr>
                <w:p w14:paraId="23371B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tcBorders>
                    <w:tl2br w:val="nil"/>
                    <w:tr2bl w:val="nil"/>
                  </w:tcBorders>
                  <w:shd w:val="clear" w:color="auto" w:fill="auto"/>
                  <w:noWrap w:val="0"/>
                  <w:vAlign w:val="center"/>
                </w:tcPr>
                <w:p w14:paraId="409D66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tcBorders>
                    <w:tl2br w:val="nil"/>
                    <w:tr2bl w:val="nil"/>
                  </w:tcBorders>
                  <w:shd w:val="clear" w:color="auto" w:fill="auto"/>
                  <w:noWrap w:val="0"/>
                  <w:vAlign w:val="center"/>
                </w:tcPr>
                <w:p w14:paraId="7645E7F0">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226" w:type="pct"/>
                  <w:tcBorders>
                    <w:tl2br w:val="nil"/>
                    <w:tr2bl w:val="nil"/>
                  </w:tcBorders>
                  <w:shd w:val="clear" w:color="auto" w:fill="auto"/>
                  <w:noWrap w:val="0"/>
                  <w:vAlign w:val="center"/>
                </w:tcPr>
                <w:p w14:paraId="6D3650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1</w:t>
                  </w:r>
                  <w:r>
                    <w:rPr>
                      <w:rFonts w:hint="default" w:ascii="Times New Roman" w:hAnsi="Times New Roman" w:eastAsia="宋体" w:cs="Times New Roman"/>
                      <w:b w:val="0"/>
                      <w:bCs w:val="0"/>
                      <w:color w:val="auto"/>
                      <w:sz w:val="21"/>
                      <w:szCs w:val="21"/>
                      <w:u w:val="none"/>
                      <w:lang w:val="en-US" w:eastAsia="zh-CN"/>
                    </w:rPr>
                    <w:t>.0</w:t>
                  </w:r>
                </w:p>
              </w:tc>
            </w:tr>
            <w:tr w14:paraId="7814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739BF126">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16</w:t>
                  </w:r>
                </w:p>
              </w:tc>
              <w:tc>
                <w:tcPr>
                  <w:tcW w:w="242" w:type="pct"/>
                  <w:vMerge w:val="continue"/>
                  <w:vAlign w:val="center"/>
                </w:tcPr>
                <w:p w14:paraId="3BB44BA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59CEAFEB">
                  <w:pPr>
                    <w:keepNext w:val="0"/>
                    <w:keepLines w:val="0"/>
                    <w:pageBreakBefore w:val="0"/>
                    <w:kinsoku/>
                    <w:wordWrap/>
                    <w:overflowPunct/>
                    <w:topLinePunct w:val="0"/>
                    <w:autoSpaceDE/>
                    <w:autoSpaceDN/>
                    <w:bidi w:val="0"/>
                    <w:ind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0" w:type="auto"/>
                  <w:vAlign w:val="center"/>
                </w:tcPr>
                <w:p w14:paraId="79F7D9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0" w:type="auto"/>
                  <w:vAlign w:val="center"/>
                </w:tcPr>
                <w:p w14:paraId="270D9D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0" w:type="auto"/>
                  <w:vAlign w:val="center"/>
                </w:tcPr>
                <w:p w14:paraId="2FF543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502B79B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-49.57</w:t>
                  </w:r>
                </w:p>
              </w:tc>
              <w:tc>
                <w:tcPr>
                  <w:tcW w:w="402" w:type="pct"/>
                  <w:shd w:val="clear" w:color="auto" w:fill="auto"/>
                  <w:vAlign w:val="center"/>
                </w:tcPr>
                <w:p w14:paraId="7F55D98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-164.57</w:t>
                  </w:r>
                </w:p>
              </w:tc>
              <w:tc>
                <w:tcPr>
                  <w:tcW w:w="234" w:type="pct"/>
                  <w:shd w:val="clear" w:color="auto" w:fill="auto"/>
                  <w:vAlign w:val="center"/>
                </w:tcPr>
                <w:p w14:paraId="5DEF088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7E278A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246326C6">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0" w:type="auto"/>
                  <w:vAlign w:val="center"/>
                </w:tcPr>
                <w:p w14:paraId="738E26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0" w:type="auto"/>
                  <w:vAlign w:val="center"/>
                </w:tcPr>
                <w:p w14:paraId="4DABEB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75852964">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6CD0FC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4230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6C76F30F">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17</w:t>
                  </w:r>
                </w:p>
              </w:tc>
              <w:tc>
                <w:tcPr>
                  <w:tcW w:w="242" w:type="pct"/>
                  <w:vMerge w:val="continue"/>
                  <w:vAlign w:val="center"/>
                </w:tcPr>
                <w:p w14:paraId="5B19C4B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036E1F00">
                  <w:pPr>
                    <w:keepNext w:val="0"/>
                    <w:keepLines w:val="0"/>
                    <w:pageBreakBefore w:val="0"/>
                    <w:kinsoku/>
                    <w:wordWrap/>
                    <w:overflowPunct/>
                    <w:topLinePunct w:val="0"/>
                    <w:autoSpaceDE/>
                    <w:autoSpaceDN/>
                    <w:bidi w:val="0"/>
                    <w:ind w:right="0" w:rightChars="0" w:firstLine="0" w:firstLineChars="0"/>
                    <w:jc w:val="center"/>
                    <w:textAlignment w:val="auto"/>
                    <w:rPr>
                      <w:rFonts w:hint="eastAsia" w:cs="Times New Roman"/>
                      <w:color w:val="auto"/>
                      <w:sz w:val="21"/>
                      <w:szCs w:val="21"/>
                      <w:lang w:val="en-US" w:eastAsia="zh-CN"/>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0" w:type="auto"/>
                  <w:vAlign w:val="center"/>
                </w:tcPr>
                <w:p w14:paraId="24D8DB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0" w:type="auto"/>
                  <w:vAlign w:val="center"/>
                </w:tcPr>
                <w:p w14:paraId="3F9E1C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0" w:type="auto"/>
                  <w:vAlign w:val="center"/>
                </w:tcPr>
                <w:p w14:paraId="235DEF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3DFE1F2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-49.57</w:t>
                  </w:r>
                </w:p>
              </w:tc>
              <w:tc>
                <w:tcPr>
                  <w:tcW w:w="402" w:type="pct"/>
                  <w:shd w:val="clear" w:color="auto" w:fill="auto"/>
                  <w:vAlign w:val="center"/>
                </w:tcPr>
                <w:p w14:paraId="5936D94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-164.</w:t>
                  </w:r>
                  <w:r>
                    <w:rPr>
                      <w:rFonts w:hint="eastAsia" w:ascii="Times New Roman" w:hAnsi="Times New Roman" w:cs="Times New Roman"/>
                      <w:b w:val="0"/>
                      <w:bCs w:val="0"/>
                      <w:color w:val="auto"/>
                      <w:sz w:val="21"/>
                      <w:szCs w:val="21"/>
                      <w:u w:val="none"/>
                      <w:lang w:val="en-US" w:eastAsia="zh-CN"/>
                    </w:rPr>
                    <w:t>13</w:t>
                  </w:r>
                </w:p>
              </w:tc>
              <w:tc>
                <w:tcPr>
                  <w:tcW w:w="234" w:type="pct"/>
                  <w:shd w:val="clear" w:color="auto" w:fill="auto"/>
                  <w:vAlign w:val="center"/>
                </w:tcPr>
                <w:p w14:paraId="431A6CC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141ED6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444D9C8A">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0" w:type="auto"/>
                  <w:vAlign w:val="center"/>
                </w:tcPr>
                <w:p w14:paraId="1A6C64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0" w:type="auto"/>
                  <w:vAlign w:val="center"/>
                </w:tcPr>
                <w:p w14:paraId="2F9D2A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24A63F83">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2C9D68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5DEA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2BB764B1">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18</w:t>
                  </w:r>
                </w:p>
              </w:tc>
              <w:tc>
                <w:tcPr>
                  <w:tcW w:w="242" w:type="pct"/>
                  <w:vMerge w:val="continue"/>
                  <w:vAlign w:val="center"/>
                </w:tcPr>
                <w:p w14:paraId="18D7088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6BDC2B43">
                  <w:pPr>
                    <w:keepNext w:val="0"/>
                    <w:keepLines w:val="0"/>
                    <w:pageBreakBefore w:val="0"/>
                    <w:kinsoku/>
                    <w:wordWrap/>
                    <w:overflowPunct/>
                    <w:topLinePunct w:val="0"/>
                    <w:autoSpaceDE/>
                    <w:autoSpaceDN/>
                    <w:bidi w:val="0"/>
                    <w:ind w:right="0" w:rightChars="0" w:firstLine="0" w:firstLineChars="0"/>
                    <w:jc w:val="center"/>
                    <w:textAlignment w:val="auto"/>
                    <w:rPr>
                      <w:rFonts w:hint="eastAsia" w:cs="Times New Roman"/>
                      <w:color w:val="auto"/>
                      <w:sz w:val="21"/>
                      <w:szCs w:val="21"/>
                      <w:lang w:val="en-US" w:eastAsia="zh-CN"/>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0" w:type="auto"/>
                  <w:vAlign w:val="center"/>
                </w:tcPr>
                <w:p w14:paraId="49A1C2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0" w:type="auto"/>
                  <w:vAlign w:val="center"/>
                </w:tcPr>
                <w:p w14:paraId="2A5DD9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0" w:type="auto"/>
                  <w:vAlign w:val="center"/>
                </w:tcPr>
                <w:p w14:paraId="0C77B7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242B8FD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-49.57</w:t>
                  </w:r>
                </w:p>
              </w:tc>
              <w:tc>
                <w:tcPr>
                  <w:tcW w:w="402" w:type="pct"/>
                  <w:shd w:val="clear" w:color="auto" w:fill="auto"/>
                  <w:vAlign w:val="center"/>
                </w:tcPr>
                <w:p w14:paraId="540BEFB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-164.</w:t>
                  </w:r>
                  <w:r>
                    <w:rPr>
                      <w:rFonts w:hint="eastAsia" w:ascii="Times New Roman" w:hAnsi="Times New Roman" w:cs="Times New Roman"/>
                      <w:b w:val="0"/>
                      <w:bCs w:val="0"/>
                      <w:color w:val="auto"/>
                      <w:sz w:val="21"/>
                      <w:szCs w:val="21"/>
                      <w:u w:val="none"/>
                      <w:lang w:val="en-US" w:eastAsia="zh-CN"/>
                    </w:rPr>
                    <w:t>25</w:t>
                  </w:r>
                </w:p>
              </w:tc>
              <w:tc>
                <w:tcPr>
                  <w:tcW w:w="234" w:type="pct"/>
                  <w:shd w:val="clear" w:color="auto" w:fill="auto"/>
                  <w:vAlign w:val="center"/>
                </w:tcPr>
                <w:p w14:paraId="0823927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452A01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2395FA14">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0" w:type="auto"/>
                  <w:vAlign w:val="center"/>
                </w:tcPr>
                <w:p w14:paraId="34D758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0" w:type="auto"/>
                  <w:vAlign w:val="center"/>
                </w:tcPr>
                <w:p w14:paraId="3AE1A4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7026E05F">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0A7644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309F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5E4B202F">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19</w:t>
                  </w:r>
                </w:p>
              </w:tc>
              <w:tc>
                <w:tcPr>
                  <w:tcW w:w="242" w:type="pct"/>
                  <w:vMerge w:val="continue"/>
                  <w:vAlign w:val="center"/>
                </w:tcPr>
                <w:p w14:paraId="72D80B2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7AF9665F">
                  <w:pPr>
                    <w:keepNext w:val="0"/>
                    <w:keepLines w:val="0"/>
                    <w:pageBreakBefore w:val="0"/>
                    <w:kinsoku/>
                    <w:wordWrap/>
                    <w:overflowPunct/>
                    <w:topLinePunct w:val="0"/>
                    <w:autoSpaceDE/>
                    <w:autoSpaceDN/>
                    <w:bidi w:val="0"/>
                    <w:ind w:right="0" w:rightChars="0" w:firstLine="0" w:firstLineChars="0"/>
                    <w:jc w:val="center"/>
                    <w:textAlignment w:val="auto"/>
                    <w:rPr>
                      <w:rFonts w:hint="eastAsia" w:cs="Times New Roman"/>
                      <w:color w:val="auto"/>
                      <w:sz w:val="21"/>
                      <w:szCs w:val="21"/>
                      <w:lang w:val="en-US" w:eastAsia="zh-CN"/>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0" w:type="auto"/>
                  <w:vAlign w:val="center"/>
                </w:tcPr>
                <w:p w14:paraId="110604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0" w:type="auto"/>
                  <w:vAlign w:val="center"/>
                </w:tcPr>
                <w:p w14:paraId="0DD3F3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0" w:type="auto"/>
                  <w:vAlign w:val="center"/>
                </w:tcPr>
                <w:p w14:paraId="0BED6C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15D31E8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-49.57</w:t>
                  </w:r>
                </w:p>
              </w:tc>
              <w:tc>
                <w:tcPr>
                  <w:tcW w:w="402" w:type="pct"/>
                  <w:shd w:val="clear" w:color="auto" w:fill="auto"/>
                  <w:vAlign w:val="center"/>
                </w:tcPr>
                <w:p w14:paraId="2A94C9C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-164.</w:t>
                  </w:r>
                  <w:r>
                    <w:rPr>
                      <w:rFonts w:hint="eastAsia" w:ascii="Times New Roman" w:hAnsi="Times New Roman" w:cs="Times New Roman"/>
                      <w:b w:val="0"/>
                      <w:bCs w:val="0"/>
                      <w:color w:val="auto"/>
                      <w:sz w:val="21"/>
                      <w:szCs w:val="21"/>
                      <w:u w:val="none"/>
                      <w:lang w:val="en-US" w:eastAsia="zh-CN"/>
                    </w:rPr>
                    <w:t>47</w:t>
                  </w:r>
                </w:p>
              </w:tc>
              <w:tc>
                <w:tcPr>
                  <w:tcW w:w="234" w:type="pct"/>
                  <w:shd w:val="clear" w:color="auto" w:fill="auto"/>
                  <w:vAlign w:val="center"/>
                </w:tcPr>
                <w:p w14:paraId="0B134C6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428C9F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2752E4DD">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0" w:type="auto"/>
                  <w:vAlign w:val="center"/>
                </w:tcPr>
                <w:p w14:paraId="70DA1D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0" w:type="auto"/>
                  <w:vAlign w:val="center"/>
                </w:tcPr>
                <w:p w14:paraId="4ADF65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1274FC31">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539FEB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3BC0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39BABA88">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20</w:t>
                  </w:r>
                </w:p>
              </w:tc>
              <w:tc>
                <w:tcPr>
                  <w:tcW w:w="242" w:type="pct"/>
                  <w:vMerge w:val="continue"/>
                  <w:vAlign w:val="center"/>
                </w:tcPr>
                <w:p w14:paraId="7DA4C0D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68D70599">
                  <w:pPr>
                    <w:keepNext w:val="0"/>
                    <w:keepLines w:val="0"/>
                    <w:pageBreakBefore w:val="0"/>
                    <w:kinsoku/>
                    <w:wordWrap/>
                    <w:overflowPunct/>
                    <w:topLinePunct w:val="0"/>
                    <w:autoSpaceDE/>
                    <w:autoSpaceDN/>
                    <w:bidi w:val="0"/>
                    <w:ind w:right="0" w:rightChars="0" w:firstLine="0" w:firstLineChars="0"/>
                    <w:jc w:val="center"/>
                    <w:textAlignment w:val="auto"/>
                    <w:rPr>
                      <w:rFonts w:hint="eastAsia" w:cs="Times New Roman"/>
                      <w:color w:val="auto"/>
                      <w:sz w:val="21"/>
                      <w:szCs w:val="21"/>
                      <w:lang w:val="en-US" w:eastAsia="zh-CN"/>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0" w:type="auto"/>
                  <w:vAlign w:val="center"/>
                </w:tcPr>
                <w:p w14:paraId="5DCC52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0" w:type="auto"/>
                  <w:vAlign w:val="center"/>
                </w:tcPr>
                <w:p w14:paraId="0A4A76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0" w:type="auto"/>
                  <w:vAlign w:val="center"/>
                </w:tcPr>
                <w:p w14:paraId="5E0BEB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268CCE4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-49.57</w:t>
                  </w:r>
                </w:p>
              </w:tc>
              <w:tc>
                <w:tcPr>
                  <w:tcW w:w="402" w:type="pct"/>
                  <w:shd w:val="clear" w:color="auto" w:fill="auto"/>
                  <w:vAlign w:val="center"/>
                </w:tcPr>
                <w:p w14:paraId="69AEE53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-164.</w:t>
                  </w:r>
                  <w:r>
                    <w:rPr>
                      <w:rFonts w:hint="eastAsia" w:ascii="Times New Roman" w:hAnsi="Times New Roman" w:cs="Times New Roman"/>
                      <w:b w:val="0"/>
                      <w:bCs w:val="0"/>
                      <w:color w:val="auto"/>
                      <w:sz w:val="21"/>
                      <w:szCs w:val="21"/>
                      <w:u w:val="none"/>
                      <w:lang w:val="en-US" w:eastAsia="zh-CN"/>
                    </w:rPr>
                    <w:t>35</w:t>
                  </w:r>
                </w:p>
              </w:tc>
              <w:tc>
                <w:tcPr>
                  <w:tcW w:w="234" w:type="pct"/>
                  <w:shd w:val="clear" w:color="auto" w:fill="auto"/>
                  <w:vAlign w:val="center"/>
                </w:tcPr>
                <w:p w14:paraId="0D55A97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7E94BD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47372FC1">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0" w:type="auto"/>
                  <w:vAlign w:val="center"/>
                </w:tcPr>
                <w:p w14:paraId="7592CB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0" w:type="auto"/>
                  <w:vAlign w:val="center"/>
                </w:tcPr>
                <w:p w14:paraId="285468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14B2E93F">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4567A8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36C8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399C917E">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21</w:t>
                  </w:r>
                </w:p>
              </w:tc>
              <w:tc>
                <w:tcPr>
                  <w:tcW w:w="242" w:type="pct"/>
                  <w:vMerge w:val="continue"/>
                  <w:vAlign w:val="center"/>
                </w:tcPr>
                <w:p w14:paraId="2F4CBC6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19A4DB58">
                  <w:pPr>
                    <w:keepNext w:val="0"/>
                    <w:keepLines w:val="0"/>
                    <w:pageBreakBefore w:val="0"/>
                    <w:kinsoku/>
                    <w:wordWrap/>
                    <w:overflowPunct/>
                    <w:topLinePunct w:val="0"/>
                    <w:autoSpaceDE/>
                    <w:autoSpaceDN/>
                    <w:bidi w:val="0"/>
                    <w:ind w:right="0" w:rightChars="0" w:firstLine="0" w:firstLineChars="0"/>
                    <w:jc w:val="center"/>
                    <w:textAlignment w:val="auto"/>
                    <w:rPr>
                      <w:rFonts w:hint="eastAsia" w:cs="Times New Roman"/>
                      <w:color w:val="auto"/>
                      <w:sz w:val="21"/>
                      <w:szCs w:val="21"/>
                      <w:lang w:val="en-US" w:eastAsia="zh-CN"/>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0" w:type="auto"/>
                  <w:vAlign w:val="center"/>
                </w:tcPr>
                <w:p w14:paraId="6F48E3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0" w:type="auto"/>
                  <w:vAlign w:val="center"/>
                </w:tcPr>
                <w:p w14:paraId="200037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0" w:type="auto"/>
                  <w:vAlign w:val="center"/>
                </w:tcPr>
                <w:p w14:paraId="7C8F66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1CBCD4C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-49.57</w:t>
                  </w:r>
                </w:p>
              </w:tc>
              <w:tc>
                <w:tcPr>
                  <w:tcW w:w="402" w:type="pct"/>
                  <w:shd w:val="clear" w:color="auto" w:fill="auto"/>
                  <w:vAlign w:val="center"/>
                </w:tcPr>
                <w:p w14:paraId="6908D71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-164.57</w:t>
                  </w:r>
                </w:p>
              </w:tc>
              <w:tc>
                <w:tcPr>
                  <w:tcW w:w="234" w:type="pct"/>
                  <w:shd w:val="clear" w:color="auto" w:fill="auto"/>
                  <w:vAlign w:val="center"/>
                </w:tcPr>
                <w:p w14:paraId="38D024F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003107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54D201A3">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0" w:type="auto"/>
                  <w:vAlign w:val="center"/>
                </w:tcPr>
                <w:p w14:paraId="0747C4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0" w:type="auto"/>
                  <w:vAlign w:val="center"/>
                </w:tcPr>
                <w:p w14:paraId="68BEBC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7F9D68C5">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63A922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63A8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2FFCC2EF">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22</w:t>
                  </w:r>
                </w:p>
              </w:tc>
              <w:tc>
                <w:tcPr>
                  <w:tcW w:w="242" w:type="pct"/>
                  <w:vMerge w:val="continue"/>
                  <w:vAlign w:val="center"/>
                </w:tcPr>
                <w:p w14:paraId="39A69C5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061C4B4D">
                  <w:pPr>
                    <w:keepNext w:val="0"/>
                    <w:keepLines w:val="0"/>
                    <w:pageBreakBefore w:val="0"/>
                    <w:kinsoku/>
                    <w:wordWrap/>
                    <w:overflowPunct/>
                    <w:topLinePunct w:val="0"/>
                    <w:autoSpaceDE/>
                    <w:autoSpaceDN/>
                    <w:bidi w:val="0"/>
                    <w:ind w:right="0" w:rightChars="0" w:firstLine="0" w:firstLineChars="0"/>
                    <w:jc w:val="center"/>
                    <w:textAlignment w:val="auto"/>
                    <w:rPr>
                      <w:rFonts w:hint="eastAsia" w:cs="Times New Roman"/>
                      <w:color w:val="auto"/>
                      <w:sz w:val="21"/>
                      <w:szCs w:val="21"/>
                      <w:lang w:val="en-US" w:eastAsia="zh-CN"/>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0" w:type="auto"/>
                  <w:vAlign w:val="center"/>
                </w:tcPr>
                <w:p w14:paraId="4A60A6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0" w:type="auto"/>
                  <w:vAlign w:val="center"/>
                </w:tcPr>
                <w:p w14:paraId="09A9B5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0" w:type="auto"/>
                  <w:vAlign w:val="center"/>
                </w:tcPr>
                <w:p w14:paraId="1CE211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7943C84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-50.24</w:t>
                  </w:r>
                </w:p>
              </w:tc>
              <w:tc>
                <w:tcPr>
                  <w:tcW w:w="402" w:type="pct"/>
                  <w:shd w:val="clear" w:color="auto" w:fill="auto"/>
                  <w:vAlign w:val="center"/>
                </w:tcPr>
                <w:p w14:paraId="0E11075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-170.14</w:t>
                  </w:r>
                </w:p>
              </w:tc>
              <w:tc>
                <w:tcPr>
                  <w:tcW w:w="234" w:type="pct"/>
                  <w:shd w:val="clear" w:color="auto" w:fill="auto"/>
                  <w:vAlign w:val="center"/>
                </w:tcPr>
                <w:p w14:paraId="209EF3E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5EDD96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145B5070">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0" w:type="auto"/>
                  <w:vAlign w:val="center"/>
                </w:tcPr>
                <w:p w14:paraId="6B73E6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0" w:type="auto"/>
                  <w:vAlign w:val="center"/>
                </w:tcPr>
                <w:p w14:paraId="14B2F3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52BC996F">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0F5245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4D53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603F34E0">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23</w:t>
                  </w:r>
                </w:p>
              </w:tc>
              <w:tc>
                <w:tcPr>
                  <w:tcW w:w="242" w:type="pct"/>
                  <w:vMerge w:val="continue"/>
                  <w:vAlign w:val="center"/>
                </w:tcPr>
                <w:p w14:paraId="63DAFBE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51F708E3">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color="auto"/>
                      <w:lang w:val="en-US" w:eastAsia="zh-CN" w:bidi="ar-SA"/>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0" w:type="auto"/>
                  <w:vAlign w:val="center"/>
                </w:tcPr>
                <w:p w14:paraId="1C8C6C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0" w:type="auto"/>
                  <w:vAlign w:val="center"/>
                </w:tcPr>
                <w:p w14:paraId="5F5E45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0" w:type="auto"/>
                  <w:vAlign w:val="center"/>
                </w:tcPr>
                <w:p w14:paraId="796C36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38CB04E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-53.24</w:t>
                  </w:r>
                </w:p>
              </w:tc>
              <w:tc>
                <w:tcPr>
                  <w:tcW w:w="402" w:type="pct"/>
                  <w:shd w:val="clear" w:color="auto" w:fill="auto"/>
                  <w:vAlign w:val="center"/>
                </w:tcPr>
                <w:p w14:paraId="2127910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-162.45</w:t>
                  </w:r>
                </w:p>
              </w:tc>
              <w:tc>
                <w:tcPr>
                  <w:tcW w:w="234" w:type="pct"/>
                  <w:shd w:val="clear" w:color="auto" w:fill="auto"/>
                  <w:vAlign w:val="center"/>
                </w:tcPr>
                <w:p w14:paraId="43560A7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0AD582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25E90FC2">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0" w:type="auto"/>
                  <w:vAlign w:val="center"/>
                </w:tcPr>
                <w:p w14:paraId="4F6E2E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0" w:type="auto"/>
                  <w:vAlign w:val="center"/>
                </w:tcPr>
                <w:p w14:paraId="09894A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11CD6E4F">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554A4E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05BF5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59887252">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24</w:t>
                  </w:r>
                </w:p>
              </w:tc>
              <w:tc>
                <w:tcPr>
                  <w:tcW w:w="242" w:type="pct"/>
                  <w:vMerge w:val="continue"/>
                  <w:vAlign w:val="center"/>
                </w:tcPr>
                <w:p w14:paraId="1555DC9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1872E12A">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color="auto"/>
                      <w:lang w:val="en-US" w:eastAsia="zh-CN" w:bidi="ar-SA"/>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0" w:type="auto"/>
                  <w:vAlign w:val="center"/>
                </w:tcPr>
                <w:p w14:paraId="765ACD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0" w:type="auto"/>
                  <w:vAlign w:val="center"/>
                </w:tcPr>
                <w:p w14:paraId="72F111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0" w:type="auto"/>
                  <w:vAlign w:val="center"/>
                </w:tcPr>
                <w:p w14:paraId="671107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744EC44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-53.2</w:t>
                  </w:r>
                  <w:r>
                    <w:rPr>
                      <w:rFonts w:hint="eastAsia" w:ascii="Times New Roman" w:hAnsi="Times New Roman" w:cs="Times New Roman"/>
                      <w:b w:val="0"/>
                      <w:bCs w:val="0"/>
                      <w:color w:val="auto"/>
                      <w:sz w:val="21"/>
                      <w:szCs w:val="21"/>
                      <w:u w:val="none"/>
                      <w:lang w:val="en-US" w:eastAsia="zh-CN"/>
                    </w:rPr>
                    <w:t>1</w:t>
                  </w:r>
                </w:p>
              </w:tc>
              <w:tc>
                <w:tcPr>
                  <w:tcW w:w="402" w:type="pct"/>
                  <w:shd w:val="clear" w:color="auto" w:fill="auto"/>
                  <w:vAlign w:val="center"/>
                </w:tcPr>
                <w:p w14:paraId="30544C7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-162.</w:t>
                  </w:r>
                  <w:r>
                    <w:rPr>
                      <w:rFonts w:hint="eastAsia" w:ascii="Times New Roman" w:hAnsi="Times New Roman" w:cs="Times New Roman"/>
                      <w:b w:val="0"/>
                      <w:bCs w:val="0"/>
                      <w:color w:val="auto"/>
                      <w:sz w:val="21"/>
                      <w:szCs w:val="21"/>
                      <w:u w:val="none"/>
                      <w:lang w:val="en-US" w:eastAsia="zh-CN"/>
                    </w:rPr>
                    <w:t>2</w:t>
                  </w:r>
                  <w:r>
                    <w:rPr>
                      <w:rFonts w:hint="default" w:ascii="Times New Roman" w:hAnsi="Times New Roman" w:cs="Times New Roman"/>
                      <w:b w:val="0"/>
                      <w:bCs w:val="0"/>
                      <w:color w:val="auto"/>
                      <w:sz w:val="21"/>
                      <w:szCs w:val="21"/>
                      <w:u w:val="none"/>
                      <w:lang w:val="en-US" w:eastAsia="zh-CN"/>
                    </w:rPr>
                    <w:t>5</w:t>
                  </w:r>
                </w:p>
              </w:tc>
              <w:tc>
                <w:tcPr>
                  <w:tcW w:w="234" w:type="pct"/>
                  <w:shd w:val="clear" w:color="auto" w:fill="auto"/>
                  <w:vAlign w:val="center"/>
                </w:tcPr>
                <w:p w14:paraId="5764968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60E382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366420FF">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0" w:type="auto"/>
                  <w:vAlign w:val="center"/>
                </w:tcPr>
                <w:p w14:paraId="37D593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0" w:type="auto"/>
                  <w:vAlign w:val="center"/>
                </w:tcPr>
                <w:p w14:paraId="78E7AD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1D803939">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538601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69D5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7C550E05">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25</w:t>
                  </w:r>
                </w:p>
              </w:tc>
              <w:tc>
                <w:tcPr>
                  <w:tcW w:w="242" w:type="pct"/>
                  <w:vMerge w:val="continue"/>
                  <w:vAlign w:val="center"/>
                </w:tcPr>
                <w:p w14:paraId="57BCE60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7F916F23">
                  <w:pPr>
                    <w:keepNext w:val="0"/>
                    <w:keepLines w:val="0"/>
                    <w:pageBreakBefore w:val="0"/>
                    <w:kinsoku/>
                    <w:wordWrap/>
                    <w:overflowPunct/>
                    <w:topLinePunct w:val="0"/>
                    <w:autoSpaceDE/>
                    <w:autoSpaceDN/>
                    <w:bidi w:val="0"/>
                    <w:ind w:right="0" w:rightChars="0" w:firstLine="0" w:firstLineChars="0"/>
                    <w:jc w:val="center"/>
                    <w:textAlignment w:val="auto"/>
                    <w:rPr>
                      <w:rFonts w:hint="eastAsia" w:cs="Times New Roman"/>
                      <w:color w:val="auto"/>
                      <w:sz w:val="21"/>
                      <w:szCs w:val="21"/>
                      <w:lang w:val="en-US" w:eastAsia="zh-CN"/>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0" w:type="auto"/>
                  <w:vAlign w:val="center"/>
                </w:tcPr>
                <w:p w14:paraId="7B40D9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0" w:type="auto"/>
                  <w:vAlign w:val="center"/>
                </w:tcPr>
                <w:p w14:paraId="47A8B7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0" w:type="auto"/>
                  <w:vAlign w:val="center"/>
                </w:tcPr>
                <w:p w14:paraId="49D4FE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0C6020F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-53.</w:t>
                  </w:r>
                  <w:r>
                    <w:rPr>
                      <w:rFonts w:hint="eastAsia" w:ascii="Times New Roman" w:hAnsi="Times New Roman" w:cs="Times New Roman"/>
                      <w:b w:val="0"/>
                      <w:bCs w:val="0"/>
                      <w:color w:val="auto"/>
                      <w:sz w:val="21"/>
                      <w:szCs w:val="21"/>
                      <w:u w:val="none"/>
                      <w:lang w:val="en-US" w:eastAsia="zh-CN"/>
                    </w:rPr>
                    <w:t>3</w:t>
                  </w:r>
                  <w:r>
                    <w:rPr>
                      <w:rFonts w:hint="default" w:ascii="Times New Roman" w:hAnsi="Times New Roman" w:cs="Times New Roman"/>
                      <w:b w:val="0"/>
                      <w:bCs w:val="0"/>
                      <w:color w:val="auto"/>
                      <w:sz w:val="21"/>
                      <w:szCs w:val="21"/>
                      <w:u w:val="none"/>
                      <w:lang w:val="en-US" w:eastAsia="zh-CN"/>
                    </w:rPr>
                    <w:t>4</w:t>
                  </w:r>
                </w:p>
              </w:tc>
              <w:tc>
                <w:tcPr>
                  <w:tcW w:w="402" w:type="pct"/>
                  <w:shd w:val="clear" w:color="auto" w:fill="auto"/>
                  <w:vAlign w:val="center"/>
                </w:tcPr>
                <w:p w14:paraId="08E0401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-162.</w:t>
                  </w:r>
                  <w:r>
                    <w:rPr>
                      <w:rFonts w:hint="eastAsia" w:ascii="Times New Roman" w:hAnsi="Times New Roman" w:cs="Times New Roman"/>
                      <w:b w:val="0"/>
                      <w:bCs w:val="0"/>
                      <w:color w:val="auto"/>
                      <w:sz w:val="21"/>
                      <w:szCs w:val="21"/>
                      <w:u w:val="none"/>
                      <w:lang w:val="en-US" w:eastAsia="zh-CN"/>
                    </w:rPr>
                    <w:t>15</w:t>
                  </w:r>
                </w:p>
              </w:tc>
              <w:tc>
                <w:tcPr>
                  <w:tcW w:w="234" w:type="pct"/>
                  <w:shd w:val="clear" w:color="auto" w:fill="auto"/>
                  <w:vAlign w:val="center"/>
                </w:tcPr>
                <w:p w14:paraId="1EC25EC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332705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0FD92BA2">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0" w:type="auto"/>
                  <w:vAlign w:val="center"/>
                </w:tcPr>
                <w:p w14:paraId="593DF2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0" w:type="auto"/>
                  <w:vAlign w:val="center"/>
                </w:tcPr>
                <w:p w14:paraId="4A583E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1D51C72F">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5914AC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16D5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239A8E94">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26</w:t>
                  </w:r>
                </w:p>
              </w:tc>
              <w:tc>
                <w:tcPr>
                  <w:tcW w:w="242" w:type="pct"/>
                  <w:vMerge w:val="continue"/>
                  <w:vAlign w:val="center"/>
                </w:tcPr>
                <w:p w14:paraId="477A161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0E833221">
                  <w:pPr>
                    <w:keepNext w:val="0"/>
                    <w:keepLines w:val="0"/>
                    <w:pageBreakBefore w:val="0"/>
                    <w:kinsoku/>
                    <w:wordWrap/>
                    <w:overflowPunct/>
                    <w:topLinePunct w:val="0"/>
                    <w:autoSpaceDE/>
                    <w:autoSpaceDN/>
                    <w:bidi w:val="0"/>
                    <w:ind w:right="0" w:rightChars="0" w:firstLine="0" w:firstLineChars="0"/>
                    <w:jc w:val="center"/>
                    <w:textAlignment w:val="auto"/>
                    <w:rPr>
                      <w:rFonts w:hint="eastAsia" w:cs="Times New Roman"/>
                      <w:color w:val="auto"/>
                      <w:kern w:val="0"/>
                      <w:sz w:val="21"/>
                      <w:szCs w:val="21"/>
                      <w:u w:val="none" w:color="auto"/>
                      <w:lang w:val="en-US" w:eastAsia="zh-CN"/>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0" w:type="auto"/>
                  <w:vAlign w:val="center"/>
                </w:tcPr>
                <w:p w14:paraId="33730B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0" w:type="auto"/>
                  <w:vAlign w:val="center"/>
                </w:tcPr>
                <w:p w14:paraId="1A6C14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0" w:type="auto"/>
                  <w:vAlign w:val="center"/>
                </w:tcPr>
                <w:p w14:paraId="226222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5807BED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-53.</w:t>
                  </w:r>
                  <w:r>
                    <w:rPr>
                      <w:rFonts w:hint="eastAsia" w:ascii="Times New Roman" w:hAnsi="Times New Roman" w:cs="Times New Roman"/>
                      <w:b w:val="0"/>
                      <w:bCs w:val="0"/>
                      <w:color w:val="auto"/>
                      <w:sz w:val="21"/>
                      <w:szCs w:val="21"/>
                      <w:u w:val="none"/>
                      <w:lang w:val="en-US" w:eastAsia="zh-CN"/>
                    </w:rPr>
                    <w:t>23</w:t>
                  </w:r>
                </w:p>
              </w:tc>
              <w:tc>
                <w:tcPr>
                  <w:tcW w:w="402" w:type="pct"/>
                  <w:shd w:val="clear" w:color="auto" w:fill="auto"/>
                  <w:vAlign w:val="center"/>
                </w:tcPr>
                <w:p w14:paraId="197DFF4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-162.</w:t>
                  </w:r>
                  <w:r>
                    <w:rPr>
                      <w:rFonts w:hint="eastAsia" w:ascii="Times New Roman" w:hAnsi="Times New Roman" w:cs="Times New Roman"/>
                      <w:b w:val="0"/>
                      <w:bCs w:val="0"/>
                      <w:color w:val="auto"/>
                      <w:sz w:val="21"/>
                      <w:szCs w:val="21"/>
                      <w:u w:val="none"/>
                      <w:lang w:val="en-US" w:eastAsia="zh-CN"/>
                    </w:rPr>
                    <w:t>11</w:t>
                  </w:r>
                </w:p>
              </w:tc>
              <w:tc>
                <w:tcPr>
                  <w:tcW w:w="234" w:type="pct"/>
                  <w:shd w:val="clear" w:color="auto" w:fill="auto"/>
                  <w:vAlign w:val="center"/>
                </w:tcPr>
                <w:p w14:paraId="7C0C9B5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5A6227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381125D0">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0" w:type="auto"/>
                  <w:vAlign w:val="center"/>
                </w:tcPr>
                <w:p w14:paraId="7E9E36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0" w:type="auto"/>
                  <w:vAlign w:val="center"/>
                </w:tcPr>
                <w:p w14:paraId="6F4C6C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397A0468">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2E7C03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6B31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39AE4718">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27</w:t>
                  </w:r>
                </w:p>
              </w:tc>
              <w:tc>
                <w:tcPr>
                  <w:tcW w:w="242" w:type="pct"/>
                  <w:vMerge w:val="continue"/>
                  <w:vAlign w:val="center"/>
                </w:tcPr>
                <w:p w14:paraId="64CA518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0481C371">
                  <w:pPr>
                    <w:keepNext w:val="0"/>
                    <w:keepLines w:val="0"/>
                    <w:pageBreakBefore w:val="0"/>
                    <w:kinsoku/>
                    <w:wordWrap/>
                    <w:overflowPunct/>
                    <w:topLinePunct w:val="0"/>
                    <w:autoSpaceDE/>
                    <w:autoSpaceDN/>
                    <w:bidi w:val="0"/>
                    <w:ind w:right="0" w:rightChars="0" w:firstLine="0" w:firstLineChars="0"/>
                    <w:jc w:val="center"/>
                    <w:textAlignment w:val="auto"/>
                    <w:rPr>
                      <w:rFonts w:hint="eastAsia" w:cs="Times New Roman"/>
                      <w:color w:val="auto"/>
                      <w:kern w:val="0"/>
                      <w:sz w:val="21"/>
                      <w:szCs w:val="21"/>
                      <w:u w:val="none" w:color="auto"/>
                      <w:lang w:val="en-US" w:eastAsia="zh-CN"/>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0" w:type="auto"/>
                  <w:vAlign w:val="center"/>
                </w:tcPr>
                <w:p w14:paraId="16F040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0" w:type="auto"/>
                  <w:vAlign w:val="center"/>
                </w:tcPr>
                <w:p w14:paraId="570406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0" w:type="auto"/>
                  <w:vAlign w:val="center"/>
                </w:tcPr>
                <w:p w14:paraId="7EE5E9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78F251D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-60.18</w:t>
                  </w:r>
                </w:p>
              </w:tc>
              <w:tc>
                <w:tcPr>
                  <w:tcW w:w="402" w:type="pct"/>
                  <w:shd w:val="clear" w:color="auto" w:fill="auto"/>
                  <w:vAlign w:val="center"/>
                </w:tcPr>
                <w:p w14:paraId="58F3856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-180.34</w:t>
                  </w:r>
                </w:p>
              </w:tc>
              <w:tc>
                <w:tcPr>
                  <w:tcW w:w="234" w:type="pct"/>
                  <w:shd w:val="clear" w:color="auto" w:fill="auto"/>
                  <w:vAlign w:val="center"/>
                </w:tcPr>
                <w:p w14:paraId="76D3D27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32076F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6AEBA373">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0" w:type="auto"/>
                  <w:vAlign w:val="center"/>
                </w:tcPr>
                <w:p w14:paraId="187870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0" w:type="auto"/>
                  <w:vAlign w:val="center"/>
                </w:tcPr>
                <w:p w14:paraId="72484E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1E0D894A">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7AF7C6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0EC9F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5FC5ADE1">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28</w:t>
                  </w:r>
                </w:p>
              </w:tc>
              <w:tc>
                <w:tcPr>
                  <w:tcW w:w="242" w:type="pct"/>
                  <w:vMerge w:val="continue"/>
                  <w:vAlign w:val="center"/>
                </w:tcPr>
                <w:p w14:paraId="2D90B35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20E1CD17">
                  <w:pPr>
                    <w:keepNext w:val="0"/>
                    <w:keepLines w:val="0"/>
                    <w:pageBreakBefore w:val="0"/>
                    <w:kinsoku/>
                    <w:wordWrap/>
                    <w:overflowPunct/>
                    <w:topLinePunct w:val="0"/>
                    <w:autoSpaceDE/>
                    <w:autoSpaceDN/>
                    <w:bidi w:val="0"/>
                    <w:ind w:right="0" w:rightChars="0" w:firstLine="0" w:firstLineChars="0"/>
                    <w:jc w:val="center"/>
                    <w:textAlignment w:val="auto"/>
                    <w:rPr>
                      <w:rFonts w:hint="eastAsia" w:cs="Times New Roman"/>
                      <w:color w:val="auto"/>
                      <w:kern w:val="0"/>
                      <w:sz w:val="21"/>
                      <w:szCs w:val="21"/>
                      <w:u w:val="none" w:color="auto"/>
                      <w:lang w:val="en-US" w:eastAsia="zh-CN"/>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0" w:type="auto"/>
                  <w:vAlign w:val="center"/>
                </w:tcPr>
                <w:p w14:paraId="71D365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0" w:type="auto"/>
                  <w:vAlign w:val="center"/>
                </w:tcPr>
                <w:p w14:paraId="041497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0" w:type="auto"/>
                  <w:vAlign w:val="center"/>
                </w:tcPr>
                <w:p w14:paraId="36D06D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3FCD665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-65.18</w:t>
                  </w:r>
                </w:p>
              </w:tc>
              <w:tc>
                <w:tcPr>
                  <w:tcW w:w="402" w:type="pct"/>
                  <w:shd w:val="clear" w:color="auto" w:fill="auto"/>
                  <w:vAlign w:val="center"/>
                </w:tcPr>
                <w:p w14:paraId="2DA5F8C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-187.04</w:t>
                  </w:r>
                </w:p>
              </w:tc>
              <w:tc>
                <w:tcPr>
                  <w:tcW w:w="234" w:type="pct"/>
                  <w:shd w:val="clear" w:color="auto" w:fill="auto"/>
                  <w:vAlign w:val="center"/>
                </w:tcPr>
                <w:p w14:paraId="618F834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516E6B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11859657">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0" w:type="auto"/>
                  <w:vAlign w:val="center"/>
                </w:tcPr>
                <w:p w14:paraId="1829B2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0" w:type="auto"/>
                  <w:vAlign w:val="center"/>
                </w:tcPr>
                <w:p w14:paraId="10CF31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49637089">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19EB8A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133C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21D9FD7B">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29</w:t>
                  </w:r>
                </w:p>
              </w:tc>
              <w:tc>
                <w:tcPr>
                  <w:tcW w:w="242" w:type="pct"/>
                  <w:vMerge w:val="continue"/>
                  <w:vAlign w:val="center"/>
                </w:tcPr>
                <w:p w14:paraId="3C287B3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60EAE946">
                  <w:pPr>
                    <w:keepNext w:val="0"/>
                    <w:keepLines w:val="0"/>
                    <w:pageBreakBefore w:val="0"/>
                    <w:kinsoku/>
                    <w:wordWrap/>
                    <w:overflowPunct/>
                    <w:topLinePunct w:val="0"/>
                    <w:autoSpaceDE/>
                    <w:autoSpaceDN/>
                    <w:bidi w:val="0"/>
                    <w:ind w:right="0" w:rightChars="0" w:firstLine="0" w:firstLineChars="0"/>
                    <w:jc w:val="center"/>
                    <w:textAlignment w:val="auto"/>
                    <w:rPr>
                      <w:rFonts w:hint="eastAsia" w:cs="Times New Roman"/>
                      <w:color w:val="auto"/>
                      <w:kern w:val="0"/>
                      <w:sz w:val="21"/>
                      <w:szCs w:val="21"/>
                      <w:u w:val="none" w:color="auto"/>
                      <w:lang w:val="en-US" w:eastAsia="zh-CN"/>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0" w:type="auto"/>
                  <w:vAlign w:val="center"/>
                </w:tcPr>
                <w:p w14:paraId="280841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0" w:type="auto"/>
                  <w:vAlign w:val="center"/>
                </w:tcPr>
                <w:p w14:paraId="15C323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0" w:type="auto"/>
                  <w:vAlign w:val="center"/>
                </w:tcPr>
                <w:p w14:paraId="234D45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6F1B741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-65.1</w:t>
                  </w:r>
                  <w:r>
                    <w:rPr>
                      <w:rFonts w:hint="eastAsia" w:ascii="Times New Roman" w:hAnsi="Times New Roman" w:cs="Times New Roman"/>
                      <w:b w:val="0"/>
                      <w:bCs w:val="0"/>
                      <w:color w:val="auto"/>
                      <w:sz w:val="21"/>
                      <w:szCs w:val="21"/>
                      <w:u w:val="none"/>
                      <w:lang w:val="en-US" w:eastAsia="zh-CN"/>
                    </w:rPr>
                    <w:t>2</w:t>
                  </w:r>
                </w:p>
              </w:tc>
              <w:tc>
                <w:tcPr>
                  <w:tcW w:w="402" w:type="pct"/>
                  <w:shd w:val="clear" w:color="auto" w:fill="auto"/>
                  <w:vAlign w:val="center"/>
                </w:tcPr>
                <w:p w14:paraId="4EF1DD6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-187.</w:t>
                  </w:r>
                  <w:r>
                    <w:rPr>
                      <w:rFonts w:hint="eastAsia" w:ascii="Times New Roman" w:hAnsi="Times New Roman" w:cs="Times New Roman"/>
                      <w:b w:val="0"/>
                      <w:bCs w:val="0"/>
                      <w:color w:val="auto"/>
                      <w:sz w:val="21"/>
                      <w:szCs w:val="21"/>
                      <w:u w:val="none"/>
                      <w:lang w:val="en-US" w:eastAsia="zh-CN"/>
                    </w:rPr>
                    <w:t>57</w:t>
                  </w:r>
                </w:p>
              </w:tc>
              <w:tc>
                <w:tcPr>
                  <w:tcW w:w="234" w:type="pct"/>
                  <w:shd w:val="clear" w:color="auto" w:fill="auto"/>
                  <w:vAlign w:val="center"/>
                </w:tcPr>
                <w:p w14:paraId="1CDFEC0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7AC40F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12194387">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0" w:type="auto"/>
                  <w:vAlign w:val="center"/>
                </w:tcPr>
                <w:p w14:paraId="00F333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0" w:type="auto"/>
                  <w:vAlign w:val="center"/>
                </w:tcPr>
                <w:p w14:paraId="1F4343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0E33F639">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0DD606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74D9C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3482B554">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30</w:t>
                  </w:r>
                </w:p>
              </w:tc>
              <w:tc>
                <w:tcPr>
                  <w:tcW w:w="242" w:type="pct"/>
                  <w:vMerge w:val="continue"/>
                  <w:vAlign w:val="center"/>
                </w:tcPr>
                <w:p w14:paraId="685E851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6085752D">
                  <w:pPr>
                    <w:keepNext w:val="0"/>
                    <w:keepLines w:val="0"/>
                    <w:pageBreakBefore w:val="0"/>
                    <w:kinsoku/>
                    <w:wordWrap/>
                    <w:overflowPunct/>
                    <w:topLinePunct w:val="0"/>
                    <w:autoSpaceDE/>
                    <w:autoSpaceDN/>
                    <w:bidi w:val="0"/>
                    <w:ind w:right="0" w:rightChars="0" w:firstLine="0" w:firstLineChars="0"/>
                    <w:jc w:val="center"/>
                    <w:textAlignment w:val="auto"/>
                    <w:rPr>
                      <w:rFonts w:hint="eastAsia" w:cs="Times New Roman"/>
                      <w:color w:val="auto"/>
                      <w:kern w:val="0"/>
                      <w:sz w:val="21"/>
                      <w:szCs w:val="21"/>
                      <w:u w:val="none" w:color="auto"/>
                      <w:lang w:val="en-US" w:eastAsia="zh-CN"/>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0" w:type="auto"/>
                  <w:vAlign w:val="center"/>
                </w:tcPr>
                <w:p w14:paraId="74F472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0" w:type="auto"/>
                  <w:vAlign w:val="center"/>
                </w:tcPr>
                <w:p w14:paraId="28C7ED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0" w:type="auto"/>
                  <w:vAlign w:val="center"/>
                </w:tcPr>
                <w:p w14:paraId="7EB49D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7081284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-75.54</w:t>
                  </w:r>
                </w:p>
              </w:tc>
              <w:tc>
                <w:tcPr>
                  <w:tcW w:w="402" w:type="pct"/>
                  <w:shd w:val="clear" w:color="auto" w:fill="auto"/>
                  <w:vAlign w:val="center"/>
                </w:tcPr>
                <w:p w14:paraId="2C823B8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-164.24</w:t>
                  </w:r>
                </w:p>
              </w:tc>
              <w:tc>
                <w:tcPr>
                  <w:tcW w:w="234" w:type="pct"/>
                  <w:shd w:val="clear" w:color="auto" w:fill="auto"/>
                  <w:vAlign w:val="center"/>
                </w:tcPr>
                <w:p w14:paraId="099CF3B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15F5D6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012975A7">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0" w:type="auto"/>
                  <w:vAlign w:val="center"/>
                </w:tcPr>
                <w:p w14:paraId="2DEE0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0" w:type="auto"/>
                  <w:vAlign w:val="center"/>
                </w:tcPr>
                <w:p w14:paraId="66EA19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14FF10A8">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7FDBAC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68BE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4B264D94">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31</w:t>
                  </w:r>
                </w:p>
              </w:tc>
              <w:tc>
                <w:tcPr>
                  <w:tcW w:w="242" w:type="pct"/>
                  <w:vMerge w:val="continue"/>
                  <w:vAlign w:val="center"/>
                </w:tcPr>
                <w:p w14:paraId="5C973F2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38CF2D59">
                  <w:pPr>
                    <w:keepNext w:val="0"/>
                    <w:keepLines w:val="0"/>
                    <w:pageBreakBefore w:val="0"/>
                    <w:kinsoku/>
                    <w:wordWrap/>
                    <w:overflowPunct/>
                    <w:topLinePunct w:val="0"/>
                    <w:autoSpaceDE/>
                    <w:autoSpaceDN/>
                    <w:bidi w:val="0"/>
                    <w:ind w:right="0" w:rightChars="0" w:firstLine="0" w:firstLineChars="0"/>
                    <w:jc w:val="center"/>
                    <w:textAlignment w:val="auto"/>
                    <w:rPr>
                      <w:rFonts w:hint="eastAsia" w:cs="Times New Roman"/>
                      <w:color w:val="auto"/>
                      <w:kern w:val="0"/>
                      <w:sz w:val="21"/>
                      <w:szCs w:val="21"/>
                      <w:u w:val="none" w:color="auto"/>
                      <w:lang w:val="en-US" w:eastAsia="zh-CN"/>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0" w:type="auto"/>
                  <w:vAlign w:val="center"/>
                </w:tcPr>
                <w:p w14:paraId="364995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0" w:type="auto"/>
                  <w:vAlign w:val="center"/>
                </w:tcPr>
                <w:p w14:paraId="662E88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0" w:type="auto"/>
                  <w:vAlign w:val="center"/>
                </w:tcPr>
                <w:p w14:paraId="1ACCB8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1D12B18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-75.</w:t>
                  </w:r>
                  <w:r>
                    <w:rPr>
                      <w:rFonts w:hint="eastAsia" w:ascii="Times New Roman" w:hAnsi="Times New Roman" w:cs="Times New Roman"/>
                      <w:b w:val="0"/>
                      <w:bCs w:val="0"/>
                      <w:color w:val="auto"/>
                      <w:sz w:val="21"/>
                      <w:szCs w:val="21"/>
                      <w:u w:val="none"/>
                      <w:lang w:val="en-US" w:eastAsia="zh-CN"/>
                    </w:rPr>
                    <w:t>57</w:t>
                  </w:r>
                </w:p>
              </w:tc>
              <w:tc>
                <w:tcPr>
                  <w:tcW w:w="402" w:type="pct"/>
                  <w:shd w:val="clear" w:color="auto" w:fill="auto"/>
                  <w:vAlign w:val="center"/>
                </w:tcPr>
                <w:p w14:paraId="0FE2CAB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-164.</w:t>
                  </w:r>
                  <w:r>
                    <w:rPr>
                      <w:rFonts w:hint="eastAsia" w:ascii="Times New Roman" w:hAnsi="Times New Roman" w:cs="Times New Roman"/>
                      <w:b w:val="0"/>
                      <w:bCs w:val="0"/>
                      <w:color w:val="auto"/>
                      <w:sz w:val="21"/>
                      <w:szCs w:val="21"/>
                      <w:u w:val="none"/>
                      <w:lang w:val="en-US" w:eastAsia="zh-CN"/>
                    </w:rPr>
                    <w:t>67</w:t>
                  </w:r>
                </w:p>
              </w:tc>
              <w:tc>
                <w:tcPr>
                  <w:tcW w:w="234" w:type="pct"/>
                  <w:shd w:val="clear" w:color="auto" w:fill="auto"/>
                  <w:vAlign w:val="center"/>
                </w:tcPr>
                <w:p w14:paraId="4329A5D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41FE1F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1C84108D">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0" w:type="auto"/>
                  <w:vAlign w:val="center"/>
                </w:tcPr>
                <w:p w14:paraId="72C48E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0" w:type="auto"/>
                  <w:vAlign w:val="center"/>
                </w:tcPr>
                <w:p w14:paraId="6515DD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1EB63883">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0DACDE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3A6C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0092A92D">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32</w:t>
                  </w:r>
                </w:p>
              </w:tc>
              <w:tc>
                <w:tcPr>
                  <w:tcW w:w="242" w:type="pct"/>
                  <w:vMerge w:val="continue"/>
                  <w:vAlign w:val="center"/>
                </w:tcPr>
                <w:p w14:paraId="60CA9AA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247AAEE2">
                  <w:pPr>
                    <w:keepNext w:val="0"/>
                    <w:keepLines w:val="0"/>
                    <w:pageBreakBefore w:val="0"/>
                    <w:kinsoku/>
                    <w:wordWrap/>
                    <w:overflowPunct/>
                    <w:topLinePunct w:val="0"/>
                    <w:autoSpaceDE/>
                    <w:autoSpaceDN/>
                    <w:bidi w:val="0"/>
                    <w:ind w:right="0" w:rightChars="0" w:firstLine="0" w:firstLineChars="0"/>
                    <w:jc w:val="center"/>
                    <w:textAlignment w:val="auto"/>
                    <w:rPr>
                      <w:rFonts w:hint="default" w:cs="Times New Roman"/>
                      <w:color w:val="auto"/>
                      <w:sz w:val="21"/>
                      <w:szCs w:val="21"/>
                      <w:lang w:val="en-US" w:eastAsia="zh-CN"/>
                    </w:rPr>
                  </w:pPr>
                  <w:r>
                    <w:rPr>
                      <w:rFonts w:hint="eastAsia" w:ascii="Times New Roman" w:hAnsi="Times New Roman" w:cs="Times New Roman"/>
                      <w:color w:val="auto"/>
                      <w:kern w:val="0"/>
                      <w:sz w:val="21"/>
                      <w:szCs w:val="21"/>
                      <w:lang w:val="en-US" w:eastAsia="zh-CN"/>
                    </w:rPr>
                    <w:t>机械</w:t>
                  </w:r>
                  <w:r>
                    <w:rPr>
                      <w:rFonts w:hint="default" w:ascii="Times New Roman" w:hAnsi="Times New Roman" w:cs="Times New Roman"/>
                      <w:color w:val="auto"/>
                      <w:kern w:val="0"/>
                      <w:sz w:val="21"/>
                      <w:szCs w:val="21"/>
                      <w:lang w:val="en-US" w:eastAsia="zh-CN"/>
                    </w:rPr>
                    <w:t>冲床</w:t>
                  </w:r>
                </w:p>
              </w:tc>
              <w:tc>
                <w:tcPr>
                  <w:tcW w:w="0" w:type="auto"/>
                  <w:vAlign w:val="center"/>
                </w:tcPr>
                <w:p w14:paraId="47E18C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0" w:type="auto"/>
                  <w:vAlign w:val="center"/>
                </w:tcPr>
                <w:p w14:paraId="577277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0" w:type="auto"/>
                  <w:vAlign w:val="center"/>
                </w:tcPr>
                <w:p w14:paraId="348D6E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42FE72E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-74.55</w:t>
                  </w:r>
                </w:p>
              </w:tc>
              <w:tc>
                <w:tcPr>
                  <w:tcW w:w="402" w:type="pct"/>
                  <w:shd w:val="clear" w:color="auto" w:fill="auto"/>
                  <w:vAlign w:val="center"/>
                </w:tcPr>
                <w:p w14:paraId="22EABBF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cs="Times New Roman"/>
                      <w:b w:val="0"/>
                      <w:bCs w:val="0"/>
                      <w:color w:val="auto"/>
                      <w:sz w:val="21"/>
                      <w:szCs w:val="21"/>
                      <w:u w:val="none"/>
                      <w:lang w:val="en-US" w:eastAsia="zh-CN"/>
                    </w:rPr>
                    <w:t>-164.23</w:t>
                  </w:r>
                </w:p>
              </w:tc>
              <w:tc>
                <w:tcPr>
                  <w:tcW w:w="234" w:type="pct"/>
                  <w:shd w:val="clear" w:color="auto" w:fill="auto"/>
                  <w:vAlign w:val="center"/>
                </w:tcPr>
                <w:p w14:paraId="23DC3F4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21F033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3CCC8488">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75</w:t>
                  </w:r>
                </w:p>
              </w:tc>
              <w:tc>
                <w:tcPr>
                  <w:tcW w:w="0" w:type="auto"/>
                  <w:vAlign w:val="center"/>
                </w:tcPr>
                <w:p w14:paraId="0D2114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0" w:type="auto"/>
                  <w:vAlign w:val="center"/>
                </w:tcPr>
                <w:p w14:paraId="16967C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7A49EE5D">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42AFB2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44B8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189A69C8">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33</w:t>
                  </w:r>
                </w:p>
              </w:tc>
              <w:tc>
                <w:tcPr>
                  <w:tcW w:w="242" w:type="pct"/>
                  <w:vMerge w:val="continue"/>
                  <w:vAlign w:val="center"/>
                </w:tcPr>
                <w:p w14:paraId="1FDB537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6261192B">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台式钻床</w:t>
                  </w:r>
                </w:p>
              </w:tc>
              <w:tc>
                <w:tcPr>
                  <w:tcW w:w="0" w:type="auto"/>
                  <w:vAlign w:val="center"/>
                </w:tcPr>
                <w:p w14:paraId="7FA273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383" w:type="pct"/>
                  <w:vAlign w:val="center"/>
                </w:tcPr>
                <w:p w14:paraId="0CF303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27A087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275A527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-74.</w:t>
                  </w:r>
                  <w:r>
                    <w:rPr>
                      <w:rFonts w:hint="eastAsia" w:ascii="Times New Roman" w:hAnsi="Times New Roman" w:cs="Times New Roman"/>
                      <w:b w:val="0"/>
                      <w:bCs w:val="0"/>
                      <w:color w:val="auto"/>
                      <w:sz w:val="21"/>
                      <w:szCs w:val="21"/>
                      <w:u w:val="none"/>
                      <w:lang w:val="en-US" w:eastAsia="zh-CN"/>
                    </w:rPr>
                    <w:t>57</w:t>
                  </w:r>
                </w:p>
              </w:tc>
              <w:tc>
                <w:tcPr>
                  <w:tcW w:w="402" w:type="pct"/>
                  <w:shd w:val="clear" w:color="auto" w:fill="auto"/>
                  <w:vAlign w:val="center"/>
                </w:tcPr>
                <w:p w14:paraId="130D4D2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-164.</w:t>
                  </w:r>
                  <w:r>
                    <w:rPr>
                      <w:rFonts w:hint="eastAsia" w:ascii="Times New Roman" w:hAnsi="Times New Roman" w:cs="Times New Roman"/>
                      <w:b w:val="0"/>
                      <w:bCs w:val="0"/>
                      <w:color w:val="auto"/>
                      <w:sz w:val="21"/>
                      <w:szCs w:val="21"/>
                      <w:u w:val="none"/>
                      <w:lang w:val="en-US" w:eastAsia="zh-CN"/>
                    </w:rPr>
                    <w:t>06</w:t>
                  </w:r>
                </w:p>
              </w:tc>
              <w:tc>
                <w:tcPr>
                  <w:tcW w:w="234" w:type="pct"/>
                  <w:shd w:val="clear" w:color="auto" w:fill="auto"/>
                  <w:vAlign w:val="center"/>
                </w:tcPr>
                <w:p w14:paraId="4FE9BFD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1DA543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6015E0C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75</w:t>
                  </w:r>
                </w:p>
              </w:tc>
              <w:tc>
                <w:tcPr>
                  <w:tcW w:w="280" w:type="pct"/>
                  <w:vAlign w:val="center"/>
                </w:tcPr>
                <w:p w14:paraId="1BCEE4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14E846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216CACD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7D0933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3B58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47713FAA">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34</w:t>
                  </w:r>
                </w:p>
              </w:tc>
              <w:tc>
                <w:tcPr>
                  <w:tcW w:w="242" w:type="pct"/>
                  <w:vMerge w:val="continue"/>
                  <w:vAlign w:val="center"/>
                </w:tcPr>
                <w:p w14:paraId="4126755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7CA0FD23">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台式钻床</w:t>
                  </w:r>
                </w:p>
              </w:tc>
              <w:tc>
                <w:tcPr>
                  <w:tcW w:w="0" w:type="auto"/>
                  <w:vAlign w:val="center"/>
                </w:tcPr>
                <w:p w14:paraId="710F2B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90</w:t>
                  </w:r>
                </w:p>
              </w:tc>
              <w:tc>
                <w:tcPr>
                  <w:tcW w:w="383" w:type="pct"/>
                  <w:vAlign w:val="center"/>
                </w:tcPr>
                <w:p w14:paraId="79BA2C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2C1475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386FCBE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-74.5</w:t>
                  </w:r>
                  <w:r>
                    <w:rPr>
                      <w:rFonts w:hint="eastAsia" w:ascii="Times New Roman" w:hAnsi="Times New Roman" w:cs="Times New Roman"/>
                      <w:b w:val="0"/>
                      <w:bCs w:val="0"/>
                      <w:color w:val="auto"/>
                      <w:sz w:val="21"/>
                      <w:szCs w:val="21"/>
                      <w:u w:val="none"/>
                      <w:lang w:val="en-US" w:eastAsia="zh-CN"/>
                    </w:rPr>
                    <w:t>0</w:t>
                  </w:r>
                </w:p>
              </w:tc>
              <w:tc>
                <w:tcPr>
                  <w:tcW w:w="402" w:type="pct"/>
                  <w:shd w:val="clear" w:color="auto" w:fill="auto"/>
                  <w:vAlign w:val="center"/>
                </w:tcPr>
                <w:p w14:paraId="28DAC89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-164.</w:t>
                  </w:r>
                  <w:r>
                    <w:rPr>
                      <w:rFonts w:hint="eastAsia" w:ascii="Times New Roman" w:hAnsi="Times New Roman" w:cs="Times New Roman"/>
                      <w:b w:val="0"/>
                      <w:bCs w:val="0"/>
                      <w:color w:val="auto"/>
                      <w:sz w:val="21"/>
                      <w:szCs w:val="21"/>
                      <w:u w:val="none"/>
                      <w:lang w:val="en-US" w:eastAsia="zh-CN"/>
                    </w:rPr>
                    <w:t>67</w:t>
                  </w:r>
                </w:p>
              </w:tc>
              <w:tc>
                <w:tcPr>
                  <w:tcW w:w="234" w:type="pct"/>
                  <w:shd w:val="clear" w:color="auto" w:fill="auto"/>
                  <w:vAlign w:val="center"/>
                </w:tcPr>
                <w:p w14:paraId="6A69EAF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3C4A35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5E7E61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75</w:t>
                  </w:r>
                </w:p>
              </w:tc>
              <w:tc>
                <w:tcPr>
                  <w:tcW w:w="280" w:type="pct"/>
                  <w:vAlign w:val="center"/>
                </w:tcPr>
                <w:p w14:paraId="4750F6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2665FA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36DF28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30F197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0022F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0D5A8A3E">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35</w:t>
                  </w:r>
                </w:p>
              </w:tc>
              <w:tc>
                <w:tcPr>
                  <w:tcW w:w="242" w:type="pct"/>
                  <w:vMerge w:val="continue"/>
                  <w:vAlign w:val="center"/>
                </w:tcPr>
                <w:p w14:paraId="18D0DAC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764D36DF">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u w:val="none" w:color="auto"/>
                      <w:lang w:val="en-US" w:eastAsia="zh-CN"/>
                    </w:rPr>
                    <w:t>焊接设备</w:t>
                  </w:r>
                </w:p>
              </w:tc>
              <w:tc>
                <w:tcPr>
                  <w:tcW w:w="0" w:type="auto"/>
                  <w:vAlign w:val="center"/>
                </w:tcPr>
                <w:p w14:paraId="786B9AE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2BEA75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28C90A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22E0D97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-74.56</w:t>
                  </w:r>
                </w:p>
              </w:tc>
              <w:tc>
                <w:tcPr>
                  <w:tcW w:w="402" w:type="pct"/>
                  <w:shd w:val="clear" w:color="auto" w:fill="auto"/>
                  <w:vAlign w:val="center"/>
                </w:tcPr>
                <w:p w14:paraId="46C1CA3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-164.22</w:t>
                  </w:r>
                </w:p>
              </w:tc>
              <w:tc>
                <w:tcPr>
                  <w:tcW w:w="234" w:type="pct"/>
                  <w:shd w:val="clear" w:color="auto" w:fill="auto"/>
                  <w:vAlign w:val="center"/>
                </w:tcPr>
                <w:p w14:paraId="5DF5CB9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19B1F6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15855BC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1E5B71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679A47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184F77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0" w:type="auto"/>
                  <w:vAlign w:val="center"/>
                </w:tcPr>
                <w:p w14:paraId="0F4967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3F51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3157B3FA">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36</w:t>
                  </w:r>
                </w:p>
              </w:tc>
              <w:tc>
                <w:tcPr>
                  <w:tcW w:w="242" w:type="pct"/>
                  <w:vMerge w:val="continue"/>
                  <w:vAlign w:val="center"/>
                </w:tcPr>
                <w:p w14:paraId="2985E15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0B282F83">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u w:val="none" w:color="auto"/>
                      <w:lang w:val="en-US" w:eastAsia="zh-CN"/>
                    </w:rPr>
                    <w:t>焊接设备</w:t>
                  </w:r>
                </w:p>
              </w:tc>
              <w:tc>
                <w:tcPr>
                  <w:tcW w:w="0" w:type="auto"/>
                  <w:vAlign w:val="center"/>
                </w:tcPr>
                <w:p w14:paraId="5F8BD1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22F30E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0E1AE0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094C2E8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-73.98</w:t>
                  </w:r>
                </w:p>
              </w:tc>
              <w:tc>
                <w:tcPr>
                  <w:tcW w:w="402" w:type="pct"/>
                  <w:shd w:val="clear" w:color="auto" w:fill="auto"/>
                  <w:vAlign w:val="center"/>
                </w:tcPr>
                <w:p w14:paraId="7AF7DBC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-163.45</w:t>
                  </w:r>
                </w:p>
              </w:tc>
              <w:tc>
                <w:tcPr>
                  <w:tcW w:w="234" w:type="pct"/>
                  <w:shd w:val="clear" w:color="auto" w:fill="auto"/>
                  <w:vAlign w:val="center"/>
                </w:tcPr>
                <w:p w14:paraId="3FB4374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5139DA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518824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49AF56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0AA721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06331F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0" w:type="auto"/>
                  <w:vAlign w:val="center"/>
                </w:tcPr>
                <w:p w14:paraId="537D2E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082DC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114187B0">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37</w:t>
                  </w:r>
                </w:p>
              </w:tc>
              <w:tc>
                <w:tcPr>
                  <w:tcW w:w="242" w:type="pct"/>
                  <w:vMerge w:val="continue"/>
                  <w:vAlign w:val="center"/>
                </w:tcPr>
                <w:p w14:paraId="3F613CE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324E13F2">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u w:val="none" w:color="auto"/>
                      <w:lang w:val="en-US" w:eastAsia="zh-CN"/>
                    </w:rPr>
                    <w:t>焊接设备</w:t>
                  </w:r>
                </w:p>
              </w:tc>
              <w:tc>
                <w:tcPr>
                  <w:tcW w:w="0" w:type="auto"/>
                  <w:vAlign w:val="center"/>
                </w:tcPr>
                <w:p w14:paraId="160B1B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50DA4C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43ADD3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1719846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-50.33</w:t>
                  </w:r>
                </w:p>
              </w:tc>
              <w:tc>
                <w:tcPr>
                  <w:tcW w:w="402" w:type="pct"/>
                  <w:shd w:val="clear" w:color="auto" w:fill="auto"/>
                  <w:vAlign w:val="center"/>
                </w:tcPr>
                <w:p w14:paraId="0B308EF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-158.56</w:t>
                  </w:r>
                </w:p>
              </w:tc>
              <w:tc>
                <w:tcPr>
                  <w:tcW w:w="234" w:type="pct"/>
                  <w:shd w:val="clear" w:color="auto" w:fill="auto"/>
                  <w:vAlign w:val="center"/>
                </w:tcPr>
                <w:p w14:paraId="0A30F80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56194D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7413F6D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2B728E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1F9E82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016C65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0" w:type="auto"/>
                  <w:vAlign w:val="center"/>
                </w:tcPr>
                <w:p w14:paraId="6E74EE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47A4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570283C7">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38</w:t>
                  </w:r>
                </w:p>
              </w:tc>
              <w:tc>
                <w:tcPr>
                  <w:tcW w:w="242" w:type="pct"/>
                  <w:vMerge w:val="continue"/>
                  <w:vAlign w:val="center"/>
                </w:tcPr>
                <w:p w14:paraId="6249C0F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2E2127E0">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u w:val="none" w:color="auto"/>
                      <w:lang w:val="en-US" w:eastAsia="zh-CN"/>
                    </w:rPr>
                    <w:t>焊接设备</w:t>
                  </w:r>
                </w:p>
              </w:tc>
              <w:tc>
                <w:tcPr>
                  <w:tcW w:w="0" w:type="auto"/>
                  <w:vAlign w:val="center"/>
                </w:tcPr>
                <w:p w14:paraId="72B65E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3FA897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0257F6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7BF04CE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-44.36</w:t>
                  </w:r>
                </w:p>
              </w:tc>
              <w:tc>
                <w:tcPr>
                  <w:tcW w:w="402" w:type="pct"/>
                  <w:shd w:val="clear" w:color="auto" w:fill="auto"/>
                  <w:vAlign w:val="center"/>
                </w:tcPr>
                <w:p w14:paraId="5BAC655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-167.64</w:t>
                  </w:r>
                </w:p>
              </w:tc>
              <w:tc>
                <w:tcPr>
                  <w:tcW w:w="234" w:type="pct"/>
                  <w:shd w:val="clear" w:color="auto" w:fill="auto"/>
                  <w:vAlign w:val="center"/>
                </w:tcPr>
                <w:p w14:paraId="6FACC3E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127903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225D92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6C78EE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2CFF3A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279BF7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0" w:type="auto"/>
                  <w:vAlign w:val="center"/>
                </w:tcPr>
                <w:p w14:paraId="02E0EF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1F63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5764D90A">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39</w:t>
                  </w:r>
                </w:p>
              </w:tc>
              <w:tc>
                <w:tcPr>
                  <w:tcW w:w="242" w:type="pct"/>
                  <w:vMerge w:val="continue"/>
                  <w:vAlign w:val="center"/>
                </w:tcPr>
                <w:p w14:paraId="18F8986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126D18E5">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u w:val="none" w:color="auto"/>
                      <w:lang w:val="en-US" w:eastAsia="zh-CN"/>
                    </w:rPr>
                    <w:t>焊接设备</w:t>
                  </w:r>
                </w:p>
              </w:tc>
              <w:tc>
                <w:tcPr>
                  <w:tcW w:w="0" w:type="auto"/>
                  <w:vAlign w:val="center"/>
                </w:tcPr>
                <w:p w14:paraId="4F6914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2D9440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26A405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702B60B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-47.34</w:t>
                  </w:r>
                </w:p>
              </w:tc>
              <w:tc>
                <w:tcPr>
                  <w:tcW w:w="402" w:type="pct"/>
                  <w:shd w:val="clear" w:color="auto" w:fill="auto"/>
                  <w:vAlign w:val="center"/>
                </w:tcPr>
                <w:p w14:paraId="43470DF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-158.68</w:t>
                  </w:r>
                </w:p>
              </w:tc>
              <w:tc>
                <w:tcPr>
                  <w:tcW w:w="234" w:type="pct"/>
                  <w:shd w:val="clear" w:color="auto" w:fill="auto"/>
                  <w:vAlign w:val="center"/>
                </w:tcPr>
                <w:p w14:paraId="0A3DF0B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7E34E7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1EA677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6AB864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30E63C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70239B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0" w:type="auto"/>
                  <w:vAlign w:val="center"/>
                </w:tcPr>
                <w:p w14:paraId="02EFBD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59352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6088804A">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40</w:t>
                  </w:r>
                </w:p>
              </w:tc>
              <w:tc>
                <w:tcPr>
                  <w:tcW w:w="242" w:type="pct"/>
                  <w:vMerge w:val="continue"/>
                  <w:vAlign w:val="center"/>
                </w:tcPr>
                <w:p w14:paraId="3EC665A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33796A86">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u w:val="none" w:color="auto"/>
                      <w:lang w:val="en-US" w:eastAsia="zh-CN"/>
                    </w:rPr>
                    <w:t>焊接设备</w:t>
                  </w:r>
                </w:p>
              </w:tc>
              <w:tc>
                <w:tcPr>
                  <w:tcW w:w="0" w:type="auto"/>
                  <w:vAlign w:val="center"/>
                </w:tcPr>
                <w:p w14:paraId="141EE7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228D95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0191B8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597206C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-47.33</w:t>
                  </w:r>
                </w:p>
              </w:tc>
              <w:tc>
                <w:tcPr>
                  <w:tcW w:w="402" w:type="pct"/>
                  <w:shd w:val="clear" w:color="auto" w:fill="auto"/>
                  <w:vAlign w:val="center"/>
                </w:tcPr>
                <w:p w14:paraId="2292AD9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-158.45</w:t>
                  </w:r>
                </w:p>
              </w:tc>
              <w:tc>
                <w:tcPr>
                  <w:tcW w:w="234" w:type="pct"/>
                  <w:shd w:val="clear" w:color="auto" w:fill="auto"/>
                  <w:vAlign w:val="center"/>
                </w:tcPr>
                <w:p w14:paraId="0E7BAE7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5525C1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5AFA6EE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6D4DFE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0E3B1D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18FF48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0" w:type="auto"/>
                  <w:vAlign w:val="center"/>
                </w:tcPr>
                <w:p w14:paraId="0E3DE0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0CCD0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2B965F3D">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41</w:t>
                  </w:r>
                </w:p>
              </w:tc>
              <w:tc>
                <w:tcPr>
                  <w:tcW w:w="242" w:type="pct"/>
                  <w:vMerge w:val="continue"/>
                  <w:vAlign w:val="center"/>
                </w:tcPr>
                <w:p w14:paraId="63DD6E4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5B1BB47F">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u w:val="none" w:color="auto"/>
                      <w:lang w:val="en-US" w:eastAsia="zh-CN"/>
                    </w:rPr>
                    <w:t>焊接设备</w:t>
                  </w:r>
                </w:p>
              </w:tc>
              <w:tc>
                <w:tcPr>
                  <w:tcW w:w="0" w:type="auto"/>
                  <w:vAlign w:val="center"/>
                </w:tcPr>
                <w:p w14:paraId="143AD0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760391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0CCB14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5F2CF06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-49.45</w:t>
                  </w:r>
                </w:p>
              </w:tc>
              <w:tc>
                <w:tcPr>
                  <w:tcW w:w="402" w:type="pct"/>
                  <w:shd w:val="clear" w:color="auto" w:fill="auto"/>
                  <w:vAlign w:val="center"/>
                </w:tcPr>
                <w:p w14:paraId="760628B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-157.45</w:t>
                  </w:r>
                </w:p>
              </w:tc>
              <w:tc>
                <w:tcPr>
                  <w:tcW w:w="234" w:type="pct"/>
                  <w:shd w:val="clear" w:color="auto" w:fill="auto"/>
                  <w:vAlign w:val="center"/>
                </w:tcPr>
                <w:p w14:paraId="43254C3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4E7293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0CA447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2998A0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73157B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46FA56A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0" w:type="auto"/>
                  <w:vAlign w:val="center"/>
                </w:tcPr>
                <w:p w14:paraId="405EEA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2556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0C47484A">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42</w:t>
                  </w:r>
                </w:p>
              </w:tc>
              <w:tc>
                <w:tcPr>
                  <w:tcW w:w="242" w:type="pct"/>
                  <w:vMerge w:val="continue"/>
                  <w:vAlign w:val="center"/>
                </w:tcPr>
                <w:p w14:paraId="1F1A8F3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4DE07A97">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u w:val="none" w:color="auto"/>
                      <w:lang w:val="en-US" w:eastAsia="zh-CN"/>
                    </w:rPr>
                    <w:t>焊接设备</w:t>
                  </w:r>
                </w:p>
              </w:tc>
              <w:tc>
                <w:tcPr>
                  <w:tcW w:w="0" w:type="auto"/>
                  <w:vAlign w:val="center"/>
                </w:tcPr>
                <w:p w14:paraId="675936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40A8AD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342890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69842E0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-49.</w:t>
                  </w:r>
                  <w:r>
                    <w:rPr>
                      <w:rFonts w:hint="eastAsia" w:ascii="Times New Roman" w:hAnsi="Times New Roman" w:cs="Times New Roman"/>
                      <w:b w:val="0"/>
                      <w:bCs w:val="0"/>
                      <w:color w:val="auto"/>
                      <w:sz w:val="21"/>
                      <w:szCs w:val="21"/>
                      <w:u w:val="none"/>
                      <w:lang w:val="en-US" w:eastAsia="zh-CN"/>
                    </w:rPr>
                    <w:t>00</w:t>
                  </w:r>
                </w:p>
              </w:tc>
              <w:tc>
                <w:tcPr>
                  <w:tcW w:w="402" w:type="pct"/>
                  <w:shd w:val="clear" w:color="auto" w:fill="auto"/>
                  <w:vAlign w:val="center"/>
                </w:tcPr>
                <w:p w14:paraId="760D7C4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-157.</w:t>
                  </w:r>
                  <w:r>
                    <w:rPr>
                      <w:rFonts w:hint="eastAsia" w:ascii="Times New Roman" w:hAnsi="Times New Roman" w:cs="Times New Roman"/>
                      <w:b w:val="0"/>
                      <w:bCs w:val="0"/>
                      <w:color w:val="auto"/>
                      <w:sz w:val="21"/>
                      <w:szCs w:val="21"/>
                      <w:u w:val="none"/>
                      <w:lang w:val="en-US" w:eastAsia="zh-CN"/>
                    </w:rPr>
                    <w:t>14</w:t>
                  </w:r>
                </w:p>
              </w:tc>
              <w:tc>
                <w:tcPr>
                  <w:tcW w:w="234" w:type="pct"/>
                  <w:shd w:val="clear" w:color="auto" w:fill="auto"/>
                  <w:vAlign w:val="center"/>
                </w:tcPr>
                <w:p w14:paraId="059A39F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2E1271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3AA7BF1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351A06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795FFD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0A39D8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0" w:type="auto"/>
                  <w:vAlign w:val="center"/>
                </w:tcPr>
                <w:p w14:paraId="06CA17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47D0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49EFE784">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43</w:t>
                  </w:r>
                </w:p>
              </w:tc>
              <w:tc>
                <w:tcPr>
                  <w:tcW w:w="242" w:type="pct"/>
                  <w:vMerge w:val="continue"/>
                  <w:vAlign w:val="center"/>
                </w:tcPr>
                <w:p w14:paraId="1AE4356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6282970C">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u w:val="none" w:color="auto"/>
                      <w:lang w:val="en-US" w:eastAsia="zh-CN"/>
                    </w:rPr>
                    <w:t>焊接设备</w:t>
                  </w:r>
                </w:p>
              </w:tc>
              <w:tc>
                <w:tcPr>
                  <w:tcW w:w="0" w:type="auto"/>
                  <w:vAlign w:val="center"/>
                </w:tcPr>
                <w:p w14:paraId="11B340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478FB0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6A9A27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334EE42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-49.</w:t>
                  </w:r>
                  <w:r>
                    <w:rPr>
                      <w:rFonts w:hint="eastAsia" w:ascii="Times New Roman" w:hAnsi="Times New Roman" w:cs="Times New Roman"/>
                      <w:b w:val="0"/>
                      <w:bCs w:val="0"/>
                      <w:color w:val="auto"/>
                      <w:sz w:val="21"/>
                      <w:szCs w:val="21"/>
                      <w:u w:val="none"/>
                      <w:lang w:val="en-US" w:eastAsia="zh-CN"/>
                    </w:rPr>
                    <w:t>25</w:t>
                  </w:r>
                </w:p>
              </w:tc>
              <w:tc>
                <w:tcPr>
                  <w:tcW w:w="402" w:type="pct"/>
                  <w:shd w:val="clear" w:color="auto" w:fill="auto"/>
                  <w:vAlign w:val="center"/>
                </w:tcPr>
                <w:p w14:paraId="47D2A9E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-157.</w:t>
                  </w:r>
                  <w:r>
                    <w:rPr>
                      <w:rFonts w:hint="eastAsia" w:ascii="Times New Roman" w:hAnsi="Times New Roman" w:cs="Times New Roman"/>
                      <w:b w:val="0"/>
                      <w:bCs w:val="0"/>
                      <w:color w:val="auto"/>
                      <w:sz w:val="21"/>
                      <w:szCs w:val="21"/>
                      <w:u w:val="none"/>
                      <w:lang w:val="en-US" w:eastAsia="zh-CN"/>
                    </w:rPr>
                    <w:t>31</w:t>
                  </w:r>
                </w:p>
              </w:tc>
              <w:tc>
                <w:tcPr>
                  <w:tcW w:w="234" w:type="pct"/>
                  <w:shd w:val="clear" w:color="auto" w:fill="auto"/>
                  <w:vAlign w:val="center"/>
                </w:tcPr>
                <w:p w14:paraId="77B1474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23F6DF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6D18D6B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1D6065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474E79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255AF8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0" w:type="auto"/>
                  <w:vAlign w:val="center"/>
                </w:tcPr>
                <w:p w14:paraId="050101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4A696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47415709">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44</w:t>
                  </w:r>
                </w:p>
              </w:tc>
              <w:tc>
                <w:tcPr>
                  <w:tcW w:w="242" w:type="pct"/>
                  <w:vMerge w:val="continue"/>
                  <w:vAlign w:val="center"/>
                </w:tcPr>
                <w:p w14:paraId="76BCD97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5C850AE7">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u w:val="none" w:color="auto"/>
                      <w:lang w:val="en-US" w:eastAsia="zh-CN"/>
                    </w:rPr>
                    <w:t>焊接设备</w:t>
                  </w:r>
                </w:p>
              </w:tc>
              <w:tc>
                <w:tcPr>
                  <w:tcW w:w="0" w:type="auto"/>
                  <w:vAlign w:val="center"/>
                </w:tcPr>
                <w:p w14:paraId="550D21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1DD6AA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3EFB6F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66E99BC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-48.68</w:t>
                  </w:r>
                </w:p>
              </w:tc>
              <w:tc>
                <w:tcPr>
                  <w:tcW w:w="402" w:type="pct"/>
                  <w:shd w:val="clear" w:color="auto" w:fill="auto"/>
                  <w:vAlign w:val="center"/>
                </w:tcPr>
                <w:p w14:paraId="0988101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-157.98</w:t>
                  </w:r>
                </w:p>
              </w:tc>
              <w:tc>
                <w:tcPr>
                  <w:tcW w:w="234" w:type="pct"/>
                  <w:shd w:val="clear" w:color="auto" w:fill="auto"/>
                  <w:vAlign w:val="center"/>
                </w:tcPr>
                <w:p w14:paraId="4E143E1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56358C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38B6EC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78B182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54C71D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4BF222C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0" w:type="auto"/>
                  <w:vAlign w:val="center"/>
                </w:tcPr>
                <w:p w14:paraId="176ED2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5542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7DB2AC8B">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45</w:t>
                  </w:r>
                </w:p>
              </w:tc>
              <w:tc>
                <w:tcPr>
                  <w:tcW w:w="242" w:type="pct"/>
                  <w:vMerge w:val="continue"/>
                  <w:vAlign w:val="center"/>
                </w:tcPr>
                <w:p w14:paraId="672B018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375F082D">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u w:val="none" w:color="auto"/>
                      <w:lang w:val="en-US" w:eastAsia="zh-CN"/>
                    </w:rPr>
                    <w:t>焊接设备</w:t>
                  </w:r>
                </w:p>
              </w:tc>
              <w:tc>
                <w:tcPr>
                  <w:tcW w:w="0" w:type="auto"/>
                  <w:vAlign w:val="center"/>
                </w:tcPr>
                <w:p w14:paraId="3728DF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21EBC3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7569DB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4ED0699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-49.35</w:t>
                  </w:r>
                </w:p>
              </w:tc>
              <w:tc>
                <w:tcPr>
                  <w:tcW w:w="402" w:type="pct"/>
                  <w:shd w:val="clear" w:color="auto" w:fill="auto"/>
                  <w:vAlign w:val="center"/>
                </w:tcPr>
                <w:p w14:paraId="21DBF58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-157.77</w:t>
                  </w:r>
                </w:p>
              </w:tc>
              <w:tc>
                <w:tcPr>
                  <w:tcW w:w="234" w:type="pct"/>
                  <w:shd w:val="clear" w:color="auto" w:fill="auto"/>
                  <w:vAlign w:val="center"/>
                </w:tcPr>
                <w:p w14:paraId="471260D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4F0891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369A46B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4673A3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43B4ED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1A87077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0" w:type="auto"/>
                  <w:vAlign w:val="center"/>
                </w:tcPr>
                <w:p w14:paraId="473E71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4472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7DF45D1B">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46</w:t>
                  </w:r>
                </w:p>
              </w:tc>
              <w:tc>
                <w:tcPr>
                  <w:tcW w:w="242" w:type="pct"/>
                  <w:vMerge w:val="continue"/>
                  <w:vAlign w:val="center"/>
                </w:tcPr>
                <w:p w14:paraId="58D7A22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51681C4E">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u w:val="none" w:color="auto"/>
                      <w:lang w:val="en-US" w:eastAsia="zh-CN"/>
                    </w:rPr>
                    <w:t>焊接设备</w:t>
                  </w:r>
                </w:p>
              </w:tc>
              <w:tc>
                <w:tcPr>
                  <w:tcW w:w="0" w:type="auto"/>
                  <w:vAlign w:val="center"/>
                </w:tcPr>
                <w:p w14:paraId="5AD9B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44216A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7F75B3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51E13F2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-49.48</w:t>
                  </w:r>
                </w:p>
              </w:tc>
              <w:tc>
                <w:tcPr>
                  <w:tcW w:w="402" w:type="pct"/>
                  <w:shd w:val="clear" w:color="auto" w:fill="auto"/>
                  <w:vAlign w:val="center"/>
                </w:tcPr>
                <w:p w14:paraId="5BA7ABF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-157.87</w:t>
                  </w:r>
                </w:p>
              </w:tc>
              <w:tc>
                <w:tcPr>
                  <w:tcW w:w="234" w:type="pct"/>
                  <w:shd w:val="clear" w:color="auto" w:fill="auto"/>
                  <w:vAlign w:val="center"/>
                </w:tcPr>
                <w:p w14:paraId="3C5CAD3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23F7E1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158B07F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7276D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50474B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78EFBED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0" w:type="auto"/>
                  <w:vAlign w:val="center"/>
                </w:tcPr>
                <w:p w14:paraId="1483A0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3E14D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11D822EF">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47</w:t>
                  </w:r>
                </w:p>
              </w:tc>
              <w:tc>
                <w:tcPr>
                  <w:tcW w:w="242" w:type="pct"/>
                  <w:vMerge w:val="continue"/>
                  <w:vAlign w:val="center"/>
                </w:tcPr>
                <w:p w14:paraId="1380742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5BCE0961">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u w:val="none" w:color="auto"/>
                      <w:lang w:val="en-US" w:eastAsia="zh-CN"/>
                    </w:rPr>
                    <w:t>焊接设备</w:t>
                  </w:r>
                </w:p>
              </w:tc>
              <w:tc>
                <w:tcPr>
                  <w:tcW w:w="0" w:type="auto"/>
                  <w:vAlign w:val="center"/>
                </w:tcPr>
                <w:p w14:paraId="5CE6BD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5F7514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621696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52141BF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-68.68</w:t>
                  </w:r>
                </w:p>
              </w:tc>
              <w:tc>
                <w:tcPr>
                  <w:tcW w:w="402" w:type="pct"/>
                  <w:shd w:val="clear" w:color="auto" w:fill="auto"/>
                  <w:vAlign w:val="center"/>
                </w:tcPr>
                <w:p w14:paraId="7A445B6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-157.25</w:t>
                  </w:r>
                </w:p>
              </w:tc>
              <w:tc>
                <w:tcPr>
                  <w:tcW w:w="234" w:type="pct"/>
                  <w:shd w:val="clear" w:color="auto" w:fill="auto"/>
                  <w:vAlign w:val="center"/>
                </w:tcPr>
                <w:p w14:paraId="3FE1B8D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06B2DD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5CB375A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0A98B1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2FE51B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22927D5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0" w:type="auto"/>
                  <w:vAlign w:val="center"/>
                </w:tcPr>
                <w:p w14:paraId="2028F4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1AF9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05B3A9CC">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48</w:t>
                  </w:r>
                </w:p>
              </w:tc>
              <w:tc>
                <w:tcPr>
                  <w:tcW w:w="242" w:type="pct"/>
                  <w:vMerge w:val="continue"/>
                  <w:vAlign w:val="center"/>
                </w:tcPr>
                <w:p w14:paraId="16C590D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782860AB">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u w:val="none" w:color="auto"/>
                      <w:lang w:val="en-US" w:eastAsia="zh-CN"/>
                    </w:rPr>
                    <w:t>焊接设备</w:t>
                  </w:r>
                </w:p>
              </w:tc>
              <w:tc>
                <w:tcPr>
                  <w:tcW w:w="0" w:type="auto"/>
                  <w:vAlign w:val="center"/>
                </w:tcPr>
                <w:p w14:paraId="2B0CE6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10FBEC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1A13F4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77E4F76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-68.99</w:t>
                  </w:r>
                </w:p>
              </w:tc>
              <w:tc>
                <w:tcPr>
                  <w:tcW w:w="402" w:type="pct"/>
                  <w:shd w:val="clear" w:color="auto" w:fill="auto"/>
                  <w:vAlign w:val="center"/>
                </w:tcPr>
                <w:p w14:paraId="2DF7082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-186.44</w:t>
                  </w:r>
                </w:p>
              </w:tc>
              <w:tc>
                <w:tcPr>
                  <w:tcW w:w="234" w:type="pct"/>
                  <w:shd w:val="clear" w:color="auto" w:fill="auto"/>
                  <w:vAlign w:val="center"/>
                </w:tcPr>
                <w:p w14:paraId="49B84F5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6A252E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70052AA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70708A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5EFF6B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6E6A9F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0" w:type="auto"/>
                  <w:vAlign w:val="center"/>
                </w:tcPr>
                <w:p w14:paraId="6A1799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57DB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5AA05F1E">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49</w:t>
                  </w:r>
                </w:p>
              </w:tc>
              <w:tc>
                <w:tcPr>
                  <w:tcW w:w="242" w:type="pct"/>
                  <w:vMerge w:val="continue"/>
                  <w:vAlign w:val="center"/>
                </w:tcPr>
                <w:p w14:paraId="55E47D6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70CFB4C7">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u w:val="none" w:color="auto"/>
                      <w:lang w:val="en-US" w:eastAsia="zh-CN"/>
                    </w:rPr>
                    <w:t>焊接设备</w:t>
                  </w:r>
                </w:p>
              </w:tc>
              <w:tc>
                <w:tcPr>
                  <w:tcW w:w="0" w:type="auto"/>
                  <w:vAlign w:val="center"/>
                </w:tcPr>
                <w:p w14:paraId="5F82DE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60313C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17296B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6215997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-70.69</w:t>
                  </w:r>
                </w:p>
              </w:tc>
              <w:tc>
                <w:tcPr>
                  <w:tcW w:w="402" w:type="pct"/>
                  <w:shd w:val="clear" w:color="auto" w:fill="auto"/>
                  <w:vAlign w:val="center"/>
                </w:tcPr>
                <w:p w14:paraId="4C23AA4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-152.65</w:t>
                  </w:r>
                </w:p>
              </w:tc>
              <w:tc>
                <w:tcPr>
                  <w:tcW w:w="234" w:type="pct"/>
                  <w:shd w:val="clear" w:color="auto" w:fill="auto"/>
                  <w:vAlign w:val="center"/>
                </w:tcPr>
                <w:p w14:paraId="3EDED21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4B765B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7E1B824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1E761F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7D0EEC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71BB28C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0" w:type="auto"/>
                  <w:vAlign w:val="center"/>
                </w:tcPr>
                <w:p w14:paraId="22302E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4E9A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740B12A2">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50</w:t>
                  </w:r>
                </w:p>
              </w:tc>
              <w:tc>
                <w:tcPr>
                  <w:tcW w:w="242" w:type="pct"/>
                  <w:vMerge w:val="continue"/>
                  <w:vAlign w:val="center"/>
                </w:tcPr>
                <w:p w14:paraId="0600EE6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687A1949">
                  <w:pPr>
                    <w:keepNext w:val="0"/>
                    <w:keepLines w:val="0"/>
                    <w:pageBreakBefore w:val="0"/>
                    <w:kinsoku/>
                    <w:wordWrap/>
                    <w:overflowPunct/>
                    <w:topLinePunct w:val="0"/>
                    <w:autoSpaceDE/>
                    <w:autoSpaceDN/>
                    <w:bidi w:val="0"/>
                    <w:ind w:right="0" w:rightChars="0" w:firstLine="0" w:firstLineChars="0"/>
                    <w:jc w:val="center"/>
                    <w:textAlignment w:val="auto"/>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喷砂机</w:t>
                  </w:r>
                </w:p>
              </w:tc>
              <w:tc>
                <w:tcPr>
                  <w:tcW w:w="0" w:type="auto"/>
                  <w:vAlign w:val="center"/>
                </w:tcPr>
                <w:p w14:paraId="7974023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90</w:t>
                  </w:r>
                </w:p>
              </w:tc>
              <w:tc>
                <w:tcPr>
                  <w:tcW w:w="383" w:type="pct"/>
                  <w:vAlign w:val="center"/>
                </w:tcPr>
                <w:p w14:paraId="38F67B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2CD820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50F7D26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-75.65</w:t>
                  </w:r>
                </w:p>
              </w:tc>
              <w:tc>
                <w:tcPr>
                  <w:tcW w:w="402" w:type="pct"/>
                  <w:shd w:val="clear" w:color="auto" w:fill="auto"/>
                  <w:vAlign w:val="center"/>
                </w:tcPr>
                <w:p w14:paraId="4778772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-147.25</w:t>
                  </w:r>
                </w:p>
              </w:tc>
              <w:tc>
                <w:tcPr>
                  <w:tcW w:w="234" w:type="pct"/>
                  <w:shd w:val="clear" w:color="auto" w:fill="auto"/>
                  <w:vAlign w:val="center"/>
                </w:tcPr>
                <w:p w14:paraId="239A87D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138953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301DD70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75</w:t>
                  </w:r>
                </w:p>
              </w:tc>
              <w:tc>
                <w:tcPr>
                  <w:tcW w:w="280" w:type="pct"/>
                  <w:vAlign w:val="center"/>
                </w:tcPr>
                <w:p w14:paraId="533724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3D8C03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229F706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42FCF1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2263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5220E587">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51</w:t>
                  </w:r>
                </w:p>
              </w:tc>
              <w:tc>
                <w:tcPr>
                  <w:tcW w:w="242" w:type="pct"/>
                  <w:vMerge w:val="continue"/>
                  <w:vAlign w:val="center"/>
                </w:tcPr>
                <w:p w14:paraId="33BC11D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2CEB01E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color="auto"/>
                      <w:lang w:val="en-US" w:eastAsia="zh-CN" w:bidi="ar-SA"/>
                    </w:rPr>
                  </w:pPr>
                  <w:r>
                    <w:rPr>
                      <w:rFonts w:hint="default" w:ascii="Times New Roman" w:hAnsi="Times New Roman" w:cs="Times New Roman"/>
                      <w:color w:val="auto"/>
                      <w:kern w:val="0"/>
                      <w:sz w:val="21"/>
                      <w:szCs w:val="21"/>
                      <w:u w:val="none" w:color="auto"/>
                      <w:lang w:val="en-US" w:eastAsia="zh-CN"/>
                    </w:rPr>
                    <w:t>通过式多室联合清洗机</w:t>
                  </w:r>
                </w:p>
              </w:tc>
              <w:tc>
                <w:tcPr>
                  <w:tcW w:w="0" w:type="auto"/>
                  <w:vAlign w:val="center"/>
                </w:tcPr>
                <w:p w14:paraId="61D7D18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564714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441260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12AF21A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-49.11</w:t>
                  </w:r>
                </w:p>
              </w:tc>
              <w:tc>
                <w:tcPr>
                  <w:tcW w:w="402" w:type="pct"/>
                  <w:shd w:val="clear" w:color="auto" w:fill="auto"/>
                  <w:vAlign w:val="center"/>
                </w:tcPr>
                <w:p w14:paraId="6F74919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-154.35</w:t>
                  </w:r>
                </w:p>
              </w:tc>
              <w:tc>
                <w:tcPr>
                  <w:tcW w:w="234" w:type="pct"/>
                  <w:shd w:val="clear" w:color="auto" w:fill="auto"/>
                  <w:vAlign w:val="center"/>
                </w:tcPr>
                <w:p w14:paraId="59BA0B0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421BDD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7840CE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2219DA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50D1AF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1AF16A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0" w:type="auto"/>
                  <w:vAlign w:val="center"/>
                </w:tcPr>
                <w:p w14:paraId="00E4B5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47FE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2154AB73">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52</w:t>
                  </w:r>
                </w:p>
              </w:tc>
              <w:tc>
                <w:tcPr>
                  <w:tcW w:w="242" w:type="pct"/>
                  <w:vMerge w:val="continue"/>
                  <w:vAlign w:val="center"/>
                </w:tcPr>
                <w:p w14:paraId="26C4F1F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5490F00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color="auto"/>
                      <w:lang w:val="en-US" w:eastAsia="zh-CN" w:bidi="ar-SA"/>
                    </w:rPr>
                  </w:pPr>
                  <w:r>
                    <w:rPr>
                      <w:rFonts w:hint="default" w:ascii="Times New Roman" w:hAnsi="Times New Roman" w:cs="Times New Roman"/>
                      <w:color w:val="auto"/>
                      <w:kern w:val="0"/>
                      <w:sz w:val="21"/>
                      <w:szCs w:val="21"/>
                      <w:u w:val="none" w:color="auto"/>
                      <w:lang w:val="en-US" w:eastAsia="zh-CN"/>
                    </w:rPr>
                    <w:t>阴极电泳涂装设备</w:t>
                  </w:r>
                </w:p>
              </w:tc>
              <w:tc>
                <w:tcPr>
                  <w:tcW w:w="0" w:type="auto"/>
                  <w:vAlign w:val="center"/>
                </w:tcPr>
                <w:p w14:paraId="77B17B2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657E39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3DB72D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650CDB9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-43.45</w:t>
                  </w:r>
                </w:p>
              </w:tc>
              <w:tc>
                <w:tcPr>
                  <w:tcW w:w="402" w:type="pct"/>
                  <w:shd w:val="clear" w:color="auto" w:fill="auto"/>
                  <w:vAlign w:val="center"/>
                </w:tcPr>
                <w:p w14:paraId="0947108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-155.46</w:t>
                  </w:r>
                </w:p>
              </w:tc>
              <w:tc>
                <w:tcPr>
                  <w:tcW w:w="234" w:type="pct"/>
                  <w:shd w:val="clear" w:color="auto" w:fill="auto"/>
                  <w:vAlign w:val="center"/>
                </w:tcPr>
                <w:p w14:paraId="6D85FCC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7EBF84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7EDCC0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47FF47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3C1BDF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04B699D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0" w:type="auto"/>
                  <w:vAlign w:val="center"/>
                </w:tcPr>
                <w:p w14:paraId="671BD9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5606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2F480FE2">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53</w:t>
                  </w:r>
                </w:p>
              </w:tc>
              <w:tc>
                <w:tcPr>
                  <w:tcW w:w="242" w:type="pct"/>
                  <w:vMerge w:val="continue"/>
                  <w:vAlign w:val="center"/>
                </w:tcPr>
                <w:p w14:paraId="70090A3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36FFDDE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color="auto"/>
                      <w:lang w:val="en-US" w:eastAsia="zh-CN" w:bidi="ar-SA"/>
                    </w:rPr>
                  </w:pPr>
                  <w:r>
                    <w:rPr>
                      <w:rFonts w:hint="default" w:ascii="Times New Roman" w:hAnsi="Times New Roman" w:cs="Times New Roman"/>
                      <w:color w:val="auto"/>
                      <w:kern w:val="0"/>
                      <w:sz w:val="21"/>
                      <w:szCs w:val="21"/>
                      <w:u w:val="none" w:color="auto"/>
                      <w:lang w:val="en-US" w:eastAsia="zh-CN"/>
                    </w:rPr>
                    <w:t>清洗机</w:t>
                  </w:r>
                </w:p>
              </w:tc>
              <w:tc>
                <w:tcPr>
                  <w:tcW w:w="0" w:type="auto"/>
                  <w:vAlign w:val="center"/>
                </w:tcPr>
                <w:p w14:paraId="6F5F866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3EC7C2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0314CA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71E8080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-40.36</w:t>
                  </w:r>
                </w:p>
              </w:tc>
              <w:tc>
                <w:tcPr>
                  <w:tcW w:w="402" w:type="pct"/>
                  <w:shd w:val="clear" w:color="auto" w:fill="auto"/>
                  <w:vAlign w:val="center"/>
                </w:tcPr>
                <w:p w14:paraId="3A66F71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-155.31</w:t>
                  </w:r>
                </w:p>
              </w:tc>
              <w:tc>
                <w:tcPr>
                  <w:tcW w:w="234" w:type="pct"/>
                  <w:shd w:val="clear" w:color="auto" w:fill="auto"/>
                  <w:vAlign w:val="center"/>
                </w:tcPr>
                <w:p w14:paraId="4926BD3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617332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35B0B4B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56A1F6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115C2B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091C1C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0" w:type="auto"/>
                  <w:vAlign w:val="center"/>
                </w:tcPr>
                <w:p w14:paraId="5659EE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3FF47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407BBC8D">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54</w:t>
                  </w:r>
                </w:p>
              </w:tc>
              <w:tc>
                <w:tcPr>
                  <w:tcW w:w="242" w:type="pct"/>
                  <w:vMerge w:val="continue"/>
                  <w:vAlign w:val="center"/>
                </w:tcPr>
                <w:p w14:paraId="7446D34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7CE6CFB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none" w:color="auto"/>
                      <w:lang w:val="en-US" w:eastAsia="zh-CN" w:bidi="ar-SA"/>
                    </w:rPr>
                  </w:pPr>
                  <w:r>
                    <w:rPr>
                      <w:rFonts w:hint="default" w:ascii="Times New Roman" w:hAnsi="Times New Roman" w:cs="Times New Roman"/>
                      <w:color w:val="auto"/>
                      <w:kern w:val="0"/>
                      <w:sz w:val="21"/>
                      <w:szCs w:val="21"/>
                      <w:u w:val="none" w:color="auto"/>
                      <w:lang w:val="en-US" w:eastAsia="zh-CN"/>
                    </w:rPr>
                    <w:t>烘干</w:t>
                  </w:r>
                  <w:r>
                    <w:rPr>
                      <w:rFonts w:hint="eastAsia" w:cs="Times New Roman"/>
                      <w:color w:val="auto"/>
                      <w:kern w:val="0"/>
                      <w:sz w:val="21"/>
                      <w:szCs w:val="21"/>
                      <w:u w:val="none" w:color="auto"/>
                      <w:lang w:val="en-US" w:eastAsia="zh-CN"/>
                    </w:rPr>
                    <w:t>室</w:t>
                  </w:r>
                </w:p>
              </w:tc>
              <w:tc>
                <w:tcPr>
                  <w:tcW w:w="0" w:type="auto"/>
                  <w:vAlign w:val="center"/>
                </w:tcPr>
                <w:p w14:paraId="1E2A7AC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90</w:t>
                  </w:r>
                </w:p>
              </w:tc>
              <w:tc>
                <w:tcPr>
                  <w:tcW w:w="383" w:type="pct"/>
                  <w:vAlign w:val="center"/>
                </w:tcPr>
                <w:p w14:paraId="73C08C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0056C0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7371FA8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-57.39</w:t>
                  </w:r>
                </w:p>
              </w:tc>
              <w:tc>
                <w:tcPr>
                  <w:tcW w:w="402" w:type="pct"/>
                  <w:shd w:val="clear" w:color="auto" w:fill="auto"/>
                  <w:vAlign w:val="center"/>
                </w:tcPr>
                <w:p w14:paraId="07C91DB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-145.55</w:t>
                  </w:r>
                </w:p>
              </w:tc>
              <w:tc>
                <w:tcPr>
                  <w:tcW w:w="234" w:type="pct"/>
                  <w:shd w:val="clear" w:color="auto" w:fill="auto"/>
                  <w:vAlign w:val="center"/>
                </w:tcPr>
                <w:p w14:paraId="69CA556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7471C4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64BA67C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75</w:t>
                  </w:r>
                </w:p>
              </w:tc>
              <w:tc>
                <w:tcPr>
                  <w:tcW w:w="280" w:type="pct"/>
                  <w:vAlign w:val="center"/>
                </w:tcPr>
                <w:p w14:paraId="4FB1CC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5764E7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50034FD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vAlign w:val="center"/>
                </w:tcPr>
                <w:p w14:paraId="7A1C07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0C56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tblHeader/>
                <w:jc w:val="center"/>
              </w:trPr>
              <w:tc>
                <w:tcPr>
                  <w:tcW w:w="184" w:type="pct"/>
                  <w:vAlign w:val="center"/>
                </w:tcPr>
                <w:p w14:paraId="2BE9BFA4">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42" w:type="pct"/>
                  <w:vMerge w:val="continue"/>
                  <w:vAlign w:val="center"/>
                </w:tcPr>
                <w:p w14:paraId="2CE9CD2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352033D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color="auto"/>
                      <w:lang w:val="en-US" w:eastAsia="zh-CN" w:bidi="ar-SA"/>
                    </w:rPr>
                  </w:pPr>
                  <w:r>
                    <w:rPr>
                      <w:rFonts w:hint="default" w:ascii="Times New Roman" w:hAnsi="Times New Roman" w:cs="Times New Roman"/>
                      <w:color w:val="auto"/>
                      <w:kern w:val="0"/>
                      <w:sz w:val="21"/>
                      <w:szCs w:val="21"/>
                      <w:u w:val="none" w:color="auto"/>
                      <w:lang w:val="en-US" w:eastAsia="zh-CN"/>
                    </w:rPr>
                    <w:t>悬挂输送设备</w:t>
                  </w:r>
                </w:p>
              </w:tc>
              <w:tc>
                <w:tcPr>
                  <w:tcW w:w="0" w:type="auto"/>
                  <w:vAlign w:val="center"/>
                </w:tcPr>
                <w:p w14:paraId="1D30FF2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26CAD3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7A9CEC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744C4C1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-57.3</w:t>
                  </w:r>
                  <w:r>
                    <w:rPr>
                      <w:rFonts w:hint="eastAsia" w:ascii="Times New Roman" w:hAnsi="Times New Roman" w:cs="Times New Roman"/>
                      <w:b w:val="0"/>
                      <w:bCs w:val="0"/>
                      <w:color w:val="auto"/>
                      <w:sz w:val="21"/>
                      <w:szCs w:val="21"/>
                      <w:u w:val="none"/>
                      <w:lang w:val="en-US" w:eastAsia="zh-CN"/>
                    </w:rPr>
                    <w:t>2</w:t>
                  </w:r>
                </w:p>
              </w:tc>
              <w:tc>
                <w:tcPr>
                  <w:tcW w:w="402" w:type="pct"/>
                  <w:shd w:val="clear" w:color="auto" w:fill="auto"/>
                  <w:vAlign w:val="center"/>
                </w:tcPr>
                <w:p w14:paraId="761B6CF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-145.</w:t>
                  </w:r>
                  <w:r>
                    <w:rPr>
                      <w:rFonts w:hint="eastAsia" w:ascii="Times New Roman" w:hAnsi="Times New Roman" w:cs="Times New Roman"/>
                      <w:b w:val="0"/>
                      <w:bCs w:val="0"/>
                      <w:color w:val="auto"/>
                      <w:sz w:val="21"/>
                      <w:szCs w:val="21"/>
                      <w:u w:val="none"/>
                      <w:lang w:val="en-US" w:eastAsia="zh-CN"/>
                    </w:rPr>
                    <w:t>1</w:t>
                  </w:r>
                  <w:r>
                    <w:rPr>
                      <w:rFonts w:hint="default" w:ascii="Times New Roman" w:hAnsi="Times New Roman" w:cs="Times New Roman"/>
                      <w:b w:val="0"/>
                      <w:bCs w:val="0"/>
                      <w:color w:val="auto"/>
                      <w:sz w:val="21"/>
                      <w:szCs w:val="21"/>
                      <w:u w:val="none"/>
                      <w:lang w:val="en-US" w:eastAsia="zh-CN"/>
                    </w:rPr>
                    <w:t>5</w:t>
                  </w:r>
                </w:p>
              </w:tc>
              <w:tc>
                <w:tcPr>
                  <w:tcW w:w="234" w:type="pct"/>
                  <w:shd w:val="clear" w:color="auto" w:fill="auto"/>
                  <w:vAlign w:val="center"/>
                </w:tcPr>
                <w:p w14:paraId="309C742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7727EA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48B9B6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2585B2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7C51B0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08C607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09E154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07F0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tblHeader/>
                <w:jc w:val="center"/>
              </w:trPr>
              <w:tc>
                <w:tcPr>
                  <w:tcW w:w="184" w:type="pct"/>
                  <w:shd w:val="clear" w:color="auto" w:fill="auto"/>
                  <w:vAlign w:val="center"/>
                </w:tcPr>
                <w:p w14:paraId="5539D8FB">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56</w:t>
                  </w:r>
                </w:p>
              </w:tc>
              <w:tc>
                <w:tcPr>
                  <w:tcW w:w="242" w:type="pct"/>
                  <w:vMerge w:val="continue"/>
                  <w:vAlign w:val="center"/>
                </w:tcPr>
                <w:p w14:paraId="1F0542E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64D9E2F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eastAsia" w:ascii="Times New Roman" w:hAnsi="Times New Roman" w:eastAsia="宋体" w:cs="Times New Roman"/>
                      <w:color w:val="auto"/>
                      <w:kern w:val="0"/>
                      <w:sz w:val="21"/>
                      <w:szCs w:val="21"/>
                      <w:lang w:val="en-US" w:eastAsia="zh-CN"/>
                    </w:rPr>
                    <w:t>静电喷粉机组</w:t>
                  </w:r>
                </w:p>
              </w:tc>
              <w:tc>
                <w:tcPr>
                  <w:tcW w:w="467" w:type="pct"/>
                  <w:vAlign w:val="center"/>
                </w:tcPr>
                <w:p w14:paraId="3C53867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104E72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248F0D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33EFF0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eastAsia" w:cs="Times New Roman"/>
                      <w:b w:val="0"/>
                      <w:bCs w:val="0"/>
                      <w:color w:val="auto"/>
                      <w:sz w:val="21"/>
                      <w:szCs w:val="21"/>
                      <w:u w:val="none"/>
                      <w:lang w:val="en-US" w:eastAsia="zh-CN"/>
                    </w:rPr>
                    <w:t>-57.48</w:t>
                  </w:r>
                </w:p>
              </w:tc>
              <w:tc>
                <w:tcPr>
                  <w:tcW w:w="402" w:type="pct"/>
                  <w:shd w:val="clear" w:color="auto" w:fill="auto"/>
                  <w:vAlign w:val="center"/>
                </w:tcPr>
                <w:p w14:paraId="3B48FB4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黑体" w:cs="Times New Roman"/>
                      <w:b w:val="0"/>
                      <w:bCs w:val="0"/>
                      <w:color w:val="auto"/>
                      <w:kern w:val="2"/>
                      <w:sz w:val="21"/>
                      <w:szCs w:val="21"/>
                      <w:u w:val="none"/>
                      <w:lang w:val="en-US" w:eastAsia="zh-CN" w:bidi="ar-SA"/>
                    </w:rPr>
                  </w:pPr>
                  <w:r>
                    <w:rPr>
                      <w:rFonts w:hint="eastAsia" w:ascii="Times New Roman" w:hAnsi="Times New Roman" w:cs="Times New Roman"/>
                      <w:b w:val="0"/>
                      <w:bCs w:val="0"/>
                      <w:color w:val="auto"/>
                      <w:sz w:val="21"/>
                      <w:szCs w:val="21"/>
                      <w:u w:val="none"/>
                      <w:lang w:val="en-US" w:eastAsia="zh-CN"/>
                    </w:rPr>
                    <w:t>-147.39</w:t>
                  </w:r>
                </w:p>
              </w:tc>
              <w:tc>
                <w:tcPr>
                  <w:tcW w:w="234" w:type="pct"/>
                  <w:shd w:val="clear" w:color="auto" w:fill="auto"/>
                  <w:vAlign w:val="center"/>
                </w:tcPr>
                <w:p w14:paraId="6A20C37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260" w:type="pct"/>
                  <w:vAlign w:val="center"/>
                </w:tcPr>
                <w:p w14:paraId="74EA4F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363DAFD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0A8460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1B2485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003B40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226" w:type="pct"/>
                  <w:vAlign w:val="center"/>
                </w:tcPr>
                <w:p w14:paraId="53826C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68A5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tblHeader/>
                <w:jc w:val="center"/>
              </w:trPr>
              <w:tc>
                <w:tcPr>
                  <w:tcW w:w="184" w:type="pct"/>
                  <w:shd w:val="clear" w:color="auto" w:fill="auto"/>
                  <w:vAlign w:val="center"/>
                </w:tcPr>
                <w:p w14:paraId="364444A4">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57</w:t>
                  </w:r>
                </w:p>
              </w:tc>
              <w:tc>
                <w:tcPr>
                  <w:tcW w:w="242" w:type="pct"/>
                  <w:vMerge w:val="continue"/>
                  <w:vAlign w:val="center"/>
                </w:tcPr>
                <w:p w14:paraId="64189F1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0168543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eastAsia" w:ascii="Times New Roman" w:hAnsi="Times New Roman" w:eastAsia="宋体" w:cs="Times New Roman"/>
                      <w:color w:val="auto"/>
                      <w:kern w:val="0"/>
                      <w:sz w:val="21"/>
                      <w:szCs w:val="21"/>
                      <w:lang w:val="en-US" w:eastAsia="zh-CN"/>
                    </w:rPr>
                    <w:t>静电喷粉机组</w:t>
                  </w:r>
                </w:p>
              </w:tc>
              <w:tc>
                <w:tcPr>
                  <w:tcW w:w="467" w:type="pct"/>
                  <w:vAlign w:val="center"/>
                </w:tcPr>
                <w:p w14:paraId="602849F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75079F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55208A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2B748D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eastAsia" w:cs="Times New Roman"/>
                      <w:b w:val="0"/>
                      <w:bCs w:val="0"/>
                      <w:color w:val="auto"/>
                      <w:sz w:val="21"/>
                      <w:szCs w:val="21"/>
                      <w:u w:val="none"/>
                      <w:lang w:val="en-US" w:eastAsia="zh-CN"/>
                    </w:rPr>
                    <w:t>-57.33</w:t>
                  </w:r>
                </w:p>
              </w:tc>
              <w:tc>
                <w:tcPr>
                  <w:tcW w:w="402" w:type="pct"/>
                  <w:shd w:val="clear" w:color="auto" w:fill="auto"/>
                  <w:vAlign w:val="center"/>
                </w:tcPr>
                <w:p w14:paraId="2A39B96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黑体" w:cs="Times New Roman"/>
                      <w:b w:val="0"/>
                      <w:bCs w:val="0"/>
                      <w:color w:val="auto"/>
                      <w:kern w:val="2"/>
                      <w:sz w:val="21"/>
                      <w:szCs w:val="21"/>
                      <w:u w:val="none"/>
                      <w:lang w:val="en-US" w:eastAsia="zh-CN" w:bidi="ar-SA"/>
                    </w:rPr>
                  </w:pPr>
                  <w:r>
                    <w:rPr>
                      <w:rFonts w:hint="eastAsia" w:ascii="Times New Roman" w:hAnsi="Times New Roman" w:cs="Times New Roman"/>
                      <w:b w:val="0"/>
                      <w:bCs w:val="0"/>
                      <w:color w:val="auto"/>
                      <w:sz w:val="21"/>
                      <w:szCs w:val="21"/>
                      <w:u w:val="none"/>
                      <w:lang w:val="en-US" w:eastAsia="zh-CN"/>
                    </w:rPr>
                    <w:t>-140.41</w:t>
                  </w:r>
                </w:p>
              </w:tc>
              <w:tc>
                <w:tcPr>
                  <w:tcW w:w="234" w:type="pct"/>
                  <w:shd w:val="clear" w:color="auto" w:fill="auto"/>
                  <w:vAlign w:val="center"/>
                </w:tcPr>
                <w:p w14:paraId="0BCF9FD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260" w:type="pct"/>
                  <w:vAlign w:val="center"/>
                </w:tcPr>
                <w:p w14:paraId="2AF5A7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04A761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08EA50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29787C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751FB8E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226" w:type="pct"/>
                  <w:vAlign w:val="center"/>
                </w:tcPr>
                <w:p w14:paraId="785595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7997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tblHeader/>
                <w:jc w:val="center"/>
              </w:trPr>
              <w:tc>
                <w:tcPr>
                  <w:tcW w:w="184" w:type="pct"/>
                  <w:shd w:val="clear" w:color="auto" w:fill="auto"/>
                  <w:vAlign w:val="center"/>
                </w:tcPr>
                <w:p w14:paraId="64E7AF50">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58</w:t>
                  </w:r>
                </w:p>
              </w:tc>
              <w:tc>
                <w:tcPr>
                  <w:tcW w:w="242" w:type="pct"/>
                  <w:vMerge w:val="continue"/>
                  <w:vAlign w:val="center"/>
                </w:tcPr>
                <w:p w14:paraId="739CE46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5A54821C">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喷粉房</w:t>
                  </w:r>
                </w:p>
              </w:tc>
              <w:tc>
                <w:tcPr>
                  <w:tcW w:w="467" w:type="pct"/>
                  <w:vAlign w:val="center"/>
                </w:tcPr>
                <w:p w14:paraId="5C3C26D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6D4052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40E860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1A893E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eastAsia" w:cs="Times New Roman"/>
                      <w:b w:val="0"/>
                      <w:bCs w:val="0"/>
                      <w:color w:val="auto"/>
                      <w:sz w:val="21"/>
                      <w:szCs w:val="21"/>
                      <w:u w:val="none"/>
                      <w:lang w:val="en-US" w:eastAsia="zh-CN"/>
                    </w:rPr>
                    <w:t>-56.74</w:t>
                  </w:r>
                </w:p>
              </w:tc>
              <w:tc>
                <w:tcPr>
                  <w:tcW w:w="402" w:type="pct"/>
                  <w:shd w:val="clear" w:color="auto" w:fill="auto"/>
                  <w:vAlign w:val="center"/>
                </w:tcPr>
                <w:p w14:paraId="539F515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黑体" w:cs="Times New Roman"/>
                      <w:b w:val="0"/>
                      <w:bCs w:val="0"/>
                      <w:color w:val="auto"/>
                      <w:kern w:val="2"/>
                      <w:sz w:val="21"/>
                      <w:szCs w:val="21"/>
                      <w:u w:val="none"/>
                      <w:lang w:val="en-US" w:eastAsia="zh-CN" w:bidi="ar-SA"/>
                    </w:rPr>
                  </w:pPr>
                  <w:r>
                    <w:rPr>
                      <w:rFonts w:hint="eastAsia" w:ascii="Times New Roman" w:hAnsi="Times New Roman" w:cs="Times New Roman"/>
                      <w:b w:val="0"/>
                      <w:bCs w:val="0"/>
                      <w:color w:val="auto"/>
                      <w:sz w:val="21"/>
                      <w:szCs w:val="21"/>
                      <w:u w:val="none"/>
                      <w:lang w:val="en-US" w:eastAsia="zh-CN"/>
                    </w:rPr>
                    <w:t>-142.55</w:t>
                  </w:r>
                </w:p>
              </w:tc>
              <w:tc>
                <w:tcPr>
                  <w:tcW w:w="234" w:type="pct"/>
                  <w:shd w:val="clear" w:color="auto" w:fill="auto"/>
                  <w:vAlign w:val="center"/>
                </w:tcPr>
                <w:p w14:paraId="25D58FC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260" w:type="pct"/>
                  <w:vAlign w:val="center"/>
                </w:tcPr>
                <w:p w14:paraId="74EB46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090D8E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44C369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4D3565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15529F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226" w:type="pct"/>
                  <w:vAlign w:val="center"/>
                </w:tcPr>
                <w:p w14:paraId="7167A2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5275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tblHeader/>
                <w:jc w:val="center"/>
              </w:trPr>
              <w:tc>
                <w:tcPr>
                  <w:tcW w:w="184" w:type="pct"/>
                  <w:shd w:val="clear" w:color="auto" w:fill="auto"/>
                  <w:vAlign w:val="center"/>
                </w:tcPr>
                <w:p w14:paraId="7D49ADD5">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59</w:t>
                  </w:r>
                </w:p>
              </w:tc>
              <w:tc>
                <w:tcPr>
                  <w:tcW w:w="242" w:type="pct"/>
                  <w:vMerge w:val="continue"/>
                  <w:vAlign w:val="center"/>
                </w:tcPr>
                <w:p w14:paraId="483F5E4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26D38510">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粉末回收系统</w:t>
                  </w:r>
                </w:p>
              </w:tc>
              <w:tc>
                <w:tcPr>
                  <w:tcW w:w="467" w:type="pct"/>
                  <w:vAlign w:val="center"/>
                </w:tcPr>
                <w:p w14:paraId="397EBEC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5CC1EC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04A31B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6E2898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eastAsia" w:cs="Times New Roman"/>
                      <w:b w:val="0"/>
                      <w:bCs w:val="0"/>
                      <w:color w:val="auto"/>
                      <w:sz w:val="21"/>
                      <w:szCs w:val="21"/>
                      <w:u w:val="none"/>
                      <w:lang w:val="en-US" w:eastAsia="zh-CN"/>
                    </w:rPr>
                    <w:t>-64.21</w:t>
                  </w:r>
                </w:p>
              </w:tc>
              <w:tc>
                <w:tcPr>
                  <w:tcW w:w="402" w:type="pct"/>
                  <w:shd w:val="clear" w:color="auto" w:fill="auto"/>
                  <w:vAlign w:val="center"/>
                </w:tcPr>
                <w:p w14:paraId="528C033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黑体" w:cs="Times New Roman"/>
                      <w:b w:val="0"/>
                      <w:bCs w:val="0"/>
                      <w:color w:val="auto"/>
                      <w:kern w:val="2"/>
                      <w:sz w:val="21"/>
                      <w:szCs w:val="21"/>
                      <w:u w:val="none"/>
                      <w:lang w:val="en-US" w:eastAsia="zh-CN" w:bidi="ar-SA"/>
                    </w:rPr>
                  </w:pPr>
                  <w:r>
                    <w:rPr>
                      <w:rFonts w:hint="eastAsia" w:ascii="Times New Roman" w:hAnsi="Times New Roman" w:cs="Times New Roman"/>
                      <w:b w:val="0"/>
                      <w:bCs w:val="0"/>
                      <w:color w:val="auto"/>
                      <w:sz w:val="21"/>
                      <w:szCs w:val="21"/>
                      <w:u w:val="none"/>
                      <w:lang w:val="en-US" w:eastAsia="zh-CN"/>
                    </w:rPr>
                    <w:t>-</w:t>
                  </w:r>
                  <w:r>
                    <w:rPr>
                      <w:rFonts w:hint="eastAsia" w:cs="Times New Roman"/>
                      <w:b w:val="0"/>
                      <w:bCs w:val="0"/>
                      <w:color w:val="auto"/>
                      <w:sz w:val="21"/>
                      <w:szCs w:val="21"/>
                      <w:u w:val="none"/>
                      <w:lang w:val="en-US" w:eastAsia="zh-CN"/>
                    </w:rPr>
                    <w:t>160.48</w:t>
                  </w:r>
                </w:p>
              </w:tc>
              <w:tc>
                <w:tcPr>
                  <w:tcW w:w="234" w:type="pct"/>
                  <w:shd w:val="clear" w:color="auto" w:fill="auto"/>
                  <w:vAlign w:val="center"/>
                </w:tcPr>
                <w:p w14:paraId="1E5DA34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260" w:type="pct"/>
                  <w:vAlign w:val="center"/>
                </w:tcPr>
                <w:p w14:paraId="194CA0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5121004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6A7F3D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51BB9C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3F8A98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226" w:type="pct"/>
                  <w:vAlign w:val="center"/>
                </w:tcPr>
                <w:p w14:paraId="36FC35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012A8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tblHeader/>
                <w:jc w:val="center"/>
              </w:trPr>
              <w:tc>
                <w:tcPr>
                  <w:tcW w:w="184" w:type="pct"/>
                  <w:shd w:val="clear" w:color="auto" w:fill="auto"/>
                  <w:vAlign w:val="center"/>
                </w:tcPr>
                <w:p w14:paraId="15A856B9">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60</w:t>
                  </w:r>
                </w:p>
              </w:tc>
              <w:tc>
                <w:tcPr>
                  <w:tcW w:w="242" w:type="pct"/>
                  <w:vMerge w:val="continue"/>
                  <w:vAlign w:val="center"/>
                </w:tcPr>
                <w:p w14:paraId="5F3EE13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2312467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 w:val="21"/>
                      <w:szCs w:val="21"/>
                      <w:u w:val="none" w:color="auto"/>
                      <w:lang w:val="en-US" w:eastAsia="zh-CN"/>
                    </w:rPr>
                  </w:pPr>
                  <w:r>
                    <w:rPr>
                      <w:rFonts w:hint="eastAsia" w:ascii="Times New Roman" w:hAnsi="Times New Roman" w:eastAsia="宋体" w:cs="Times New Roman"/>
                      <w:color w:val="auto"/>
                      <w:kern w:val="0"/>
                      <w:sz w:val="21"/>
                      <w:szCs w:val="21"/>
                      <w:lang w:val="en-US" w:eastAsia="zh-CN"/>
                    </w:rPr>
                    <w:t>粉末回收系统</w:t>
                  </w:r>
                </w:p>
              </w:tc>
              <w:tc>
                <w:tcPr>
                  <w:tcW w:w="467" w:type="pct"/>
                  <w:vAlign w:val="center"/>
                </w:tcPr>
                <w:p w14:paraId="279B47C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w:t>
                  </w:r>
                </w:p>
              </w:tc>
              <w:tc>
                <w:tcPr>
                  <w:tcW w:w="383" w:type="pct"/>
                  <w:vAlign w:val="center"/>
                </w:tcPr>
                <w:p w14:paraId="3A98E8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4E4081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6DFEF8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eastAsia" w:cs="Times New Roman"/>
                      <w:b w:val="0"/>
                      <w:bCs w:val="0"/>
                      <w:color w:val="auto"/>
                      <w:sz w:val="21"/>
                      <w:szCs w:val="21"/>
                      <w:u w:val="none"/>
                      <w:lang w:val="en-US" w:eastAsia="zh-CN"/>
                    </w:rPr>
                    <w:t>-64.21</w:t>
                  </w:r>
                </w:p>
              </w:tc>
              <w:tc>
                <w:tcPr>
                  <w:tcW w:w="402" w:type="pct"/>
                  <w:shd w:val="clear" w:color="auto" w:fill="auto"/>
                  <w:vAlign w:val="center"/>
                </w:tcPr>
                <w:p w14:paraId="2E5A2B2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黑体" w:cs="Times New Roman"/>
                      <w:b w:val="0"/>
                      <w:bCs w:val="0"/>
                      <w:color w:val="auto"/>
                      <w:kern w:val="2"/>
                      <w:sz w:val="21"/>
                      <w:szCs w:val="21"/>
                      <w:u w:val="none"/>
                      <w:lang w:val="en-US" w:eastAsia="zh-CN" w:bidi="ar-SA"/>
                    </w:rPr>
                  </w:pPr>
                  <w:r>
                    <w:rPr>
                      <w:rFonts w:hint="eastAsia" w:ascii="Times New Roman" w:hAnsi="Times New Roman" w:cs="Times New Roman"/>
                      <w:b w:val="0"/>
                      <w:bCs w:val="0"/>
                      <w:color w:val="auto"/>
                      <w:sz w:val="21"/>
                      <w:szCs w:val="21"/>
                      <w:u w:val="none"/>
                      <w:lang w:val="en-US" w:eastAsia="zh-CN"/>
                    </w:rPr>
                    <w:t>-164.24</w:t>
                  </w:r>
                </w:p>
              </w:tc>
              <w:tc>
                <w:tcPr>
                  <w:tcW w:w="234" w:type="pct"/>
                  <w:shd w:val="clear" w:color="auto" w:fill="auto"/>
                  <w:vAlign w:val="center"/>
                </w:tcPr>
                <w:p w14:paraId="65E06B1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260" w:type="pct"/>
                  <w:vAlign w:val="center"/>
                </w:tcPr>
                <w:p w14:paraId="5159D3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556D49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80" w:type="pct"/>
                  <w:vAlign w:val="center"/>
                </w:tcPr>
                <w:p w14:paraId="0B36C1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5DF271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7C4673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226" w:type="pct"/>
                  <w:vAlign w:val="center"/>
                </w:tcPr>
                <w:p w14:paraId="359E70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5CD04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tblHeader/>
                <w:jc w:val="center"/>
              </w:trPr>
              <w:tc>
                <w:tcPr>
                  <w:tcW w:w="184" w:type="pct"/>
                  <w:shd w:val="clear" w:color="auto" w:fill="auto"/>
                  <w:vAlign w:val="center"/>
                </w:tcPr>
                <w:p w14:paraId="3E82EF3F">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61</w:t>
                  </w:r>
                </w:p>
              </w:tc>
              <w:tc>
                <w:tcPr>
                  <w:tcW w:w="242" w:type="pct"/>
                  <w:vMerge w:val="continue"/>
                  <w:vAlign w:val="center"/>
                </w:tcPr>
                <w:p w14:paraId="00A4744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35E5640A">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悬挂输送链</w:t>
                  </w:r>
                </w:p>
              </w:tc>
              <w:tc>
                <w:tcPr>
                  <w:tcW w:w="467" w:type="pct"/>
                  <w:vAlign w:val="center"/>
                </w:tcPr>
                <w:p w14:paraId="780898C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18D69A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4564C6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3F23E8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eastAsia" w:cs="Times New Roman"/>
                      <w:b w:val="0"/>
                      <w:bCs w:val="0"/>
                      <w:color w:val="auto"/>
                      <w:sz w:val="21"/>
                      <w:szCs w:val="21"/>
                      <w:u w:val="none"/>
                      <w:lang w:val="en-US" w:eastAsia="zh-CN"/>
                    </w:rPr>
                    <w:t>-49.24</w:t>
                  </w:r>
                </w:p>
              </w:tc>
              <w:tc>
                <w:tcPr>
                  <w:tcW w:w="402" w:type="pct"/>
                  <w:shd w:val="clear" w:color="auto" w:fill="auto"/>
                  <w:vAlign w:val="center"/>
                </w:tcPr>
                <w:p w14:paraId="1EC6222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黑体" w:cs="Times New Roman"/>
                      <w:b w:val="0"/>
                      <w:bCs w:val="0"/>
                      <w:color w:val="auto"/>
                      <w:kern w:val="2"/>
                      <w:sz w:val="21"/>
                      <w:szCs w:val="21"/>
                      <w:u w:val="none"/>
                      <w:lang w:val="en-US" w:eastAsia="zh-CN" w:bidi="ar-SA"/>
                    </w:rPr>
                  </w:pPr>
                  <w:r>
                    <w:rPr>
                      <w:rFonts w:hint="eastAsia" w:ascii="Times New Roman" w:hAnsi="Times New Roman" w:cs="Times New Roman"/>
                      <w:b w:val="0"/>
                      <w:bCs w:val="0"/>
                      <w:color w:val="auto"/>
                      <w:sz w:val="21"/>
                      <w:szCs w:val="21"/>
                      <w:u w:val="none"/>
                      <w:lang w:val="en-US" w:eastAsia="zh-CN"/>
                    </w:rPr>
                    <w:t>-147.16</w:t>
                  </w:r>
                </w:p>
              </w:tc>
              <w:tc>
                <w:tcPr>
                  <w:tcW w:w="234" w:type="pct"/>
                  <w:shd w:val="clear" w:color="auto" w:fill="auto"/>
                  <w:vAlign w:val="center"/>
                </w:tcPr>
                <w:p w14:paraId="69CEF24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260" w:type="pct"/>
                  <w:vAlign w:val="center"/>
                </w:tcPr>
                <w:p w14:paraId="189A2E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shd w:val="clear" w:color="auto" w:fill="auto"/>
                  <w:vAlign w:val="center"/>
                </w:tcPr>
                <w:p w14:paraId="5EA3095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shd w:val="clear" w:color="auto" w:fill="auto"/>
                  <w:vAlign w:val="center"/>
                </w:tcPr>
                <w:p w14:paraId="41ACE2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shd w:val="clear" w:color="auto" w:fill="auto"/>
                  <w:vAlign w:val="center"/>
                </w:tcPr>
                <w:p w14:paraId="281CDF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10</w:t>
                  </w:r>
                </w:p>
              </w:tc>
              <w:tc>
                <w:tcPr>
                  <w:tcW w:w="341" w:type="pct"/>
                  <w:shd w:val="clear" w:color="auto" w:fill="auto"/>
                  <w:vAlign w:val="center"/>
                </w:tcPr>
                <w:p w14:paraId="144034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shd w:val="clear" w:color="auto" w:fill="auto"/>
                  <w:vAlign w:val="center"/>
                </w:tcPr>
                <w:p w14:paraId="0C98E9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u w:val="none"/>
                      <w:lang w:val="en-US" w:eastAsia="zh-CN" w:bidi="ar-SA"/>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00B9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tblHeader/>
                <w:jc w:val="center"/>
              </w:trPr>
              <w:tc>
                <w:tcPr>
                  <w:tcW w:w="184" w:type="pct"/>
                  <w:shd w:val="clear" w:color="auto" w:fill="auto"/>
                  <w:vAlign w:val="center"/>
                </w:tcPr>
                <w:p w14:paraId="09EE975A">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62</w:t>
                  </w:r>
                </w:p>
              </w:tc>
              <w:tc>
                <w:tcPr>
                  <w:tcW w:w="242" w:type="pct"/>
                  <w:vMerge w:val="continue"/>
                  <w:vAlign w:val="center"/>
                </w:tcPr>
                <w:p w14:paraId="4F4A17E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325D61E6">
                  <w:pPr>
                    <w:keepNext w:val="0"/>
                    <w:keepLines w:val="0"/>
                    <w:pageBreakBefore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烘干室</w:t>
                  </w:r>
                </w:p>
              </w:tc>
              <w:tc>
                <w:tcPr>
                  <w:tcW w:w="0" w:type="auto"/>
                  <w:shd w:val="clear" w:color="auto" w:fill="auto"/>
                  <w:vAlign w:val="center"/>
                </w:tcPr>
                <w:p w14:paraId="55279A4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90</w:t>
                  </w:r>
                </w:p>
              </w:tc>
              <w:tc>
                <w:tcPr>
                  <w:tcW w:w="383" w:type="pct"/>
                  <w:shd w:val="clear" w:color="auto" w:fill="auto"/>
                  <w:vAlign w:val="center"/>
                </w:tcPr>
                <w:p w14:paraId="6A5839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rPr>
                    <w:t>基础减振</w:t>
                  </w:r>
                </w:p>
              </w:tc>
              <w:tc>
                <w:tcPr>
                  <w:tcW w:w="351" w:type="pct"/>
                  <w:shd w:val="clear" w:color="auto" w:fill="auto"/>
                  <w:vAlign w:val="center"/>
                </w:tcPr>
                <w:p w14:paraId="44DE65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38C5C6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eastAsia" w:cs="Times New Roman"/>
                      <w:b w:val="0"/>
                      <w:bCs w:val="0"/>
                      <w:color w:val="auto"/>
                      <w:sz w:val="21"/>
                      <w:szCs w:val="21"/>
                      <w:u w:val="none"/>
                      <w:lang w:val="en-US" w:eastAsia="zh-CN"/>
                    </w:rPr>
                    <w:t>-70.44</w:t>
                  </w:r>
                </w:p>
              </w:tc>
              <w:tc>
                <w:tcPr>
                  <w:tcW w:w="402" w:type="pct"/>
                  <w:shd w:val="clear" w:color="auto" w:fill="auto"/>
                  <w:vAlign w:val="center"/>
                </w:tcPr>
                <w:p w14:paraId="4849E65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黑体" w:cs="Times New Roman"/>
                      <w:b w:val="0"/>
                      <w:bCs w:val="0"/>
                      <w:color w:val="auto"/>
                      <w:kern w:val="2"/>
                      <w:sz w:val="21"/>
                      <w:szCs w:val="21"/>
                      <w:u w:val="none"/>
                      <w:lang w:val="en-US" w:eastAsia="zh-CN" w:bidi="ar-SA"/>
                    </w:rPr>
                  </w:pPr>
                  <w:r>
                    <w:rPr>
                      <w:rFonts w:hint="eastAsia" w:ascii="Times New Roman" w:hAnsi="Times New Roman" w:cs="Times New Roman"/>
                      <w:b w:val="0"/>
                      <w:bCs w:val="0"/>
                      <w:color w:val="auto"/>
                      <w:sz w:val="21"/>
                      <w:szCs w:val="21"/>
                      <w:u w:val="none"/>
                      <w:lang w:val="en-US" w:eastAsia="zh-CN"/>
                    </w:rPr>
                    <w:t>-173.25</w:t>
                  </w:r>
                </w:p>
              </w:tc>
              <w:tc>
                <w:tcPr>
                  <w:tcW w:w="234" w:type="pct"/>
                  <w:shd w:val="clear" w:color="auto" w:fill="auto"/>
                  <w:vAlign w:val="center"/>
                </w:tcPr>
                <w:p w14:paraId="6CF2DD4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260" w:type="pct"/>
                  <w:vAlign w:val="center"/>
                </w:tcPr>
                <w:p w14:paraId="7481CF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shd w:val="clear" w:color="auto" w:fill="auto"/>
                  <w:vAlign w:val="center"/>
                </w:tcPr>
                <w:p w14:paraId="4B007A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75</w:t>
                  </w:r>
                </w:p>
              </w:tc>
              <w:tc>
                <w:tcPr>
                  <w:tcW w:w="280" w:type="pct"/>
                  <w:shd w:val="clear" w:color="auto" w:fill="auto"/>
                  <w:vAlign w:val="center"/>
                </w:tcPr>
                <w:p w14:paraId="528928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shd w:val="clear" w:color="auto" w:fill="auto"/>
                  <w:vAlign w:val="center"/>
                </w:tcPr>
                <w:p w14:paraId="7A70B1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lang w:val="en-US" w:eastAsia="zh-CN"/>
                    </w:rPr>
                    <w:t>10</w:t>
                  </w:r>
                </w:p>
              </w:tc>
              <w:tc>
                <w:tcPr>
                  <w:tcW w:w="341" w:type="pct"/>
                  <w:shd w:val="clear" w:color="auto" w:fill="auto"/>
                  <w:vAlign w:val="center"/>
                </w:tcPr>
                <w:p w14:paraId="7BFC15D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65</w:t>
                  </w:r>
                </w:p>
              </w:tc>
              <w:tc>
                <w:tcPr>
                  <w:tcW w:w="0" w:type="auto"/>
                  <w:shd w:val="clear" w:color="auto" w:fill="auto"/>
                  <w:vAlign w:val="center"/>
                </w:tcPr>
                <w:p w14:paraId="1C7365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u w:val="none"/>
                      <w:lang w:val="en-US" w:eastAsia="zh-CN" w:bidi="ar-SA"/>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48F49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184" w:type="pct"/>
                  <w:shd w:val="clear" w:color="auto" w:fill="auto"/>
                  <w:vAlign w:val="center"/>
                </w:tcPr>
                <w:p w14:paraId="57CCE030">
                  <w:pPr>
                    <w:keepNext w:val="0"/>
                    <w:keepLines w:val="0"/>
                    <w:widowControl/>
                    <w:suppressLineNumbers w:val="0"/>
                    <w:jc w:val="center"/>
                    <w:textAlignment w:val="center"/>
                    <w:rPr>
                      <w:rFonts w:hint="eastAsia"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63</w:t>
                  </w:r>
                </w:p>
              </w:tc>
              <w:tc>
                <w:tcPr>
                  <w:tcW w:w="242" w:type="pct"/>
                  <w:vMerge w:val="restart"/>
                  <w:vAlign w:val="center"/>
                </w:tcPr>
                <w:p w14:paraId="3D3C63E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eastAsia" w:ascii="Times New Roman" w:hAnsi="Times New Roman" w:eastAsia="宋体" w:cs="Times New Roman"/>
                      <w:b w:val="0"/>
                      <w:bCs w:val="0"/>
                      <w:color w:val="auto"/>
                      <w:sz w:val="21"/>
                      <w:szCs w:val="21"/>
                      <w:u w:val="none"/>
                      <w:lang w:val="en-US" w:eastAsia="zh-CN"/>
                    </w:rPr>
                    <w:t>3号厂房</w:t>
                  </w:r>
                </w:p>
              </w:tc>
              <w:tc>
                <w:tcPr>
                  <w:tcW w:w="341" w:type="pct"/>
                  <w:shd w:val="clear" w:color="auto" w:fill="auto"/>
                  <w:vAlign w:val="center"/>
                </w:tcPr>
                <w:p w14:paraId="6A7DA105">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u w:val="none" w:color="auto"/>
                      <w:lang w:val="en-US" w:eastAsia="zh-CN"/>
                    </w:rPr>
                    <w:t>装配线</w:t>
                  </w:r>
                </w:p>
              </w:tc>
              <w:tc>
                <w:tcPr>
                  <w:tcW w:w="0" w:type="auto"/>
                  <w:vAlign w:val="center"/>
                </w:tcPr>
                <w:p w14:paraId="6D400DF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32342E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4830BA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13590BB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-57.</w:t>
                  </w:r>
                  <w:r>
                    <w:rPr>
                      <w:rFonts w:hint="eastAsia" w:ascii="Times New Roman" w:hAnsi="Times New Roman" w:cs="Times New Roman"/>
                      <w:b w:val="0"/>
                      <w:bCs w:val="0"/>
                      <w:color w:val="auto"/>
                      <w:sz w:val="21"/>
                      <w:szCs w:val="21"/>
                      <w:u w:val="none"/>
                      <w:lang w:val="en-US" w:eastAsia="zh-CN"/>
                    </w:rPr>
                    <w:t>24</w:t>
                  </w:r>
                </w:p>
              </w:tc>
              <w:tc>
                <w:tcPr>
                  <w:tcW w:w="402" w:type="pct"/>
                  <w:shd w:val="clear" w:color="auto" w:fill="auto"/>
                  <w:vAlign w:val="center"/>
                </w:tcPr>
                <w:p w14:paraId="5A265AA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-145.5</w:t>
                  </w:r>
                  <w:r>
                    <w:rPr>
                      <w:rFonts w:hint="eastAsia" w:ascii="Times New Roman" w:hAnsi="Times New Roman" w:cs="Times New Roman"/>
                      <w:b w:val="0"/>
                      <w:bCs w:val="0"/>
                      <w:color w:val="auto"/>
                      <w:sz w:val="21"/>
                      <w:szCs w:val="21"/>
                      <w:u w:val="none"/>
                      <w:lang w:val="en-US" w:eastAsia="zh-CN"/>
                    </w:rPr>
                    <w:t>3</w:t>
                  </w:r>
                </w:p>
              </w:tc>
              <w:tc>
                <w:tcPr>
                  <w:tcW w:w="234" w:type="pct"/>
                  <w:shd w:val="clear" w:color="auto" w:fill="auto"/>
                  <w:vAlign w:val="center"/>
                </w:tcPr>
                <w:p w14:paraId="17B468F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7736FE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5922A8A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44D893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0B7F4D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477C807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435589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1477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shd w:val="clear" w:color="auto" w:fill="auto"/>
                  <w:vAlign w:val="center"/>
                </w:tcPr>
                <w:p w14:paraId="4496BF33">
                  <w:pPr>
                    <w:keepNext w:val="0"/>
                    <w:keepLines w:val="0"/>
                    <w:widowControl/>
                    <w:suppressLineNumbers w:val="0"/>
                    <w:jc w:val="center"/>
                    <w:textAlignment w:val="center"/>
                    <w:rPr>
                      <w:rFonts w:hint="eastAsia"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64</w:t>
                  </w:r>
                </w:p>
              </w:tc>
              <w:tc>
                <w:tcPr>
                  <w:tcW w:w="242" w:type="pct"/>
                  <w:vMerge w:val="continue"/>
                  <w:vAlign w:val="center"/>
                </w:tcPr>
                <w:p w14:paraId="09B9CC3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121ECCB7">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u w:val="none" w:color="auto"/>
                      <w:lang w:val="en-US" w:eastAsia="zh-CN"/>
                    </w:rPr>
                    <w:t>装配线</w:t>
                  </w:r>
                </w:p>
              </w:tc>
              <w:tc>
                <w:tcPr>
                  <w:tcW w:w="0" w:type="auto"/>
                  <w:vAlign w:val="center"/>
                </w:tcPr>
                <w:p w14:paraId="3815EB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36FCCF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3D27FE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77A33CA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-78.36</w:t>
                  </w:r>
                </w:p>
              </w:tc>
              <w:tc>
                <w:tcPr>
                  <w:tcW w:w="402" w:type="pct"/>
                  <w:shd w:val="clear" w:color="auto" w:fill="auto"/>
                  <w:vAlign w:val="center"/>
                </w:tcPr>
                <w:p w14:paraId="30E9FDB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-160.54</w:t>
                  </w:r>
                </w:p>
              </w:tc>
              <w:tc>
                <w:tcPr>
                  <w:tcW w:w="234" w:type="pct"/>
                  <w:shd w:val="clear" w:color="auto" w:fill="auto"/>
                  <w:vAlign w:val="center"/>
                </w:tcPr>
                <w:p w14:paraId="038342F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3CF667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77E8D9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6616AC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33B836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3E6118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6557CC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4C21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shd w:val="clear" w:color="auto" w:fill="auto"/>
                  <w:vAlign w:val="center"/>
                </w:tcPr>
                <w:p w14:paraId="72BF013D">
                  <w:pPr>
                    <w:keepNext w:val="0"/>
                    <w:keepLines w:val="0"/>
                    <w:widowControl/>
                    <w:suppressLineNumbers w:val="0"/>
                    <w:jc w:val="center"/>
                    <w:textAlignment w:val="center"/>
                    <w:rPr>
                      <w:rFonts w:hint="eastAsia"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65</w:t>
                  </w:r>
                </w:p>
              </w:tc>
              <w:tc>
                <w:tcPr>
                  <w:tcW w:w="242" w:type="pct"/>
                  <w:vMerge w:val="continue"/>
                  <w:vAlign w:val="center"/>
                </w:tcPr>
                <w:p w14:paraId="49976B1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417448BD">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u w:val="none" w:color="auto"/>
                      <w:lang w:val="en-US" w:eastAsia="zh-CN"/>
                    </w:rPr>
                    <w:t>装配线</w:t>
                  </w:r>
                </w:p>
              </w:tc>
              <w:tc>
                <w:tcPr>
                  <w:tcW w:w="0" w:type="auto"/>
                  <w:vAlign w:val="center"/>
                </w:tcPr>
                <w:p w14:paraId="1DC2E7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6B11E8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23D1DC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6C078CA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-44.69</w:t>
                  </w:r>
                </w:p>
              </w:tc>
              <w:tc>
                <w:tcPr>
                  <w:tcW w:w="402" w:type="pct"/>
                  <w:shd w:val="clear" w:color="auto" w:fill="auto"/>
                  <w:vAlign w:val="center"/>
                </w:tcPr>
                <w:p w14:paraId="09914F1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-155.99</w:t>
                  </w:r>
                </w:p>
              </w:tc>
              <w:tc>
                <w:tcPr>
                  <w:tcW w:w="234" w:type="pct"/>
                  <w:shd w:val="clear" w:color="auto" w:fill="auto"/>
                  <w:vAlign w:val="center"/>
                </w:tcPr>
                <w:p w14:paraId="33A25D1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4D09A9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75794AB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464580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63D0DE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09D5A2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424037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5D965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shd w:val="clear" w:color="auto" w:fill="auto"/>
                  <w:vAlign w:val="center"/>
                </w:tcPr>
                <w:p w14:paraId="09C74D79">
                  <w:pPr>
                    <w:keepNext w:val="0"/>
                    <w:keepLines w:val="0"/>
                    <w:widowControl/>
                    <w:suppressLineNumbers w:val="0"/>
                    <w:jc w:val="center"/>
                    <w:textAlignment w:val="center"/>
                    <w:rPr>
                      <w:rFonts w:hint="eastAsia"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66</w:t>
                  </w:r>
                </w:p>
              </w:tc>
              <w:tc>
                <w:tcPr>
                  <w:tcW w:w="242" w:type="pct"/>
                  <w:vMerge w:val="continue"/>
                  <w:vAlign w:val="center"/>
                </w:tcPr>
                <w:p w14:paraId="497B5C3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03E3BB37">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sz w:val="21"/>
                      <w:szCs w:val="21"/>
                      <w:lang w:val="en-US" w:eastAsia="zh-CN"/>
                    </w:rPr>
                    <w:t>葫芦吊</w:t>
                  </w:r>
                </w:p>
              </w:tc>
              <w:tc>
                <w:tcPr>
                  <w:tcW w:w="0" w:type="auto"/>
                  <w:vAlign w:val="center"/>
                </w:tcPr>
                <w:p w14:paraId="48703F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24AF00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46399A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07406B3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-65.00</w:t>
                  </w:r>
                </w:p>
              </w:tc>
              <w:tc>
                <w:tcPr>
                  <w:tcW w:w="402" w:type="pct"/>
                  <w:shd w:val="clear" w:color="auto" w:fill="auto"/>
                  <w:vAlign w:val="center"/>
                </w:tcPr>
                <w:p w14:paraId="7D1B87B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-159.44</w:t>
                  </w:r>
                </w:p>
              </w:tc>
              <w:tc>
                <w:tcPr>
                  <w:tcW w:w="234" w:type="pct"/>
                  <w:shd w:val="clear" w:color="auto" w:fill="auto"/>
                  <w:vAlign w:val="center"/>
                </w:tcPr>
                <w:p w14:paraId="0E86D0B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0332A1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31177F6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09B05C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2BB74B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494336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0B1328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3F39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shd w:val="clear" w:color="auto" w:fill="auto"/>
                  <w:vAlign w:val="center"/>
                </w:tcPr>
                <w:p w14:paraId="43B3F675">
                  <w:pPr>
                    <w:keepNext w:val="0"/>
                    <w:keepLines w:val="0"/>
                    <w:widowControl/>
                    <w:suppressLineNumbers w:val="0"/>
                    <w:jc w:val="center"/>
                    <w:textAlignment w:val="center"/>
                    <w:rPr>
                      <w:rFonts w:hint="eastAsia"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67</w:t>
                  </w:r>
                </w:p>
              </w:tc>
              <w:tc>
                <w:tcPr>
                  <w:tcW w:w="242" w:type="pct"/>
                  <w:vMerge w:val="continue"/>
                  <w:vAlign w:val="center"/>
                </w:tcPr>
                <w:p w14:paraId="446AF22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04A5E72E">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sz w:val="21"/>
                      <w:szCs w:val="21"/>
                      <w:lang w:val="en-US" w:eastAsia="zh-CN"/>
                    </w:rPr>
                    <w:t>葫芦吊</w:t>
                  </w:r>
                </w:p>
              </w:tc>
              <w:tc>
                <w:tcPr>
                  <w:tcW w:w="0" w:type="auto"/>
                  <w:vAlign w:val="center"/>
                </w:tcPr>
                <w:p w14:paraId="4C543E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475FB1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465073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0E496E4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-58.66</w:t>
                  </w:r>
                </w:p>
              </w:tc>
              <w:tc>
                <w:tcPr>
                  <w:tcW w:w="402" w:type="pct"/>
                  <w:shd w:val="clear" w:color="auto" w:fill="auto"/>
                  <w:vAlign w:val="center"/>
                </w:tcPr>
                <w:p w14:paraId="6D63FF8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-148.36</w:t>
                  </w:r>
                </w:p>
              </w:tc>
              <w:tc>
                <w:tcPr>
                  <w:tcW w:w="234" w:type="pct"/>
                  <w:shd w:val="clear" w:color="auto" w:fill="auto"/>
                  <w:vAlign w:val="center"/>
                </w:tcPr>
                <w:p w14:paraId="44816EF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684F68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05C46AC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2EACF7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2ECFF3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07DCBF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450975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046E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shd w:val="clear" w:color="auto" w:fill="auto"/>
                  <w:vAlign w:val="center"/>
                </w:tcPr>
                <w:p w14:paraId="0EB980DA">
                  <w:pPr>
                    <w:keepNext w:val="0"/>
                    <w:keepLines w:val="0"/>
                    <w:widowControl/>
                    <w:suppressLineNumbers w:val="0"/>
                    <w:jc w:val="center"/>
                    <w:textAlignment w:val="center"/>
                    <w:rPr>
                      <w:rFonts w:hint="eastAsia"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68</w:t>
                  </w:r>
                </w:p>
              </w:tc>
              <w:tc>
                <w:tcPr>
                  <w:tcW w:w="242" w:type="pct"/>
                  <w:vMerge w:val="continue"/>
                  <w:vAlign w:val="center"/>
                </w:tcPr>
                <w:p w14:paraId="47756FA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0911C759">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sz w:val="21"/>
                      <w:szCs w:val="21"/>
                      <w:lang w:val="en-US" w:eastAsia="zh-CN"/>
                    </w:rPr>
                    <w:t>葫芦吊</w:t>
                  </w:r>
                </w:p>
              </w:tc>
              <w:tc>
                <w:tcPr>
                  <w:tcW w:w="0" w:type="auto"/>
                  <w:vAlign w:val="center"/>
                </w:tcPr>
                <w:p w14:paraId="6FD803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7FE3F6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6CD7CC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2AF6D05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-55.69</w:t>
                  </w:r>
                </w:p>
              </w:tc>
              <w:tc>
                <w:tcPr>
                  <w:tcW w:w="402" w:type="pct"/>
                  <w:shd w:val="clear" w:color="auto" w:fill="auto"/>
                  <w:vAlign w:val="center"/>
                </w:tcPr>
                <w:p w14:paraId="77128D5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-147.69</w:t>
                  </w:r>
                </w:p>
              </w:tc>
              <w:tc>
                <w:tcPr>
                  <w:tcW w:w="234" w:type="pct"/>
                  <w:shd w:val="clear" w:color="auto" w:fill="auto"/>
                  <w:vAlign w:val="center"/>
                </w:tcPr>
                <w:p w14:paraId="2CF7411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335259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6F6352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64547A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7EEBC7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4FC4E23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4576CB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3AD5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shd w:val="clear" w:color="auto" w:fill="auto"/>
                  <w:vAlign w:val="center"/>
                </w:tcPr>
                <w:p w14:paraId="471539D9">
                  <w:pPr>
                    <w:keepNext w:val="0"/>
                    <w:keepLines w:val="0"/>
                    <w:widowControl/>
                    <w:suppressLineNumbers w:val="0"/>
                    <w:jc w:val="center"/>
                    <w:textAlignment w:val="center"/>
                    <w:rPr>
                      <w:rFonts w:hint="eastAsia"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69</w:t>
                  </w:r>
                </w:p>
              </w:tc>
              <w:tc>
                <w:tcPr>
                  <w:tcW w:w="242" w:type="pct"/>
                  <w:vMerge w:val="continue"/>
                  <w:vAlign w:val="center"/>
                </w:tcPr>
                <w:p w14:paraId="501B994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1132B49C">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sz w:val="21"/>
                      <w:szCs w:val="21"/>
                      <w:lang w:val="en-US" w:eastAsia="zh-CN"/>
                    </w:rPr>
                    <w:t>葫芦吊</w:t>
                  </w:r>
                </w:p>
              </w:tc>
              <w:tc>
                <w:tcPr>
                  <w:tcW w:w="0" w:type="auto"/>
                  <w:vAlign w:val="center"/>
                </w:tcPr>
                <w:p w14:paraId="4FB3DD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56B001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096618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54CBF94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-60.48</w:t>
                  </w:r>
                </w:p>
              </w:tc>
              <w:tc>
                <w:tcPr>
                  <w:tcW w:w="402" w:type="pct"/>
                  <w:shd w:val="clear" w:color="auto" w:fill="auto"/>
                  <w:vAlign w:val="center"/>
                </w:tcPr>
                <w:p w14:paraId="1BFDE29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-168.44</w:t>
                  </w:r>
                </w:p>
              </w:tc>
              <w:tc>
                <w:tcPr>
                  <w:tcW w:w="234" w:type="pct"/>
                  <w:shd w:val="clear" w:color="auto" w:fill="auto"/>
                  <w:vAlign w:val="center"/>
                </w:tcPr>
                <w:p w14:paraId="0A9C5F6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55C2F2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766302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29CDAF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791AF8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32FC35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1A61DB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0464E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shd w:val="clear" w:color="auto" w:fill="auto"/>
                  <w:vAlign w:val="center"/>
                </w:tcPr>
                <w:p w14:paraId="5C297934">
                  <w:pPr>
                    <w:keepNext w:val="0"/>
                    <w:keepLines w:val="0"/>
                    <w:widowControl/>
                    <w:suppressLineNumbers w:val="0"/>
                    <w:jc w:val="center"/>
                    <w:textAlignment w:val="center"/>
                    <w:rPr>
                      <w:rFonts w:hint="eastAsia"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42" w:type="pct"/>
                  <w:vMerge w:val="continue"/>
                  <w:vAlign w:val="center"/>
                </w:tcPr>
                <w:p w14:paraId="7AE6F41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4E4D012A">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sz w:val="21"/>
                      <w:szCs w:val="21"/>
                      <w:lang w:val="en-US" w:eastAsia="zh-CN"/>
                    </w:rPr>
                    <w:t>葫芦吊</w:t>
                  </w:r>
                </w:p>
              </w:tc>
              <w:tc>
                <w:tcPr>
                  <w:tcW w:w="0" w:type="auto"/>
                  <w:vAlign w:val="center"/>
                </w:tcPr>
                <w:p w14:paraId="59EA06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09047A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3F77FA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71E8B14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-70.68</w:t>
                  </w:r>
                </w:p>
              </w:tc>
              <w:tc>
                <w:tcPr>
                  <w:tcW w:w="402" w:type="pct"/>
                  <w:shd w:val="clear" w:color="auto" w:fill="auto"/>
                  <w:vAlign w:val="center"/>
                </w:tcPr>
                <w:p w14:paraId="1606250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-170.65</w:t>
                  </w:r>
                </w:p>
              </w:tc>
              <w:tc>
                <w:tcPr>
                  <w:tcW w:w="234" w:type="pct"/>
                  <w:shd w:val="clear" w:color="auto" w:fill="auto"/>
                  <w:vAlign w:val="center"/>
                </w:tcPr>
                <w:p w14:paraId="11EB660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2DA072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34D4FF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7DE888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0E28FE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17F3D4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5D34B1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68C4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shd w:val="clear" w:color="auto" w:fill="auto"/>
                  <w:vAlign w:val="center"/>
                </w:tcPr>
                <w:p w14:paraId="47CC7775">
                  <w:pPr>
                    <w:keepNext w:val="0"/>
                    <w:keepLines w:val="0"/>
                    <w:widowControl/>
                    <w:suppressLineNumbers w:val="0"/>
                    <w:jc w:val="center"/>
                    <w:textAlignment w:val="center"/>
                    <w:rPr>
                      <w:rFonts w:hint="eastAsia"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71</w:t>
                  </w:r>
                </w:p>
              </w:tc>
              <w:tc>
                <w:tcPr>
                  <w:tcW w:w="242" w:type="pct"/>
                  <w:vMerge w:val="continue"/>
                  <w:vAlign w:val="center"/>
                </w:tcPr>
                <w:p w14:paraId="498551F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2844FF82">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sz w:val="21"/>
                      <w:szCs w:val="21"/>
                      <w:lang w:val="en-US" w:eastAsia="zh-CN"/>
                    </w:rPr>
                    <w:t>葫芦吊</w:t>
                  </w:r>
                </w:p>
              </w:tc>
              <w:tc>
                <w:tcPr>
                  <w:tcW w:w="0" w:type="auto"/>
                  <w:vAlign w:val="center"/>
                </w:tcPr>
                <w:p w14:paraId="0279B2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4D27C1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6E6B4D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77E9514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-71.54</w:t>
                  </w:r>
                </w:p>
              </w:tc>
              <w:tc>
                <w:tcPr>
                  <w:tcW w:w="402" w:type="pct"/>
                  <w:shd w:val="clear" w:color="auto" w:fill="auto"/>
                  <w:vAlign w:val="center"/>
                </w:tcPr>
                <w:p w14:paraId="263DBF7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-170.44</w:t>
                  </w:r>
                </w:p>
              </w:tc>
              <w:tc>
                <w:tcPr>
                  <w:tcW w:w="234" w:type="pct"/>
                  <w:shd w:val="clear" w:color="auto" w:fill="auto"/>
                  <w:vAlign w:val="center"/>
                </w:tcPr>
                <w:p w14:paraId="73598DB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300176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67EC41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774BC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6C0E81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469047C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3C8526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21BB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shd w:val="clear" w:color="auto" w:fill="auto"/>
                  <w:vAlign w:val="center"/>
                </w:tcPr>
                <w:p w14:paraId="5234417A">
                  <w:pPr>
                    <w:keepNext w:val="0"/>
                    <w:keepLines w:val="0"/>
                    <w:widowControl/>
                    <w:suppressLineNumbers w:val="0"/>
                    <w:jc w:val="center"/>
                    <w:textAlignment w:val="center"/>
                    <w:rPr>
                      <w:rFonts w:hint="eastAsia"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72</w:t>
                  </w:r>
                </w:p>
              </w:tc>
              <w:tc>
                <w:tcPr>
                  <w:tcW w:w="242" w:type="pct"/>
                  <w:vMerge w:val="continue"/>
                  <w:vAlign w:val="center"/>
                </w:tcPr>
                <w:p w14:paraId="22B3F67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13E1971F">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sz w:val="21"/>
                      <w:szCs w:val="21"/>
                      <w:lang w:val="en-US" w:eastAsia="zh-CN"/>
                    </w:rPr>
                    <w:t>包装线</w:t>
                  </w:r>
                </w:p>
              </w:tc>
              <w:tc>
                <w:tcPr>
                  <w:tcW w:w="0" w:type="auto"/>
                  <w:vAlign w:val="center"/>
                </w:tcPr>
                <w:p w14:paraId="05E772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6731A6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2008FC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67B6739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-71.47</w:t>
                  </w:r>
                </w:p>
              </w:tc>
              <w:tc>
                <w:tcPr>
                  <w:tcW w:w="402" w:type="pct"/>
                  <w:shd w:val="clear" w:color="auto" w:fill="auto"/>
                  <w:vAlign w:val="center"/>
                </w:tcPr>
                <w:p w14:paraId="481572A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-170.32</w:t>
                  </w:r>
                </w:p>
              </w:tc>
              <w:tc>
                <w:tcPr>
                  <w:tcW w:w="234" w:type="pct"/>
                  <w:shd w:val="clear" w:color="auto" w:fill="auto"/>
                  <w:vAlign w:val="center"/>
                </w:tcPr>
                <w:p w14:paraId="0BA89F2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219D6A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0694B59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5E7E26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1C5179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5767F2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3849C4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43D0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shd w:val="clear" w:color="auto" w:fill="auto"/>
                  <w:vAlign w:val="center"/>
                </w:tcPr>
                <w:p w14:paraId="11ED412C">
                  <w:pPr>
                    <w:keepNext w:val="0"/>
                    <w:keepLines w:val="0"/>
                    <w:widowControl/>
                    <w:suppressLineNumbers w:val="0"/>
                    <w:jc w:val="center"/>
                    <w:textAlignment w:val="center"/>
                    <w:rPr>
                      <w:rFonts w:hint="eastAsia"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73</w:t>
                  </w:r>
                </w:p>
              </w:tc>
              <w:tc>
                <w:tcPr>
                  <w:tcW w:w="242" w:type="pct"/>
                  <w:vMerge w:val="continue"/>
                  <w:vAlign w:val="center"/>
                </w:tcPr>
                <w:p w14:paraId="5FF3934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1E070F9C">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sz w:val="21"/>
                      <w:szCs w:val="21"/>
                      <w:lang w:val="en-US" w:eastAsia="zh-CN"/>
                    </w:rPr>
                    <w:t>包装线</w:t>
                  </w:r>
                </w:p>
              </w:tc>
              <w:tc>
                <w:tcPr>
                  <w:tcW w:w="0" w:type="auto"/>
                  <w:vAlign w:val="center"/>
                </w:tcPr>
                <w:p w14:paraId="0C5358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22C743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3CBD67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0EC759C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-70.65</w:t>
                  </w:r>
                </w:p>
              </w:tc>
              <w:tc>
                <w:tcPr>
                  <w:tcW w:w="402" w:type="pct"/>
                  <w:shd w:val="clear" w:color="auto" w:fill="auto"/>
                  <w:vAlign w:val="center"/>
                </w:tcPr>
                <w:p w14:paraId="1B256A3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-168.45</w:t>
                  </w:r>
                </w:p>
              </w:tc>
              <w:tc>
                <w:tcPr>
                  <w:tcW w:w="234" w:type="pct"/>
                  <w:shd w:val="clear" w:color="auto" w:fill="auto"/>
                  <w:vAlign w:val="center"/>
                </w:tcPr>
                <w:p w14:paraId="1A2A6E3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484E92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65EA1D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0091F9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2C8C25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625A720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597148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0264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shd w:val="clear" w:color="auto" w:fill="auto"/>
                  <w:vAlign w:val="center"/>
                </w:tcPr>
                <w:p w14:paraId="6E2DA1B9">
                  <w:pPr>
                    <w:keepNext w:val="0"/>
                    <w:keepLines w:val="0"/>
                    <w:widowControl/>
                    <w:suppressLineNumbers w:val="0"/>
                    <w:jc w:val="center"/>
                    <w:textAlignment w:val="center"/>
                    <w:rPr>
                      <w:rFonts w:hint="eastAsia"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74</w:t>
                  </w:r>
                </w:p>
              </w:tc>
              <w:tc>
                <w:tcPr>
                  <w:tcW w:w="242" w:type="pct"/>
                  <w:vMerge w:val="continue"/>
                  <w:vAlign w:val="center"/>
                </w:tcPr>
                <w:p w14:paraId="68C4EA0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1D86C272">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sz w:val="21"/>
                      <w:szCs w:val="21"/>
                      <w:lang w:val="en-US" w:eastAsia="zh-CN"/>
                    </w:rPr>
                    <w:t>包装线</w:t>
                  </w:r>
                </w:p>
              </w:tc>
              <w:tc>
                <w:tcPr>
                  <w:tcW w:w="0" w:type="auto"/>
                  <w:vAlign w:val="center"/>
                </w:tcPr>
                <w:p w14:paraId="3C6833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65841E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1C7D67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5D236FC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-45.6</w:t>
                  </w:r>
                </w:p>
              </w:tc>
              <w:tc>
                <w:tcPr>
                  <w:tcW w:w="402" w:type="pct"/>
                  <w:shd w:val="clear" w:color="auto" w:fill="auto"/>
                  <w:vAlign w:val="center"/>
                </w:tcPr>
                <w:p w14:paraId="06D748F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-156.25</w:t>
                  </w:r>
                </w:p>
              </w:tc>
              <w:tc>
                <w:tcPr>
                  <w:tcW w:w="234" w:type="pct"/>
                  <w:shd w:val="clear" w:color="auto" w:fill="auto"/>
                  <w:vAlign w:val="center"/>
                </w:tcPr>
                <w:p w14:paraId="4021313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3C81E2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6A58A0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58E7C9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28A2D3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7B74102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568A86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3BEB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shd w:val="clear" w:color="auto" w:fill="auto"/>
                  <w:vAlign w:val="center"/>
                </w:tcPr>
                <w:p w14:paraId="68F95B2D">
                  <w:pPr>
                    <w:keepNext w:val="0"/>
                    <w:keepLines w:val="0"/>
                    <w:widowControl/>
                    <w:suppressLineNumbers w:val="0"/>
                    <w:jc w:val="center"/>
                    <w:textAlignment w:val="center"/>
                    <w:rPr>
                      <w:rFonts w:hint="eastAsia"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75</w:t>
                  </w:r>
                </w:p>
              </w:tc>
              <w:tc>
                <w:tcPr>
                  <w:tcW w:w="242" w:type="pct"/>
                  <w:vMerge w:val="continue"/>
                  <w:vAlign w:val="center"/>
                </w:tcPr>
                <w:p w14:paraId="49A2DE1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05DE09EB">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sz w:val="21"/>
                      <w:szCs w:val="21"/>
                      <w:lang w:val="en-US" w:eastAsia="zh-CN"/>
                    </w:rPr>
                    <w:t>靠边板链线</w:t>
                  </w:r>
                </w:p>
              </w:tc>
              <w:tc>
                <w:tcPr>
                  <w:tcW w:w="0" w:type="auto"/>
                  <w:vAlign w:val="center"/>
                </w:tcPr>
                <w:p w14:paraId="2B5EAA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3D95A5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5D4F4A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3A90C6B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-59.64</w:t>
                  </w:r>
                </w:p>
              </w:tc>
              <w:tc>
                <w:tcPr>
                  <w:tcW w:w="402" w:type="pct"/>
                  <w:shd w:val="clear" w:color="auto" w:fill="auto"/>
                  <w:vAlign w:val="center"/>
                </w:tcPr>
                <w:p w14:paraId="695F79B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-148.54</w:t>
                  </w:r>
                </w:p>
              </w:tc>
              <w:tc>
                <w:tcPr>
                  <w:tcW w:w="234" w:type="pct"/>
                  <w:shd w:val="clear" w:color="auto" w:fill="auto"/>
                  <w:vAlign w:val="center"/>
                </w:tcPr>
                <w:p w14:paraId="5EA3E8A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31E902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4C36368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756642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055A1B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5D1ECD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57BDB8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3ECF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3C79B26D">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76</w:t>
                  </w:r>
                </w:p>
              </w:tc>
              <w:tc>
                <w:tcPr>
                  <w:tcW w:w="242" w:type="pct"/>
                  <w:vMerge w:val="continue"/>
                  <w:vAlign w:val="center"/>
                </w:tcPr>
                <w:p w14:paraId="0C8F307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5D5B1134">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sz w:val="21"/>
                      <w:szCs w:val="21"/>
                      <w:lang w:val="en-US" w:eastAsia="zh-CN"/>
                    </w:rPr>
                    <w:t>靠边板链线</w:t>
                  </w:r>
                </w:p>
              </w:tc>
              <w:tc>
                <w:tcPr>
                  <w:tcW w:w="0" w:type="auto"/>
                  <w:vAlign w:val="center"/>
                </w:tcPr>
                <w:p w14:paraId="2F0B93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69F2F1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12BAAE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59F660B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-71.36</w:t>
                  </w:r>
                </w:p>
              </w:tc>
              <w:tc>
                <w:tcPr>
                  <w:tcW w:w="402" w:type="pct"/>
                  <w:shd w:val="clear" w:color="auto" w:fill="auto"/>
                  <w:vAlign w:val="center"/>
                </w:tcPr>
                <w:p w14:paraId="6C65F48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-152.45</w:t>
                  </w:r>
                </w:p>
              </w:tc>
              <w:tc>
                <w:tcPr>
                  <w:tcW w:w="234" w:type="pct"/>
                  <w:shd w:val="clear" w:color="auto" w:fill="auto"/>
                  <w:vAlign w:val="center"/>
                </w:tcPr>
                <w:p w14:paraId="79FE7A4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2074F0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6E8FDF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3A67A1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3F9197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2111272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67E9CA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08C9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460A6B8E">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77</w:t>
                  </w:r>
                </w:p>
              </w:tc>
              <w:tc>
                <w:tcPr>
                  <w:tcW w:w="242" w:type="pct"/>
                  <w:vMerge w:val="continue"/>
                  <w:vAlign w:val="center"/>
                </w:tcPr>
                <w:p w14:paraId="59132D6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5A953703">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sz w:val="21"/>
                      <w:szCs w:val="21"/>
                      <w:lang w:val="en-US" w:eastAsia="zh-CN"/>
                    </w:rPr>
                    <w:t>打包机</w:t>
                  </w:r>
                </w:p>
              </w:tc>
              <w:tc>
                <w:tcPr>
                  <w:tcW w:w="0" w:type="auto"/>
                  <w:vAlign w:val="center"/>
                </w:tcPr>
                <w:p w14:paraId="42B5D0B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74D74C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1DDCDA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5076F86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-71.54</w:t>
                  </w:r>
                </w:p>
              </w:tc>
              <w:tc>
                <w:tcPr>
                  <w:tcW w:w="402" w:type="pct"/>
                  <w:shd w:val="clear" w:color="auto" w:fill="auto"/>
                  <w:vAlign w:val="center"/>
                </w:tcPr>
                <w:p w14:paraId="45D08F9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-157.99</w:t>
                  </w:r>
                </w:p>
              </w:tc>
              <w:tc>
                <w:tcPr>
                  <w:tcW w:w="234" w:type="pct"/>
                  <w:shd w:val="clear" w:color="auto" w:fill="auto"/>
                  <w:vAlign w:val="center"/>
                </w:tcPr>
                <w:p w14:paraId="0D3F58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685D0B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5840EDE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4277A8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312769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724B3DD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031A2A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382EA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55BDC717">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78</w:t>
                  </w:r>
                </w:p>
              </w:tc>
              <w:tc>
                <w:tcPr>
                  <w:tcW w:w="242" w:type="pct"/>
                  <w:vMerge w:val="continue"/>
                  <w:vAlign w:val="center"/>
                </w:tcPr>
                <w:p w14:paraId="79FC108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7353E4C5">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sz w:val="21"/>
                      <w:szCs w:val="21"/>
                      <w:lang w:val="en-US" w:eastAsia="zh-CN"/>
                    </w:rPr>
                    <w:t>打包机</w:t>
                  </w:r>
                </w:p>
              </w:tc>
              <w:tc>
                <w:tcPr>
                  <w:tcW w:w="0" w:type="auto"/>
                  <w:vAlign w:val="center"/>
                </w:tcPr>
                <w:p w14:paraId="2EAE2D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114783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2DC07F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23C5228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-72.92</w:t>
                  </w:r>
                </w:p>
              </w:tc>
              <w:tc>
                <w:tcPr>
                  <w:tcW w:w="402" w:type="pct"/>
                  <w:shd w:val="clear" w:color="auto" w:fill="auto"/>
                  <w:vAlign w:val="center"/>
                </w:tcPr>
                <w:p w14:paraId="58D318B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-160.87</w:t>
                  </w:r>
                </w:p>
              </w:tc>
              <w:tc>
                <w:tcPr>
                  <w:tcW w:w="234" w:type="pct"/>
                  <w:shd w:val="clear" w:color="auto" w:fill="auto"/>
                  <w:vAlign w:val="center"/>
                </w:tcPr>
                <w:p w14:paraId="53A7996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4AB354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75FEB9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1CF2F4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1ED8A7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687B49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19FA6C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166D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27BBF3B1">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79</w:t>
                  </w:r>
                </w:p>
              </w:tc>
              <w:tc>
                <w:tcPr>
                  <w:tcW w:w="242" w:type="pct"/>
                  <w:vMerge w:val="continue"/>
                  <w:vAlign w:val="center"/>
                </w:tcPr>
                <w:p w14:paraId="64DC49D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6295365A">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sz w:val="21"/>
                      <w:szCs w:val="21"/>
                      <w:lang w:val="en-US" w:eastAsia="zh-CN"/>
                    </w:rPr>
                    <w:t>扣箱机</w:t>
                  </w:r>
                </w:p>
              </w:tc>
              <w:tc>
                <w:tcPr>
                  <w:tcW w:w="0" w:type="auto"/>
                  <w:vAlign w:val="center"/>
                </w:tcPr>
                <w:p w14:paraId="591ADF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2AF6CF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78253F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6B4E653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-69.54</w:t>
                  </w:r>
                </w:p>
              </w:tc>
              <w:tc>
                <w:tcPr>
                  <w:tcW w:w="402" w:type="pct"/>
                  <w:shd w:val="clear" w:color="auto" w:fill="auto"/>
                  <w:vAlign w:val="center"/>
                </w:tcPr>
                <w:p w14:paraId="02897F9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-158.45</w:t>
                  </w:r>
                </w:p>
              </w:tc>
              <w:tc>
                <w:tcPr>
                  <w:tcW w:w="234" w:type="pct"/>
                  <w:shd w:val="clear" w:color="auto" w:fill="auto"/>
                  <w:vAlign w:val="center"/>
                </w:tcPr>
                <w:p w14:paraId="57A1617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1912AD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684BC04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52DB97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4B5B80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60BD5F8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779D75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6FC1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7C6C67D2">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80</w:t>
                  </w:r>
                </w:p>
              </w:tc>
              <w:tc>
                <w:tcPr>
                  <w:tcW w:w="242" w:type="pct"/>
                  <w:vMerge w:val="continue"/>
                  <w:vAlign w:val="center"/>
                </w:tcPr>
                <w:p w14:paraId="03CBB67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3F6C8385">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sz w:val="21"/>
                      <w:szCs w:val="21"/>
                      <w:lang w:val="en-US" w:eastAsia="zh-CN"/>
                    </w:rPr>
                    <w:t>扣箱机</w:t>
                  </w:r>
                </w:p>
              </w:tc>
              <w:tc>
                <w:tcPr>
                  <w:tcW w:w="0" w:type="auto"/>
                  <w:vAlign w:val="center"/>
                </w:tcPr>
                <w:p w14:paraId="70C5F5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64C364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14E4D5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710B746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-44.36</w:t>
                  </w:r>
                </w:p>
              </w:tc>
              <w:tc>
                <w:tcPr>
                  <w:tcW w:w="402" w:type="pct"/>
                  <w:shd w:val="clear" w:color="auto" w:fill="auto"/>
                  <w:vAlign w:val="center"/>
                </w:tcPr>
                <w:p w14:paraId="01C0B78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-136.84</w:t>
                  </w:r>
                </w:p>
              </w:tc>
              <w:tc>
                <w:tcPr>
                  <w:tcW w:w="234" w:type="pct"/>
                  <w:shd w:val="clear" w:color="auto" w:fill="auto"/>
                  <w:vAlign w:val="center"/>
                </w:tcPr>
                <w:p w14:paraId="7615D1E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0BE925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3ED1EE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62BB9D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11F3B8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53FF26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0BB39B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7BA7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2F6AA7BA">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81</w:t>
                  </w:r>
                </w:p>
              </w:tc>
              <w:tc>
                <w:tcPr>
                  <w:tcW w:w="242" w:type="pct"/>
                  <w:vMerge w:val="continue"/>
                  <w:vAlign w:val="center"/>
                </w:tcPr>
                <w:p w14:paraId="65B00C8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44BACE44">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sz w:val="21"/>
                      <w:szCs w:val="21"/>
                      <w:lang w:val="en-US" w:eastAsia="zh-CN"/>
                    </w:rPr>
                    <w:t>打包输送链</w:t>
                  </w:r>
                </w:p>
              </w:tc>
              <w:tc>
                <w:tcPr>
                  <w:tcW w:w="0" w:type="auto"/>
                  <w:vAlign w:val="center"/>
                </w:tcPr>
                <w:p w14:paraId="499034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3242BE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15EC5B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6794C85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-44.15</w:t>
                  </w:r>
                </w:p>
              </w:tc>
              <w:tc>
                <w:tcPr>
                  <w:tcW w:w="402" w:type="pct"/>
                  <w:shd w:val="clear" w:color="auto" w:fill="auto"/>
                  <w:vAlign w:val="center"/>
                </w:tcPr>
                <w:p w14:paraId="6C510DE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-134.66</w:t>
                  </w:r>
                </w:p>
              </w:tc>
              <w:tc>
                <w:tcPr>
                  <w:tcW w:w="234" w:type="pct"/>
                  <w:shd w:val="clear" w:color="auto" w:fill="auto"/>
                  <w:vAlign w:val="center"/>
                </w:tcPr>
                <w:p w14:paraId="7E3F011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w:t>
                  </w:r>
                </w:p>
              </w:tc>
              <w:tc>
                <w:tcPr>
                  <w:tcW w:w="0" w:type="auto"/>
                  <w:vAlign w:val="center"/>
                </w:tcPr>
                <w:p w14:paraId="22D571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4A71CC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04665A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1939BE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25D9FE6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12C904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r w14:paraId="52B4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184" w:type="pct"/>
                  <w:vAlign w:val="center"/>
                </w:tcPr>
                <w:p w14:paraId="3A5EDFED">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82</w:t>
                  </w:r>
                </w:p>
              </w:tc>
              <w:tc>
                <w:tcPr>
                  <w:tcW w:w="242" w:type="pct"/>
                  <w:vMerge w:val="continue"/>
                  <w:vAlign w:val="center"/>
                </w:tcPr>
                <w:p w14:paraId="0FCCE81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u w:val="none"/>
                    </w:rPr>
                  </w:pPr>
                </w:p>
              </w:tc>
              <w:tc>
                <w:tcPr>
                  <w:tcW w:w="341" w:type="pct"/>
                  <w:shd w:val="clear" w:color="auto" w:fill="auto"/>
                  <w:vAlign w:val="center"/>
                </w:tcPr>
                <w:p w14:paraId="2E1D3346">
                  <w:pPr>
                    <w:keepNext w:val="0"/>
                    <w:keepLines w:val="0"/>
                    <w:pageBreakBefore w:val="0"/>
                    <w:kinsoku/>
                    <w:wordWrap/>
                    <w:overflowPunct/>
                    <w:topLinePunct w:val="0"/>
                    <w:autoSpaceDE/>
                    <w:autoSpaceDN/>
                    <w:bidi w:val="0"/>
                    <w:ind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sz w:val="21"/>
                      <w:szCs w:val="21"/>
                      <w:lang w:val="en-US" w:eastAsia="zh-CN"/>
                    </w:rPr>
                    <w:t>打包输送链</w:t>
                  </w:r>
                </w:p>
              </w:tc>
              <w:tc>
                <w:tcPr>
                  <w:tcW w:w="0" w:type="auto"/>
                  <w:vAlign w:val="center"/>
                </w:tcPr>
                <w:p w14:paraId="0D3884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70</w:t>
                  </w:r>
                </w:p>
              </w:tc>
              <w:tc>
                <w:tcPr>
                  <w:tcW w:w="383" w:type="pct"/>
                  <w:vAlign w:val="center"/>
                </w:tcPr>
                <w:p w14:paraId="56063E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基础减振</w:t>
                  </w:r>
                </w:p>
              </w:tc>
              <w:tc>
                <w:tcPr>
                  <w:tcW w:w="351" w:type="pct"/>
                  <w:vAlign w:val="center"/>
                </w:tcPr>
                <w:p w14:paraId="7D7B51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15</w:t>
                  </w:r>
                </w:p>
              </w:tc>
              <w:tc>
                <w:tcPr>
                  <w:tcW w:w="398" w:type="pct"/>
                  <w:shd w:val="clear" w:color="auto" w:fill="auto"/>
                  <w:vAlign w:val="center"/>
                </w:tcPr>
                <w:p w14:paraId="1B8D7F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-44.66</w:t>
                  </w:r>
                </w:p>
              </w:tc>
              <w:tc>
                <w:tcPr>
                  <w:tcW w:w="402" w:type="pct"/>
                  <w:shd w:val="clear" w:color="auto" w:fill="auto"/>
                  <w:vAlign w:val="center"/>
                </w:tcPr>
                <w:p w14:paraId="527CD8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-135.14</w:t>
                  </w:r>
                </w:p>
              </w:tc>
              <w:tc>
                <w:tcPr>
                  <w:tcW w:w="234" w:type="pct"/>
                  <w:shd w:val="clear" w:color="auto" w:fill="auto"/>
                  <w:vAlign w:val="center"/>
                </w:tcPr>
                <w:p w14:paraId="18CDD3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sz w:val="21"/>
                      <w:szCs w:val="21"/>
                      <w:u w:val="none"/>
                      <w:lang w:val="en-US" w:eastAsia="zh-CN"/>
                    </w:rPr>
                    <w:t>1</w:t>
                  </w:r>
                </w:p>
              </w:tc>
              <w:tc>
                <w:tcPr>
                  <w:tcW w:w="0" w:type="auto"/>
                  <w:vAlign w:val="center"/>
                </w:tcPr>
                <w:p w14:paraId="2C5F24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448" w:type="pct"/>
                  <w:vAlign w:val="center"/>
                </w:tcPr>
                <w:p w14:paraId="200828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80" w:type="pct"/>
                  <w:vAlign w:val="center"/>
                </w:tcPr>
                <w:p w14:paraId="1C3A47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u w:val="none"/>
                      <w:lang w:val="en-US" w:eastAsia="zh-CN" w:bidi="ar-SA"/>
                    </w:rPr>
                  </w:pPr>
                  <w:r>
                    <w:rPr>
                      <w:rFonts w:hint="eastAsia" w:ascii="Times New Roman" w:hAnsi="Times New Roman" w:eastAsia="宋体" w:cs="Times New Roman"/>
                      <w:b w:val="0"/>
                      <w:bCs w:val="0"/>
                      <w:color w:val="auto"/>
                      <w:kern w:val="2"/>
                      <w:sz w:val="21"/>
                      <w:szCs w:val="21"/>
                      <w:u w:val="none"/>
                      <w:lang w:val="en-US" w:eastAsia="zh-CN" w:bidi="ar-SA"/>
                    </w:rPr>
                    <w:t>昼间</w:t>
                  </w:r>
                </w:p>
              </w:tc>
              <w:tc>
                <w:tcPr>
                  <w:tcW w:w="435" w:type="pct"/>
                  <w:vAlign w:val="center"/>
                </w:tcPr>
                <w:p w14:paraId="0EE7D8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10</w:t>
                  </w:r>
                </w:p>
              </w:tc>
              <w:tc>
                <w:tcPr>
                  <w:tcW w:w="341" w:type="pct"/>
                  <w:vAlign w:val="center"/>
                </w:tcPr>
                <w:p w14:paraId="51F108A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0" w:type="auto"/>
                  <w:vAlign w:val="center"/>
                </w:tcPr>
                <w:p w14:paraId="048DE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u w:val="none"/>
                    </w:rPr>
                  </w:pPr>
                  <w:r>
                    <w:rPr>
                      <w:rFonts w:hint="default" w:ascii="Times New Roman" w:hAnsi="Times New Roman" w:eastAsia="宋体" w:cs="Times New Roman"/>
                      <w:b w:val="0"/>
                      <w:bCs w:val="0"/>
                      <w:color w:val="auto"/>
                      <w:sz w:val="18"/>
                      <w:szCs w:val="18"/>
                      <w:u w:val="none"/>
                    </w:rPr>
                    <w:t>1</w:t>
                  </w:r>
                  <w:r>
                    <w:rPr>
                      <w:rFonts w:hint="default" w:ascii="Times New Roman" w:hAnsi="Times New Roman" w:eastAsia="宋体" w:cs="Times New Roman"/>
                      <w:b w:val="0"/>
                      <w:bCs w:val="0"/>
                      <w:color w:val="auto"/>
                      <w:sz w:val="18"/>
                      <w:szCs w:val="18"/>
                      <w:u w:val="none"/>
                      <w:lang w:val="en-US" w:eastAsia="zh-CN"/>
                    </w:rPr>
                    <w:t>.0</w:t>
                  </w:r>
                </w:p>
              </w:tc>
            </w:tr>
          </w:tbl>
          <w:p w14:paraId="2697252A">
            <w:pPr>
              <w:adjustRightInd w:val="0"/>
              <w:snapToGrid w:val="0"/>
              <w:spacing w:line="360" w:lineRule="auto"/>
              <w:rPr>
                <w:rFonts w:hint="eastAsia" w:ascii="宋体" w:cs="宋体"/>
                <w:b/>
                <w:color w:val="auto"/>
                <w:kern w:val="0"/>
                <w:sz w:val="28"/>
                <w:szCs w:val="28"/>
                <w:vertAlign w:val="baseline"/>
              </w:rPr>
            </w:pPr>
          </w:p>
        </w:tc>
      </w:tr>
    </w:tbl>
    <w:p w14:paraId="03AD0426">
      <w:pPr>
        <w:adjustRightInd w:val="0"/>
        <w:snapToGrid w:val="0"/>
        <w:spacing w:line="360" w:lineRule="auto"/>
        <w:rPr>
          <w:rFonts w:hint="eastAsia" w:ascii="宋体" w:cs="宋体"/>
          <w:b/>
          <w:color w:val="auto"/>
          <w:kern w:val="0"/>
          <w:sz w:val="28"/>
          <w:szCs w:val="28"/>
        </w:rPr>
        <w:sectPr>
          <w:pgSz w:w="16840" w:h="11907" w:orient="landscape"/>
          <w:pgMar w:top="1531" w:right="1701" w:bottom="1531" w:left="2127"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7629"/>
      </w:tblGrid>
      <w:tr w14:paraId="76D9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32" w:type="dxa"/>
          </w:tcPr>
          <w:p w14:paraId="6804B77D">
            <w:pPr>
              <w:adjustRightInd w:val="0"/>
              <w:snapToGrid w:val="0"/>
              <w:spacing w:line="360" w:lineRule="auto"/>
              <w:rPr>
                <w:rFonts w:hint="eastAsia" w:ascii="宋体" w:cs="宋体"/>
                <w:b/>
                <w:color w:val="auto"/>
                <w:kern w:val="0"/>
                <w:sz w:val="28"/>
                <w:szCs w:val="28"/>
                <w:vertAlign w:val="baseline"/>
              </w:rPr>
            </w:pPr>
          </w:p>
        </w:tc>
        <w:tc>
          <w:tcPr>
            <w:tcW w:w="7629" w:type="dxa"/>
            <w:vAlign w:val="top"/>
          </w:tcPr>
          <w:p w14:paraId="60ACA89A">
            <w:pPr>
              <w:keepNext w:val="0"/>
              <w:keepLines w:val="0"/>
              <w:pageBreakBefore w:val="0"/>
              <w:widowControl w:val="0"/>
              <w:numPr>
                <w:ilvl w:val="0"/>
                <w:numId w:val="8"/>
              </w:numPr>
              <w:kinsoku/>
              <w:wordWrap/>
              <w:overflowPunct/>
              <w:topLinePunct w:val="0"/>
              <w:autoSpaceDE/>
              <w:autoSpaceDN/>
              <w:bidi w:val="0"/>
              <w:adjustRightInd w:val="0"/>
              <w:snapToGrid w:val="0"/>
              <w:spacing w:line="500" w:lineRule="exact"/>
              <w:ind w:leftChars="0" w:firstLine="480" w:firstLineChars="200"/>
              <w:textAlignment w:val="auto"/>
              <w:rPr>
                <w:rFonts w:eastAsia="宋体"/>
                <w:b w:val="0"/>
                <w:bCs/>
                <w:color w:val="auto"/>
                <w:sz w:val="24"/>
                <w:szCs w:val="24"/>
              </w:rPr>
            </w:pPr>
            <w:r>
              <w:rPr>
                <w:rFonts w:eastAsia="宋体"/>
                <w:b w:val="0"/>
                <w:bCs/>
                <w:color w:val="auto"/>
                <w:sz w:val="24"/>
                <w:szCs w:val="24"/>
              </w:rPr>
              <w:t>预测模式</w:t>
            </w:r>
          </w:p>
          <w:p w14:paraId="541231D7">
            <w:pPr>
              <w:keepNext w:val="0"/>
              <w:keepLines w:val="0"/>
              <w:pageBreakBefore w:val="0"/>
              <w:widowControl w:val="0"/>
              <w:kinsoku/>
              <w:wordWrap/>
              <w:overflowPunct/>
              <w:topLinePunct w:val="0"/>
              <w:autoSpaceDE/>
              <w:autoSpaceDN/>
              <w:bidi w:val="0"/>
              <w:adjustRightInd w:val="0"/>
              <w:snapToGrid w:val="0"/>
              <w:spacing w:line="500" w:lineRule="exact"/>
              <w:ind w:leftChars="0" w:firstLine="480" w:firstLineChars="200"/>
              <w:textAlignment w:val="auto"/>
              <w:rPr>
                <w:rFonts w:eastAsia="宋体"/>
                <w:color w:val="auto"/>
                <w:sz w:val="24"/>
                <w:szCs w:val="24"/>
              </w:rPr>
            </w:pPr>
            <w:r>
              <w:rPr>
                <w:rFonts w:eastAsia="宋体"/>
                <w:color w:val="auto"/>
                <w:sz w:val="24"/>
                <w:szCs w:val="24"/>
              </w:rPr>
              <w:t>考虑到声源的叠加作用，根据多个噪声源叠加的综合噪声计算公式如下：</w:t>
            </w:r>
          </w:p>
          <w:p w14:paraId="7310C2F4">
            <w:pPr>
              <w:pStyle w:val="12"/>
              <w:keepNext w:val="0"/>
              <w:keepLines w:val="0"/>
              <w:pageBreakBefore w:val="0"/>
              <w:widowControl w:val="0"/>
              <w:kinsoku/>
              <w:wordWrap/>
              <w:overflowPunct/>
              <w:topLinePunct w:val="0"/>
              <w:autoSpaceDE/>
              <w:autoSpaceDN/>
              <w:bidi w:val="0"/>
              <w:spacing w:after="0" w:line="500" w:lineRule="exact"/>
              <w:ind w:left="0" w:leftChars="0" w:firstLine="480" w:firstLineChars="200"/>
              <w:jc w:val="center"/>
              <w:textAlignment w:val="auto"/>
              <w:rPr>
                <w:rFonts w:eastAsia="宋体"/>
                <w:color w:val="auto"/>
                <w:sz w:val="24"/>
                <w:szCs w:val="24"/>
              </w:rPr>
            </w:pPr>
            <w:r>
              <w:rPr>
                <w:rFonts w:eastAsia="宋体"/>
                <w:color w:val="auto"/>
                <w:position w:val="-30"/>
                <w:sz w:val="24"/>
                <w:szCs w:val="24"/>
              </w:rPr>
              <w:object>
                <v:shape id="_x0000_i1033" o:spt="75" type="#_x0000_t75" style="height:37.25pt;width:101.8pt;" o:ole="t" filled="f" o:preferrelative="t" stroked="f" coordsize="21600,21600">
                  <v:path/>
                  <v:fill on="f" focussize="0,0"/>
                  <v:stroke on="f" joinstyle="miter"/>
                  <v:imagedata r:id="rId38" o:title=""/>
                  <o:lock v:ext="edit" aspectratio="t"/>
                  <w10:wrap type="none"/>
                  <w10:anchorlock/>
                </v:shape>
                <o:OLEObject Type="Embed" ProgID="Equation.3" ShapeID="_x0000_i1033" DrawAspect="Content" ObjectID="_1468075733" r:id="rId37">
                  <o:LockedField>false</o:LockedField>
                </o:OLEObject>
              </w:object>
            </w:r>
          </w:p>
          <w:p w14:paraId="61364067">
            <w:pPr>
              <w:keepNext w:val="0"/>
              <w:keepLines w:val="0"/>
              <w:pageBreakBefore w:val="0"/>
              <w:widowControl w:val="0"/>
              <w:kinsoku/>
              <w:wordWrap/>
              <w:overflowPunct/>
              <w:topLinePunct w:val="0"/>
              <w:autoSpaceDE/>
              <w:autoSpaceDN/>
              <w:bidi w:val="0"/>
              <w:adjustRightInd w:val="0"/>
              <w:snapToGrid w:val="0"/>
              <w:spacing w:line="500" w:lineRule="exact"/>
              <w:ind w:leftChars="0" w:firstLine="480" w:firstLineChars="200"/>
              <w:textAlignment w:val="auto"/>
              <w:rPr>
                <w:rFonts w:eastAsia="宋体"/>
                <w:color w:val="auto"/>
                <w:sz w:val="24"/>
                <w:szCs w:val="24"/>
              </w:rPr>
            </w:pPr>
            <w:r>
              <w:rPr>
                <w:rFonts w:eastAsia="宋体"/>
                <w:color w:val="auto"/>
                <w:sz w:val="24"/>
                <w:szCs w:val="24"/>
              </w:rPr>
              <w:t>为降低项目生产设备产生的噪声源强，减轻项目生产设备产生的厂界噪声对厂界外的影响，建设单位应采取以下有效措施对噪声进行控制：</w:t>
            </w:r>
          </w:p>
          <w:p w14:paraId="0179FB21">
            <w:pPr>
              <w:keepNext w:val="0"/>
              <w:keepLines w:val="0"/>
              <w:pageBreakBefore w:val="0"/>
              <w:widowControl w:val="0"/>
              <w:kinsoku/>
              <w:wordWrap/>
              <w:overflowPunct/>
              <w:topLinePunct w:val="0"/>
              <w:autoSpaceDE/>
              <w:autoSpaceDN/>
              <w:bidi w:val="0"/>
              <w:adjustRightInd w:val="0"/>
              <w:snapToGrid w:val="0"/>
              <w:spacing w:line="500" w:lineRule="exact"/>
              <w:ind w:leftChars="0" w:firstLine="480" w:firstLineChars="200"/>
              <w:textAlignment w:val="auto"/>
              <w:rPr>
                <w:rFonts w:eastAsia="宋体"/>
                <w:color w:val="auto"/>
                <w:sz w:val="24"/>
                <w:szCs w:val="24"/>
              </w:rPr>
            </w:pPr>
            <w:r>
              <w:rPr>
                <w:rFonts w:eastAsia="宋体"/>
                <w:color w:val="auto"/>
                <w:sz w:val="24"/>
                <w:szCs w:val="24"/>
              </w:rPr>
              <w:t>（1）在相同功能的情况下尽量引进低噪声设备。</w:t>
            </w:r>
          </w:p>
          <w:p w14:paraId="22A2A8FF">
            <w:pPr>
              <w:keepNext w:val="0"/>
              <w:keepLines w:val="0"/>
              <w:pageBreakBefore w:val="0"/>
              <w:widowControl w:val="0"/>
              <w:kinsoku/>
              <w:wordWrap/>
              <w:overflowPunct/>
              <w:topLinePunct w:val="0"/>
              <w:autoSpaceDE/>
              <w:autoSpaceDN/>
              <w:bidi w:val="0"/>
              <w:adjustRightInd w:val="0"/>
              <w:snapToGrid w:val="0"/>
              <w:spacing w:line="500" w:lineRule="exact"/>
              <w:ind w:leftChars="0" w:firstLine="480" w:firstLineChars="200"/>
              <w:textAlignment w:val="auto"/>
              <w:rPr>
                <w:rFonts w:eastAsia="宋体"/>
                <w:color w:val="auto"/>
                <w:sz w:val="24"/>
                <w:szCs w:val="24"/>
              </w:rPr>
            </w:pPr>
            <w:r>
              <w:rPr>
                <w:rFonts w:eastAsia="宋体"/>
                <w:color w:val="auto"/>
                <w:sz w:val="24"/>
                <w:szCs w:val="24"/>
              </w:rPr>
              <w:t>（2）合理安排设备安装位置，</w:t>
            </w:r>
            <w:r>
              <w:rPr>
                <w:rFonts w:hint="eastAsia"/>
                <w:color w:val="auto"/>
                <w:sz w:val="24"/>
                <w:szCs w:val="24"/>
                <w:lang w:eastAsia="zh-CN"/>
              </w:rPr>
              <w:t>设置</w:t>
            </w:r>
            <w:r>
              <w:rPr>
                <w:rFonts w:eastAsia="宋体"/>
                <w:color w:val="auto"/>
                <w:sz w:val="24"/>
                <w:szCs w:val="24"/>
              </w:rPr>
              <w:t>减震垫减少振动，以降低噪声源强。</w:t>
            </w:r>
          </w:p>
          <w:p w14:paraId="2AF0440A">
            <w:pPr>
              <w:keepNext w:val="0"/>
              <w:keepLines w:val="0"/>
              <w:pageBreakBefore w:val="0"/>
              <w:widowControl w:val="0"/>
              <w:kinsoku/>
              <w:wordWrap/>
              <w:overflowPunct/>
              <w:topLinePunct w:val="0"/>
              <w:autoSpaceDE/>
              <w:autoSpaceDN/>
              <w:bidi w:val="0"/>
              <w:adjustRightInd w:val="0"/>
              <w:snapToGrid w:val="0"/>
              <w:spacing w:line="500" w:lineRule="exact"/>
              <w:ind w:leftChars="0" w:firstLine="480" w:firstLineChars="200"/>
              <w:textAlignment w:val="auto"/>
              <w:rPr>
                <w:rFonts w:eastAsia="宋体"/>
                <w:color w:val="auto"/>
                <w:sz w:val="24"/>
                <w:szCs w:val="24"/>
              </w:rPr>
            </w:pPr>
            <w:r>
              <w:rPr>
                <w:rFonts w:eastAsia="宋体"/>
                <w:color w:val="auto"/>
                <w:sz w:val="24"/>
                <w:szCs w:val="24"/>
              </w:rPr>
              <w:t>（3）定期对设备进行检修维护，使生产设备处在良好的运转状态。</w:t>
            </w:r>
          </w:p>
          <w:p w14:paraId="4CE01AB5">
            <w:pPr>
              <w:keepNext w:val="0"/>
              <w:keepLines w:val="0"/>
              <w:pageBreakBefore w:val="0"/>
              <w:widowControl w:val="0"/>
              <w:kinsoku/>
              <w:wordWrap/>
              <w:overflowPunct/>
              <w:topLinePunct w:val="0"/>
              <w:autoSpaceDE/>
              <w:autoSpaceDN/>
              <w:bidi w:val="0"/>
              <w:adjustRightInd w:val="0"/>
              <w:snapToGrid w:val="0"/>
              <w:spacing w:line="500" w:lineRule="exact"/>
              <w:ind w:leftChars="0" w:firstLine="480" w:firstLineChars="200"/>
              <w:textAlignment w:val="auto"/>
              <w:rPr>
                <w:rFonts w:eastAsia="宋体"/>
                <w:color w:val="auto"/>
                <w:sz w:val="24"/>
                <w:szCs w:val="24"/>
              </w:rPr>
            </w:pPr>
            <w:r>
              <w:rPr>
                <w:rFonts w:eastAsia="宋体"/>
                <w:color w:val="auto"/>
                <w:sz w:val="24"/>
                <w:szCs w:val="24"/>
              </w:rPr>
              <w:t>（4）加强对厂区以及厂界的绿化，尤其应在厂界增加高大乔木等树种的种植数量。</w:t>
            </w:r>
          </w:p>
          <w:p w14:paraId="196A587D">
            <w:pPr>
              <w:keepNext w:val="0"/>
              <w:keepLines w:val="0"/>
              <w:pageBreakBefore w:val="0"/>
              <w:widowControl w:val="0"/>
              <w:kinsoku/>
              <w:wordWrap/>
              <w:overflowPunct/>
              <w:topLinePunct w:val="0"/>
              <w:autoSpaceDE/>
              <w:autoSpaceDN/>
              <w:bidi w:val="0"/>
              <w:adjustRightInd w:val="0"/>
              <w:snapToGrid w:val="0"/>
              <w:spacing w:line="500" w:lineRule="exact"/>
              <w:ind w:leftChars="0" w:firstLine="480" w:firstLineChars="200"/>
              <w:textAlignment w:val="auto"/>
              <w:rPr>
                <w:rFonts w:eastAsia="宋体"/>
                <w:color w:val="auto"/>
                <w:sz w:val="24"/>
                <w:szCs w:val="24"/>
              </w:rPr>
            </w:pPr>
            <w:r>
              <w:rPr>
                <w:rFonts w:eastAsia="宋体"/>
                <w:color w:val="auto"/>
                <w:sz w:val="24"/>
                <w:szCs w:val="24"/>
              </w:rPr>
              <w:t>在采取以上防治措施的情况下，根据点声源噪声传播衰减模式，可估算营运期间不同距离处的噪声值，预测模式如下：</w:t>
            </w:r>
          </w:p>
          <w:p w14:paraId="42DF6464">
            <w:pPr>
              <w:keepNext w:val="0"/>
              <w:keepLines w:val="0"/>
              <w:pageBreakBefore w:val="0"/>
              <w:widowControl w:val="0"/>
              <w:kinsoku/>
              <w:wordWrap/>
              <w:overflowPunct/>
              <w:topLinePunct w:val="0"/>
              <w:autoSpaceDE/>
              <w:autoSpaceDN/>
              <w:bidi w:val="0"/>
              <w:adjustRightInd w:val="0"/>
              <w:snapToGrid w:val="0"/>
              <w:spacing w:line="500" w:lineRule="exact"/>
              <w:ind w:leftChars="0" w:firstLine="480" w:firstLineChars="200"/>
              <w:jc w:val="center"/>
              <w:textAlignment w:val="auto"/>
              <w:rPr>
                <w:rFonts w:eastAsia="宋体"/>
                <w:color w:val="auto"/>
                <w:sz w:val="24"/>
                <w:szCs w:val="24"/>
              </w:rPr>
            </w:pPr>
            <w:r>
              <w:rPr>
                <w:rFonts w:eastAsia="宋体"/>
                <w:color w:val="auto"/>
                <w:position w:val="-10"/>
                <w:sz w:val="24"/>
                <w:szCs w:val="24"/>
              </w:rPr>
              <w:object>
                <v:shape id="_x0000_i1034" o:spt="75" type="#_x0000_t75" style="height:17.4pt;width:125.4pt;" o:ole="t" filled="f" o:preferrelative="t" stroked="f" coordsize="21600,21600">
                  <v:path/>
                  <v:fill on="f" focussize="0,0"/>
                  <v:stroke on="f" joinstyle="miter"/>
                  <v:imagedata r:id="rId40" o:title=""/>
                  <o:lock v:ext="edit" aspectratio="t"/>
                  <w10:wrap type="none"/>
                  <w10:anchorlock/>
                </v:shape>
                <o:OLEObject Type="Embed" ProgID="Equation.3" ShapeID="_x0000_i1034" DrawAspect="Content" ObjectID="_1468075734" r:id="rId39">
                  <o:LockedField>false</o:LockedField>
                </o:OLEObject>
              </w:object>
            </w:r>
          </w:p>
          <w:p w14:paraId="0827910F">
            <w:pPr>
              <w:keepNext w:val="0"/>
              <w:keepLines w:val="0"/>
              <w:pageBreakBefore w:val="0"/>
              <w:widowControl w:val="0"/>
              <w:kinsoku/>
              <w:wordWrap/>
              <w:overflowPunct/>
              <w:topLinePunct w:val="0"/>
              <w:autoSpaceDE/>
              <w:autoSpaceDN/>
              <w:bidi w:val="0"/>
              <w:adjustRightInd w:val="0"/>
              <w:snapToGrid w:val="0"/>
              <w:spacing w:line="500" w:lineRule="exact"/>
              <w:ind w:leftChars="0" w:firstLine="480" w:firstLineChars="200"/>
              <w:textAlignment w:val="auto"/>
              <w:rPr>
                <w:rFonts w:eastAsia="宋体"/>
                <w:color w:val="auto"/>
                <w:sz w:val="24"/>
                <w:szCs w:val="24"/>
              </w:rPr>
            </w:pPr>
            <w:r>
              <w:rPr>
                <w:rFonts w:eastAsia="宋体"/>
                <w:color w:val="auto"/>
                <w:sz w:val="24"/>
                <w:szCs w:val="24"/>
              </w:rPr>
              <w:t>其中：</w:t>
            </w:r>
          </w:p>
          <w:p w14:paraId="431AE3AE">
            <w:pPr>
              <w:keepNext w:val="0"/>
              <w:keepLines w:val="0"/>
              <w:pageBreakBefore w:val="0"/>
              <w:widowControl w:val="0"/>
              <w:kinsoku/>
              <w:wordWrap/>
              <w:overflowPunct/>
              <w:topLinePunct w:val="0"/>
              <w:autoSpaceDE/>
              <w:autoSpaceDN/>
              <w:bidi w:val="0"/>
              <w:adjustRightInd w:val="0"/>
              <w:snapToGrid w:val="0"/>
              <w:spacing w:line="500" w:lineRule="exact"/>
              <w:ind w:leftChars="0" w:firstLine="480" w:firstLineChars="200"/>
              <w:textAlignment w:val="auto"/>
              <w:rPr>
                <w:rFonts w:eastAsia="宋体"/>
                <w:color w:val="auto"/>
                <w:sz w:val="24"/>
                <w:szCs w:val="24"/>
              </w:rPr>
            </w:pPr>
            <w:r>
              <w:rPr>
                <w:rFonts w:eastAsia="宋体"/>
                <w:color w:val="auto"/>
                <w:sz w:val="24"/>
                <w:szCs w:val="24"/>
              </w:rPr>
              <w:t>L</w:t>
            </w:r>
            <w:r>
              <w:rPr>
                <w:rFonts w:eastAsia="宋体"/>
                <w:color w:val="auto"/>
                <w:sz w:val="24"/>
                <w:szCs w:val="24"/>
                <w:vertAlign w:val="subscript"/>
              </w:rPr>
              <w:t>1</w:t>
            </w:r>
            <w:r>
              <w:rPr>
                <w:rFonts w:eastAsia="宋体"/>
                <w:color w:val="auto"/>
                <w:sz w:val="24"/>
                <w:szCs w:val="24"/>
              </w:rPr>
              <w:t>、L</w:t>
            </w:r>
            <w:r>
              <w:rPr>
                <w:rFonts w:eastAsia="宋体"/>
                <w:color w:val="auto"/>
                <w:sz w:val="24"/>
                <w:szCs w:val="24"/>
                <w:vertAlign w:val="subscript"/>
              </w:rPr>
              <w:t>2</w:t>
            </w:r>
            <w:r>
              <w:rPr>
                <w:rFonts w:eastAsia="宋体"/>
                <w:color w:val="auto"/>
                <w:sz w:val="24"/>
                <w:szCs w:val="24"/>
              </w:rPr>
              <w:t>——距离声源r</w:t>
            </w:r>
            <w:r>
              <w:rPr>
                <w:rFonts w:eastAsia="宋体"/>
                <w:color w:val="auto"/>
                <w:sz w:val="24"/>
                <w:szCs w:val="24"/>
                <w:vertAlign w:val="subscript"/>
              </w:rPr>
              <w:t>1</w:t>
            </w:r>
            <w:r>
              <w:rPr>
                <w:rFonts w:eastAsia="宋体"/>
                <w:color w:val="auto"/>
                <w:sz w:val="24"/>
                <w:szCs w:val="24"/>
              </w:rPr>
              <w:t>、r</w:t>
            </w:r>
            <w:r>
              <w:rPr>
                <w:rFonts w:eastAsia="宋体"/>
                <w:color w:val="auto"/>
                <w:sz w:val="24"/>
                <w:szCs w:val="24"/>
                <w:vertAlign w:val="subscript"/>
              </w:rPr>
              <w:t>2</w:t>
            </w:r>
            <w:r>
              <w:rPr>
                <w:rFonts w:eastAsia="宋体"/>
                <w:color w:val="auto"/>
                <w:sz w:val="24"/>
                <w:szCs w:val="24"/>
              </w:rPr>
              <w:t>处的噪声值，dB（A）；</w:t>
            </w:r>
          </w:p>
          <w:p w14:paraId="5DD6A6E4">
            <w:pPr>
              <w:keepNext w:val="0"/>
              <w:keepLines w:val="0"/>
              <w:pageBreakBefore w:val="0"/>
              <w:widowControl w:val="0"/>
              <w:kinsoku/>
              <w:wordWrap/>
              <w:overflowPunct/>
              <w:topLinePunct w:val="0"/>
              <w:autoSpaceDE/>
              <w:autoSpaceDN/>
              <w:bidi w:val="0"/>
              <w:adjustRightInd w:val="0"/>
              <w:snapToGrid w:val="0"/>
              <w:spacing w:line="500" w:lineRule="exact"/>
              <w:ind w:leftChars="0" w:firstLine="480" w:firstLineChars="200"/>
              <w:textAlignment w:val="auto"/>
              <w:rPr>
                <w:rFonts w:eastAsia="宋体"/>
                <w:color w:val="auto"/>
                <w:sz w:val="24"/>
                <w:szCs w:val="24"/>
              </w:rPr>
            </w:pPr>
            <w:r>
              <w:rPr>
                <w:rFonts w:eastAsia="宋体"/>
                <w:color w:val="auto"/>
                <w:sz w:val="24"/>
                <w:szCs w:val="24"/>
              </w:rPr>
              <w:t>r</w:t>
            </w:r>
            <w:r>
              <w:rPr>
                <w:rFonts w:eastAsia="宋体"/>
                <w:color w:val="auto"/>
                <w:sz w:val="24"/>
                <w:szCs w:val="24"/>
                <w:vertAlign w:val="subscript"/>
              </w:rPr>
              <w:t>1</w:t>
            </w:r>
            <w:r>
              <w:rPr>
                <w:rFonts w:eastAsia="宋体"/>
                <w:color w:val="auto"/>
                <w:sz w:val="24"/>
                <w:szCs w:val="24"/>
              </w:rPr>
              <w:t>、r</w:t>
            </w:r>
            <w:r>
              <w:rPr>
                <w:rFonts w:eastAsia="宋体"/>
                <w:color w:val="auto"/>
                <w:sz w:val="24"/>
                <w:szCs w:val="24"/>
                <w:vertAlign w:val="subscript"/>
              </w:rPr>
              <w:t>2</w:t>
            </w:r>
            <w:r>
              <w:rPr>
                <w:rFonts w:eastAsia="宋体"/>
                <w:color w:val="auto"/>
                <w:sz w:val="24"/>
                <w:szCs w:val="24"/>
              </w:rPr>
              <w:t>——预测点距声源距离，r</w:t>
            </w:r>
            <w:r>
              <w:rPr>
                <w:rFonts w:eastAsia="宋体"/>
                <w:color w:val="auto"/>
                <w:sz w:val="24"/>
                <w:szCs w:val="24"/>
                <w:vertAlign w:val="subscript"/>
              </w:rPr>
              <w:t>2</w:t>
            </w:r>
            <w:r>
              <w:rPr>
                <w:rFonts w:eastAsia="宋体"/>
                <w:color w:val="auto"/>
                <w:sz w:val="24"/>
                <w:szCs w:val="24"/>
              </w:rPr>
              <w:t>&gt;r</w:t>
            </w:r>
            <w:r>
              <w:rPr>
                <w:rFonts w:eastAsia="宋体"/>
                <w:color w:val="auto"/>
                <w:sz w:val="24"/>
                <w:szCs w:val="24"/>
                <w:vertAlign w:val="subscript"/>
              </w:rPr>
              <w:t>1</w:t>
            </w:r>
            <w:r>
              <w:rPr>
                <w:rFonts w:eastAsia="宋体"/>
                <w:color w:val="auto"/>
                <w:sz w:val="24"/>
                <w:szCs w:val="24"/>
              </w:rPr>
              <w:t>；</w:t>
            </w:r>
          </w:p>
          <w:p w14:paraId="09E73769">
            <w:pPr>
              <w:keepNext w:val="0"/>
              <w:keepLines w:val="0"/>
              <w:pageBreakBefore w:val="0"/>
              <w:widowControl w:val="0"/>
              <w:kinsoku/>
              <w:wordWrap/>
              <w:overflowPunct/>
              <w:topLinePunct w:val="0"/>
              <w:autoSpaceDE/>
              <w:autoSpaceDN/>
              <w:bidi w:val="0"/>
              <w:adjustRightInd w:val="0"/>
              <w:snapToGrid w:val="0"/>
              <w:spacing w:line="500" w:lineRule="exact"/>
              <w:ind w:leftChars="0" w:firstLine="480" w:firstLineChars="200"/>
              <w:textAlignment w:val="auto"/>
              <w:rPr>
                <w:rFonts w:eastAsia="宋体"/>
                <w:color w:val="auto"/>
                <w:sz w:val="24"/>
                <w:szCs w:val="24"/>
              </w:rPr>
            </w:pPr>
            <w:r>
              <w:rPr>
                <w:rFonts w:eastAsia="宋体"/>
                <w:color w:val="auto"/>
                <w:sz w:val="24"/>
                <w:szCs w:val="24"/>
              </w:rPr>
              <w:t>ΔR——生产厂房、</w:t>
            </w:r>
            <w:r>
              <w:rPr>
                <w:rFonts w:hint="eastAsia"/>
                <w:color w:val="auto"/>
                <w:sz w:val="24"/>
                <w:szCs w:val="24"/>
                <w:lang w:eastAsia="zh-CN"/>
              </w:rPr>
              <w:t>减震降噪</w:t>
            </w:r>
            <w:r>
              <w:rPr>
                <w:rFonts w:eastAsia="宋体"/>
                <w:color w:val="auto"/>
                <w:sz w:val="24"/>
                <w:szCs w:val="24"/>
              </w:rPr>
              <w:t>等措施引起的衰减，取值</w:t>
            </w:r>
            <w:r>
              <w:rPr>
                <w:rFonts w:hint="eastAsia"/>
                <w:color w:val="auto"/>
                <w:sz w:val="24"/>
                <w:szCs w:val="24"/>
                <w:lang w:val="en-US" w:eastAsia="zh-CN"/>
              </w:rPr>
              <w:t>15</w:t>
            </w:r>
            <w:r>
              <w:rPr>
                <w:rFonts w:eastAsia="宋体"/>
                <w:color w:val="auto"/>
                <w:sz w:val="24"/>
                <w:szCs w:val="24"/>
              </w:rPr>
              <w:t>dB</w:t>
            </w:r>
            <w:r>
              <w:rPr>
                <w:rFonts w:hint="eastAsia"/>
                <w:color w:val="auto"/>
                <w:sz w:val="24"/>
                <w:szCs w:val="24"/>
                <w:lang w:eastAsia="zh-CN"/>
              </w:rPr>
              <w:t>（</w:t>
            </w:r>
            <w:r>
              <w:rPr>
                <w:rFonts w:eastAsia="宋体"/>
                <w:color w:val="auto"/>
                <w:sz w:val="24"/>
                <w:szCs w:val="24"/>
              </w:rPr>
              <w:t>A</w:t>
            </w:r>
            <w:r>
              <w:rPr>
                <w:rFonts w:hint="eastAsia"/>
                <w:color w:val="auto"/>
                <w:sz w:val="24"/>
                <w:szCs w:val="24"/>
                <w:lang w:eastAsia="zh-CN"/>
              </w:rPr>
              <w:t>）</w:t>
            </w:r>
            <w:r>
              <w:rPr>
                <w:rFonts w:eastAsia="宋体"/>
                <w:color w:val="auto"/>
                <w:sz w:val="24"/>
                <w:szCs w:val="24"/>
              </w:rPr>
              <w:t>。</w:t>
            </w:r>
          </w:p>
          <w:p w14:paraId="49059F90">
            <w:pPr>
              <w:keepNext w:val="0"/>
              <w:keepLines w:val="0"/>
              <w:pageBreakBefore w:val="0"/>
              <w:widowControl w:val="0"/>
              <w:kinsoku/>
              <w:wordWrap/>
              <w:overflowPunct/>
              <w:topLinePunct w:val="0"/>
              <w:autoSpaceDE/>
              <w:autoSpaceDN/>
              <w:bidi w:val="0"/>
              <w:adjustRightInd w:val="0"/>
              <w:snapToGrid w:val="0"/>
              <w:spacing w:line="500" w:lineRule="exact"/>
              <w:ind w:leftChars="0" w:firstLine="480" w:firstLineChars="200"/>
              <w:textAlignment w:val="auto"/>
              <w:rPr>
                <w:rFonts w:eastAsia="宋体"/>
                <w:b w:val="0"/>
                <w:bCs/>
                <w:color w:val="auto"/>
                <w:sz w:val="24"/>
                <w:szCs w:val="24"/>
              </w:rPr>
            </w:pPr>
            <w:r>
              <w:rPr>
                <w:rFonts w:eastAsia="宋体"/>
                <w:b w:val="0"/>
                <w:bCs/>
                <w:color w:val="auto"/>
                <w:sz w:val="24"/>
                <w:szCs w:val="24"/>
              </w:rPr>
              <w:t>（3）预测结果</w:t>
            </w:r>
          </w:p>
          <w:p w14:paraId="41A24186">
            <w:pPr>
              <w:keepNext w:val="0"/>
              <w:keepLines w:val="0"/>
              <w:pageBreakBefore w:val="0"/>
              <w:widowControl w:val="0"/>
              <w:kinsoku/>
              <w:wordWrap/>
              <w:overflowPunct/>
              <w:topLinePunct w:val="0"/>
              <w:autoSpaceDE/>
              <w:autoSpaceDN/>
              <w:bidi w:val="0"/>
              <w:adjustRightInd w:val="0"/>
              <w:snapToGrid w:val="0"/>
              <w:spacing w:line="500" w:lineRule="exact"/>
              <w:ind w:leftChars="0" w:firstLine="480" w:firstLineChars="200"/>
              <w:textAlignment w:val="auto"/>
              <w:rPr>
                <w:rFonts w:eastAsia="宋体"/>
                <w:color w:val="auto"/>
                <w:sz w:val="24"/>
                <w:szCs w:val="24"/>
              </w:rPr>
            </w:pPr>
            <w:r>
              <w:rPr>
                <w:rFonts w:hint="eastAsia" w:eastAsia="宋体"/>
                <w:color w:val="auto"/>
                <w:sz w:val="24"/>
                <w:szCs w:val="24"/>
                <w:lang w:val="en-US" w:eastAsia="zh-CN"/>
              </w:rPr>
              <w:t>本项目仅昼间生产，夜间不生产</w:t>
            </w:r>
            <w:r>
              <w:rPr>
                <w:rFonts w:hint="eastAsia"/>
                <w:color w:val="auto"/>
                <w:sz w:val="24"/>
                <w:szCs w:val="24"/>
                <w:lang w:val="en-US" w:eastAsia="zh-CN"/>
              </w:rPr>
              <w:t>。</w:t>
            </w:r>
            <w:r>
              <w:rPr>
                <w:rFonts w:eastAsia="宋体"/>
                <w:color w:val="auto"/>
                <w:sz w:val="24"/>
                <w:szCs w:val="24"/>
              </w:rPr>
              <w:t>根据预测模式，</w:t>
            </w:r>
            <w:r>
              <w:rPr>
                <w:rFonts w:hint="eastAsia" w:eastAsia="宋体"/>
                <w:color w:val="auto"/>
                <w:sz w:val="24"/>
                <w:szCs w:val="24"/>
                <w:lang w:eastAsia="zh-CN"/>
              </w:rPr>
              <w:t>各设备</w:t>
            </w:r>
            <w:r>
              <w:rPr>
                <w:rFonts w:eastAsia="宋体"/>
                <w:color w:val="auto"/>
                <w:sz w:val="24"/>
                <w:szCs w:val="24"/>
              </w:rPr>
              <w:t>噪声随距离衰减</w:t>
            </w:r>
            <w:r>
              <w:rPr>
                <w:rFonts w:hint="eastAsia" w:eastAsia="宋体"/>
                <w:color w:val="auto"/>
                <w:sz w:val="24"/>
                <w:szCs w:val="24"/>
                <w:lang w:eastAsia="zh-CN"/>
              </w:rPr>
              <w:t>对厂界的贡献值</w:t>
            </w:r>
            <w:r>
              <w:rPr>
                <w:rFonts w:eastAsia="宋体"/>
                <w:color w:val="auto"/>
                <w:sz w:val="24"/>
                <w:szCs w:val="24"/>
              </w:rPr>
              <w:t>见表</w:t>
            </w:r>
            <w:r>
              <w:rPr>
                <w:rFonts w:hint="eastAsia" w:eastAsia="宋体"/>
                <w:color w:val="auto"/>
                <w:sz w:val="24"/>
                <w:szCs w:val="24"/>
                <w:lang w:val="en-US" w:eastAsia="zh-CN"/>
              </w:rPr>
              <w:t>4-</w:t>
            </w:r>
            <w:r>
              <w:rPr>
                <w:rFonts w:hint="eastAsia"/>
                <w:color w:val="auto"/>
                <w:sz w:val="24"/>
                <w:szCs w:val="24"/>
                <w:lang w:val="en-US" w:eastAsia="zh-CN"/>
              </w:rPr>
              <w:t>20</w:t>
            </w:r>
            <w:r>
              <w:rPr>
                <w:rFonts w:eastAsia="宋体"/>
                <w:color w:val="auto"/>
                <w:sz w:val="24"/>
                <w:szCs w:val="24"/>
              </w:rPr>
              <w:t>。</w:t>
            </w:r>
          </w:p>
          <w:p w14:paraId="012A5064">
            <w:pPr>
              <w:jc w:val="center"/>
              <w:rPr>
                <w:rFonts w:eastAsia="宋体"/>
                <w:b/>
                <w:bCs/>
                <w:color w:val="auto"/>
                <w:sz w:val="24"/>
                <w:szCs w:val="24"/>
              </w:rPr>
            </w:pPr>
          </w:p>
          <w:p w14:paraId="7B58F7FA">
            <w:pPr>
              <w:jc w:val="center"/>
              <w:rPr>
                <w:rFonts w:eastAsia="宋体"/>
                <w:b/>
                <w:bCs/>
                <w:color w:val="auto"/>
                <w:sz w:val="24"/>
                <w:szCs w:val="24"/>
              </w:rPr>
            </w:pPr>
          </w:p>
          <w:p w14:paraId="01C347D6">
            <w:pPr>
              <w:jc w:val="center"/>
              <w:rPr>
                <w:rFonts w:eastAsia="宋体"/>
                <w:b/>
                <w:bCs/>
                <w:color w:val="auto"/>
                <w:sz w:val="24"/>
                <w:szCs w:val="24"/>
              </w:rPr>
            </w:pPr>
          </w:p>
          <w:p w14:paraId="77E0C78C">
            <w:pPr>
              <w:jc w:val="center"/>
              <w:rPr>
                <w:rFonts w:eastAsia="宋体"/>
                <w:b/>
                <w:bCs/>
                <w:color w:val="auto"/>
                <w:sz w:val="24"/>
                <w:szCs w:val="24"/>
              </w:rPr>
            </w:pPr>
          </w:p>
          <w:p w14:paraId="65214FAD">
            <w:pPr>
              <w:jc w:val="center"/>
              <w:rPr>
                <w:rFonts w:eastAsia="宋体"/>
                <w:b/>
                <w:bCs/>
                <w:color w:val="auto"/>
                <w:sz w:val="24"/>
                <w:szCs w:val="24"/>
              </w:rPr>
            </w:pPr>
          </w:p>
          <w:p w14:paraId="08030F8C">
            <w:pPr>
              <w:jc w:val="center"/>
              <w:rPr>
                <w:rFonts w:cs="宋体"/>
                <w:color w:val="auto"/>
                <w:kern w:val="0"/>
                <w:sz w:val="24"/>
                <w:szCs w:val="24"/>
                <w:shd w:val="clear" w:color="auto" w:fill="auto"/>
              </w:rPr>
            </w:pPr>
            <w:r>
              <w:rPr>
                <w:rFonts w:eastAsia="宋体"/>
                <w:b/>
                <w:bCs/>
                <w:color w:val="auto"/>
                <w:sz w:val="24"/>
                <w:szCs w:val="24"/>
              </w:rPr>
              <w:t>表</w:t>
            </w:r>
            <w:r>
              <w:rPr>
                <w:rFonts w:hint="eastAsia" w:eastAsia="宋体"/>
                <w:b/>
                <w:bCs/>
                <w:color w:val="auto"/>
                <w:sz w:val="24"/>
                <w:szCs w:val="24"/>
                <w:lang w:val="en-US" w:eastAsia="zh-CN"/>
              </w:rPr>
              <w:t>4-</w:t>
            </w:r>
            <w:r>
              <w:rPr>
                <w:rFonts w:hint="eastAsia"/>
                <w:b/>
                <w:bCs/>
                <w:color w:val="auto"/>
                <w:sz w:val="24"/>
                <w:szCs w:val="24"/>
                <w:lang w:val="en-US" w:eastAsia="zh-CN"/>
              </w:rPr>
              <w:t xml:space="preserve">20 </w:t>
            </w:r>
            <w:r>
              <w:rPr>
                <w:rFonts w:cs="宋体"/>
                <w:b/>
                <w:bCs/>
                <w:color w:val="auto"/>
                <w:kern w:val="0"/>
                <w:sz w:val="24"/>
                <w:szCs w:val="24"/>
                <w:shd w:val="clear" w:color="auto" w:fill="auto"/>
              </w:rPr>
              <w:t>设备噪声预测结果</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3"/>
              <w:gridCol w:w="2464"/>
              <w:gridCol w:w="1654"/>
              <w:gridCol w:w="1489"/>
            </w:tblGrid>
            <w:tr w14:paraId="3B75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211" w:type="pct"/>
                  <w:vMerge w:val="restart"/>
                  <w:vAlign w:val="center"/>
                </w:tcPr>
                <w:p w14:paraId="27E199F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cs="宋体"/>
                      <w:b/>
                      <w:bCs/>
                      <w:snapToGrid w:val="0"/>
                      <w:color w:val="auto"/>
                      <w:kern w:val="0"/>
                      <w:sz w:val="21"/>
                      <w:szCs w:val="21"/>
                      <w:shd w:val="clear" w:color="auto" w:fill="auto"/>
                    </w:rPr>
                  </w:pPr>
                  <w:r>
                    <w:rPr>
                      <w:rFonts w:cs="宋体"/>
                      <w:b/>
                      <w:bCs/>
                      <w:snapToGrid w:val="0"/>
                      <w:color w:val="auto"/>
                      <w:kern w:val="0"/>
                      <w:sz w:val="21"/>
                      <w:szCs w:val="21"/>
                      <w:shd w:val="clear" w:color="auto" w:fill="auto"/>
                    </w:rPr>
                    <w:t>方位</w:t>
                  </w:r>
                </w:p>
              </w:tc>
              <w:tc>
                <w:tcPr>
                  <w:tcW w:w="1664" w:type="pct"/>
                  <w:vMerge w:val="restart"/>
                  <w:vAlign w:val="center"/>
                </w:tcPr>
                <w:p w14:paraId="5B0F3DB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cs="宋体"/>
                      <w:b/>
                      <w:bCs/>
                      <w:snapToGrid w:val="0"/>
                      <w:color w:val="auto"/>
                      <w:kern w:val="0"/>
                      <w:sz w:val="21"/>
                      <w:szCs w:val="21"/>
                      <w:shd w:val="clear" w:color="auto" w:fill="auto"/>
                    </w:rPr>
                  </w:pPr>
                  <w:r>
                    <w:rPr>
                      <w:rFonts w:cs="宋体"/>
                      <w:b/>
                      <w:bCs/>
                      <w:snapToGrid w:val="0"/>
                      <w:color w:val="auto"/>
                      <w:kern w:val="0"/>
                      <w:sz w:val="21"/>
                      <w:szCs w:val="21"/>
                      <w:shd w:val="clear" w:color="auto" w:fill="auto"/>
                    </w:rPr>
                    <w:t>贡献</w:t>
                  </w:r>
                  <w:r>
                    <w:rPr>
                      <w:rFonts w:hint="eastAsia" w:cs="宋体"/>
                      <w:b/>
                      <w:bCs/>
                      <w:snapToGrid w:val="0"/>
                      <w:color w:val="auto"/>
                      <w:kern w:val="0"/>
                      <w:sz w:val="21"/>
                      <w:szCs w:val="21"/>
                      <w:shd w:val="clear" w:color="auto" w:fill="auto"/>
                    </w:rPr>
                    <w:t>值</w:t>
                  </w:r>
                  <w:r>
                    <w:rPr>
                      <w:rFonts w:cs="宋体"/>
                      <w:b/>
                      <w:bCs/>
                      <w:snapToGrid w:val="0"/>
                      <w:color w:val="auto"/>
                      <w:kern w:val="0"/>
                      <w:sz w:val="21"/>
                      <w:szCs w:val="21"/>
                      <w:shd w:val="clear" w:color="auto" w:fill="auto"/>
                    </w:rPr>
                    <w:t>dB（A）</w:t>
                  </w:r>
                </w:p>
              </w:tc>
              <w:tc>
                <w:tcPr>
                  <w:tcW w:w="1117" w:type="pct"/>
                  <w:vAlign w:val="center"/>
                </w:tcPr>
                <w:p w14:paraId="747B20B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cs="宋体"/>
                      <w:b/>
                      <w:bCs/>
                      <w:snapToGrid w:val="0"/>
                      <w:color w:val="auto"/>
                      <w:kern w:val="0"/>
                      <w:sz w:val="21"/>
                      <w:szCs w:val="21"/>
                      <w:shd w:val="clear" w:color="auto" w:fill="auto"/>
                    </w:rPr>
                  </w:pPr>
                  <w:r>
                    <w:rPr>
                      <w:rFonts w:cs="宋体"/>
                      <w:b/>
                      <w:bCs/>
                      <w:snapToGrid w:val="0"/>
                      <w:color w:val="auto"/>
                      <w:kern w:val="0"/>
                      <w:sz w:val="21"/>
                      <w:szCs w:val="21"/>
                      <w:shd w:val="clear" w:color="auto" w:fill="auto"/>
                    </w:rPr>
                    <w:t>标准限值dB（A）</w:t>
                  </w:r>
                </w:p>
              </w:tc>
              <w:tc>
                <w:tcPr>
                  <w:tcW w:w="1006" w:type="pct"/>
                  <w:vAlign w:val="center"/>
                </w:tcPr>
                <w:p w14:paraId="372FE71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cs="宋体"/>
                      <w:b/>
                      <w:bCs/>
                      <w:snapToGrid w:val="0"/>
                      <w:color w:val="auto"/>
                      <w:kern w:val="0"/>
                      <w:sz w:val="21"/>
                      <w:szCs w:val="21"/>
                      <w:shd w:val="clear" w:color="auto" w:fill="auto"/>
                    </w:rPr>
                  </w:pPr>
                  <w:r>
                    <w:rPr>
                      <w:rFonts w:cs="宋体"/>
                      <w:b/>
                      <w:bCs/>
                      <w:snapToGrid w:val="0"/>
                      <w:color w:val="auto"/>
                      <w:kern w:val="0"/>
                      <w:sz w:val="21"/>
                      <w:szCs w:val="21"/>
                      <w:shd w:val="clear" w:color="auto" w:fill="auto"/>
                    </w:rPr>
                    <w:t>达标情况</w:t>
                  </w:r>
                </w:p>
              </w:tc>
            </w:tr>
            <w:tr w14:paraId="402D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11" w:type="pct"/>
                  <w:vMerge w:val="continue"/>
                  <w:vAlign w:val="center"/>
                </w:tcPr>
                <w:p w14:paraId="264994A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cs="宋体"/>
                      <w:b/>
                      <w:bCs/>
                      <w:snapToGrid w:val="0"/>
                      <w:color w:val="auto"/>
                      <w:kern w:val="0"/>
                      <w:sz w:val="21"/>
                      <w:szCs w:val="21"/>
                      <w:shd w:val="clear" w:color="auto" w:fill="auto"/>
                    </w:rPr>
                  </w:pPr>
                </w:p>
              </w:tc>
              <w:tc>
                <w:tcPr>
                  <w:tcW w:w="1664" w:type="pct"/>
                  <w:vMerge w:val="continue"/>
                  <w:vAlign w:val="center"/>
                </w:tcPr>
                <w:p w14:paraId="7C120AC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cs="宋体"/>
                      <w:b/>
                      <w:bCs/>
                      <w:snapToGrid w:val="0"/>
                      <w:color w:val="auto"/>
                      <w:kern w:val="0"/>
                      <w:sz w:val="21"/>
                      <w:szCs w:val="21"/>
                      <w:shd w:val="clear" w:color="auto" w:fill="auto"/>
                    </w:rPr>
                  </w:pPr>
                </w:p>
              </w:tc>
              <w:tc>
                <w:tcPr>
                  <w:tcW w:w="1117" w:type="pct"/>
                  <w:vAlign w:val="center"/>
                </w:tcPr>
                <w:p w14:paraId="28DFAEC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cs="宋体"/>
                      <w:b/>
                      <w:bCs/>
                      <w:snapToGrid w:val="0"/>
                      <w:color w:val="auto"/>
                      <w:kern w:val="0"/>
                      <w:sz w:val="21"/>
                      <w:szCs w:val="21"/>
                      <w:shd w:val="clear" w:color="auto" w:fill="auto"/>
                    </w:rPr>
                  </w:pPr>
                  <w:r>
                    <w:rPr>
                      <w:rFonts w:cs="宋体"/>
                      <w:b/>
                      <w:bCs/>
                      <w:snapToGrid w:val="0"/>
                      <w:color w:val="auto"/>
                      <w:kern w:val="0"/>
                      <w:sz w:val="21"/>
                      <w:szCs w:val="21"/>
                      <w:shd w:val="clear" w:color="auto" w:fill="auto"/>
                    </w:rPr>
                    <w:t>昼间</w:t>
                  </w:r>
                </w:p>
              </w:tc>
              <w:tc>
                <w:tcPr>
                  <w:tcW w:w="1006" w:type="pct"/>
                  <w:vAlign w:val="center"/>
                </w:tcPr>
                <w:p w14:paraId="1C419F8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cs="宋体"/>
                      <w:b/>
                      <w:bCs/>
                      <w:snapToGrid w:val="0"/>
                      <w:color w:val="auto"/>
                      <w:kern w:val="0"/>
                      <w:sz w:val="21"/>
                      <w:szCs w:val="21"/>
                      <w:shd w:val="clear" w:color="auto" w:fill="auto"/>
                    </w:rPr>
                  </w:pPr>
                  <w:r>
                    <w:rPr>
                      <w:rFonts w:cs="宋体"/>
                      <w:b/>
                      <w:bCs/>
                      <w:snapToGrid w:val="0"/>
                      <w:color w:val="auto"/>
                      <w:kern w:val="0"/>
                      <w:sz w:val="21"/>
                      <w:szCs w:val="21"/>
                      <w:shd w:val="clear" w:color="auto" w:fill="auto"/>
                    </w:rPr>
                    <w:t>昼间</w:t>
                  </w:r>
                </w:p>
              </w:tc>
            </w:tr>
            <w:tr w14:paraId="529EC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11" w:type="pct"/>
                  <w:vMerge w:val="restart"/>
                  <w:vAlign w:val="center"/>
                </w:tcPr>
                <w:p w14:paraId="114B9D88">
                  <w:pPr>
                    <w:pStyle w:val="106"/>
                    <w:keepNext/>
                    <w:keepLines/>
                    <w:adjustRightInd w:val="0"/>
                    <w:snapToGrid w:val="0"/>
                    <w:spacing w:before="0" w:line="240" w:lineRule="auto"/>
                    <w:jc w:val="center"/>
                    <w:outlineLvl w:val="9"/>
                    <w:rPr>
                      <w:rFonts w:hint="eastAsia" w:ascii="Times New Roman" w:hAnsi="Times New Roman" w:eastAsia="宋体" w:cs="宋体"/>
                      <w:b w:val="0"/>
                      <w:color w:val="auto"/>
                      <w:sz w:val="21"/>
                      <w:szCs w:val="21"/>
                      <w:shd w:val="clear" w:color="auto" w:fill="auto"/>
                    </w:rPr>
                  </w:pPr>
                  <w:r>
                    <w:rPr>
                      <w:rFonts w:hint="eastAsia" w:ascii="Times New Roman" w:hAnsi="Times New Roman" w:eastAsia="宋体" w:cs="宋体"/>
                      <w:b w:val="0"/>
                      <w:color w:val="auto"/>
                      <w:sz w:val="21"/>
                      <w:szCs w:val="21"/>
                      <w:shd w:val="clear" w:color="auto" w:fill="auto"/>
                    </w:rPr>
                    <w:t>东面厂界</w:t>
                  </w:r>
                </w:p>
              </w:tc>
              <w:tc>
                <w:tcPr>
                  <w:tcW w:w="1664" w:type="pct"/>
                  <w:vMerge w:val="restart"/>
                  <w:shd w:val="clear" w:color="auto" w:fill="auto"/>
                  <w:vAlign w:val="center"/>
                </w:tcPr>
                <w:p w14:paraId="11F4ED44">
                  <w:pPr>
                    <w:pStyle w:val="106"/>
                    <w:keepNext/>
                    <w:keepLines/>
                    <w:adjustRightInd w:val="0"/>
                    <w:snapToGrid w:val="0"/>
                    <w:spacing w:before="0" w:line="240" w:lineRule="auto"/>
                    <w:jc w:val="center"/>
                    <w:outlineLvl w:val="9"/>
                    <w:rPr>
                      <w:rFonts w:hint="default" w:ascii="Times New Roman" w:hAnsi="Times New Roman" w:eastAsia="宋体" w:cs="宋体"/>
                      <w:b w:val="0"/>
                      <w:color w:val="auto"/>
                      <w:sz w:val="21"/>
                      <w:szCs w:val="21"/>
                      <w:shd w:val="clear" w:color="auto" w:fill="auto"/>
                      <w:lang w:val="en-US" w:eastAsia="zh-CN"/>
                    </w:rPr>
                  </w:pPr>
                  <w:r>
                    <w:rPr>
                      <w:rFonts w:hint="eastAsia" w:ascii="Times New Roman" w:hAnsi="Times New Roman" w:eastAsia="宋体" w:cs="宋体"/>
                      <w:b w:val="0"/>
                      <w:color w:val="auto"/>
                      <w:sz w:val="21"/>
                      <w:szCs w:val="21"/>
                      <w:shd w:val="clear" w:color="auto" w:fill="auto"/>
                      <w:lang w:val="en-US" w:eastAsia="zh-CN"/>
                    </w:rPr>
                    <w:t>50.8</w:t>
                  </w:r>
                </w:p>
              </w:tc>
              <w:tc>
                <w:tcPr>
                  <w:tcW w:w="1117" w:type="pct"/>
                  <w:vMerge w:val="restart"/>
                  <w:vAlign w:val="center"/>
                </w:tcPr>
                <w:p w14:paraId="0E5F0E94">
                  <w:pPr>
                    <w:pStyle w:val="106"/>
                    <w:keepNext/>
                    <w:keepLines/>
                    <w:adjustRightInd w:val="0"/>
                    <w:snapToGrid w:val="0"/>
                    <w:spacing w:before="0" w:line="240" w:lineRule="auto"/>
                    <w:jc w:val="center"/>
                    <w:outlineLvl w:val="9"/>
                    <w:rPr>
                      <w:rFonts w:hint="default" w:ascii="Times New Roman" w:hAnsi="Times New Roman" w:eastAsia="宋体" w:cs="宋体"/>
                      <w:b w:val="0"/>
                      <w:color w:val="auto"/>
                      <w:sz w:val="21"/>
                      <w:szCs w:val="21"/>
                      <w:shd w:val="clear" w:color="auto" w:fill="auto"/>
                      <w:lang w:val="en-US" w:eastAsia="zh-CN"/>
                    </w:rPr>
                  </w:pPr>
                  <w:r>
                    <w:rPr>
                      <w:rFonts w:hint="eastAsia" w:ascii="Times New Roman" w:hAnsi="Times New Roman" w:eastAsia="宋体" w:cs="宋体"/>
                      <w:b w:val="0"/>
                      <w:color w:val="auto"/>
                      <w:sz w:val="21"/>
                      <w:szCs w:val="21"/>
                      <w:shd w:val="clear" w:color="auto" w:fill="auto"/>
                      <w:lang w:val="en-US" w:eastAsia="zh-CN"/>
                    </w:rPr>
                    <w:t>65</w:t>
                  </w:r>
                </w:p>
              </w:tc>
              <w:tc>
                <w:tcPr>
                  <w:tcW w:w="1006" w:type="pct"/>
                  <w:vMerge w:val="restart"/>
                  <w:vAlign w:val="center"/>
                </w:tcPr>
                <w:p w14:paraId="0B59C4ED">
                  <w:pPr>
                    <w:pStyle w:val="106"/>
                    <w:keepNext/>
                    <w:keepLines/>
                    <w:adjustRightInd w:val="0"/>
                    <w:snapToGrid w:val="0"/>
                    <w:spacing w:before="0" w:line="240" w:lineRule="auto"/>
                    <w:jc w:val="center"/>
                    <w:outlineLvl w:val="9"/>
                    <w:rPr>
                      <w:rFonts w:hint="eastAsia" w:ascii="Times New Roman" w:hAnsi="Times New Roman" w:eastAsia="宋体" w:cs="宋体"/>
                      <w:b w:val="0"/>
                      <w:color w:val="auto"/>
                      <w:sz w:val="21"/>
                      <w:szCs w:val="21"/>
                      <w:shd w:val="clear" w:color="auto" w:fill="auto"/>
                    </w:rPr>
                  </w:pPr>
                  <w:r>
                    <w:rPr>
                      <w:rFonts w:hint="eastAsia" w:ascii="Times New Roman" w:hAnsi="Times New Roman" w:eastAsia="宋体" w:cs="宋体"/>
                      <w:b w:val="0"/>
                      <w:color w:val="auto"/>
                      <w:sz w:val="21"/>
                      <w:szCs w:val="21"/>
                      <w:shd w:val="clear" w:color="auto" w:fill="auto"/>
                    </w:rPr>
                    <w:t>达标</w:t>
                  </w:r>
                </w:p>
              </w:tc>
            </w:tr>
            <w:tr w14:paraId="7E3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11" w:type="pct"/>
                  <w:vMerge w:val="continue"/>
                  <w:vAlign w:val="center"/>
                </w:tcPr>
                <w:p w14:paraId="5416DD8B">
                  <w:pPr>
                    <w:pStyle w:val="106"/>
                    <w:keepNext/>
                    <w:keepLines/>
                    <w:adjustRightInd w:val="0"/>
                    <w:snapToGrid w:val="0"/>
                    <w:spacing w:before="0" w:line="240" w:lineRule="auto"/>
                    <w:jc w:val="center"/>
                    <w:outlineLvl w:val="9"/>
                    <w:rPr>
                      <w:rFonts w:hint="eastAsia" w:ascii="Times New Roman" w:hAnsi="Times New Roman" w:eastAsia="宋体" w:cs="宋体"/>
                      <w:b w:val="0"/>
                      <w:color w:val="auto"/>
                      <w:sz w:val="21"/>
                      <w:szCs w:val="21"/>
                      <w:shd w:val="clear" w:color="auto" w:fill="auto"/>
                    </w:rPr>
                  </w:pPr>
                </w:p>
              </w:tc>
              <w:tc>
                <w:tcPr>
                  <w:tcW w:w="1664" w:type="pct"/>
                  <w:vMerge w:val="continue"/>
                  <w:vAlign w:val="center"/>
                </w:tcPr>
                <w:p w14:paraId="748C97B1">
                  <w:pPr>
                    <w:pStyle w:val="106"/>
                    <w:keepNext/>
                    <w:keepLines/>
                    <w:adjustRightInd w:val="0"/>
                    <w:snapToGrid w:val="0"/>
                    <w:spacing w:before="0" w:line="240" w:lineRule="auto"/>
                    <w:jc w:val="center"/>
                    <w:outlineLvl w:val="9"/>
                    <w:rPr>
                      <w:rFonts w:hint="eastAsia" w:ascii="Times New Roman" w:hAnsi="Times New Roman" w:eastAsia="宋体" w:cs="宋体"/>
                      <w:b w:val="0"/>
                      <w:color w:val="auto"/>
                      <w:sz w:val="21"/>
                      <w:szCs w:val="21"/>
                      <w:shd w:val="clear" w:color="auto" w:fill="auto"/>
                    </w:rPr>
                  </w:pPr>
                </w:p>
              </w:tc>
              <w:tc>
                <w:tcPr>
                  <w:tcW w:w="1117" w:type="pct"/>
                  <w:vMerge w:val="continue"/>
                  <w:vAlign w:val="center"/>
                </w:tcPr>
                <w:p w14:paraId="78A1A13A">
                  <w:pPr>
                    <w:pStyle w:val="106"/>
                    <w:keepNext/>
                    <w:keepLines/>
                    <w:adjustRightInd w:val="0"/>
                    <w:snapToGrid w:val="0"/>
                    <w:spacing w:before="0" w:line="240" w:lineRule="auto"/>
                    <w:jc w:val="center"/>
                    <w:outlineLvl w:val="9"/>
                    <w:rPr>
                      <w:rFonts w:hint="eastAsia" w:ascii="Times New Roman" w:hAnsi="Times New Roman" w:eastAsia="宋体" w:cs="宋体"/>
                      <w:b w:val="0"/>
                      <w:color w:val="auto"/>
                      <w:sz w:val="21"/>
                      <w:szCs w:val="21"/>
                      <w:shd w:val="clear" w:color="auto" w:fill="auto"/>
                    </w:rPr>
                  </w:pPr>
                </w:p>
              </w:tc>
              <w:tc>
                <w:tcPr>
                  <w:tcW w:w="1006" w:type="pct"/>
                  <w:vMerge w:val="continue"/>
                  <w:vAlign w:val="center"/>
                </w:tcPr>
                <w:p w14:paraId="50761523">
                  <w:pPr>
                    <w:pStyle w:val="106"/>
                    <w:keepNext/>
                    <w:keepLines/>
                    <w:adjustRightInd w:val="0"/>
                    <w:snapToGrid w:val="0"/>
                    <w:spacing w:before="0" w:line="240" w:lineRule="auto"/>
                    <w:jc w:val="center"/>
                    <w:outlineLvl w:val="9"/>
                    <w:rPr>
                      <w:rFonts w:hint="eastAsia" w:ascii="Times New Roman" w:hAnsi="Times New Roman" w:eastAsia="宋体" w:cs="宋体"/>
                      <w:b w:val="0"/>
                      <w:color w:val="auto"/>
                      <w:sz w:val="21"/>
                      <w:szCs w:val="21"/>
                      <w:shd w:val="clear" w:color="auto" w:fill="auto"/>
                    </w:rPr>
                  </w:pPr>
                </w:p>
              </w:tc>
            </w:tr>
            <w:tr w14:paraId="5257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11" w:type="pct"/>
                  <w:vMerge w:val="restart"/>
                  <w:vAlign w:val="center"/>
                </w:tcPr>
                <w:p w14:paraId="3203898A">
                  <w:pPr>
                    <w:pStyle w:val="106"/>
                    <w:keepNext/>
                    <w:keepLines/>
                    <w:adjustRightInd w:val="0"/>
                    <w:snapToGrid w:val="0"/>
                    <w:spacing w:before="0" w:line="240" w:lineRule="auto"/>
                    <w:jc w:val="center"/>
                    <w:outlineLvl w:val="9"/>
                    <w:rPr>
                      <w:rFonts w:hint="eastAsia" w:ascii="Times New Roman" w:hAnsi="Times New Roman" w:eastAsia="宋体" w:cs="宋体"/>
                      <w:b w:val="0"/>
                      <w:color w:val="auto"/>
                      <w:sz w:val="21"/>
                      <w:szCs w:val="21"/>
                      <w:shd w:val="clear" w:color="auto" w:fill="auto"/>
                    </w:rPr>
                  </w:pPr>
                  <w:r>
                    <w:rPr>
                      <w:rFonts w:hint="eastAsia" w:ascii="Times New Roman" w:hAnsi="Times New Roman" w:eastAsia="宋体" w:cs="宋体"/>
                      <w:b w:val="0"/>
                      <w:color w:val="auto"/>
                      <w:sz w:val="21"/>
                      <w:szCs w:val="21"/>
                      <w:shd w:val="clear" w:color="auto" w:fill="auto"/>
                    </w:rPr>
                    <w:t>南面厂界</w:t>
                  </w:r>
                </w:p>
              </w:tc>
              <w:tc>
                <w:tcPr>
                  <w:tcW w:w="1664" w:type="pct"/>
                  <w:vMerge w:val="restart"/>
                  <w:shd w:val="clear" w:color="auto" w:fill="auto"/>
                  <w:vAlign w:val="center"/>
                </w:tcPr>
                <w:p w14:paraId="5FEF8B15">
                  <w:pPr>
                    <w:pStyle w:val="106"/>
                    <w:keepNext/>
                    <w:keepLines/>
                    <w:adjustRightInd w:val="0"/>
                    <w:snapToGrid w:val="0"/>
                    <w:spacing w:before="0" w:line="240" w:lineRule="auto"/>
                    <w:jc w:val="center"/>
                    <w:outlineLvl w:val="9"/>
                    <w:rPr>
                      <w:rFonts w:hint="default" w:ascii="Times New Roman" w:hAnsi="Times New Roman" w:eastAsia="宋体" w:cs="宋体"/>
                      <w:b w:val="0"/>
                      <w:color w:val="auto"/>
                      <w:sz w:val="21"/>
                      <w:szCs w:val="21"/>
                      <w:shd w:val="clear" w:color="auto" w:fill="auto"/>
                      <w:lang w:val="en-US" w:eastAsia="zh-CN"/>
                    </w:rPr>
                  </w:pPr>
                  <w:r>
                    <w:rPr>
                      <w:rFonts w:hint="eastAsia" w:ascii="Times New Roman" w:hAnsi="Times New Roman" w:eastAsia="宋体" w:cs="宋体"/>
                      <w:b w:val="0"/>
                      <w:color w:val="auto"/>
                      <w:sz w:val="21"/>
                      <w:szCs w:val="21"/>
                      <w:shd w:val="clear" w:color="auto" w:fill="auto"/>
                      <w:lang w:val="en-US" w:eastAsia="zh-CN"/>
                    </w:rPr>
                    <w:t>47.4</w:t>
                  </w:r>
                </w:p>
              </w:tc>
              <w:tc>
                <w:tcPr>
                  <w:tcW w:w="1117" w:type="pct"/>
                  <w:vMerge w:val="restart"/>
                  <w:vAlign w:val="center"/>
                </w:tcPr>
                <w:p w14:paraId="467CAA02">
                  <w:pPr>
                    <w:pStyle w:val="106"/>
                    <w:keepNext/>
                    <w:keepLines/>
                    <w:adjustRightInd w:val="0"/>
                    <w:snapToGrid w:val="0"/>
                    <w:spacing w:before="0" w:line="240" w:lineRule="auto"/>
                    <w:jc w:val="center"/>
                    <w:outlineLvl w:val="9"/>
                    <w:rPr>
                      <w:rFonts w:hint="default" w:ascii="Times New Roman" w:hAnsi="Times New Roman" w:eastAsia="宋体" w:cs="宋体"/>
                      <w:b w:val="0"/>
                      <w:color w:val="auto"/>
                      <w:sz w:val="21"/>
                      <w:szCs w:val="21"/>
                      <w:shd w:val="clear" w:color="auto" w:fill="auto"/>
                      <w:lang w:val="en-US" w:eastAsia="zh-CN"/>
                    </w:rPr>
                  </w:pPr>
                  <w:r>
                    <w:rPr>
                      <w:rFonts w:hint="eastAsia" w:ascii="Times New Roman" w:hAnsi="Times New Roman" w:eastAsia="宋体" w:cs="宋体"/>
                      <w:b w:val="0"/>
                      <w:color w:val="auto"/>
                      <w:sz w:val="21"/>
                      <w:szCs w:val="21"/>
                      <w:shd w:val="clear" w:color="auto" w:fill="auto"/>
                      <w:lang w:val="en-US" w:eastAsia="zh-CN"/>
                    </w:rPr>
                    <w:t>65</w:t>
                  </w:r>
                </w:p>
              </w:tc>
              <w:tc>
                <w:tcPr>
                  <w:tcW w:w="1006" w:type="pct"/>
                  <w:vMerge w:val="restart"/>
                  <w:vAlign w:val="center"/>
                </w:tcPr>
                <w:p w14:paraId="132FF002">
                  <w:pPr>
                    <w:pStyle w:val="106"/>
                    <w:keepNext/>
                    <w:keepLines/>
                    <w:adjustRightInd w:val="0"/>
                    <w:snapToGrid w:val="0"/>
                    <w:spacing w:before="0" w:line="240" w:lineRule="auto"/>
                    <w:jc w:val="center"/>
                    <w:outlineLvl w:val="9"/>
                    <w:rPr>
                      <w:rFonts w:hint="eastAsia" w:ascii="Times New Roman" w:hAnsi="Times New Roman" w:eastAsia="宋体" w:cs="宋体"/>
                      <w:b w:val="0"/>
                      <w:color w:val="auto"/>
                      <w:sz w:val="21"/>
                      <w:szCs w:val="21"/>
                      <w:shd w:val="clear" w:color="auto" w:fill="auto"/>
                    </w:rPr>
                  </w:pPr>
                  <w:r>
                    <w:rPr>
                      <w:rFonts w:hint="eastAsia" w:ascii="Times New Roman" w:hAnsi="Times New Roman" w:eastAsia="宋体" w:cs="宋体"/>
                      <w:b w:val="0"/>
                      <w:color w:val="auto"/>
                      <w:sz w:val="21"/>
                      <w:szCs w:val="21"/>
                      <w:shd w:val="clear" w:color="auto" w:fill="auto"/>
                    </w:rPr>
                    <w:t>达标</w:t>
                  </w:r>
                </w:p>
              </w:tc>
            </w:tr>
            <w:tr w14:paraId="30CC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11" w:type="pct"/>
                  <w:vMerge w:val="continue"/>
                  <w:vAlign w:val="center"/>
                </w:tcPr>
                <w:p w14:paraId="3EB7B0E4">
                  <w:pPr>
                    <w:pStyle w:val="106"/>
                    <w:keepNext/>
                    <w:keepLines/>
                    <w:adjustRightInd w:val="0"/>
                    <w:snapToGrid w:val="0"/>
                    <w:spacing w:before="0" w:line="240" w:lineRule="auto"/>
                    <w:jc w:val="center"/>
                    <w:outlineLvl w:val="9"/>
                    <w:rPr>
                      <w:rFonts w:hint="eastAsia" w:ascii="Times New Roman" w:hAnsi="Times New Roman" w:eastAsia="宋体" w:cs="宋体"/>
                      <w:b w:val="0"/>
                      <w:color w:val="auto"/>
                      <w:sz w:val="21"/>
                      <w:szCs w:val="21"/>
                      <w:shd w:val="clear" w:color="auto" w:fill="auto"/>
                    </w:rPr>
                  </w:pPr>
                </w:p>
              </w:tc>
              <w:tc>
                <w:tcPr>
                  <w:tcW w:w="1664" w:type="pct"/>
                  <w:vMerge w:val="continue"/>
                  <w:vAlign w:val="center"/>
                </w:tcPr>
                <w:p w14:paraId="0358EB12">
                  <w:pPr>
                    <w:pStyle w:val="106"/>
                    <w:keepNext/>
                    <w:keepLines/>
                    <w:adjustRightInd w:val="0"/>
                    <w:snapToGrid w:val="0"/>
                    <w:spacing w:before="0" w:line="240" w:lineRule="auto"/>
                    <w:jc w:val="center"/>
                    <w:outlineLvl w:val="9"/>
                    <w:rPr>
                      <w:rFonts w:hint="eastAsia" w:ascii="Times New Roman" w:hAnsi="Times New Roman" w:eastAsia="宋体" w:cs="宋体"/>
                      <w:b w:val="0"/>
                      <w:color w:val="auto"/>
                      <w:sz w:val="21"/>
                      <w:szCs w:val="21"/>
                      <w:shd w:val="clear" w:color="auto" w:fill="auto"/>
                    </w:rPr>
                  </w:pPr>
                </w:p>
              </w:tc>
              <w:tc>
                <w:tcPr>
                  <w:tcW w:w="1117" w:type="pct"/>
                  <w:vMerge w:val="continue"/>
                  <w:vAlign w:val="center"/>
                </w:tcPr>
                <w:p w14:paraId="7AC6316C">
                  <w:pPr>
                    <w:pStyle w:val="106"/>
                    <w:keepNext/>
                    <w:keepLines/>
                    <w:adjustRightInd w:val="0"/>
                    <w:snapToGrid w:val="0"/>
                    <w:spacing w:before="0" w:line="240" w:lineRule="auto"/>
                    <w:jc w:val="center"/>
                    <w:outlineLvl w:val="9"/>
                    <w:rPr>
                      <w:rFonts w:hint="eastAsia" w:ascii="Times New Roman" w:hAnsi="Times New Roman" w:eastAsia="宋体" w:cs="宋体"/>
                      <w:b w:val="0"/>
                      <w:color w:val="auto"/>
                      <w:sz w:val="21"/>
                      <w:szCs w:val="21"/>
                      <w:shd w:val="clear" w:color="auto" w:fill="auto"/>
                    </w:rPr>
                  </w:pPr>
                </w:p>
              </w:tc>
              <w:tc>
                <w:tcPr>
                  <w:tcW w:w="1006" w:type="pct"/>
                  <w:vMerge w:val="continue"/>
                  <w:vAlign w:val="center"/>
                </w:tcPr>
                <w:p w14:paraId="459E8E01">
                  <w:pPr>
                    <w:pStyle w:val="106"/>
                    <w:keepNext/>
                    <w:keepLines/>
                    <w:adjustRightInd w:val="0"/>
                    <w:snapToGrid w:val="0"/>
                    <w:spacing w:before="0" w:line="240" w:lineRule="auto"/>
                    <w:jc w:val="center"/>
                    <w:outlineLvl w:val="9"/>
                    <w:rPr>
                      <w:rFonts w:hint="eastAsia" w:ascii="Times New Roman" w:hAnsi="Times New Roman" w:eastAsia="宋体" w:cs="宋体"/>
                      <w:b w:val="0"/>
                      <w:color w:val="auto"/>
                      <w:sz w:val="21"/>
                      <w:szCs w:val="21"/>
                      <w:shd w:val="clear" w:color="auto" w:fill="auto"/>
                    </w:rPr>
                  </w:pPr>
                </w:p>
              </w:tc>
            </w:tr>
            <w:tr w14:paraId="5CD0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11" w:type="pct"/>
                  <w:vMerge w:val="restart"/>
                  <w:vAlign w:val="center"/>
                </w:tcPr>
                <w:p w14:paraId="3AFD57F7">
                  <w:pPr>
                    <w:pStyle w:val="106"/>
                    <w:keepNext/>
                    <w:keepLines/>
                    <w:adjustRightInd w:val="0"/>
                    <w:snapToGrid w:val="0"/>
                    <w:spacing w:before="0" w:line="240" w:lineRule="auto"/>
                    <w:jc w:val="center"/>
                    <w:outlineLvl w:val="9"/>
                    <w:rPr>
                      <w:rFonts w:hint="eastAsia" w:ascii="Times New Roman" w:hAnsi="Times New Roman" w:eastAsia="宋体" w:cs="宋体"/>
                      <w:b w:val="0"/>
                      <w:color w:val="auto"/>
                      <w:sz w:val="21"/>
                      <w:szCs w:val="21"/>
                      <w:shd w:val="clear" w:color="auto" w:fill="auto"/>
                    </w:rPr>
                  </w:pPr>
                  <w:r>
                    <w:rPr>
                      <w:rFonts w:hint="eastAsia" w:ascii="Times New Roman" w:hAnsi="Times New Roman" w:eastAsia="宋体" w:cs="宋体"/>
                      <w:b w:val="0"/>
                      <w:color w:val="auto"/>
                      <w:sz w:val="21"/>
                      <w:szCs w:val="21"/>
                      <w:shd w:val="clear" w:color="auto" w:fill="auto"/>
                    </w:rPr>
                    <w:t>西面厂界</w:t>
                  </w:r>
                </w:p>
              </w:tc>
              <w:tc>
                <w:tcPr>
                  <w:tcW w:w="1664" w:type="pct"/>
                  <w:vMerge w:val="restart"/>
                  <w:shd w:val="clear" w:color="auto" w:fill="auto"/>
                  <w:vAlign w:val="center"/>
                </w:tcPr>
                <w:p w14:paraId="68A5CFCD">
                  <w:pPr>
                    <w:pStyle w:val="106"/>
                    <w:keepNext/>
                    <w:keepLines/>
                    <w:adjustRightInd w:val="0"/>
                    <w:snapToGrid w:val="0"/>
                    <w:spacing w:before="0" w:line="240" w:lineRule="auto"/>
                    <w:jc w:val="center"/>
                    <w:outlineLvl w:val="9"/>
                    <w:rPr>
                      <w:rFonts w:hint="default" w:ascii="Times New Roman" w:hAnsi="Times New Roman" w:eastAsia="宋体" w:cs="宋体"/>
                      <w:b w:val="0"/>
                      <w:color w:val="auto"/>
                      <w:sz w:val="21"/>
                      <w:szCs w:val="21"/>
                      <w:shd w:val="clear" w:color="auto" w:fill="auto"/>
                      <w:lang w:val="en-US" w:eastAsia="zh-CN"/>
                    </w:rPr>
                  </w:pPr>
                  <w:r>
                    <w:rPr>
                      <w:rFonts w:hint="eastAsia" w:ascii="Times New Roman" w:hAnsi="Times New Roman" w:eastAsia="宋体" w:cs="宋体"/>
                      <w:b w:val="0"/>
                      <w:color w:val="auto"/>
                      <w:sz w:val="21"/>
                      <w:szCs w:val="21"/>
                      <w:shd w:val="clear" w:color="auto" w:fill="auto"/>
                      <w:lang w:val="en-US" w:eastAsia="zh-CN"/>
                    </w:rPr>
                    <w:t>41.7</w:t>
                  </w:r>
                </w:p>
              </w:tc>
              <w:tc>
                <w:tcPr>
                  <w:tcW w:w="1117" w:type="pct"/>
                  <w:vMerge w:val="restart"/>
                  <w:vAlign w:val="center"/>
                </w:tcPr>
                <w:p w14:paraId="4BC967F4">
                  <w:pPr>
                    <w:keepNext/>
                    <w:keepLines/>
                    <w:adjustRightInd w:val="0"/>
                    <w:snapToGrid w:val="0"/>
                    <w:spacing w:before="0" w:line="240" w:lineRule="auto"/>
                    <w:jc w:val="center"/>
                    <w:outlineLvl w:val="9"/>
                    <w:rPr>
                      <w:rFonts w:hint="default"/>
                      <w:color w:val="auto"/>
                      <w:lang w:val="en-US" w:eastAsia="zh-CN"/>
                    </w:rPr>
                  </w:pPr>
                  <w:r>
                    <w:rPr>
                      <w:rFonts w:hint="eastAsia" w:ascii="Times New Roman" w:hAnsi="Times New Roman" w:eastAsia="宋体" w:cs="宋体"/>
                      <w:b w:val="0"/>
                      <w:color w:val="auto"/>
                      <w:sz w:val="21"/>
                      <w:szCs w:val="21"/>
                      <w:shd w:val="clear" w:color="auto" w:fill="auto"/>
                      <w:lang w:val="en-US" w:eastAsia="zh-CN"/>
                    </w:rPr>
                    <w:t>65</w:t>
                  </w:r>
                </w:p>
              </w:tc>
              <w:tc>
                <w:tcPr>
                  <w:tcW w:w="1006" w:type="pct"/>
                  <w:vMerge w:val="restart"/>
                  <w:vAlign w:val="center"/>
                </w:tcPr>
                <w:p w14:paraId="3E49B188">
                  <w:pPr>
                    <w:pStyle w:val="106"/>
                    <w:keepNext/>
                    <w:keepLines/>
                    <w:adjustRightInd w:val="0"/>
                    <w:snapToGrid w:val="0"/>
                    <w:spacing w:before="0" w:line="240" w:lineRule="auto"/>
                    <w:jc w:val="center"/>
                    <w:outlineLvl w:val="9"/>
                    <w:rPr>
                      <w:rFonts w:hint="eastAsia" w:ascii="Times New Roman" w:hAnsi="Times New Roman" w:eastAsia="宋体" w:cs="宋体"/>
                      <w:b w:val="0"/>
                      <w:color w:val="auto"/>
                      <w:sz w:val="21"/>
                      <w:szCs w:val="21"/>
                      <w:shd w:val="clear" w:color="auto" w:fill="auto"/>
                    </w:rPr>
                  </w:pPr>
                  <w:r>
                    <w:rPr>
                      <w:rFonts w:hint="eastAsia" w:ascii="Times New Roman" w:hAnsi="Times New Roman" w:eastAsia="宋体" w:cs="宋体"/>
                      <w:b w:val="0"/>
                      <w:color w:val="auto"/>
                      <w:sz w:val="21"/>
                      <w:szCs w:val="21"/>
                      <w:shd w:val="clear" w:color="auto" w:fill="auto"/>
                    </w:rPr>
                    <w:t>达标</w:t>
                  </w:r>
                </w:p>
              </w:tc>
            </w:tr>
            <w:tr w14:paraId="051F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11" w:type="pct"/>
                  <w:vMerge w:val="continue"/>
                  <w:vAlign w:val="center"/>
                </w:tcPr>
                <w:p w14:paraId="53FD7E8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cs="宋体"/>
                      <w:snapToGrid w:val="0"/>
                      <w:color w:val="auto"/>
                      <w:kern w:val="0"/>
                      <w:sz w:val="21"/>
                      <w:szCs w:val="21"/>
                      <w:shd w:val="clear" w:color="auto" w:fill="auto"/>
                    </w:rPr>
                  </w:pPr>
                </w:p>
              </w:tc>
              <w:tc>
                <w:tcPr>
                  <w:tcW w:w="1664" w:type="pct"/>
                  <w:vMerge w:val="continue"/>
                  <w:vAlign w:val="center"/>
                </w:tcPr>
                <w:p w14:paraId="52D8993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cs="宋体"/>
                      <w:snapToGrid w:val="0"/>
                      <w:color w:val="auto"/>
                      <w:kern w:val="0"/>
                      <w:sz w:val="21"/>
                      <w:szCs w:val="21"/>
                      <w:shd w:val="clear" w:color="auto" w:fill="auto"/>
                    </w:rPr>
                  </w:pPr>
                </w:p>
              </w:tc>
              <w:tc>
                <w:tcPr>
                  <w:tcW w:w="1117" w:type="pct"/>
                  <w:vMerge w:val="continue"/>
                  <w:vAlign w:val="center"/>
                </w:tcPr>
                <w:p w14:paraId="702EA06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cs="宋体"/>
                      <w:snapToGrid w:val="0"/>
                      <w:color w:val="auto"/>
                      <w:kern w:val="0"/>
                      <w:sz w:val="21"/>
                      <w:szCs w:val="21"/>
                      <w:shd w:val="clear" w:color="auto" w:fill="auto"/>
                    </w:rPr>
                  </w:pPr>
                </w:p>
              </w:tc>
              <w:tc>
                <w:tcPr>
                  <w:tcW w:w="1006" w:type="pct"/>
                  <w:vMerge w:val="continue"/>
                  <w:vAlign w:val="center"/>
                </w:tcPr>
                <w:p w14:paraId="49E3512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cs="宋体"/>
                      <w:snapToGrid w:val="0"/>
                      <w:color w:val="auto"/>
                      <w:kern w:val="0"/>
                      <w:sz w:val="21"/>
                      <w:szCs w:val="21"/>
                      <w:shd w:val="clear" w:color="auto" w:fill="auto"/>
                    </w:rPr>
                  </w:pPr>
                </w:p>
              </w:tc>
            </w:tr>
            <w:tr w14:paraId="5B39C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11" w:type="pct"/>
                  <w:vAlign w:val="center"/>
                </w:tcPr>
                <w:p w14:paraId="40ACD357">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cs="宋体"/>
                      <w:snapToGrid w:val="0"/>
                      <w:color w:val="auto"/>
                      <w:kern w:val="0"/>
                      <w:sz w:val="21"/>
                      <w:szCs w:val="21"/>
                      <w:shd w:val="clear" w:color="auto" w:fill="auto"/>
                    </w:rPr>
                  </w:pPr>
                  <w:r>
                    <w:rPr>
                      <w:rFonts w:cs="宋体"/>
                      <w:snapToGrid w:val="0"/>
                      <w:color w:val="auto"/>
                      <w:kern w:val="0"/>
                      <w:sz w:val="21"/>
                      <w:szCs w:val="21"/>
                      <w:shd w:val="clear" w:color="auto" w:fill="auto"/>
                    </w:rPr>
                    <w:t>北面厂界</w:t>
                  </w:r>
                </w:p>
              </w:tc>
              <w:tc>
                <w:tcPr>
                  <w:tcW w:w="1664" w:type="pct"/>
                  <w:shd w:val="clear" w:color="auto" w:fill="auto"/>
                  <w:vAlign w:val="center"/>
                </w:tcPr>
                <w:p w14:paraId="0D1B14C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宋体"/>
                      <w:snapToGrid w:val="0"/>
                      <w:color w:val="auto"/>
                      <w:kern w:val="0"/>
                      <w:sz w:val="21"/>
                      <w:szCs w:val="21"/>
                      <w:shd w:val="clear" w:color="auto" w:fill="auto"/>
                      <w:lang w:val="en-US" w:eastAsia="zh-CN" w:bidi="ar-SA"/>
                    </w:rPr>
                  </w:pPr>
                  <w:r>
                    <w:rPr>
                      <w:rFonts w:hint="eastAsia" w:cs="宋体"/>
                      <w:snapToGrid w:val="0"/>
                      <w:color w:val="auto"/>
                      <w:kern w:val="0"/>
                      <w:sz w:val="21"/>
                      <w:szCs w:val="21"/>
                      <w:shd w:val="clear" w:color="auto" w:fill="auto"/>
                      <w:lang w:val="en-US" w:eastAsia="zh-CN" w:bidi="ar-SA"/>
                    </w:rPr>
                    <w:t>45.3</w:t>
                  </w:r>
                </w:p>
              </w:tc>
              <w:tc>
                <w:tcPr>
                  <w:tcW w:w="1117" w:type="pct"/>
                  <w:vAlign w:val="center"/>
                </w:tcPr>
                <w:p w14:paraId="230B4AE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eastAsia="宋体" w:cs="宋体"/>
                      <w:snapToGrid w:val="0"/>
                      <w:color w:val="auto"/>
                      <w:kern w:val="0"/>
                      <w:sz w:val="21"/>
                      <w:szCs w:val="21"/>
                      <w:shd w:val="clear" w:color="auto" w:fill="auto"/>
                      <w:lang w:val="en-US" w:eastAsia="zh-CN"/>
                    </w:rPr>
                  </w:pPr>
                  <w:r>
                    <w:rPr>
                      <w:rFonts w:hint="eastAsia" w:ascii="Times New Roman" w:hAnsi="Times New Roman" w:eastAsia="宋体" w:cs="宋体"/>
                      <w:b w:val="0"/>
                      <w:color w:val="auto"/>
                      <w:sz w:val="21"/>
                      <w:szCs w:val="21"/>
                      <w:shd w:val="clear" w:color="auto" w:fill="auto"/>
                      <w:lang w:val="en-US" w:eastAsia="zh-CN"/>
                    </w:rPr>
                    <w:t>65</w:t>
                  </w:r>
                </w:p>
              </w:tc>
              <w:tc>
                <w:tcPr>
                  <w:tcW w:w="1006" w:type="pct"/>
                  <w:vAlign w:val="center"/>
                </w:tcPr>
                <w:p w14:paraId="2A7266A2">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cs="宋体"/>
                      <w:snapToGrid w:val="0"/>
                      <w:color w:val="auto"/>
                      <w:kern w:val="0"/>
                      <w:sz w:val="21"/>
                      <w:szCs w:val="21"/>
                      <w:shd w:val="clear" w:color="auto" w:fill="auto"/>
                    </w:rPr>
                  </w:pPr>
                  <w:r>
                    <w:rPr>
                      <w:rFonts w:cs="宋体"/>
                      <w:snapToGrid w:val="0"/>
                      <w:color w:val="auto"/>
                      <w:kern w:val="0"/>
                      <w:sz w:val="21"/>
                      <w:szCs w:val="21"/>
                      <w:shd w:val="clear" w:color="auto" w:fill="auto"/>
                    </w:rPr>
                    <w:t>达标</w:t>
                  </w:r>
                </w:p>
              </w:tc>
            </w:tr>
          </w:tbl>
          <w:p w14:paraId="5529A6BE">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firstLine="480" w:firstLineChars="200"/>
              <w:jc w:val="both"/>
              <w:textAlignment w:val="auto"/>
              <w:rPr>
                <w:rFonts w:hint="eastAsia" w:ascii="Times New Roman" w:hAnsi="Times New Roman" w:eastAsia="宋体"/>
                <w:color w:val="auto"/>
                <w:sz w:val="24"/>
                <w:szCs w:val="24"/>
                <w:lang w:eastAsia="zh-CN"/>
              </w:rPr>
            </w:pPr>
            <w:r>
              <w:rPr>
                <w:rFonts w:eastAsia="宋体"/>
                <w:color w:val="auto"/>
                <w:sz w:val="24"/>
                <w:szCs w:val="24"/>
              </w:rPr>
              <w:t>由表</w:t>
            </w:r>
            <w:r>
              <w:rPr>
                <w:rFonts w:hint="eastAsia" w:eastAsia="宋体"/>
                <w:color w:val="auto"/>
                <w:sz w:val="24"/>
                <w:szCs w:val="24"/>
                <w:lang w:val="en-US" w:eastAsia="zh-CN"/>
              </w:rPr>
              <w:t>4-</w:t>
            </w:r>
            <w:r>
              <w:rPr>
                <w:rFonts w:hint="eastAsia"/>
                <w:color w:val="auto"/>
                <w:sz w:val="24"/>
                <w:szCs w:val="24"/>
                <w:lang w:val="en-US" w:eastAsia="zh-CN"/>
              </w:rPr>
              <w:t>20</w:t>
            </w:r>
            <w:r>
              <w:rPr>
                <w:rFonts w:eastAsia="宋体"/>
                <w:color w:val="auto"/>
                <w:sz w:val="24"/>
                <w:szCs w:val="24"/>
              </w:rPr>
              <w:t>可知，项目</w:t>
            </w:r>
            <w:r>
              <w:rPr>
                <w:rFonts w:hint="eastAsia"/>
                <w:color w:val="auto"/>
                <w:sz w:val="24"/>
                <w:szCs w:val="24"/>
                <w:lang w:eastAsia="zh-CN"/>
              </w:rPr>
              <w:t>各</w:t>
            </w:r>
            <w:r>
              <w:rPr>
                <w:rFonts w:eastAsia="宋体"/>
                <w:color w:val="auto"/>
                <w:sz w:val="24"/>
                <w:szCs w:val="24"/>
                <w:lang w:val="en-GB"/>
              </w:rPr>
              <w:t>厂界</w:t>
            </w:r>
            <w:r>
              <w:rPr>
                <w:rFonts w:eastAsia="宋体"/>
                <w:color w:val="auto"/>
                <w:sz w:val="24"/>
                <w:szCs w:val="24"/>
              </w:rPr>
              <w:t>昼</w:t>
            </w:r>
            <w:r>
              <w:rPr>
                <w:rFonts w:hint="eastAsia"/>
                <w:color w:val="auto"/>
                <w:sz w:val="24"/>
                <w:szCs w:val="24"/>
                <w:lang w:eastAsia="zh-CN"/>
              </w:rPr>
              <w:t>间</w:t>
            </w:r>
            <w:r>
              <w:rPr>
                <w:rFonts w:eastAsia="宋体"/>
                <w:color w:val="auto"/>
                <w:sz w:val="24"/>
                <w:szCs w:val="24"/>
              </w:rPr>
              <w:t>噪声贡献值可达到《工业企业厂界环境噪声排放标准》（GB12348-2008）</w:t>
            </w:r>
            <w:r>
              <w:rPr>
                <w:rFonts w:hint="eastAsia"/>
                <w:color w:val="auto"/>
                <w:sz w:val="24"/>
                <w:szCs w:val="24"/>
                <w:lang w:val="en-US" w:eastAsia="zh-CN"/>
              </w:rPr>
              <w:t>3类</w:t>
            </w:r>
            <w:r>
              <w:rPr>
                <w:rFonts w:eastAsia="宋体"/>
                <w:color w:val="auto"/>
                <w:sz w:val="24"/>
                <w:szCs w:val="24"/>
              </w:rPr>
              <w:t>标准</w:t>
            </w:r>
            <w:r>
              <w:rPr>
                <w:rFonts w:hint="eastAsia"/>
                <w:color w:val="auto"/>
                <w:sz w:val="24"/>
                <w:szCs w:val="24"/>
                <w:lang w:eastAsia="zh-CN"/>
              </w:rPr>
              <w:t>。</w:t>
            </w:r>
          </w:p>
          <w:p w14:paraId="009A8837">
            <w:pPr>
              <w:pStyle w:val="11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ascii="Times New Roman" w:hAnsi="Times New Roman" w:cs="宋体"/>
                <w:b/>
                <w:bCs/>
                <w:color w:val="auto"/>
                <w:shd w:val="clear" w:color="auto" w:fill="auto"/>
              </w:rPr>
            </w:pPr>
            <w:r>
              <w:rPr>
                <w:rFonts w:hint="eastAsia" w:ascii="Times New Roman" w:hAnsi="Times New Roman" w:cs="宋体"/>
                <w:b/>
                <w:bCs/>
                <w:color w:val="auto"/>
                <w:shd w:val="clear" w:color="auto" w:fill="auto"/>
                <w:lang w:eastAsia="zh-CN"/>
              </w:rPr>
              <w:t>3.</w:t>
            </w:r>
            <w:r>
              <w:rPr>
                <w:rFonts w:hint="eastAsia" w:ascii="Times New Roman" w:hAnsi="Times New Roman" w:cs="宋体"/>
                <w:b/>
                <w:bCs/>
                <w:color w:val="auto"/>
                <w:shd w:val="clear" w:color="auto" w:fill="auto"/>
              </w:rPr>
              <w:t>监测要求</w:t>
            </w:r>
          </w:p>
          <w:p w14:paraId="453066B1">
            <w:pPr>
              <w:pStyle w:val="110"/>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s="宋体"/>
                <w:bCs/>
                <w:color w:val="auto"/>
                <w:sz w:val="24"/>
                <w:szCs w:val="24"/>
                <w:shd w:val="clear" w:color="auto" w:fill="auto"/>
              </w:rPr>
            </w:pPr>
            <w:r>
              <w:rPr>
                <w:rFonts w:hint="default" w:ascii="Times New Roman" w:hAnsi="Times New Roman" w:cs="Times New Roman"/>
                <w:color w:val="auto"/>
                <w:shd w:val="clear" w:color="auto" w:fill="auto"/>
              </w:rPr>
              <w:t>按</w:t>
            </w:r>
            <w:r>
              <w:rPr>
                <w:rFonts w:hint="default" w:ascii="Times New Roman" w:hAnsi="Times New Roman" w:eastAsia="宋体" w:cs="Times New Roman"/>
                <w:b w:val="0"/>
                <w:bCs w:val="0"/>
                <w:color w:val="auto"/>
                <w:sz w:val="24"/>
                <w:szCs w:val="24"/>
                <w:highlight w:val="none"/>
                <w:lang w:val="en-US" w:eastAsia="zh-CN"/>
              </w:rPr>
              <w:t>《排污许可证申请与核发技术规范 铁路、船舶、航空航天和其他运输设备制造业》（HJ 1124—2020）</w:t>
            </w:r>
            <w:r>
              <w:rPr>
                <w:rFonts w:hint="default" w:ascii="Times New Roman" w:hAnsi="Times New Roman" w:cs="Times New Roman"/>
                <w:color w:val="auto"/>
                <w:shd w:val="clear" w:color="auto" w:fill="auto"/>
              </w:rPr>
              <w:t>、《排污单位自行监测技术指南 总则》（HJ819-2017）的要求，提出项目在运营期的噪声监测计划</w:t>
            </w:r>
            <w:r>
              <w:rPr>
                <w:rFonts w:hint="eastAsia" w:ascii="Times New Roman" w:hAnsi="Times New Roman" w:cs="宋体"/>
                <w:color w:val="auto"/>
                <w:shd w:val="clear" w:color="auto" w:fill="auto"/>
              </w:rPr>
              <w:t>，详见下表4</w:t>
            </w:r>
            <w:r>
              <w:rPr>
                <w:rFonts w:hint="eastAsia" w:ascii="Times New Roman" w:hAnsi="Times New Roman" w:cs="宋体"/>
                <w:color w:val="auto"/>
                <w:shd w:val="clear" w:color="auto" w:fill="auto"/>
                <w:lang w:val="en-US" w:eastAsia="zh-CN"/>
              </w:rPr>
              <w:t>-21</w:t>
            </w:r>
            <w:r>
              <w:rPr>
                <w:rFonts w:hint="eastAsia" w:ascii="Times New Roman" w:hAnsi="Times New Roman" w:cs="宋体"/>
                <w:color w:val="auto"/>
                <w:shd w:val="clear" w:color="auto" w:fill="auto"/>
              </w:rPr>
              <w:t>。</w:t>
            </w:r>
            <w:bookmarkStart w:id="20" w:name="_Toc16170"/>
          </w:p>
          <w:p w14:paraId="6ED4B5FF">
            <w:pPr>
              <w:pStyle w:val="106"/>
              <w:keepNext/>
              <w:keepLines/>
              <w:pageBreakBefore w:val="0"/>
              <w:widowControl w:val="0"/>
              <w:kinsoku/>
              <w:wordWrap/>
              <w:overflowPunct/>
              <w:topLinePunct w:val="0"/>
              <w:autoSpaceDE/>
              <w:autoSpaceDN/>
              <w:bidi w:val="0"/>
              <w:adjustRightInd w:val="0"/>
              <w:snapToGrid w:val="0"/>
              <w:spacing w:before="0" w:line="500" w:lineRule="exact"/>
              <w:ind w:firstLine="482" w:firstLineChars="200"/>
              <w:jc w:val="center"/>
              <w:textAlignment w:val="auto"/>
              <w:outlineLvl w:val="9"/>
              <w:rPr>
                <w:rFonts w:cs="宋体"/>
                <w:bCs/>
                <w:color w:val="auto"/>
                <w:sz w:val="24"/>
                <w:szCs w:val="24"/>
                <w:shd w:val="clear" w:color="auto" w:fill="auto"/>
              </w:rPr>
            </w:pPr>
            <w:r>
              <w:rPr>
                <w:rFonts w:hint="eastAsia" w:cs="宋体"/>
                <w:bCs/>
                <w:color w:val="auto"/>
                <w:sz w:val="24"/>
                <w:szCs w:val="24"/>
                <w:shd w:val="clear" w:color="auto" w:fill="auto"/>
              </w:rPr>
              <w:t>表4-</w:t>
            </w:r>
            <w:r>
              <w:rPr>
                <w:rFonts w:hint="eastAsia" w:cs="宋体"/>
                <w:bCs/>
                <w:color w:val="auto"/>
                <w:sz w:val="24"/>
                <w:szCs w:val="24"/>
                <w:shd w:val="clear" w:color="auto" w:fill="auto"/>
                <w:lang w:val="en-US" w:eastAsia="zh-CN"/>
              </w:rPr>
              <w:t xml:space="preserve">21 </w:t>
            </w:r>
            <w:r>
              <w:rPr>
                <w:rFonts w:hint="eastAsia" w:cs="宋体"/>
                <w:bCs/>
                <w:color w:val="auto"/>
                <w:sz w:val="24"/>
                <w:szCs w:val="24"/>
                <w:shd w:val="clear" w:color="auto" w:fill="auto"/>
              </w:rPr>
              <w:t>厂界环境噪声监测方案</w:t>
            </w:r>
            <w:bookmarkEnd w:id="20"/>
          </w:p>
          <w:tbl>
            <w:tblPr>
              <w:tblStyle w:val="3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2"/>
              <w:gridCol w:w="1324"/>
              <w:gridCol w:w="1059"/>
              <w:gridCol w:w="3357"/>
            </w:tblGrid>
            <w:tr w14:paraId="2749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23" w:type="pct"/>
                  <w:vAlign w:val="center"/>
                </w:tcPr>
                <w:p w14:paraId="6A17EEA2">
                  <w:pPr>
                    <w:pStyle w:val="106"/>
                    <w:keepNext/>
                    <w:keepLines/>
                    <w:adjustRightInd w:val="0"/>
                    <w:snapToGrid w:val="0"/>
                    <w:spacing w:before="0" w:line="240" w:lineRule="auto"/>
                    <w:jc w:val="center"/>
                    <w:outlineLvl w:val="9"/>
                    <w:rPr>
                      <w:rFonts w:cs="宋体"/>
                      <w:b w:val="0"/>
                      <w:color w:val="auto"/>
                      <w:sz w:val="21"/>
                      <w:szCs w:val="21"/>
                      <w:shd w:val="clear" w:color="auto" w:fill="auto"/>
                    </w:rPr>
                  </w:pPr>
                  <w:bookmarkStart w:id="21" w:name="_Toc18963"/>
                  <w:bookmarkStart w:id="22" w:name="_Toc15011"/>
                  <w:r>
                    <w:rPr>
                      <w:rFonts w:hint="eastAsia" w:cs="宋体"/>
                      <w:b w:val="0"/>
                      <w:color w:val="auto"/>
                      <w:sz w:val="21"/>
                      <w:szCs w:val="21"/>
                      <w:shd w:val="clear" w:color="auto" w:fill="auto"/>
                    </w:rPr>
                    <w:t>监测点位</w:t>
                  </w:r>
                  <w:bookmarkEnd w:id="21"/>
                  <w:bookmarkEnd w:id="22"/>
                </w:p>
              </w:tc>
              <w:tc>
                <w:tcPr>
                  <w:tcW w:w="894" w:type="pct"/>
                  <w:vAlign w:val="center"/>
                </w:tcPr>
                <w:p w14:paraId="7317D7AE">
                  <w:pPr>
                    <w:pStyle w:val="106"/>
                    <w:keepNext/>
                    <w:keepLines/>
                    <w:adjustRightInd w:val="0"/>
                    <w:snapToGrid w:val="0"/>
                    <w:spacing w:before="0" w:line="240" w:lineRule="auto"/>
                    <w:jc w:val="center"/>
                    <w:outlineLvl w:val="9"/>
                    <w:rPr>
                      <w:rFonts w:cs="宋体"/>
                      <w:b w:val="0"/>
                      <w:color w:val="auto"/>
                      <w:sz w:val="21"/>
                      <w:szCs w:val="21"/>
                      <w:shd w:val="clear" w:color="auto" w:fill="auto"/>
                    </w:rPr>
                  </w:pPr>
                  <w:bookmarkStart w:id="23" w:name="_Toc23051"/>
                  <w:bookmarkStart w:id="24" w:name="_Toc5084"/>
                  <w:r>
                    <w:rPr>
                      <w:rFonts w:hint="eastAsia" w:cs="宋体"/>
                      <w:b w:val="0"/>
                      <w:color w:val="auto"/>
                      <w:sz w:val="21"/>
                      <w:szCs w:val="21"/>
                      <w:shd w:val="clear" w:color="auto" w:fill="auto"/>
                    </w:rPr>
                    <w:t>监测指标</w:t>
                  </w:r>
                  <w:bookmarkEnd w:id="23"/>
                  <w:bookmarkEnd w:id="24"/>
                </w:p>
              </w:tc>
              <w:tc>
                <w:tcPr>
                  <w:tcW w:w="715" w:type="pct"/>
                  <w:vAlign w:val="center"/>
                </w:tcPr>
                <w:p w14:paraId="78A0FE93">
                  <w:pPr>
                    <w:pStyle w:val="106"/>
                    <w:keepNext/>
                    <w:keepLines/>
                    <w:adjustRightInd w:val="0"/>
                    <w:snapToGrid w:val="0"/>
                    <w:spacing w:before="0" w:line="240" w:lineRule="auto"/>
                    <w:jc w:val="center"/>
                    <w:outlineLvl w:val="9"/>
                    <w:rPr>
                      <w:rFonts w:cs="宋体"/>
                      <w:b w:val="0"/>
                      <w:color w:val="auto"/>
                      <w:sz w:val="21"/>
                      <w:szCs w:val="21"/>
                      <w:shd w:val="clear" w:color="auto" w:fill="auto"/>
                    </w:rPr>
                  </w:pPr>
                  <w:bookmarkStart w:id="25" w:name="_Toc9747"/>
                  <w:bookmarkStart w:id="26" w:name="_Toc9036"/>
                  <w:r>
                    <w:rPr>
                      <w:rFonts w:hint="eastAsia" w:cs="宋体"/>
                      <w:b w:val="0"/>
                      <w:color w:val="auto"/>
                      <w:sz w:val="21"/>
                      <w:szCs w:val="21"/>
                      <w:shd w:val="clear" w:color="auto" w:fill="auto"/>
                    </w:rPr>
                    <w:t>监测频次</w:t>
                  </w:r>
                  <w:bookmarkEnd w:id="25"/>
                  <w:bookmarkEnd w:id="26"/>
                </w:p>
              </w:tc>
              <w:tc>
                <w:tcPr>
                  <w:tcW w:w="2267" w:type="pct"/>
                  <w:vAlign w:val="center"/>
                </w:tcPr>
                <w:p w14:paraId="10B12C6D">
                  <w:pPr>
                    <w:pStyle w:val="106"/>
                    <w:keepNext/>
                    <w:keepLines/>
                    <w:adjustRightInd w:val="0"/>
                    <w:snapToGrid w:val="0"/>
                    <w:spacing w:before="0" w:line="240" w:lineRule="auto"/>
                    <w:jc w:val="center"/>
                    <w:outlineLvl w:val="9"/>
                    <w:rPr>
                      <w:rFonts w:cs="宋体"/>
                      <w:b w:val="0"/>
                      <w:color w:val="auto"/>
                      <w:sz w:val="21"/>
                      <w:szCs w:val="21"/>
                      <w:shd w:val="clear" w:color="auto" w:fill="auto"/>
                    </w:rPr>
                  </w:pPr>
                  <w:bookmarkStart w:id="27" w:name="_Toc10089"/>
                  <w:bookmarkStart w:id="28" w:name="_Toc31309"/>
                  <w:r>
                    <w:rPr>
                      <w:rFonts w:hint="eastAsia" w:cs="宋体"/>
                      <w:b w:val="0"/>
                      <w:color w:val="auto"/>
                      <w:sz w:val="21"/>
                      <w:szCs w:val="21"/>
                      <w:shd w:val="clear" w:color="auto" w:fill="auto"/>
                    </w:rPr>
                    <w:t>执行排放标准</w:t>
                  </w:r>
                  <w:bookmarkEnd w:id="27"/>
                  <w:bookmarkEnd w:id="28"/>
                </w:p>
              </w:tc>
            </w:tr>
            <w:tr w14:paraId="4742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123" w:type="pct"/>
                  <w:vAlign w:val="center"/>
                </w:tcPr>
                <w:p w14:paraId="7D8C9500">
                  <w:pPr>
                    <w:pStyle w:val="106"/>
                    <w:keepNext/>
                    <w:keepLines/>
                    <w:adjustRightInd w:val="0"/>
                    <w:snapToGrid w:val="0"/>
                    <w:spacing w:before="0" w:line="240" w:lineRule="auto"/>
                    <w:jc w:val="center"/>
                    <w:outlineLvl w:val="9"/>
                    <w:rPr>
                      <w:rFonts w:cs="宋体"/>
                      <w:b w:val="0"/>
                      <w:color w:val="auto"/>
                      <w:sz w:val="21"/>
                      <w:szCs w:val="21"/>
                      <w:shd w:val="clear" w:color="auto" w:fill="auto"/>
                    </w:rPr>
                  </w:pPr>
                  <w:bookmarkStart w:id="29" w:name="_Toc22420"/>
                  <w:bookmarkStart w:id="30" w:name="_Toc8552"/>
                  <w:r>
                    <w:rPr>
                      <w:rFonts w:hint="eastAsia" w:cs="宋体"/>
                      <w:b w:val="0"/>
                      <w:color w:val="auto"/>
                      <w:sz w:val="21"/>
                      <w:szCs w:val="21"/>
                      <w:shd w:val="clear" w:color="auto" w:fill="auto"/>
                    </w:rPr>
                    <w:t>四周厂界外1m、高度1.2m以上</w:t>
                  </w:r>
                  <w:bookmarkEnd w:id="29"/>
                  <w:bookmarkEnd w:id="30"/>
                </w:p>
              </w:tc>
              <w:tc>
                <w:tcPr>
                  <w:tcW w:w="894" w:type="pct"/>
                  <w:vAlign w:val="center"/>
                </w:tcPr>
                <w:p w14:paraId="2A5DF873">
                  <w:pPr>
                    <w:pStyle w:val="106"/>
                    <w:keepNext/>
                    <w:keepLines/>
                    <w:adjustRightInd w:val="0"/>
                    <w:snapToGrid w:val="0"/>
                    <w:spacing w:before="0" w:line="240" w:lineRule="auto"/>
                    <w:jc w:val="center"/>
                    <w:outlineLvl w:val="9"/>
                    <w:rPr>
                      <w:rFonts w:cs="宋体"/>
                      <w:b w:val="0"/>
                      <w:color w:val="auto"/>
                      <w:sz w:val="21"/>
                      <w:szCs w:val="21"/>
                      <w:shd w:val="clear" w:color="auto" w:fill="auto"/>
                    </w:rPr>
                  </w:pPr>
                  <w:bookmarkStart w:id="31" w:name="_Toc16896"/>
                  <w:bookmarkStart w:id="32" w:name="_Toc6769"/>
                  <w:r>
                    <w:rPr>
                      <w:rFonts w:hint="eastAsia" w:cs="宋体"/>
                      <w:b w:val="0"/>
                      <w:color w:val="auto"/>
                      <w:sz w:val="21"/>
                      <w:szCs w:val="21"/>
                      <w:shd w:val="clear" w:color="auto" w:fill="auto"/>
                    </w:rPr>
                    <w:t>等效声级</w:t>
                  </w:r>
                  <w:bookmarkEnd w:id="31"/>
                  <w:bookmarkEnd w:id="32"/>
                </w:p>
              </w:tc>
              <w:tc>
                <w:tcPr>
                  <w:tcW w:w="715" w:type="pct"/>
                  <w:vAlign w:val="center"/>
                </w:tcPr>
                <w:p w14:paraId="502E9403">
                  <w:pPr>
                    <w:pStyle w:val="106"/>
                    <w:keepNext/>
                    <w:keepLines/>
                    <w:adjustRightInd w:val="0"/>
                    <w:snapToGrid w:val="0"/>
                    <w:spacing w:before="0" w:line="240" w:lineRule="auto"/>
                    <w:jc w:val="center"/>
                    <w:outlineLvl w:val="9"/>
                    <w:rPr>
                      <w:rFonts w:cs="宋体"/>
                      <w:b w:val="0"/>
                      <w:color w:val="auto"/>
                      <w:sz w:val="21"/>
                      <w:szCs w:val="21"/>
                      <w:shd w:val="clear" w:color="auto" w:fill="auto"/>
                    </w:rPr>
                  </w:pPr>
                  <w:bookmarkStart w:id="33" w:name="_Toc12201"/>
                  <w:bookmarkStart w:id="34" w:name="_Toc19515"/>
                  <w:r>
                    <w:rPr>
                      <w:rFonts w:hint="eastAsia" w:cs="宋体"/>
                      <w:b w:val="0"/>
                      <w:color w:val="auto"/>
                      <w:sz w:val="21"/>
                      <w:szCs w:val="21"/>
                      <w:shd w:val="clear" w:color="auto" w:fill="auto"/>
                    </w:rPr>
                    <w:t>1次/季度</w:t>
                  </w:r>
                  <w:bookmarkEnd w:id="33"/>
                  <w:bookmarkEnd w:id="34"/>
                </w:p>
              </w:tc>
              <w:tc>
                <w:tcPr>
                  <w:tcW w:w="2267" w:type="pct"/>
                  <w:vAlign w:val="center"/>
                </w:tcPr>
                <w:p w14:paraId="4C5A56D1">
                  <w:pPr>
                    <w:pStyle w:val="106"/>
                    <w:keepNext/>
                    <w:keepLines/>
                    <w:adjustRightInd w:val="0"/>
                    <w:snapToGrid w:val="0"/>
                    <w:spacing w:before="0" w:line="240" w:lineRule="auto"/>
                    <w:jc w:val="both"/>
                    <w:outlineLvl w:val="9"/>
                    <w:rPr>
                      <w:rFonts w:cs="宋体"/>
                      <w:b w:val="0"/>
                      <w:color w:val="auto"/>
                      <w:sz w:val="21"/>
                      <w:szCs w:val="21"/>
                      <w:shd w:val="clear" w:color="auto" w:fill="auto"/>
                    </w:rPr>
                  </w:pPr>
                  <w:r>
                    <w:rPr>
                      <w:rFonts w:hint="eastAsia" w:cs="宋体"/>
                      <w:b w:val="0"/>
                      <w:color w:val="auto"/>
                      <w:sz w:val="21"/>
                      <w:shd w:val="clear" w:color="auto" w:fill="auto"/>
                      <w:lang w:val="en-US" w:eastAsia="zh-CN"/>
                    </w:rPr>
                    <w:t>各厂界</w:t>
                  </w:r>
                  <w:r>
                    <w:rPr>
                      <w:rFonts w:hint="eastAsia" w:cs="宋体"/>
                      <w:b w:val="0"/>
                      <w:color w:val="auto"/>
                      <w:sz w:val="21"/>
                      <w:shd w:val="clear" w:color="auto" w:fill="auto"/>
                    </w:rPr>
                    <w:t>执行</w:t>
                  </w:r>
                  <w:r>
                    <w:rPr>
                      <w:rFonts w:cs="宋体"/>
                      <w:b w:val="0"/>
                      <w:color w:val="auto"/>
                      <w:sz w:val="21"/>
                      <w:shd w:val="clear" w:color="auto" w:fill="auto"/>
                    </w:rPr>
                    <w:t>《工业企业厂界</w:t>
                  </w:r>
                  <w:r>
                    <w:rPr>
                      <w:rFonts w:hint="eastAsia" w:cs="宋体"/>
                      <w:b w:val="0"/>
                      <w:color w:val="auto"/>
                      <w:sz w:val="21"/>
                      <w:shd w:val="clear" w:color="auto" w:fill="auto"/>
                    </w:rPr>
                    <w:t>环境</w:t>
                  </w:r>
                  <w:r>
                    <w:rPr>
                      <w:rFonts w:cs="宋体"/>
                      <w:b w:val="0"/>
                      <w:color w:val="auto"/>
                      <w:sz w:val="21"/>
                      <w:shd w:val="clear" w:color="auto" w:fill="auto"/>
                    </w:rPr>
                    <w:t>噪声排放标准》（GB12348-2008）</w:t>
                  </w:r>
                  <w:r>
                    <w:rPr>
                      <w:rFonts w:hint="eastAsia" w:cs="宋体"/>
                      <w:b w:val="0"/>
                      <w:color w:val="auto"/>
                      <w:sz w:val="21"/>
                      <w:shd w:val="clear" w:color="auto" w:fill="auto"/>
                      <w:lang w:val="en-US" w:eastAsia="zh-CN"/>
                    </w:rPr>
                    <w:t>3</w:t>
                  </w:r>
                  <w:r>
                    <w:rPr>
                      <w:rFonts w:cs="宋体"/>
                      <w:b w:val="0"/>
                      <w:color w:val="auto"/>
                      <w:sz w:val="21"/>
                      <w:shd w:val="clear" w:color="auto" w:fill="auto"/>
                    </w:rPr>
                    <w:t>类标准</w:t>
                  </w:r>
                  <w:r>
                    <w:rPr>
                      <w:rFonts w:hint="eastAsia" w:cs="宋体"/>
                      <w:b w:val="0"/>
                      <w:color w:val="auto"/>
                      <w:sz w:val="21"/>
                      <w:shd w:val="clear" w:color="auto" w:fill="auto"/>
                    </w:rPr>
                    <w:t>。</w:t>
                  </w:r>
                </w:p>
              </w:tc>
            </w:tr>
          </w:tbl>
          <w:p w14:paraId="2D49870C">
            <w:pPr>
              <w:keepLines w:val="0"/>
              <w:pageBreakBefore w:val="0"/>
              <w:kinsoku/>
              <w:wordWrap/>
              <w:topLinePunct w:val="0"/>
              <w:autoSpaceDE/>
              <w:autoSpaceDN/>
              <w:bidi w:val="0"/>
              <w:adjustRightInd w:val="0"/>
              <w:snapToGrid w:val="0"/>
              <w:spacing w:line="500" w:lineRule="exact"/>
              <w:ind w:left="0" w:leftChars="0" w:right="0" w:firstLine="482" w:firstLineChars="200"/>
              <w:jc w:val="both"/>
              <w:textAlignment w:val="auto"/>
              <w:rPr>
                <w:rFonts w:hint="eastAsia" w:ascii="Times New Roman" w:hAnsi="Times New Roman" w:eastAsia="宋体"/>
                <w:b/>
                <w:bCs/>
                <w:color w:val="auto"/>
                <w:sz w:val="24"/>
                <w:szCs w:val="24"/>
                <w:lang w:val="en-US" w:eastAsia="zh-CN"/>
              </w:rPr>
            </w:pPr>
            <w:r>
              <w:rPr>
                <w:rFonts w:hint="eastAsia"/>
                <w:b/>
                <w:bCs/>
                <w:color w:val="auto"/>
                <w:sz w:val="24"/>
                <w:szCs w:val="24"/>
                <w:lang w:val="en-US" w:eastAsia="zh-CN"/>
              </w:rPr>
              <w:t>四</w:t>
            </w:r>
            <w:r>
              <w:rPr>
                <w:rFonts w:hint="eastAsia" w:ascii="Times New Roman" w:hAnsi="Times New Roman"/>
                <w:b/>
                <w:bCs/>
                <w:color w:val="auto"/>
                <w:sz w:val="24"/>
                <w:szCs w:val="24"/>
                <w:lang w:val="en-US" w:eastAsia="zh-CN"/>
              </w:rPr>
              <w:t>、固体废物</w:t>
            </w:r>
          </w:p>
          <w:p w14:paraId="2480EDF2">
            <w:pPr>
              <w:keepLines w:val="0"/>
              <w:pageBreakBefore w:val="0"/>
              <w:kinsoku/>
              <w:wordWrap/>
              <w:topLinePunct w:val="0"/>
              <w:autoSpaceDE/>
              <w:autoSpaceDN/>
              <w:bidi w:val="0"/>
              <w:adjustRightInd w:val="0"/>
              <w:snapToGrid w:val="0"/>
              <w:spacing w:line="500" w:lineRule="exact"/>
              <w:ind w:left="0" w:leftChars="0" w:right="0" w:firstLine="480" w:firstLineChars="200"/>
              <w:jc w:val="both"/>
              <w:textAlignment w:val="auto"/>
              <w:rPr>
                <w:rFonts w:hint="default" w:eastAsia="宋体" w:cs="宋体"/>
                <w:color w:val="auto"/>
                <w:sz w:val="24"/>
                <w:szCs w:val="24"/>
                <w:lang w:val="en-US" w:eastAsia="zh-CN"/>
              </w:rPr>
            </w:pPr>
            <w:r>
              <w:rPr>
                <w:rFonts w:cs="宋体"/>
                <w:color w:val="auto"/>
                <w:sz w:val="24"/>
                <w:szCs w:val="24"/>
              </w:rPr>
              <w:t>①</w:t>
            </w:r>
            <w:r>
              <w:rPr>
                <w:rFonts w:hint="eastAsia" w:cs="宋体"/>
                <w:color w:val="auto"/>
                <w:sz w:val="24"/>
                <w:szCs w:val="24"/>
                <w:lang w:val="en-US" w:eastAsia="zh-CN"/>
              </w:rPr>
              <w:t>金属碎屑及边角料</w:t>
            </w:r>
          </w:p>
          <w:p w14:paraId="0ACBF230">
            <w:pPr>
              <w:keepLines w:val="0"/>
              <w:pageBreakBefore w:val="0"/>
              <w:kinsoku/>
              <w:wordWrap/>
              <w:topLinePunct w:val="0"/>
              <w:autoSpaceDE/>
              <w:autoSpaceDN/>
              <w:bidi w:val="0"/>
              <w:adjustRightInd w:val="0"/>
              <w:snapToGrid w:val="0"/>
              <w:spacing w:line="500" w:lineRule="exact"/>
              <w:ind w:left="0" w:leftChars="0" w:right="0" w:firstLine="480" w:firstLineChars="200"/>
              <w:jc w:val="both"/>
              <w:textAlignment w:val="auto"/>
              <w:rPr>
                <w:rFonts w:cs="宋体"/>
                <w:color w:val="auto"/>
                <w:sz w:val="24"/>
                <w:szCs w:val="24"/>
              </w:rPr>
            </w:pPr>
            <w:r>
              <w:rPr>
                <w:rFonts w:hint="eastAsia"/>
                <w:color w:val="auto"/>
                <w:sz w:val="24"/>
                <w:szCs w:val="24"/>
              </w:rPr>
              <w:t>本项目</w:t>
            </w:r>
            <w:r>
              <w:rPr>
                <w:rFonts w:hint="eastAsia"/>
                <w:color w:val="auto"/>
                <w:sz w:val="24"/>
                <w:szCs w:val="24"/>
                <w:lang w:val="en-US" w:eastAsia="zh-CN"/>
              </w:rPr>
              <w:t>下料、</w:t>
            </w:r>
            <w:r>
              <w:rPr>
                <w:rFonts w:hint="eastAsia"/>
                <w:color w:val="auto"/>
                <w:sz w:val="24"/>
                <w:szCs w:val="24"/>
              </w:rPr>
              <w:t>机加工过程会产生金属碎屑</w:t>
            </w:r>
            <w:r>
              <w:rPr>
                <w:rFonts w:hint="eastAsia"/>
                <w:color w:val="auto"/>
                <w:sz w:val="24"/>
                <w:szCs w:val="24"/>
                <w:lang w:val="en-US" w:eastAsia="zh-CN"/>
              </w:rPr>
              <w:t>及边角料</w:t>
            </w:r>
            <w:r>
              <w:rPr>
                <w:rFonts w:hint="eastAsia"/>
                <w:color w:val="auto"/>
                <w:sz w:val="24"/>
                <w:szCs w:val="24"/>
              </w:rPr>
              <w:t>，根据建设单位提供信息，金属碎屑</w:t>
            </w:r>
            <w:r>
              <w:rPr>
                <w:rFonts w:hint="eastAsia"/>
                <w:color w:val="auto"/>
                <w:sz w:val="24"/>
                <w:szCs w:val="24"/>
                <w:lang w:val="en-US" w:eastAsia="zh-CN"/>
              </w:rPr>
              <w:t>及边角料</w:t>
            </w:r>
            <w:r>
              <w:rPr>
                <w:rFonts w:hint="eastAsia"/>
                <w:color w:val="auto"/>
                <w:sz w:val="24"/>
                <w:szCs w:val="24"/>
              </w:rPr>
              <w:t>产生量约为</w:t>
            </w:r>
            <w:r>
              <w:rPr>
                <w:rFonts w:hint="eastAsia"/>
                <w:color w:val="auto"/>
                <w:sz w:val="24"/>
                <w:szCs w:val="24"/>
                <w:lang w:val="en-US" w:eastAsia="zh-CN"/>
              </w:rPr>
              <w:t>70</w:t>
            </w:r>
            <w:r>
              <w:rPr>
                <w:rFonts w:hint="eastAsia"/>
                <w:color w:val="auto"/>
                <w:sz w:val="24"/>
                <w:szCs w:val="24"/>
              </w:rPr>
              <w:t>t/a，存于一般固废暂存间，定期收集外售处理</w:t>
            </w:r>
            <w:r>
              <w:rPr>
                <w:rFonts w:cs="宋体"/>
                <w:color w:val="auto"/>
                <w:sz w:val="24"/>
                <w:szCs w:val="24"/>
              </w:rPr>
              <w:t>。</w:t>
            </w:r>
          </w:p>
          <w:p w14:paraId="247E5536">
            <w:pPr>
              <w:keepLines w:val="0"/>
              <w:pageBreakBefore w:val="0"/>
              <w:kinsoku/>
              <w:wordWrap/>
              <w:topLinePunct w:val="0"/>
              <w:autoSpaceDE/>
              <w:autoSpaceDN/>
              <w:bidi w:val="0"/>
              <w:adjustRightInd w:val="0"/>
              <w:snapToGrid w:val="0"/>
              <w:spacing w:line="500" w:lineRule="exact"/>
              <w:ind w:left="0" w:leftChars="0" w:right="0" w:firstLine="480" w:firstLineChars="200"/>
              <w:jc w:val="both"/>
              <w:textAlignment w:val="auto"/>
              <w:rPr>
                <w:rFonts w:hint="eastAsia" w:eastAsia="宋体" w:cs="宋体"/>
                <w:color w:val="auto"/>
                <w:sz w:val="24"/>
                <w:szCs w:val="24"/>
                <w:lang w:val="en-US" w:eastAsia="zh-CN"/>
              </w:rPr>
            </w:pPr>
            <w:r>
              <w:rPr>
                <w:rFonts w:cs="宋体"/>
                <w:color w:val="auto"/>
                <w:sz w:val="24"/>
                <w:szCs w:val="24"/>
              </w:rPr>
              <w:t>②</w:t>
            </w:r>
            <w:r>
              <w:rPr>
                <w:rFonts w:hint="eastAsia" w:cs="宋体"/>
                <w:color w:val="auto"/>
                <w:sz w:val="24"/>
                <w:szCs w:val="24"/>
                <w:lang w:val="en-US" w:eastAsia="zh-CN"/>
              </w:rPr>
              <w:t>焊渣</w:t>
            </w:r>
          </w:p>
          <w:p w14:paraId="7F38A319">
            <w:pPr>
              <w:keepLines w:val="0"/>
              <w:pageBreakBefore w:val="0"/>
              <w:kinsoku/>
              <w:wordWrap/>
              <w:topLinePunct w:val="0"/>
              <w:autoSpaceDE/>
              <w:autoSpaceDN/>
              <w:bidi w:val="0"/>
              <w:adjustRightInd w:val="0"/>
              <w:snapToGrid w:val="0"/>
              <w:spacing w:line="500" w:lineRule="exact"/>
              <w:ind w:left="0" w:leftChars="0" w:right="0" w:firstLine="480" w:firstLineChars="200"/>
              <w:jc w:val="both"/>
              <w:textAlignment w:val="auto"/>
              <w:rPr>
                <w:rFonts w:cs="宋体"/>
                <w:color w:val="auto"/>
                <w:sz w:val="24"/>
                <w:szCs w:val="24"/>
              </w:rPr>
            </w:pPr>
            <w:r>
              <w:rPr>
                <w:rFonts w:hint="default" w:ascii="Times New Roman" w:hAnsi="Times New Roman" w:eastAsia="宋体" w:cs="Times New Roman"/>
                <w:b w:val="0"/>
                <w:bCs w:val="0"/>
                <w:snapToGrid w:val="0"/>
                <w:color w:val="auto"/>
                <w:sz w:val="24"/>
                <w:szCs w:val="24"/>
                <w:lang w:val="en-US" w:eastAsia="zh-CN"/>
              </w:rPr>
              <w:t>项目焊接过程会产生焊渣，根据建设单位提供信息，本项目产生焊渣量约为</w:t>
            </w:r>
            <w:r>
              <w:rPr>
                <w:rFonts w:hint="eastAsia" w:ascii="Times New Roman" w:hAnsi="Times New Roman" w:cs="Times New Roman"/>
                <w:b w:val="0"/>
                <w:bCs w:val="0"/>
                <w:snapToGrid w:val="0"/>
                <w:color w:val="auto"/>
                <w:sz w:val="24"/>
                <w:szCs w:val="24"/>
                <w:lang w:val="en-US" w:eastAsia="zh-CN"/>
              </w:rPr>
              <w:t>2</w:t>
            </w:r>
            <w:r>
              <w:rPr>
                <w:rFonts w:hint="default" w:ascii="Times New Roman" w:hAnsi="Times New Roman" w:eastAsia="宋体" w:cs="Times New Roman"/>
                <w:b w:val="0"/>
                <w:bCs w:val="0"/>
                <w:snapToGrid w:val="0"/>
                <w:color w:val="auto"/>
                <w:sz w:val="24"/>
                <w:szCs w:val="24"/>
                <w:lang w:val="en-US" w:eastAsia="zh-CN"/>
              </w:rPr>
              <w:t>t/a，焊渣暂存于一般固废暂存间，定期外售处理</w:t>
            </w:r>
            <w:r>
              <w:rPr>
                <w:rFonts w:hint="eastAsia" w:ascii="Times New Roman" w:hAnsi="Times New Roman" w:cs="Times New Roman"/>
                <w:b w:val="0"/>
                <w:bCs w:val="0"/>
                <w:snapToGrid w:val="0"/>
                <w:color w:val="auto"/>
                <w:sz w:val="24"/>
                <w:szCs w:val="24"/>
                <w:lang w:val="en-US" w:eastAsia="zh-CN"/>
              </w:rPr>
              <w:t>。</w:t>
            </w:r>
          </w:p>
          <w:p w14:paraId="5B9BAB97">
            <w:pPr>
              <w:keepLines w:val="0"/>
              <w:pageBreakBefore w:val="0"/>
              <w:kinsoku/>
              <w:wordWrap/>
              <w:topLinePunct w:val="0"/>
              <w:autoSpaceDE/>
              <w:autoSpaceDN/>
              <w:bidi w:val="0"/>
              <w:adjustRightInd w:val="0"/>
              <w:snapToGrid w:val="0"/>
              <w:spacing w:line="500" w:lineRule="exact"/>
              <w:ind w:left="0" w:leftChars="0" w:right="0" w:firstLine="480" w:firstLineChars="200"/>
              <w:jc w:val="both"/>
              <w:textAlignment w:val="auto"/>
              <w:rPr>
                <w:rFonts w:hint="default" w:eastAsia="宋体" w:cs="宋体"/>
                <w:color w:val="auto"/>
                <w:sz w:val="24"/>
                <w:szCs w:val="24"/>
                <w:lang w:val="en-US" w:eastAsia="zh-CN"/>
              </w:rPr>
            </w:pPr>
            <w:r>
              <w:rPr>
                <w:rFonts w:hint="eastAsia" w:cs="宋体"/>
                <w:color w:val="auto"/>
                <w:sz w:val="24"/>
                <w:szCs w:val="24"/>
                <w:lang w:val="en-US" w:eastAsia="zh-CN"/>
              </w:rPr>
              <w:t>③废化学品包装物</w:t>
            </w:r>
          </w:p>
          <w:p w14:paraId="7B99C595">
            <w:pPr>
              <w:keepLines w:val="0"/>
              <w:pageBreakBefore w:val="0"/>
              <w:kinsoku/>
              <w:wordWrap/>
              <w:topLinePunct w:val="0"/>
              <w:autoSpaceDE/>
              <w:autoSpaceDN/>
              <w:bidi w:val="0"/>
              <w:adjustRightInd w:val="0"/>
              <w:snapToGrid w:val="0"/>
              <w:spacing w:line="500" w:lineRule="exact"/>
              <w:ind w:left="0" w:leftChars="0" w:right="0" w:firstLine="480" w:firstLineChars="200"/>
              <w:jc w:val="both"/>
              <w:textAlignment w:val="auto"/>
              <w:rPr>
                <w:rFonts w:hint="eastAsia" w:cs="宋体"/>
                <w:color w:val="auto"/>
                <w:sz w:val="24"/>
                <w:szCs w:val="24"/>
              </w:rPr>
            </w:pPr>
            <w:r>
              <w:rPr>
                <w:rFonts w:hint="eastAsia"/>
                <w:color w:val="auto"/>
                <w:sz w:val="24"/>
                <w:highlight w:val="none"/>
                <w:u w:val="none"/>
                <w:lang w:val="en-US" w:eastAsia="zh-CN"/>
              </w:rPr>
              <w:t>本项目使用脱脂剂、磷化液、电泳涂料等包装物，根据建设单位提供信息，</w:t>
            </w:r>
            <w:r>
              <w:rPr>
                <w:rFonts w:hint="eastAsia"/>
                <w:color w:val="auto"/>
                <w:sz w:val="24"/>
                <w:highlight w:val="none"/>
                <w:u w:val="none"/>
                <w:lang w:val="en-US" w:eastAsia="zh-CN"/>
              </w:rPr>
              <w:t>废化学品包装物</w:t>
            </w:r>
            <w:r>
              <w:rPr>
                <w:rFonts w:hint="eastAsia"/>
                <w:color w:val="auto"/>
                <w:sz w:val="24"/>
                <w:highlight w:val="none"/>
                <w:u w:val="none"/>
                <w:lang w:val="en-US" w:eastAsia="zh-CN"/>
              </w:rPr>
              <w:t>产生量约为2t/a，</w:t>
            </w:r>
            <w:r>
              <w:rPr>
                <w:rFonts w:hint="eastAsia"/>
                <w:color w:val="auto"/>
                <w:sz w:val="24"/>
                <w:highlight w:val="none"/>
                <w:u w:val="none"/>
                <w:shd w:val="clear" w:color="auto" w:fill="auto"/>
                <w:lang w:val="en-US" w:eastAsia="zh-CN"/>
              </w:rPr>
              <w:t>根据</w:t>
            </w:r>
            <w:r>
              <w:rPr>
                <w:color w:val="auto"/>
                <w:sz w:val="24"/>
                <w:highlight w:val="none"/>
                <w:u w:val="none"/>
                <w:shd w:val="clear" w:color="auto" w:fill="auto"/>
              </w:rPr>
              <w:t>《国家危险废物名录》（202</w:t>
            </w:r>
            <w:r>
              <w:rPr>
                <w:rFonts w:hint="eastAsia"/>
                <w:color w:val="auto"/>
                <w:sz w:val="24"/>
                <w:highlight w:val="none"/>
                <w:u w:val="none"/>
                <w:shd w:val="clear" w:color="auto" w:fill="auto"/>
                <w:lang w:val="en-US" w:eastAsia="zh-CN"/>
              </w:rPr>
              <w:t>5</w:t>
            </w:r>
            <w:r>
              <w:rPr>
                <w:color w:val="auto"/>
                <w:sz w:val="24"/>
                <w:highlight w:val="none"/>
                <w:u w:val="none"/>
                <w:shd w:val="clear" w:color="auto" w:fill="auto"/>
              </w:rPr>
              <w:t>年）HW</w:t>
            </w:r>
            <w:r>
              <w:rPr>
                <w:rFonts w:hint="eastAsia"/>
                <w:color w:val="auto"/>
                <w:sz w:val="24"/>
                <w:highlight w:val="none"/>
                <w:u w:val="none"/>
                <w:shd w:val="clear" w:color="auto" w:fill="auto"/>
                <w:lang w:val="en-US" w:eastAsia="zh-CN"/>
              </w:rPr>
              <w:t>49</w:t>
            </w:r>
            <w:r>
              <w:rPr>
                <w:rFonts w:hint="eastAsia"/>
                <w:color w:val="auto"/>
                <w:sz w:val="24"/>
                <w:highlight w:val="none"/>
                <w:u w:val="none"/>
                <w:shd w:val="clear" w:color="auto" w:fill="auto"/>
              </w:rPr>
              <w:t>其他废物，危废代码为</w:t>
            </w:r>
            <w:r>
              <w:rPr>
                <w:color w:val="auto"/>
                <w:sz w:val="24"/>
                <w:highlight w:val="none"/>
                <w:u w:val="none"/>
                <w:shd w:val="clear" w:color="auto" w:fill="auto"/>
              </w:rPr>
              <w:t>900-</w:t>
            </w:r>
            <w:r>
              <w:rPr>
                <w:rFonts w:hint="eastAsia"/>
                <w:color w:val="auto"/>
                <w:sz w:val="24"/>
                <w:highlight w:val="none"/>
                <w:u w:val="none"/>
                <w:shd w:val="clear" w:color="auto" w:fill="auto"/>
                <w:lang w:val="en-US" w:eastAsia="zh-CN"/>
              </w:rPr>
              <w:t>041</w:t>
            </w:r>
            <w:r>
              <w:rPr>
                <w:color w:val="auto"/>
                <w:sz w:val="24"/>
                <w:highlight w:val="none"/>
                <w:u w:val="none"/>
                <w:shd w:val="clear" w:color="auto" w:fill="auto"/>
              </w:rPr>
              <w:t>-</w:t>
            </w:r>
            <w:r>
              <w:rPr>
                <w:rFonts w:hint="eastAsia"/>
                <w:color w:val="auto"/>
                <w:sz w:val="24"/>
                <w:highlight w:val="none"/>
                <w:u w:val="none"/>
                <w:shd w:val="clear" w:color="auto" w:fill="auto"/>
                <w:lang w:val="en-US" w:eastAsia="zh-CN"/>
              </w:rPr>
              <w:t>49</w:t>
            </w:r>
            <w:r>
              <w:rPr>
                <w:color w:val="auto"/>
                <w:sz w:val="24"/>
                <w:highlight w:val="none"/>
                <w:u w:val="none"/>
                <w:shd w:val="clear" w:color="auto" w:fill="auto"/>
              </w:rPr>
              <w:t>：</w:t>
            </w:r>
            <w:r>
              <w:rPr>
                <w:rFonts w:hint="eastAsia"/>
                <w:color w:val="auto"/>
                <w:sz w:val="24"/>
                <w:highlight w:val="none"/>
                <w:u w:val="none"/>
                <w:shd w:val="clear" w:color="auto" w:fill="auto"/>
              </w:rPr>
              <w:t>含有或沾染毒性、感染性危险废物的废弃包装物、容器、过滤吸附介质</w:t>
            </w:r>
            <w:r>
              <w:rPr>
                <w:color w:val="auto"/>
                <w:sz w:val="24"/>
                <w:highlight w:val="none"/>
                <w:u w:val="none"/>
                <w:shd w:val="clear" w:color="auto" w:fill="auto"/>
              </w:rPr>
              <w:t>，</w:t>
            </w:r>
            <w:r>
              <w:rPr>
                <w:rFonts w:hint="eastAsia"/>
                <w:color w:val="auto"/>
                <w:sz w:val="24"/>
                <w:highlight w:val="none"/>
                <w:u w:val="none"/>
                <w:shd w:val="clear" w:color="auto" w:fill="auto"/>
                <w:lang w:eastAsia="zh-CN"/>
              </w:rPr>
              <w:t>应</w:t>
            </w:r>
            <w:r>
              <w:rPr>
                <w:color w:val="auto"/>
                <w:sz w:val="24"/>
                <w:highlight w:val="none"/>
                <w:u w:val="none"/>
                <w:shd w:val="clear" w:color="auto" w:fill="auto"/>
              </w:rPr>
              <w:t>按照危险废物处理</w:t>
            </w:r>
            <w:r>
              <w:rPr>
                <w:rFonts w:hint="eastAsia"/>
                <w:color w:val="auto"/>
                <w:sz w:val="24"/>
                <w:highlight w:val="none"/>
                <w:u w:val="none"/>
                <w:shd w:val="clear" w:color="auto" w:fill="auto"/>
                <w:lang w:eastAsia="zh-CN"/>
              </w:rPr>
              <w:t>；</w:t>
            </w:r>
            <w:r>
              <w:rPr>
                <w:rFonts w:hint="eastAsia"/>
                <w:color w:val="auto"/>
                <w:sz w:val="24"/>
                <w:highlight w:val="none"/>
                <w:u w:val="none"/>
                <w:lang w:val="en-US" w:eastAsia="zh-CN"/>
              </w:rPr>
              <w:t>废化学品包装物</w:t>
            </w:r>
            <w:r>
              <w:rPr>
                <w:rFonts w:hint="eastAsia"/>
                <w:color w:val="auto"/>
                <w:sz w:val="24"/>
                <w:highlight w:val="none"/>
                <w:u w:val="none"/>
                <w:shd w:val="clear" w:color="auto" w:fill="auto"/>
                <w:lang w:eastAsia="zh-CN"/>
              </w:rPr>
              <w:t>暂存于危险废物暂存间内，定期交由</w:t>
            </w:r>
            <w:r>
              <w:rPr>
                <w:rFonts w:hint="eastAsia" w:ascii="Times New Roman" w:hAnsi="Times New Roman" w:eastAsia="宋体"/>
                <w:color w:val="auto"/>
                <w:sz w:val="24"/>
                <w:szCs w:val="24"/>
                <w:highlight w:val="none"/>
                <w:lang w:val="en-US" w:eastAsia="zh-CN"/>
              </w:rPr>
              <w:t>柳州金太阳工业废物处置有限公司</w:t>
            </w:r>
            <w:r>
              <w:rPr>
                <w:rFonts w:hint="eastAsia"/>
                <w:color w:val="auto"/>
                <w:sz w:val="24"/>
                <w:highlight w:val="none"/>
                <w:u w:val="none"/>
                <w:shd w:val="clear" w:color="auto" w:fill="auto"/>
                <w:lang w:eastAsia="zh-CN"/>
              </w:rPr>
              <w:t>处理。</w:t>
            </w:r>
          </w:p>
          <w:p w14:paraId="1C538A93">
            <w:pPr>
              <w:widowControl/>
              <w:tabs>
                <w:tab w:val="left" w:pos="624"/>
              </w:tabs>
              <w:spacing w:line="500" w:lineRule="exact"/>
              <w:ind w:firstLine="480" w:firstLineChars="200"/>
              <w:rPr>
                <w:rFonts w:hint="default" w:cs="宋体"/>
                <w:color w:val="auto"/>
                <w:sz w:val="24"/>
                <w:szCs w:val="24"/>
                <w:lang w:val="en-US" w:eastAsia="zh-CN"/>
              </w:rPr>
            </w:pPr>
            <w:r>
              <w:rPr>
                <w:rFonts w:hint="eastAsia" w:cs="宋体"/>
                <w:color w:val="auto"/>
                <w:sz w:val="24"/>
                <w:szCs w:val="24"/>
                <w:lang w:val="en-US" w:eastAsia="zh-CN"/>
              </w:rPr>
              <w:t>④一般废包装</w:t>
            </w:r>
          </w:p>
          <w:p w14:paraId="2544BB1E">
            <w:pPr>
              <w:widowControl/>
              <w:tabs>
                <w:tab w:val="left" w:pos="624"/>
              </w:tabs>
              <w:spacing w:line="500" w:lineRule="exact"/>
              <w:ind w:firstLine="480" w:firstLineChars="200"/>
              <w:rPr>
                <w:rFonts w:hint="eastAsia" w:eastAsia="宋体" w:cs="宋体"/>
                <w:color w:val="auto"/>
                <w:sz w:val="24"/>
                <w:szCs w:val="24"/>
                <w:lang w:val="en-US" w:eastAsia="zh-CN"/>
              </w:rPr>
            </w:pPr>
            <w:r>
              <w:rPr>
                <w:rFonts w:hint="eastAsia" w:cs="宋体"/>
                <w:color w:val="auto"/>
                <w:sz w:val="24"/>
                <w:szCs w:val="24"/>
                <w:lang w:val="en-US" w:eastAsia="zh-CN"/>
              </w:rPr>
              <w:t>项目包装过程、零部件包装拆除过程会产生一般废包装，</w:t>
            </w:r>
            <w:r>
              <w:rPr>
                <w:rFonts w:hint="eastAsia"/>
                <w:color w:val="auto"/>
                <w:sz w:val="24"/>
                <w:szCs w:val="24"/>
              </w:rPr>
              <w:t>根据建设单位提供信息</w:t>
            </w:r>
            <w:r>
              <w:rPr>
                <w:rFonts w:hint="eastAsia" w:cs="宋体"/>
                <w:color w:val="auto"/>
                <w:sz w:val="24"/>
                <w:szCs w:val="24"/>
                <w:lang w:val="en-US" w:eastAsia="zh-CN"/>
              </w:rPr>
              <w:t>一般废包装</w:t>
            </w:r>
            <w:r>
              <w:rPr>
                <w:rFonts w:hint="eastAsia"/>
                <w:color w:val="auto"/>
                <w:sz w:val="24"/>
                <w:szCs w:val="24"/>
              </w:rPr>
              <w:t>产生量约为</w:t>
            </w:r>
            <w:r>
              <w:rPr>
                <w:rFonts w:hint="eastAsia"/>
                <w:color w:val="auto"/>
                <w:sz w:val="24"/>
                <w:szCs w:val="24"/>
                <w:lang w:val="en-US" w:eastAsia="zh-CN"/>
              </w:rPr>
              <w:t>4</w:t>
            </w:r>
            <w:r>
              <w:rPr>
                <w:rFonts w:hint="eastAsia"/>
                <w:color w:val="auto"/>
                <w:sz w:val="24"/>
                <w:szCs w:val="24"/>
              </w:rPr>
              <w:t>t/a，存于一般固废暂存间，定期收集外售处理</w:t>
            </w:r>
            <w:r>
              <w:rPr>
                <w:rFonts w:hint="eastAsia"/>
                <w:color w:val="auto"/>
                <w:sz w:val="24"/>
                <w:szCs w:val="24"/>
                <w:lang w:eastAsia="zh-CN"/>
              </w:rPr>
              <w:t>。</w:t>
            </w:r>
          </w:p>
          <w:p w14:paraId="22253228">
            <w:pPr>
              <w:widowControl/>
              <w:tabs>
                <w:tab w:val="left" w:pos="624"/>
              </w:tabs>
              <w:spacing w:line="500" w:lineRule="exact"/>
              <w:ind w:firstLine="480" w:firstLineChars="200"/>
              <w:rPr>
                <w:rFonts w:hint="eastAsia"/>
                <w:color w:val="auto"/>
                <w:sz w:val="24"/>
                <w:highlight w:val="none"/>
                <w:u w:val="none"/>
                <w:lang w:val="en-US" w:eastAsia="zh-CN"/>
              </w:rPr>
            </w:pPr>
            <w:r>
              <w:rPr>
                <w:rFonts w:hint="eastAsia"/>
                <w:color w:val="auto"/>
                <w:sz w:val="24"/>
                <w:highlight w:val="none"/>
                <w:u w:val="none"/>
                <w:lang w:val="en-US" w:eastAsia="zh-CN"/>
              </w:rPr>
              <w:t>⑤表面处理水槽沉渣</w:t>
            </w:r>
          </w:p>
          <w:p w14:paraId="3553A1F9">
            <w:pPr>
              <w:keepLines w:val="0"/>
              <w:pageBreakBefore w:val="0"/>
              <w:kinsoku/>
              <w:wordWrap/>
              <w:topLinePunct w:val="0"/>
              <w:autoSpaceDE/>
              <w:autoSpaceDN/>
              <w:bidi w:val="0"/>
              <w:adjustRightInd w:val="0"/>
              <w:snapToGrid w:val="0"/>
              <w:spacing w:line="500" w:lineRule="exact"/>
              <w:ind w:left="0" w:leftChars="0" w:right="0" w:firstLine="480" w:firstLineChars="200"/>
              <w:jc w:val="both"/>
              <w:textAlignment w:val="auto"/>
              <w:rPr>
                <w:rFonts w:hint="eastAsia" w:eastAsia="宋体" w:cs="宋体"/>
                <w:color w:val="auto"/>
                <w:sz w:val="24"/>
                <w:szCs w:val="24"/>
                <w:lang w:val="en-US" w:eastAsia="zh-CN"/>
              </w:rPr>
            </w:pPr>
            <w:r>
              <w:rPr>
                <w:rFonts w:hint="eastAsia"/>
                <w:color w:val="auto"/>
                <w:sz w:val="24"/>
                <w:highlight w:val="none"/>
                <w:u w:val="none"/>
                <w:lang w:val="en-US" w:eastAsia="zh-CN"/>
              </w:rPr>
              <w:t>项目表调磷化、脱脂工段水槽会产生沉渣，半年清理一次，根据建设单位提供信息，表面处理水槽沉渣产生量约为1t/a，根据</w:t>
            </w:r>
            <w:r>
              <w:rPr>
                <w:color w:val="auto"/>
                <w:sz w:val="24"/>
                <w:highlight w:val="none"/>
                <w:u w:val="none"/>
                <w:shd w:val="clear" w:color="auto" w:fill="auto"/>
              </w:rPr>
              <w:t>《国家危险废物名录》（202</w:t>
            </w:r>
            <w:r>
              <w:rPr>
                <w:rFonts w:hint="eastAsia"/>
                <w:color w:val="auto"/>
                <w:sz w:val="24"/>
                <w:highlight w:val="none"/>
                <w:u w:val="none"/>
                <w:shd w:val="clear" w:color="auto" w:fill="auto"/>
                <w:lang w:val="en-US" w:eastAsia="zh-CN"/>
              </w:rPr>
              <w:t>5</w:t>
            </w:r>
            <w:r>
              <w:rPr>
                <w:color w:val="auto"/>
                <w:sz w:val="24"/>
                <w:highlight w:val="none"/>
                <w:u w:val="none"/>
                <w:shd w:val="clear" w:color="auto" w:fill="auto"/>
              </w:rPr>
              <w:t>年）HW</w:t>
            </w:r>
            <w:r>
              <w:rPr>
                <w:rFonts w:hint="eastAsia"/>
                <w:color w:val="auto"/>
                <w:sz w:val="24"/>
                <w:highlight w:val="none"/>
                <w:u w:val="none"/>
                <w:shd w:val="clear" w:color="auto" w:fill="auto"/>
                <w:lang w:val="en-US" w:eastAsia="zh-CN"/>
              </w:rPr>
              <w:t>17表面处理废物</w:t>
            </w:r>
            <w:r>
              <w:rPr>
                <w:rFonts w:hint="eastAsia"/>
                <w:color w:val="auto"/>
                <w:sz w:val="24"/>
                <w:highlight w:val="none"/>
                <w:u w:val="none"/>
                <w:shd w:val="clear" w:color="auto" w:fill="auto"/>
              </w:rPr>
              <w:t>，危废代码为</w:t>
            </w:r>
            <w:r>
              <w:rPr>
                <w:rFonts w:hint="eastAsia"/>
                <w:color w:val="auto"/>
                <w:sz w:val="24"/>
                <w:highlight w:val="none"/>
                <w:u w:val="none"/>
                <w:shd w:val="clear" w:color="auto" w:fill="auto"/>
                <w:lang w:val="en-US" w:eastAsia="zh-CN"/>
              </w:rPr>
              <w:t>336-064-17</w:t>
            </w:r>
            <w:r>
              <w:rPr>
                <w:color w:val="auto"/>
                <w:sz w:val="24"/>
                <w:highlight w:val="none"/>
                <w:u w:val="none"/>
                <w:shd w:val="clear" w:color="auto" w:fill="auto"/>
              </w:rPr>
              <w:t>：</w:t>
            </w:r>
            <w:r>
              <w:rPr>
                <w:rFonts w:hint="eastAsia"/>
                <w:color w:val="auto"/>
                <w:sz w:val="24"/>
                <w:highlight w:val="none"/>
                <w:u w:val="none"/>
                <w:shd w:val="clear" w:color="auto" w:fill="auto"/>
              </w:rPr>
              <w:t>金属或者塑料表面酸（碱）洗、除油、除锈（不包括喷砂除锈）、洗涤、磷化、出光、化抛工艺产生的废腐蚀液、废洗涤液、废槽液、槽渣和废水处理污泥</w:t>
            </w:r>
            <w:r>
              <w:rPr>
                <w:color w:val="auto"/>
                <w:sz w:val="24"/>
                <w:highlight w:val="none"/>
                <w:u w:val="none"/>
                <w:shd w:val="clear" w:color="auto" w:fill="auto"/>
              </w:rPr>
              <w:t>，</w:t>
            </w:r>
            <w:r>
              <w:rPr>
                <w:rFonts w:hint="eastAsia"/>
                <w:color w:val="auto"/>
                <w:sz w:val="24"/>
                <w:highlight w:val="none"/>
                <w:u w:val="none"/>
                <w:shd w:val="clear" w:color="auto" w:fill="auto"/>
                <w:lang w:eastAsia="zh-CN"/>
              </w:rPr>
              <w:t>应</w:t>
            </w:r>
            <w:r>
              <w:rPr>
                <w:color w:val="auto"/>
                <w:sz w:val="24"/>
                <w:highlight w:val="none"/>
                <w:u w:val="none"/>
                <w:shd w:val="clear" w:color="auto" w:fill="auto"/>
              </w:rPr>
              <w:t>按照危险废物处理</w:t>
            </w:r>
            <w:r>
              <w:rPr>
                <w:rFonts w:hint="eastAsia"/>
                <w:color w:val="auto"/>
                <w:sz w:val="24"/>
                <w:highlight w:val="none"/>
                <w:u w:val="none"/>
                <w:shd w:val="clear" w:color="auto" w:fill="auto"/>
                <w:lang w:eastAsia="zh-CN"/>
              </w:rPr>
              <w:t>；本项目</w:t>
            </w:r>
            <w:r>
              <w:rPr>
                <w:rFonts w:hint="eastAsia"/>
                <w:color w:val="auto"/>
                <w:sz w:val="24"/>
                <w:highlight w:val="none"/>
                <w:u w:val="none"/>
                <w:lang w:val="en-US" w:eastAsia="zh-CN"/>
              </w:rPr>
              <w:t>表面处理水槽沉渣</w:t>
            </w:r>
            <w:r>
              <w:rPr>
                <w:rFonts w:hint="eastAsia"/>
                <w:color w:val="auto"/>
                <w:sz w:val="24"/>
                <w:highlight w:val="none"/>
                <w:u w:val="none"/>
                <w:shd w:val="clear" w:color="auto" w:fill="auto"/>
                <w:lang w:eastAsia="zh-CN"/>
              </w:rPr>
              <w:t>暂存于危险废物暂存间内，定期交由</w:t>
            </w:r>
            <w:r>
              <w:rPr>
                <w:rFonts w:hint="eastAsia" w:ascii="Times New Roman" w:hAnsi="Times New Roman" w:eastAsia="宋体"/>
                <w:color w:val="auto"/>
                <w:sz w:val="24"/>
                <w:szCs w:val="24"/>
                <w:highlight w:val="none"/>
                <w:lang w:val="en-US" w:eastAsia="zh-CN"/>
              </w:rPr>
              <w:t>柳州金太阳工业废物处置有限公司</w:t>
            </w:r>
            <w:r>
              <w:rPr>
                <w:rFonts w:hint="eastAsia"/>
                <w:color w:val="auto"/>
                <w:sz w:val="24"/>
                <w:highlight w:val="none"/>
                <w:u w:val="none"/>
                <w:shd w:val="clear" w:color="auto" w:fill="auto"/>
                <w:lang w:eastAsia="zh-CN"/>
              </w:rPr>
              <w:t>处理。</w:t>
            </w:r>
          </w:p>
          <w:p w14:paraId="45356C8E">
            <w:pPr>
              <w:widowControl/>
              <w:tabs>
                <w:tab w:val="left" w:pos="624"/>
              </w:tabs>
              <w:spacing w:line="500" w:lineRule="exact"/>
              <w:ind w:firstLine="480" w:firstLineChars="200"/>
              <w:rPr>
                <w:rFonts w:hint="default"/>
                <w:color w:val="auto"/>
                <w:sz w:val="24"/>
                <w:highlight w:val="none"/>
                <w:u w:val="none"/>
                <w:lang w:val="en-US" w:eastAsia="zh-CN"/>
              </w:rPr>
            </w:pPr>
            <w:r>
              <w:rPr>
                <w:rFonts w:hint="eastAsia" w:cs="宋体"/>
                <w:color w:val="auto"/>
                <w:sz w:val="24"/>
                <w:szCs w:val="24"/>
                <w:lang w:val="en-US" w:eastAsia="zh-CN"/>
              </w:rPr>
              <w:t>⑥</w:t>
            </w:r>
            <w:r>
              <w:rPr>
                <w:rFonts w:hint="eastAsia"/>
                <w:color w:val="auto"/>
                <w:sz w:val="24"/>
                <w:highlight w:val="none"/>
                <w:u w:val="none"/>
                <w:lang w:val="en-US" w:eastAsia="zh-CN"/>
              </w:rPr>
              <w:t>废超滤膜</w:t>
            </w:r>
          </w:p>
          <w:p w14:paraId="6226A3CA">
            <w:pPr>
              <w:keepLines w:val="0"/>
              <w:pageBreakBefore w:val="0"/>
              <w:kinsoku/>
              <w:wordWrap/>
              <w:topLinePunct w:val="0"/>
              <w:autoSpaceDE/>
              <w:autoSpaceDN/>
              <w:bidi w:val="0"/>
              <w:adjustRightInd w:val="0"/>
              <w:snapToGrid w:val="0"/>
              <w:spacing w:line="500" w:lineRule="exact"/>
              <w:ind w:left="0" w:leftChars="0" w:right="0" w:firstLine="480" w:firstLineChars="200"/>
              <w:jc w:val="both"/>
              <w:textAlignment w:val="auto"/>
              <w:rPr>
                <w:rFonts w:hint="eastAsia" w:eastAsia="宋体" w:cs="宋体"/>
                <w:color w:val="auto"/>
                <w:sz w:val="24"/>
                <w:szCs w:val="24"/>
                <w:lang w:val="en-US" w:eastAsia="zh-CN"/>
              </w:rPr>
            </w:pPr>
            <w:r>
              <w:rPr>
                <w:rFonts w:hint="eastAsia"/>
                <w:color w:val="auto"/>
                <w:sz w:val="24"/>
                <w:highlight w:val="none"/>
                <w:u w:val="none"/>
                <w:lang w:val="en-US" w:eastAsia="zh-CN"/>
              </w:rPr>
              <w:t>本项目电泳漆超滤系统使用超滤膜过滤电泳漆，根据建设单位提供信息，废超滤膜的产生量为1t/a，</w:t>
            </w:r>
            <w:r>
              <w:rPr>
                <w:rFonts w:hint="eastAsia"/>
                <w:color w:val="auto"/>
                <w:sz w:val="24"/>
                <w:highlight w:val="none"/>
                <w:u w:val="none"/>
                <w:shd w:val="clear" w:color="auto" w:fill="auto"/>
                <w:lang w:val="en-US" w:eastAsia="zh-CN"/>
              </w:rPr>
              <w:t>根据</w:t>
            </w:r>
            <w:r>
              <w:rPr>
                <w:color w:val="auto"/>
                <w:sz w:val="24"/>
                <w:highlight w:val="none"/>
                <w:u w:val="none"/>
                <w:shd w:val="clear" w:color="auto" w:fill="auto"/>
              </w:rPr>
              <w:t>《国家危险废物名录》（20</w:t>
            </w:r>
            <w:r>
              <w:rPr>
                <w:rFonts w:hint="eastAsia"/>
                <w:color w:val="auto"/>
                <w:sz w:val="24"/>
                <w:highlight w:val="none"/>
                <w:u w:val="none"/>
                <w:shd w:val="clear" w:color="auto" w:fill="auto"/>
                <w:lang w:val="en-US" w:eastAsia="zh-CN"/>
              </w:rPr>
              <w:t>25</w:t>
            </w:r>
            <w:r>
              <w:rPr>
                <w:color w:val="auto"/>
                <w:sz w:val="24"/>
                <w:highlight w:val="none"/>
                <w:u w:val="none"/>
                <w:shd w:val="clear" w:color="auto" w:fill="auto"/>
              </w:rPr>
              <w:t>年）HW</w:t>
            </w:r>
            <w:r>
              <w:rPr>
                <w:rFonts w:hint="eastAsia"/>
                <w:color w:val="auto"/>
                <w:sz w:val="24"/>
                <w:highlight w:val="none"/>
                <w:u w:val="none"/>
                <w:shd w:val="clear" w:color="auto" w:fill="auto"/>
                <w:lang w:val="en-US" w:eastAsia="zh-CN"/>
              </w:rPr>
              <w:t>49</w:t>
            </w:r>
            <w:r>
              <w:rPr>
                <w:rFonts w:hint="eastAsia"/>
                <w:color w:val="auto"/>
                <w:sz w:val="24"/>
                <w:highlight w:val="none"/>
                <w:u w:val="none"/>
                <w:shd w:val="clear" w:color="auto" w:fill="auto"/>
              </w:rPr>
              <w:t>其他废物，危废代码为</w:t>
            </w:r>
            <w:r>
              <w:rPr>
                <w:color w:val="auto"/>
                <w:sz w:val="24"/>
                <w:highlight w:val="none"/>
                <w:u w:val="none"/>
                <w:shd w:val="clear" w:color="auto" w:fill="auto"/>
              </w:rPr>
              <w:t>900-</w:t>
            </w:r>
            <w:r>
              <w:rPr>
                <w:rFonts w:hint="eastAsia"/>
                <w:color w:val="auto"/>
                <w:sz w:val="24"/>
                <w:highlight w:val="none"/>
                <w:u w:val="none"/>
                <w:shd w:val="clear" w:color="auto" w:fill="auto"/>
                <w:lang w:val="en-US" w:eastAsia="zh-CN"/>
              </w:rPr>
              <w:t>041</w:t>
            </w:r>
            <w:r>
              <w:rPr>
                <w:color w:val="auto"/>
                <w:sz w:val="24"/>
                <w:highlight w:val="none"/>
                <w:u w:val="none"/>
                <w:shd w:val="clear" w:color="auto" w:fill="auto"/>
              </w:rPr>
              <w:t>-</w:t>
            </w:r>
            <w:r>
              <w:rPr>
                <w:rFonts w:hint="eastAsia"/>
                <w:color w:val="auto"/>
                <w:sz w:val="24"/>
                <w:highlight w:val="none"/>
                <w:u w:val="none"/>
                <w:shd w:val="clear" w:color="auto" w:fill="auto"/>
                <w:lang w:val="en-US" w:eastAsia="zh-CN"/>
              </w:rPr>
              <w:t>49</w:t>
            </w:r>
            <w:r>
              <w:rPr>
                <w:color w:val="auto"/>
                <w:sz w:val="24"/>
                <w:highlight w:val="none"/>
                <w:u w:val="none"/>
                <w:shd w:val="clear" w:color="auto" w:fill="auto"/>
              </w:rPr>
              <w:t>：</w:t>
            </w:r>
            <w:r>
              <w:rPr>
                <w:rFonts w:hint="eastAsia"/>
                <w:color w:val="auto"/>
                <w:sz w:val="24"/>
                <w:highlight w:val="none"/>
                <w:u w:val="none"/>
                <w:shd w:val="clear" w:color="auto" w:fill="auto"/>
              </w:rPr>
              <w:t>含有或沾染毒性、感染性危险废物的废弃包装物、容器、过滤吸附介质</w:t>
            </w:r>
            <w:r>
              <w:rPr>
                <w:color w:val="auto"/>
                <w:sz w:val="24"/>
                <w:highlight w:val="none"/>
                <w:u w:val="none"/>
                <w:shd w:val="clear" w:color="auto" w:fill="auto"/>
              </w:rPr>
              <w:t>，</w:t>
            </w:r>
            <w:r>
              <w:rPr>
                <w:rFonts w:hint="eastAsia"/>
                <w:color w:val="auto"/>
                <w:sz w:val="24"/>
                <w:highlight w:val="none"/>
                <w:u w:val="none"/>
                <w:shd w:val="clear" w:color="auto" w:fill="auto"/>
                <w:lang w:eastAsia="zh-CN"/>
              </w:rPr>
              <w:t>应</w:t>
            </w:r>
            <w:r>
              <w:rPr>
                <w:color w:val="auto"/>
                <w:sz w:val="24"/>
                <w:highlight w:val="none"/>
                <w:u w:val="none"/>
                <w:shd w:val="clear" w:color="auto" w:fill="auto"/>
              </w:rPr>
              <w:t>按照危险废物处理</w:t>
            </w:r>
            <w:r>
              <w:rPr>
                <w:rFonts w:hint="eastAsia"/>
                <w:color w:val="auto"/>
                <w:sz w:val="24"/>
                <w:highlight w:val="none"/>
                <w:u w:val="none"/>
                <w:shd w:val="clear" w:color="auto" w:fill="auto"/>
                <w:lang w:eastAsia="zh-CN"/>
              </w:rPr>
              <w:t>；废超滤膜暂存于危险废物暂存间内，定期交由</w:t>
            </w:r>
            <w:r>
              <w:rPr>
                <w:rFonts w:hint="eastAsia" w:ascii="Times New Roman" w:hAnsi="Times New Roman" w:eastAsia="宋体"/>
                <w:color w:val="auto"/>
                <w:sz w:val="24"/>
                <w:szCs w:val="24"/>
                <w:highlight w:val="none"/>
                <w:lang w:val="en-US" w:eastAsia="zh-CN"/>
              </w:rPr>
              <w:t>柳州金太阳工业废物处置有限公司</w:t>
            </w:r>
            <w:r>
              <w:rPr>
                <w:rFonts w:hint="eastAsia"/>
                <w:color w:val="auto"/>
                <w:sz w:val="24"/>
                <w:highlight w:val="none"/>
                <w:u w:val="none"/>
                <w:shd w:val="clear" w:color="auto" w:fill="auto"/>
                <w:lang w:eastAsia="zh-CN"/>
              </w:rPr>
              <w:t>处理。</w:t>
            </w:r>
          </w:p>
          <w:p w14:paraId="0D933968">
            <w:pPr>
              <w:pStyle w:val="37"/>
              <w:keepNext w:val="0"/>
              <w:keepLines w:val="0"/>
              <w:pageBreakBefore w:val="0"/>
              <w:widowControl w:val="0"/>
              <w:kinsoku/>
              <w:overflowPunct/>
              <w:topLinePunct w:val="0"/>
              <w:bidi w:val="0"/>
              <w:spacing w:after="0" w:line="500" w:lineRule="exact"/>
              <w:ind w:left="0" w:leftChars="0" w:firstLine="482"/>
              <w:textAlignment w:val="auto"/>
              <w:rPr>
                <w:rFonts w:hint="default" w:ascii="Times New Roman" w:hAnsi="Times New Roman" w:eastAsia="宋体" w:cs="Times New Roman"/>
                <w:b w:val="0"/>
                <w:bCs w:val="0"/>
                <w:snapToGrid w:val="0"/>
                <w:color w:val="auto"/>
                <w:sz w:val="24"/>
                <w:szCs w:val="24"/>
                <w:lang w:val="en-US" w:eastAsia="zh-CN"/>
              </w:rPr>
            </w:pPr>
            <w:r>
              <w:rPr>
                <w:rFonts w:hint="eastAsia" w:cs="Times New Roman"/>
                <w:b w:val="0"/>
                <w:bCs w:val="0"/>
                <w:snapToGrid w:val="0"/>
                <w:color w:val="auto"/>
                <w:sz w:val="24"/>
                <w:szCs w:val="24"/>
                <w:lang w:val="en-US" w:eastAsia="zh-CN"/>
              </w:rPr>
              <w:t>⑦电泳槽渣</w:t>
            </w:r>
          </w:p>
          <w:p w14:paraId="3F277C5C">
            <w:pPr>
              <w:pStyle w:val="37"/>
              <w:keepNext w:val="0"/>
              <w:keepLines w:val="0"/>
              <w:pageBreakBefore w:val="0"/>
              <w:widowControl w:val="0"/>
              <w:kinsoku/>
              <w:overflowPunct/>
              <w:topLinePunct w:val="0"/>
              <w:bidi w:val="0"/>
              <w:spacing w:after="0" w:line="500" w:lineRule="exact"/>
              <w:ind w:left="0" w:leftChars="0" w:firstLine="482"/>
              <w:textAlignment w:val="auto"/>
              <w:rPr>
                <w:rFonts w:hint="eastAsia" w:ascii="Times New Roman" w:hAnsi="Times New Roman" w:eastAsia="宋体" w:cs="Times New Roman"/>
                <w:b w:val="0"/>
                <w:bCs w:val="0"/>
                <w:snapToGrid w:val="0"/>
                <w:color w:val="auto"/>
                <w:sz w:val="24"/>
                <w:szCs w:val="24"/>
                <w:lang w:val="en-US" w:eastAsia="zh-CN"/>
              </w:rPr>
            </w:pPr>
            <w:r>
              <w:rPr>
                <w:rFonts w:hint="eastAsia" w:ascii="Times New Roman" w:hAnsi="Times New Roman" w:eastAsia="宋体" w:cs="Times New Roman"/>
                <w:b w:val="0"/>
                <w:bCs w:val="0"/>
                <w:snapToGrid w:val="0"/>
                <w:color w:val="auto"/>
                <w:sz w:val="24"/>
                <w:szCs w:val="24"/>
                <w:lang w:val="en-US" w:eastAsia="zh-CN"/>
              </w:rPr>
              <w:t>项目电泳工序会产生槽渣，根据</w:t>
            </w:r>
            <w:r>
              <w:rPr>
                <w:rFonts w:hint="eastAsia" w:cs="Times New Roman"/>
                <w:b w:val="0"/>
                <w:bCs w:val="0"/>
                <w:snapToGrid w:val="0"/>
                <w:color w:val="auto"/>
                <w:sz w:val="24"/>
                <w:szCs w:val="24"/>
                <w:lang w:val="en-US" w:eastAsia="zh-CN"/>
              </w:rPr>
              <w:t>前文涂料平衡，</w:t>
            </w:r>
            <w:r>
              <w:rPr>
                <w:rFonts w:hint="eastAsia" w:ascii="Times New Roman" w:hAnsi="Times New Roman" w:eastAsia="宋体" w:cs="Times New Roman"/>
                <w:b w:val="0"/>
                <w:bCs w:val="0"/>
                <w:snapToGrid w:val="0"/>
                <w:color w:val="auto"/>
                <w:sz w:val="24"/>
                <w:szCs w:val="24"/>
                <w:lang w:val="en-US" w:eastAsia="zh-CN"/>
              </w:rPr>
              <w:t>项目槽沉渣产生量约</w:t>
            </w:r>
            <w:r>
              <w:rPr>
                <w:rFonts w:hint="eastAsia" w:cs="Times New Roman"/>
                <w:b w:val="0"/>
                <w:bCs w:val="0"/>
                <w:snapToGrid w:val="0"/>
                <w:color w:val="auto"/>
                <w:sz w:val="24"/>
                <w:szCs w:val="24"/>
                <w:lang w:val="en-US" w:eastAsia="zh-CN"/>
              </w:rPr>
              <w:t>0.95</w:t>
            </w:r>
            <w:r>
              <w:rPr>
                <w:rFonts w:hint="eastAsia" w:ascii="Times New Roman" w:hAnsi="Times New Roman" w:eastAsia="宋体" w:cs="Times New Roman"/>
                <w:b w:val="0"/>
                <w:bCs w:val="0"/>
                <w:snapToGrid w:val="0"/>
                <w:color w:val="auto"/>
                <w:sz w:val="24"/>
                <w:szCs w:val="24"/>
                <w:lang w:val="en-US" w:eastAsia="zh-CN"/>
              </w:rPr>
              <w:t>t/a，</w:t>
            </w:r>
            <w:r>
              <w:rPr>
                <w:rFonts w:hint="eastAsia"/>
                <w:color w:val="auto"/>
                <w:sz w:val="24"/>
                <w:highlight w:val="none"/>
                <w:u w:val="none"/>
                <w:lang w:val="en-US" w:eastAsia="zh-CN"/>
              </w:rPr>
              <w:t>根据</w:t>
            </w:r>
            <w:r>
              <w:rPr>
                <w:color w:val="auto"/>
                <w:sz w:val="24"/>
                <w:highlight w:val="none"/>
                <w:u w:val="none"/>
                <w:shd w:val="clear" w:color="auto" w:fill="auto"/>
              </w:rPr>
              <w:t>《国家危险废物名录》（202</w:t>
            </w:r>
            <w:r>
              <w:rPr>
                <w:rFonts w:hint="eastAsia"/>
                <w:color w:val="auto"/>
                <w:sz w:val="24"/>
                <w:highlight w:val="none"/>
                <w:u w:val="none"/>
                <w:shd w:val="clear" w:color="auto" w:fill="auto"/>
                <w:lang w:val="en-US" w:eastAsia="zh-CN"/>
              </w:rPr>
              <w:t>5</w:t>
            </w:r>
            <w:r>
              <w:rPr>
                <w:color w:val="auto"/>
                <w:sz w:val="24"/>
                <w:highlight w:val="none"/>
                <w:u w:val="none"/>
                <w:shd w:val="clear" w:color="auto" w:fill="auto"/>
              </w:rPr>
              <w:t>年）HW</w:t>
            </w:r>
            <w:r>
              <w:rPr>
                <w:rFonts w:hint="eastAsia"/>
                <w:color w:val="auto"/>
                <w:sz w:val="24"/>
                <w:highlight w:val="none"/>
                <w:u w:val="none"/>
                <w:shd w:val="clear" w:color="auto" w:fill="auto"/>
                <w:lang w:val="en-US" w:eastAsia="zh-CN"/>
              </w:rPr>
              <w:t>17表面处理废物</w:t>
            </w:r>
            <w:r>
              <w:rPr>
                <w:rFonts w:hint="eastAsia"/>
                <w:color w:val="auto"/>
                <w:sz w:val="24"/>
                <w:highlight w:val="none"/>
                <w:u w:val="none"/>
                <w:shd w:val="clear" w:color="auto" w:fill="auto"/>
              </w:rPr>
              <w:t>，危废代码为</w:t>
            </w:r>
            <w:r>
              <w:rPr>
                <w:rFonts w:hint="eastAsia"/>
                <w:color w:val="auto"/>
                <w:sz w:val="24"/>
                <w:highlight w:val="none"/>
                <w:u w:val="none"/>
                <w:shd w:val="clear" w:color="auto" w:fill="auto"/>
                <w:lang w:val="en-US" w:eastAsia="zh-CN"/>
              </w:rPr>
              <w:t>336-064-17</w:t>
            </w:r>
            <w:r>
              <w:rPr>
                <w:color w:val="auto"/>
                <w:sz w:val="24"/>
                <w:highlight w:val="none"/>
                <w:u w:val="none"/>
                <w:shd w:val="clear" w:color="auto" w:fill="auto"/>
              </w:rPr>
              <w:t>：</w:t>
            </w:r>
            <w:r>
              <w:rPr>
                <w:rFonts w:hint="eastAsia"/>
                <w:color w:val="auto"/>
                <w:sz w:val="24"/>
                <w:highlight w:val="none"/>
                <w:u w:val="none"/>
                <w:shd w:val="clear" w:color="auto" w:fill="auto"/>
              </w:rPr>
              <w:t>金属或者塑料表面酸（碱）洗、除油、除锈（不包括喷砂除锈）、洗涤、磷化、出光、化抛工艺产生的废腐蚀液、废洗涤液、废槽液、槽渣和废水处理污泥</w:t>
            </w:r>
            <w:r>
              <w:rPr>
                <w:color w:val="auto"/>
                <w:sz w:val="24"/>
                <w:highlight w:val="none"/>
                <w:u w:val="none"/>
                <w:shd w:val="clear" w:color="auto" w:fill="auto"/>
              </w:rPr>
              <w:t>，</w:t>
            </w:r>
            <w:r>
              <w:rPr>
                <w:rFonts w:hint="eastAsia"/>
                <w:color w:val="auto"/>
                <w:sz w:val="24"/>
                <w:highlight w:val="none"/>
                <w:u w:val="none"/>
                <w:shd w:val="clear" w:color="auto" w:fill="auto"/>
                <w:lang w:eastAsia="zh-CN"/>
              </w:rPr>
              <w:t>应</w:t>
            </w:r>
            <w:r>
              <w:rPr>
                <w:color w:val="auto"/>
                <w:sz w:val="24"/>
                <w:highlight w:val="none"/>
                <w:u w:val="none"/>
                <w:shd w:val="clear" w:color="auto" w:fill="auto"/>
              </w:rPr>
              <w:t>按照危险废物处理</w:t>
            </w:r>
            <w:r>
              <w:rPr>
                <w:rFonts w:hint="eastAsia"/>
                <w:color w:val="auto"/>
                <w:sz w:val="24"/>
                <w:highlight w:val="none"/>
                <w:u w:val="none"/>
                <w:shd w:val="clear" w:color="auto" w:fill="auto"/>
                <w:lang w:eastAsia="zh-CN"/>
              </w:rPr>
              <w:t>；本项目</w:t>
            </w:r>
            <w:r>
              <w:rPr>
                <w:rFonts w:hint="eastAsia" w:cs="Times New Roman"/>
                <w:b w:val="0"/>
                <w:bCs w:val="0"/>
                <w:snapToGrid w:val="0"/>
                <w:color w:val="auto"/>
                <w:sz w:val="24"/>
                <w:szCs w:val="24"/>
                <w:lang w:val="en-US" w:eastAsia="zh-CN"/>
              </w:rPr>
              <w:t>电泳槽渣</w:t>
            </w:r>
            <w:r>
              <w:rPr>
                <w:rFonts w:hint="eastAsia"/>
                <w:color w:val="auto"/>
                <w:sz w:val="24"/>
                <w:highlight w:val="none"/>
                <w:u w:val="none"/>
                <w:shd w:val="clear" w:color="auto" w:fill="auto"/>
                <w:lang w:eastAsia="zh-CN"/>
              </w:rPr>
              <w:t>暂存于危险废物暂存间内，定期交由</w:t>
            </w:r>
            <w:r>
              <w:rPr>
                <w:rFonts w:hint="eastAsia" w:ascii="Times New Roman" w:hAnsi="Times New Roman" w:eastAsia="宋体"/>
                <w:color w:val="auto"/>
                <w:sz w:val="24"/>
                <w:szCs w:val="24"/>
                <w:highlight w:val="none"/>
                <w:lang w:val="en-US" w:eastAsia="zh-CN"/>
              </w:rPr>
              <w:t>柳州金太阳工业废物处置有限公司</w:t>
            </w:r>
            <w:r>
              <w:rPr>
                <w:rFonts w:hint="eastAsia"/>
                <w:color w:val="auto"/>
                <w:sz w:val="24"/>
                <w:highlight w:val="none"/>
                <w:u w:val="none"/>
                <w:shd w:val="clear" w:color="auto" w:fill="auto"/>
                <w:lang w:eastAsia="zh-CN"/>
              </w:rPr>
              <w:t>处理。</w:t>
            </w:r>
          </w:p>
          <w:p w14:paraId="13F973E5">
            <w:pPr>
              <w:pStyle w:val="37"/>
              <w:keepNext w:val="0"/>
              <w:keepLines w:val="0"/>
              <w:pageBreakBefore w:val="0"/>
              <w:widowControl w:val="0"/>
              <w:kinsoku/>
              <w:overflowPunct/>
              <w:topLinePunct w:val="0"/>
              <w:bidi w:val="0"/>
              <w:spacing w:after="0" w:line="500" w:lineRule="exact"/>
              <w:ind w:left="0" w:leftChars="0" w:firstLine="482"/>
              <w:textAlignment w:val="auto"/>
              <w:rPr>
                <w:rFonts w:hint="default" w:ascii="Times New Roman" w:hAnsi="Times New Roman" w:eastAsia="宋体" w:cs="Times New Roman"/>
                <w:b w:val="0"/>
                <w:bCs w:val="0"/>
                <w:snapToGrid w:val="0"/>
                <w:color w:val="auto"/>
                <w:sz w:val="24"/>
                <w:szCs w:val="24"/>
                <w:lang w:val="en-US" w:eastAsia="zh-CN"/>
              </w:rPr>
            </w:pPr>
            <w:r>
              <w:rPr>
                <w:rFonts w:hint="eastAsia" w:cs="Times New Roman"/>
                <w:b w:val="0"/>
                <w:bCs w:val="0"/>
                <w:snapToGrid w:val="0"/>
                <w:color w:val="auto"/>
                <w:sz w:val="24"/>
                <w:szCs w:val="24"/>
                <w:lang w:val="en-US" w:eastAsia="zh-CN"/>
              </w:rPr>
              <w:t>⑧</w:t>
            </w:r>
            <w:r>
              <w:rPr>
                <w:rFonts w:hint="eastAsia" w:ascii="Times New Roman" w:hAnsi="Times New Roman" w:eastAsia="宋体" w:cs="Times New Roman"/>
                <w:b w:val="0"/>
                <w:bCs w:val="0"/>
                <w:snapToGrid w:val="0"/>
                <w:color w:val="auto"/>
                <w:sz w:val="24"/>
                <w:szCs w:val="24"/>
                <w:lang w:val="en-US" w:eastAsia="zh-CN"/>
              </w:rPr>
              <w:t>废矿物油</w:t>
            </w:r>
          </w:p>
          <w:p w14:paraId="2E8B9D86">
            <w:pPr>
              <w:keepLines w:val="0"/>
              <w:pageBreakBefore w:val="0"/>
              <w:kinsoku/>
              <w:wordWrap/>
              <w:topLinePunct w:val="0"/>
              <w:autoSpaceDE/>
              <w:autoSpaceDN/>
              <w:bidi w:val="0"/>
              <w:adjustRightInd w:val="0"/>
              <w:snapToGrid w:val="0"/>
              <w:spacing w:line="500" w:lineRule="exact"/>
              <w:ind w:left="0" w:leftChars="0" w:right="0" w:firstLine="480" w:firstLineChars="200"/>
              <w:jc w:val="both"/>
              <w:textAlignment w:val="auto"/>
              <w:rPr>
                <w:rFonts w:hint="eastAsia" w:cs="宋体"/>
                <w:color w:val="auto"/>
                <w:sz w:val="24"/>
                <w:szCs w:val="24"/>
              </w:rPr>
            </w:pPr>
            <w:r>
              <w:rPr>
                <w:rFonts w:hint="default" w:ascii="Times New Roman" w:hAnsi="Times New Roman" w:eastAsia="宋体" w:cs="Times New Roman"/>
                <w:b w:val="0"/>
                <w:bCs w:val="0"/>
                <w:snapToGrid w:val="0"/>
                <w:color w:val="auto"/>
                <w:sz w:val="24"/>
                <w:szCs w:val="24"/>
              </w:rPr>
              <w:t>项目污水处理</w:t>
            </w:r>
            <w:r>
              <w:rPr>
                <w:rFonts w:hint="eastAsia" w:ascii="Times New Roman" w:hAnsi="Times New Roman" w:eastAsia="宋体" w:cs="Times New Roman"/>
                <w:b w:val="0"/>
                <w:bCs w:val="0"/>
                <w:snapToGrid w:val="0"/>
                <w:color w:val="auto"/>
                <w:sz w:val="24"/>
                <w:szCs w:val="24"/>
                <w:lang w:val="en-US" w:eastAsia="zh-CN"/>
              </w:rPr>
              <w:t>废矿物油产生</w:t>
            </w:r>
            <w:r>
              <w:rPr>
                <w:rFonts w:hint="default" w:ascii="Times New Roman" w:hAnsi="Times New Roman" w:eastAsia="宋体" w:cs="Times New Roman"/>
                <w:b w:val="0"/>
                <w:bCs w:val="0"/>
                <w:snapToGrid w:val="0"/>
                <w:color w:val="auto"/>
                <w:sz w:val="24"/>
                <w:szCs w:val="24"/>
              </w:rPr>
              <w:t>量为</w:t>
            </w:r>
            <w:r>
              <w:rPr>
                <w:rFonts w:hint="eastAsia" w:ascii="Times New Roman" w:hAnsi="Times New Roman" w:eastAsia="宋体" w:cs="Times New Roman"/>
                <w:b w:val="0"/>
                <w:bCs w:val="0"/>
                <w:snapToGrid w:val="0"/>
                <w:color w:val="auto"/>
                <w:sz w:val="24"/>
                <w:szCs w:val="24"/>
                <w:lang w:val="en-US" w:eastAsia="zh-CN"/>
              </w:rPr>
              <w:t>0.0428t/a</w:t>
            </w:r>
            <w:r>
              <w:rPr>
                <w:rFonts w:hint="eastAsia" w:ascii="Times New Roman" w:hAnsi="Times New Roman" w:eastAsia="宋体" w:cs="Times New Roman"/>
                <w:b w:val="0"/>
                <w:bCs w:val="0"/>
                <w:snapToGrid w:val="0"/>
                <w:color w:val="auto"/>
                <w:sz w:val="24"/>
                <w:szCs w:val="24"/>
                <w:lang w:val="en-US" w:eastAsia="zh-CN"/>
              </w:rPr>
              <w:t>，机加工过程</w:t>
            </w:r>
            <w:r>
              <w:rPr>
                <w:rFonts w:hint="eastAsia" w:ascii="Times New Roman" w:hAnsi="Times New Roman" w:eastAsia="宋体" w:cs="Times New Roman"/>
                <w:b w:val="0"/>
                <w:bCs w:val="0"/>
                <w:snapToGrid w:val="0"/>
                <w:color w:val="auto"/>
                <w:sz w:val="24"/>
                <w:szCs w:val="24"/>
                <w:lang w:eastAsia="zh-CN"/>
              </w:rPr>
              <w:t>废矿物油</w:t>
            </w:r>
            <w:r>
              <w:rPr>
                <w:rFonts w:hint="default" w:ascii="Times New Roman" w:hAnsi="Times New Roman" w:eastAsia="宋体" w:cs="Times New Roman"/>
                <w:b w:val="0"/>
                <w:bCs w:val="0"/>
                <w:snapToGrid w:val="0"/>
                <w:color w:val="auto"/>
                <w:sz w:val="24"/>
                <w:szCs w:val="24"/>
              </w:rPr>
              <w:t>产生</w:t>
            </w:r>
            <w:r>
              <w:rPr>
                <w:rFonts w:hint="eastAsia" w:ascii="Times New Roman" w:hAnsi="Times New Roman" w:eastAsia="宋体" w:cs="Times New Roman"/>
                <w:b w:val="0"/>
                <w:bCs w:val="0"/>
                <w:snapToGrid w:val="0"/>
                <w:color w:val="auto"/>
                <w:sz w:val="24"/>
                <w:szCs w:val="24"/>
                <w:lang w:val="en-US" w:eastAsia="zh-CN"/>
              </w:rPr>
              <w:t>量</w:t>
            </w:r>
            <w:r>
              <w:rPr>
                <w:rFonts w:hint="eastAsia" w:ascii="Times New Roman" w:hAnsi="Times New Roman" w:cs="Times New Roman"/>
                <w:b w:val="0"/>
                <w:bCs w:val="0"/>
                <w:snapToGrid w:val="0"/>
                <w:color w:val="auto"/>
                <w:sz w:val="24"/>
                <w:szCs w:val="24"/>
                <w:lang w:val="en-US" w:eastAsia="zh-CN"/>
              </w:rPr>
              <w:t>约</w:t>
            </w:r>
            <w:r>
              <w:rPr>
                <w:rFonts w:hint="eastAsia" w:ascii="Times New Roman" w:hAnsi="Times New Roman" w:eastAsia="宋体" w:cs="Times New Roman"/>
                <w:b w:val="0"/>
                <w:bCs w:val="0"/>
                <w:snapToGrid w:val="0"/>
                <w:color w:val="auto"/>
                <w:sz w:val="24"/>
                <w:szCs w:val="24"/>
                <w:lang w:val="en-US" w:eastAsia="zh-CN"/>
              </w:rPr>
              <w:t>为0.5t/a</w:t>
            </w:r>
            <w:r>
              <w:rPr>
                <w:rFonts w:hint="default" w:ascii="Times New Roman" w:hAnsi="Times New Roman" w:eastAsia="宋体" w:cs="Times New Roman"/>
                <w:b w:val="0"/>
                <w:bCs w:val="0"/>
                <w:snapToGrid w:val="0"/>
                <w:color w:val="auto"/>
                <w:sz w:val="24"/>
                <w:szCs w:val="24"/>
              </w:rPr>
              <w:t>，</w:t>
            </w:r>
            <w:r>
              <w:rPr>
                <w:rFonts w:hint="eastAsia" w:ascii="Times New Roman" w:hAnsi="Times New Roman" w:eastAsia="宋体" w:cs="Times New Roman"/>
                <w:b w:val="0"/>
                <w:bCs w:val="0"/>
                <w:snapToGrid w:val="0"/>
                <w:color w:val="auto"/>
                <w:sz w:val="24"/>
                <w:szCs w:val="24"/>
                <w:lang w:val="en-US" w:eastAsia="zh-CN"/>
              </w:rPr>
              <w:t>则</w:t>
            </w:r>
            <w:r>
              <w:rPr>
                <w:rFonts w:hint="eastAsia" w:ascii="Times New Roman" w:hAnsi="Times New Roman" w:eastAsia="宋体" w:cs="Times New Roman"/>
                <w:b w:val="0"/>
                <w:bCs w:val="0"/>
                <w:snapToGrid w:val="0"/>
                <w:color w:val="auto"/>
                <w:sz w:val="24"/>
                <w:szCs w:val="24"/>
                <w:lang w:eastAsia="zh-CN"/>
              </w:rPr>
              <w:t>废矿物油</w:t>
            </w:r>
            <w:r>
              <w:rPr>
                <w:rFonts w:hint="eastAsia" w:ascii="Times New Roman" w:hAnsi="Times New Roman" w:eastAsia="宋体" w:cs="Times New Roman"/>
                <w:b w:val="0"/>
                <w:bCs w:val="0"/>
                <w:snapToGrid w:val="0"/>
                <w:color w:val="auto"/>
                <w:sz w:val="24"/>
                <w:szCs w:val="24"/>
                <w:lang w:val="en-US" w:eastAsia="zh-CN"/>
              </w:rPr>
              <w:t>总</w:t>
            </w:r>
            <w:r>
              <w:rPr>
                <w:rFonts w:hint="default" w:ascii="Times New Roman" w:hAnsi="Times New Roman" w:eastAsia="宋体" w:cs="Times New Roman"/>
                <w:b w:val="0"/>
                <w:bCs w:val="0"/>
                <w:snapToGrid w:val="0"/>
                <w:color w:val="auto"/>
                <w:sz w:val="24"/>
                <w:szCs w:val="24"/>
              </w:rPr>
              <w:t>产生</w:t>
            </w:r>
            <w:r>
              <w:rPr>
                <w:rFonts w:hint="eastAsia" w:ascii="Times New Roman" w:hAnsi="Times New Roman" w:eastAsia="宋体" w:cs="Times New Roman"/>
                <w:b w:val="0"/>
                <w:bCs w:val="0"/>
                <w:snapToGrid w:val="0"/>
                <w:color w:val="auto"/>
                <w:sz w:val="24"/>
                <w:szCs w:val="24"/>
                <w:lang w:val="en-US" w:eastAsia="zh-CN"/>
              </w:rPr>
              <w:t>量</w:t>
            </w:r>
            <w:r>
              <w:rPr>
                <w:rFonts w:hint="eastAsia" w:ascii="Times New Roman" w:hAnsi="Times New Roman" w:cs="Times New Roman"/>
                <w:b w:val="0"/>
                <w:bCs w:val="0"/>
                <w:snapToGrid w:val="0"/>
                <w:color w:val="auto"/>
                <w:sz w:val="24"/>
                <w:szCs w:val="24"/>
                <w:lang w:val="en-US" w:eastAsia="zh-CN"/>
              </w:rPr>
              <w:t>约</w:t>
            </w:r>
            <w:r>
              <w:rPr>
                <w:rFonts w:hint="eastAsia" w:ascii="Times New Roman" w:hAnsi="Times New Roman" w:eastAsia="宋体" w:cs="Times New Roman"/>
                <w:b w:val="0"/>
                <w:bCs w:val="0"/>
                <w:snapToGrid w:val="0"/>
                <w:color w:val="auto"/>
                <w:sz w:val="24"/>
                <w:szCs w:val="24"/>
                <w:lang w:val="en-US" w:eastAsia="zh-CN"/>
              </w:rPr>
              <w:t>为</w:t>
            </w:r>
            <w:r>
              <w:rPr>
                <w:rFonts w:hint="eastAsia" w:cs="Times New Roman"/>
                <w:b w:val="0"/>
                <w:bCs w:val="0"/>
                <w:snapToGrid w:val="0"/>
                <w:color w:val="auto"/>
                <w:sz w:val="24"/>
                <w:szCs w:val="24"/>
                <w:lang w:val="en-US" w:eastAsia="zh-CN"/>
              </w:rPr>
              <w:t>0.54</w:t>
            </w:r>
            <w:r>
              <w:rPr>
                <w:rFonts w:hint="default" w:ascii="Times New Roman" w:hAnsi="Times New Roman" w:eastAsia="宋体" w:cs="Times New Roman"/>
                <w:b w:val="0"/>
                <w:bCs w:val="0"/>
                <w:snapToGrid w:val="0"/>
                <w:color w:val="auto"/>
                <w:sz w:val="24"/>
                <w:szCs w:val="24"/>
              </w:rPr>
              <w:t>t/a</w:t>
            </w:r>
            <w:r>
              <w:rPr>
                <w:rFonts w:hint="default" w:ascii="Times New Roman" w:hAnsi="Times New Roman" w:eastAsia="宋体" w:cs="Times New Roman"/>
                <w:b w:val="0"/>
                <w:bCs w:val="0"/>
                <w:snapToGrid w:val="0"/>
                <w:color w:val="auto"/>
                <w:sz w:val="24"/>
                <w:szCs w:val="24"/>
              </w:rPr>
              <w:t>，根据《国家危险废物名录》（202</w:t>
            </w:r>
            <w:r>
              <w:rPr>
                <w:rFonts w:hint="eastAsia" w:ascii="Times New Roman" w:hAnsi="Times New Roman" w:eastAsia="宋体" w:cs="Times New Roman"/>
                <w:b w:val="0"/>
                <w:bCs w:val="0"/>
                <w:snapToGrid w:val="0"/>
                <w:color w:val="auto"/>
                <w:sz w:val="24"/>
                <w:szCs w:val="24"/>
                <w:lang w:val="en-US" w:eastAsia="zh-CN"/>
              </w:rPr>
              <w:t>5</w:t>
            </w:r>
            <w:r>
              <w:rPr>
                <w:rFonts w:hint="default" w:ascii="Times New Roman" w:hAnsi="Times New Roman" w:eastAsia="宋体" w:cs="Times New Roman"/>
                <w:b w:val="0"/>
                <w:bCs w:val="0"/>
                <w:snapToGrid w:val="0"/>
                <w:color w:val="auto"/>
                <w:sz w:val="24"/>
                <w:szCs w:val="24"/>
              </w:rPr>
              <w:t>年）HW08废矿物油与含矿物油废物，危废代码为900-210-08：含油废水处理中隔油、气浮、沉淀等处理过程中产生的浮油、浮渣和污泥</w:t>
            </w:r>
            <w:r>
              <w:rPr>
                <w:rFonts w:hint="eastAsia" w:ascii="Times New Roman" w:hAnsi="Times New Roman" w:eastAsia="宋体" w:cs="Times New Roman"/>
                <w:b w:val="0"/>
                <w:bCs w:val="0"/>
                <w:snapToGrid w:val="0"/>
                <w:color w:val="auto"/>
                <w:sz w:val="24"/>
                <w:szCs w:val="24"/>
                <w:lang w:eastAsia="zh-CN"/>
              </w:rPr>
              <w:t>；危废代码为 900-217-08：使用工业齿轮油进行机械设备润滑过程中产生的废润滑油</w:t>
            </w:r>
            <w:r>
              <w:rPr>
                <w:rFonts w:hint="default" w:ascii="Times New Roman" w:hAnsi="Times New Roman" w:eastAsia="宋体" w:cs="Times New Roman"/>
                <w:b w:val="0"/>
                <w:bCs w:val="0"/>
                <w:snapToGrid w:val="0"/>
                <w:color w:val="auto"/>
                <w:sz w:val="24"/>
                <w:szCs w:val="24"/>
              </w:rPr>
              <w:t>，应按照危险废物处理；</w:t>
            </w:r>
            <w:r>
              <w:rPr>
                <w:rFonts w:hint="eastAsia" w:ascii="Times New Roman" w:hAnsi="Times New Roman" w:eastAsia="宋体" w:cs="Times New Roman"/>
                <w:b w:val="0"/>
                <w:bCs w:val="0"/>
                <w:snapToGrid w:val="0"/>
                <w:color w:val="auto"/>
                <w:sz w:val="24"/>
                <w:szCs w:val="24"/>
                <w:lang w:val="en-US" w:eastAsia="zh-CN"/>
              </w:rPr>
              <w:t>隔油池</w:t>
            </w:r>
            <w:r>
              <w:rPr>
                <w:rFonts w:hint="eastAsia" w:ascii="Times New Roman" w:hAnsi="Times New Roman" w:eastAsia="宋体" w:cs="Times New Roman"/>
                <w:b w:val="0"/>
                <w:bCs w:val="0"/>
                <w:snapToGrid w:val="0"/>
                <w:color w:val="auto"/>
                <w:sz w:val="24"/>
                <w:szCs w:val="24"/>
                <w:lang w:eastAsia="zh-CN"/>
              </w:rPr>
              <w:t>废矿物油</w:t>
            </w:r>
            <w:r>
              <w:rPr>
                <w:rFonts w:hint="default" w:ascii="Times New Roman" w:hAnsi="Times New Roman" w:eastAsia="宋体" w:cs="Times New Roman"/>
                <w:b w:val="0"/>
                <w:bCs w:val="0"/>
                <w:snapToGrid w:val="0"/>
                <w:color w:val="auto"/>
                <w:sz w:val="24"/>
                <w:szCs w:val="24"/>
              </w:rPr>
              <w:t>不暂存在厂内</w:t>
            </w:r>
            <w:r>
              <w:rPr>
                <w:rFonts w:hint="eastAsia" w:ascii="Times New Roman" w:hAnsi="Times New Roman" w:eastAsia="宋体" w:cs="Times New Roman"/>
                <w:b w:val="0"/>
                <w:bCs w:val="0"/>
                <w:snapToGrid w:val="0"/>
                <w:color w:val="auto"/>
                <w:sz w:val="24"/>
                <w:szCs w:val="24"/>
                <w:lang w:eastAsia="zh-CN"/>
              </w:rPr>
              <w:t>，</w:t>
            </w:r>
            <w:r>
              <w:rPr>
                <w:rFonts w:hint="eastAsia" w:ascii="Times New Roman" w:hAnsi="Times New Roman" w:eastAsia="宋体" w:cs="Times New Roman"/>
                <w:b w:val="0"/>
                <w:bCs w:val="0"/>
                <w:snapToGrid w:val="0"/>
                <w:color w:val="auto"/>
                <w:sz w:val="24"/>
                <w:szCs w:val="24"/>
                <w:lang w:val="en-US" w:eastAsia="zh-CN"/>
              </w:rPr>
              <w:t>机加工废矿物油暂存于危险废物暂存间内</w:t>
            </w:r>
            <w:r>
              <w:rPr>
                <w:rFonts w:hint="default" w:ascii="Times New Roman" w:hAnsi="Times New Roman" w:eastAsia="宋体" w:cs="Times New Roman"/>
                <w:b w:val="0"/>
                <w:bCs w:val="0"/>
                <w:snapToGrid w:val="0"/>
                <w:color w:val="auto"/>
                <w:sz w:val="24"/>
                <w:szCs w:val="24"/>
              </w:rPr>
              <w:t>，定期由</w:t>
            </w:r>
            <w:r>
              <w:rPr>
                <w:rFonts w:hint="eastAsia" w:ascii="Times New Roman" w:hAnsi="Times New Roman" w:eastAsia="宋体"/>
                <w:color w:val="auto"/>
                <w:sz w:val="24"/>
                <w:szCs w:val="24"/>
                <w:highlight w:val="none"/>
                <w:lang w:val="en-US" w:eastAsia="zh-CN"/>
              </w:rPr>
              <w:t>柳州金太阳工业废物处置有限公司</w:t>
            </w:r>
            <w:r>
              <w:rPr>
                <w:rFonts w:hint="default" w:ascii="Times New Roman" w:hAnsi="Times New Roman" w:eastAsia="宋体" w:cs="Times New Roman"/>
                <w:b w:val="0"/>
                <w:bCs w:val="0"/>
                <w:snapToGrid w:val="0"/>
                <w:color w:val="auto"/>
                <w:sz w:val="24"/>
                <w:szCs w:val="24"/>
              </w:rPr>
              <w:t>处理</w:t>
            </w:r>
            <w:r>
              <w:rPr>
                <w:rFonts w:hint="eastAsia"/>
                <w:color w:val="auto"/>
                <w:sz w:val="24"/>
                <w:highlight w:val="none"/>
                <w:u w:val="none"/>
                <w:shd w:val="clear" w:color="auto" w:fill="auto"/>
                <w:lang w:eastAsia="zh-CN"/>
              </w:rPr>
              <w:t>。</w:t>
            </w:r>
          </w:p>
          <w:p w14:paraId="31F08E7B">
            <w:pPr>
              <w:widowControl/>
              <w:tabs>
                <w:tab w:val="left" w:pos="624"/>
              </w:tabs>
              <w:spacing w:line="500" w:lineRule="exact"/>
              <w:ind w:firstLine="480" w:firstLineChars="200"/>
              <w:rPr>
                <w:rFonts w:hint="eastAsia" w:eastAsia="宋体"/>
                <w:color w:val="auto"/>
                <w:sz w:val="24"/>
                <w:highlight w:val="none"/>
                <w:u w:val="none"/>
                <w:lang w:eastAsia="zh-CN"/>
              </w:rPr>
            </w:pPr>
            <w:r>
              <w:rPr>
                <w:rFonts w:hint="eastAsia" w:cs="宋体"/>
                <w:color w:val="auto"/>
                <w:sz w:val="24"/>
                <w:szCs w:val="24"/>
                <w:lang w:val="en-US" w:eastAsia="zh-CN"/>
              </w:rPr>
              <w:t>⑨</w:t>
            </w:r>
            <w:r>
              <w:rPr>
                <w:rFonts w:hint="eastAsia"/>
                <w:color w:val="auto"/>
                <w:sz w:val="24"/>
                <w:highlight w:val="none"/>
                <w:u w:val="none"/>
                <w:lang w:eastAsia="zh-CN"/>
              </w:rPr>
              <w:t>污泥</w:t>
            </w:r>
          </w:p>
          <w:p w14:paraId="75983A72">
            <w:pPr>
              <w:keepLines w:val="0"/>
              <w:pageBreakBefore w:val="0"/>
              <w:kinsoku/>
              <w:wordWrap/>
              <w:topLinePunct w:val="0"/>
              <w:autoSpaceDE/>
              <w:autoSpaceDN/>
              <w:bidi w:val="0"/>
              <w:adjustRightInd w:val="0"/>
              <w:snapToGrid w:val="0"/>
              <w:spacing w:line="500" w:lineRule="exact"/>
              <w:ind w:left="0" w:leftChars="0" w:right="0" w:firstLine="480" w:firstLineChars="200"/>
              <w:jc w:val="both"/>
              <w:textAlignment w:val="auto"/>
              <w:rPr>
                <w:rFonts w:hint="eastAsia" w:eastAsia="宋体" w:cs="宋体"/>
                <w:color w:val="auto"/>
                <w:sz w:val="24"/>
                <w:szCs w:val="24"/>
                <w:lang w:val="en-US" w:eastAsia="zh-CN"/>
              </w:rPr>
            </w:pPr>
            <w:r>
              <w:rPr>
                <w:rFonts w:hint="eastAsia"/>
                <w:color w:val="auto"/>
                <w:sz w:val="24"/>
                <w:highlight w:val="none"/>
                <w:u w:val="none"/>
                <w:lang w:eastAsia="zh-CN"/>
              </w:rPr>
              <w:t>项目</w:t>
            </w:r>
            <w:r>
              <w:rPr>
                <w:rFonts w:hint="eastAsia"/>
                <w:color w:val="auto"/>
                <w:sz w:val="24"/>
                <w:highlight w:val="none"/>
                <w:u w:val="none"/>
                <w:lang w:val="en-US" w:eastAsia="zh-CN"/>
              </w:rPr>
              <w:t>污水处理过程</w:t>
            </w:r>
            <w:r>
              <w:rPr>
                <w:rFonts w:hint="eastAsia"/>
                <w:color w:val="auto"/>
                <w:sz w:val="24"/>
                <w:highlight w:val="none"/>
                <w:u w:val="none"/>
                <w:lang w:eastAsia="zh-CN"/>
              </w:rPr>
              <w:t>产生污泥，根据建设单位提供信息，污泥产生量约为</w:t>
            </w:r>
            <w:r>
              <w:rPr>
                <w:rFonts w:hint="eastAsia"/>
                <w:color w:val="auto"/>
                <w:sz w:val="24"/>
                <w:highlight w:val="none"/>
                <w:u w:val="none"/>
                <w:lang w:val="en-US" w:eastAsia="zh-CN"/>
              </w:rPr>
              <w:t>1t/a</w:t>
            </w:r>
            <w:r>
              <w:rPr>
                <w:rFonts w:hint="eastAsia"/>
                <w:color w:val="auto"/>
                <w:sz w:val="24"/>
                <w:highlight w:val="none"/>
                <w:u w:val="none"/>
                <w:lang w:eastAsia="zh-CN"/>
              </w:rPr>
              <w:t>，</w:t>
            </w:r>
            <w:r>
              <w:rPr>
                <w:rFonts w:hint="eastAsia"/>
                <w:color w:val="auto"/>
                <w:sz w:val="24"/>
                <w:highlight w:val="none"/>
                <w:u w:val="none"/>
                <w:shd w:val="clear" w:color="auto" w:fill="auto"/>
                <w:lang w:val="en-US" w:eastAsia="zh-CN"/>
              </w:rPr>
              <w:t>根据</w:t>
            </w:r>
            <w:r>
              <w:rPr>
                <w:color w:val="auto"/>
                <w:sz w:val="24"/>
                <w:highlight w:val="none"/>
                <w:u w:val="none"/>
                <w:shd w:val="clear" w:color="auto" w:fill="auto"/>
              </w:rPr>
              <w:t>《国家危险废物名录》（202</w:t>
            </w:r>
            <w:r>
              <w:rPr>
                <w:rFonts w:hint="eastAsia"/>
                <w:color w:val="auto"/>
                <w:sz w:val="24"/>
                <w:highlight w:val="none"/>
                <w:u w:val="none"/>
                <w:shd w:val="clear" w:color="auto" w:fill="auto"/>
                <w:lang w:val="en-US" w:eastAsia="zh-CN"/>
              </w:rPr>
              <w:t>5</w:t>
            </w:r>
            <w:r>
              <w:rPr>
                <w:color w:val="auto"/>
                <w:sz w:val="24"/>
                <w:highlight w:val="none"/>
                <w:u w:val="none"/>
                <w:shd w:val="clear" w:color="auto" w:fill="auto"/>
              </w:rPr>
              <w:t>年）HW</w:t>
            </w:r>
            <w:r>
              <w:rPr>
                <w:rFonts w:hint="eastAsia"/>
                <w:color w:val="auto"/>
                <w:sz w:val="24"/>
                <w:highlight w:val="none"/>
                <w:u w:val="none"/>
                <w:shd w:val="clear" w:color="auto" w:fill="auto"/>
                <w:lang w:val="en-US" w:eastAsia="zh-CN"/>
              </w:rPr>
              <w:t>17表面处理废物</w:t>
            </w:r>
            <w:r>
              <w:rPr>
                <w:rFonts w:hint="eastAsia"/>
                <w:color w:val="auto"/>
                <w:sz w:val="24"/>
                <w:highlight w:val="none"/>
                <w:u w:val="none"/>
                <w:shd w:val="clear" w:color="auto" w:fill="auto"/>
              </w:rPr>
              <w:t>，危废代码为</w:t>
            </w:r>
            <w:r>
              <w:rPr>
                <w:rFonts w:hint="eastAsia"/>
                <w:color w:val="auto"/>
                <w:sz w:val="24"/>
                <w:highlight w:val="none"/>
                <w:u w:val="none"/>
                <w:shd w:val="clear" w:color="auto" w:fill="auto"/>
                <w:lang w:val="en-US" w:eastAsia="zh-CN"/>
              </w:rPr>
              <w:t>336-064-17</w:t>
            </w:r>
            <w:r>
              <w:rPr>
                <w:color w:val="auto"/>
                <w:sz w:val="24"/>
                <w:highlight w:val="none"/>
                <w:u w:val="none"/>
                <w:shd w:val="clear" w:color="auto" w:fill="auto"/>
              </w:rPr>
              <w:t>：</w:t>
            </w:r>
            <w:r>
              <w:rPr>
                <w:rFonts w:hint="eastAsia"/>
                <w:color w:val="auto"/>
                <w:sz w:val="24"/>
                <w:highlight w:val="none"/>
                <w:u w:val="none"/>
                <w:shd w:val="clear" w:color="auto" w:fill="auto"/>
              </w:rPr>
              <w:t>金属或者塑料表面酸（碱）洗、除油、除锈（不包括喷砂除锈）、洗涤、磷化、出光、化抛工艺产生的废腐蚀液、废洗涤液、废槽液、槽渣和废水处理污泥</w:t>
            </w:r>
            <w:r>
              <w:rPr>
                <w:color w:val="auto"/>
                <w:sz w:val="24"/>
                <w:highlight w:val="none"/>
                <w:u w:val="none"/>
                <w:shd w:val="clear" w:color="auto" w:fill="auto"/>
              </w:rPr>
              <w:t>，</w:t>
            </w:r>
            <w:r>
              <w:rPr>
                <w:rFonts w:hint="eastAsia"/>
                <w:color w:val="auto"/>
                <w:sz w:val="24"/>
                <w:highlight w:val="none"/>
                <w:u w:val="none"/>
                <w:shd w:val="clear" w:color="auto" w:fill="auto"/>
                <w:lang w:eastAsia="zh-CN"/>
              </w:rPr>
              <w:t>应</w:t>
            </w:r>
            <w:r>
              <w:rPr>
                <w:color w:val="auto"/>
                <w:sz w:val="24"/>
                <w:highlight w:val="none"/>
                <w:u w:val="none"/>
                <w:shd w:val="clear" w:color="auto" w:fill="auto"/>
              </w:rPr>
              <w:t>按照危险废物处理</w:t>
            </w:r>
            <w:r>
              <w:rPr>
                <w:rFonts w:hint="eastAsia"/>
                <w:color w:val="auto"/>
                <w:sz w:val="24"/>
                <w:highlight w:val="none"/>
                <w:u w:val="none"/>
                <w:shd w:val="clear" w:color="auto" w:fill="auto"/>
                <w:lang w:eastAsia="zh-CN"/>
              </w:rPr>
              <w:t>；污泥不暂存在厂内，</w:t>
            </w:r>
            <w:r>
              <w:rPr>
                <w:rFonts w:hint="eastAsia"/>
                <w:color w:val="auto"/>
                <w:sz w:val="24"/>
                <w:highlight w:val="none"/>
                <w:u w:val="none"/>
                <w:lang w:eastAsia="zh-CN"/>
              </w:rPr>
              <w:t>定期</w:t>
            </w:r>
            <w:r>
              <w:rPr>
                <w:rFonts w:hint="eastAsia"/>
                <w:color w:val="auto"/>
                <w:sz w:val="24"/>
                <w:highlight w:val="none"/>
                <w:u w:val="none"/>
                <w:shd w:val="clear" w:color="auto" w:fill="auto"/>
                <w:lang w:eastAsia="zh-CN"/>
              </w:rPr>
              <w:t>由</w:t>
            </w:r>
            <w:r>
              <w:rPr>
                <w:rFonts w:hint="eastAsia" w:ascii="Times New Roman" w:hAnsi="Times New Roman" w:eastAsia="宋体"/>
                <w:color w:val="auto"/>
                <w:sz w:val="24"/>
                <w:szCs w:val="24"/>
                <w:highlight w:val="none"/>
                <w:lang w:val="en-US" w:eastAsia="zh-CN"/>
              </w:rPr>
              <w:t>柳州金太阳工业废物处置有限公司</w:t>
            </w:r>
            <w:r>
              <w:rPr>
                <w:rFonts w:hint="eastAsia"/>
                <w:color w:val="auto"/>
                <w:sz w:val="24"/>
                <w:highlight w:val="none"/>
                <w:u w:val="none"/>
                <w:shd w:val="clear" w:color="auto" w:fill="auto"/>
                <w:lang w:eastAsia="zh-CN"/>
              </w:rPr>
              <w:t>处理。</w:t>
            </w:r>
          </w:p>
          <w:p w14:paraId="2EC80810">
            <w:pPr>
              <w:pStyle w:val="37"/>
              <w:keepNext w:val="0"/>
              <w:keepLines w:val="0"/>
              <w:pageBreakBefore w:val="0"/>
              <w:widowControl w:val="0"/>
              <w:kinsoku/>
              <w:overflowPunct/>
              <w:topLinePunct w:val="0"/>
              <w:bidi w:val="0"/>
              <w:spacing w:after="0" w:line="500" w:lineRule="exact"/>
              <w:ind w:left="0" w:leftChars="0" w:firstLine="482"/>
              <w:textAlignment w:val="auto"/>
              <w:rPr>
                <w:rFonts w:hint="default" w:ascii="Times New Roman" w:hAnsi="Times New Roman" w:eastAsia="宋体" w:cs="Times New Roman"/>
                <w:b w:val="0"/>
                <w:bCs w:val="0"/>
                <w:snapToGrid w:val="0"/>
                <w:color w:val="auto"/>
                <w:sz w:val="24"/>
                <w:szCs w:val="24"/>
                <w:lang w:val="en-US" w:eastAsia="zh-CN"/>
              </w:rPr>
            </w:pPr>
            <w:r>
              <w:rPr>
                <w:rFonts w:hint="eastAsia" w:cs="Times New Roman"/>
                <w:b w:val="0"/>
                <w:bCs w:val="0"/>
                <w:snapToGrid w:val="0"/>
                <w:color w:val="auto"/>
                <w:sz w:val="24"/>
                <w:szCs w:val="24"/>
                <w:lang w:val="en-US" w:eastAsia="zh-CN"/>
              </w:rPr>
              <w:t>⑩</w:t>
            </w:r>
            <w:r>
              <w:rPr>
                <w:rFonts w:hint="eastAsia" w:ascii="Times New Roman" w:hAnsi="Times New Roman" w:eastAsia="宋体" w:cs="Times New Roman"/>
                <w:b w:val="0"/>
                <w:bCs w:val="0"/>
                <w:snapToGrid w:val="0"/>
                <w:color w:val="auto"/>
                <w:sz w:val="24"/>
                <w:szCs w:val="24"/>
                <w:lang w:val="en-US" w:eastAsia="zh-CN"/>
              </w:rPr>
              <w:t>废含油棉纱及抹布</w:t>
            </w:r>
          </w:p>
          <w:p w14:paraId="29DD8AF0">
            <w:pPr>
              <w:keepLines w:val="0"/>
              <w:pageBreakBefore w:val="0"/>
              <w:kinsoku/>
              <w:wordWrap/>
              <w:topLinePunct w:val="0"/>
              <w:autoSpaceDE/>
              <w:autoSpaceDN/>
              <w:bidi w:val="0"/>
              <w:adjustRightInd w:val="0"/>
              <w:snapToGrid w:val="0"/>
              <w:spacing w:line="500" w:lineRule="exact"/>
              <w:ind w:left="0" w:leftChars="0" w:right="0" w:firstLine="480" w:firstLineChars="200"/>
              <w:jc w:val="both"/>
              <w:textAlignment w:val="auto"/>
              <w:rPr>
                <w:rFonts w:hint="default" w:eastAsia="宋体" w:cs="宋体"/>
                <w:color w:val="auto"/>
                <w:sz w:val="24"/>
                <w:szCs w:val="24"/>
                <w:lang w:val="en-US" w:eastAsia="zh-CN"/>
              </w:rPr>
            </w:pPr>
            <w:r>
              <w:rPr>
                <w:rFonts w:hint="eastAsia" w:ascii="Times New Roman" w:hAnsi="Times New Roman" w:eastAsia="宋体" w:cs="Times New Roman"/>
                <w:b w:val="0"/>
                <w:bCs w:val="0"/>
                <w:snapToGrid w:val="0"/>
                <w:color w:val="auto"/>
                <w:sz w:val="24"/>
                <w:szCs w:val="24"/>
                <w:lang w:eastAsia="zh-CN"/>
              </w:rPr>
              <w:t>在设备维护过程中产生的沾有油污的棉纱及抹布，</w:t>
            </w:r>
            <w:r>
              <w:rPr>
                <w:rFonts w:hint="eastAsia" w:ascii="Times New Roman" w:hAnsi="Times New Roman" w:eastAsia="宋体" w:cs="Times New Roman"/>
                <w:b w:val="0"/>
                <w:bCs w:val="0"/>
                <w:snapToGrid w:val="0"/>
                <w:color w:val="auto"/>
                <w:sz w:val="24"/>
                <w:szCs w:val="24"/>
                <w:lang w:val="en-US" w:eastAsia="zh-CN"/>
              </w:rPr>
              <w:t>含油棉纱及抹布</w:t>
            </w:r>
            <w:r>
              <w:rPr>
                <w:rFonts w:hint="eastAsia" w:ascii="Times New Roman" w:hAnsi="Times New Roman" w:eastAsia="宋体" w:cs="Times New Roman"/>
                <w:b w:val="0"/>
                <w:bCs w:val="0"/>
                <w:snapToGrid w:val="0"/>
                <w:color w:val="auto"/>
                <w:sz w:val="24"/>
                <w:szCs w:val="24"/>
                <w:lang w:eastAsia="zh-CN"/>
              </w:rPr>
              <w:t>产生量约为0.</w:t>
            </w:r>
            <w:r>
              <w:rPr>
                <w:rFonts w:hint="eastAsia" w:ascii="Times New Roman" w:hAnsi="Times New Roman" w:cs="Times New Roman"/>
                <w:b w:val="0"/>
                <w:bCs w:val="0"/>
                <w:snapToGrid w:val="0"/>
                <w:color w:val="auto"/>
                <w:sz w:val="24"/>
                <w:szCs w:val="24"/>
                <w:lang w:val="en-US" w:eastAsia="zh-CN"/>
              </w:rPr>
              <w:t>1</w:t>
            </w:r>
            <w:r>
              <w:rPr>
                <w:rFonts w:hint="eastAsia" w:ascii="Times New Roman" w:hAnsi="Times New Roman" w:eastAsia="宋体" w:cs="Times New Roman"/>
                <w:b w:val="0"/>
                <w:bCs w:val="0"/>
                <w:snapToGrid w:val="0"/>
                <w:color w:val="auto"/>
                <w:sz w:val="24"/>
                <w:szCs w:val="24"/>
                <w:lang w:eastAsia="zh-CN"/>
              </w:rPr>
              <w:t>t/a，属于《国家危险废物名录》（2025 版）HW49 其他废物，</w:t>
            </w:r>
            <w:r>
              <w:rPr>
                <w:rFonts w:hint="eastAsia" w:ascii="Times New Roman" w:hAnsi="Times New Roman" w:eastAsia="宋体" w:cs="Times New Roman"/>
                <w:b w:val="0"/>
                <w:bCs w:val="0"/>
                <w:snapToGrid w:val="0"/>
                <w:color w:val="auto"/>
                <w:sz w:val="24"/>
                <w:szCs w:val="24"/>
                <w:lang w:val="en-US" w:eastAsia="zh-CN"/>
              </w:rPr>
              <w:t>危废代码为</w:t>
            </w:r>
            <w:r>
              <w:rPr>
                <w:rFonts w:hint="eastAsia" w:ascii="Times New Roman" w:hAnsi="Times New Roman" w:eastAsia="宋体" w:cs="Times New Roman"/>
                <w:b w:val="0"/>
                <w:bCs w:val="0"/>
                <w:snapToGrid w:val="0"/>
                <w:color w:val="auto"/>
                <w:sz w:val="24"/>
                <w:szCs w:val="24"/>
                <w:lang w:eastAsia="zh-CN"/>
              </w:rPr>
              <w:t>900-041-49：含有或沾染毒性、感染性危险废物的废弃包装物、容器、过滤吸附介质</w:t>
            </w:r>
            <w:r>
              <w:rPr>
                <w:rFonts w:hint="default" w:ascii="Times New Roman" w:hAnsi="Times New Roman" w:eastAsia="宋体" w:cs="Times New Roman"/>
                <w:b w:val="0"/>
                <w:bCs w:val="0"/>
                <w:snapToGrid w:val="0"/>
                <w:color w:val="auto"/>
                <w:sz w:val="24"/>
                <w:szCs w:val="24"/>
              </w:rPr>
              <w:t>，应按照危险废物处理</w:t>
            </w:r>
            <w:r>
              <w:rPr>
                <w:rFonts w:hint="eastAsia" w:ascii="Times New Roman" w:hAnsi="Times New Roman" w:eastAsia="宋体" w:cs="Times New Roman"/>
                <w:b w:val="0"/>
                <w:bCs w:val="0"/>
                <w:snapToGrid w:val="0"/>
                <w:color w:val="auto"/>
                <w:sz w:val="24"/>
                <w:szCs w:val="24"/>
                <w:lang w:eastAsia="zh-CN"/>
              </w:rPr>
              <w:t>。废含油棉纱及抹布收集、暂存于危废暂存间，委托</w:t>
            </w:r>
            <w:r>
              <w:rPr>
                <w:rFonts w:hint="eastAsia" w:ascii="Times New Roman" w:hAnsi="Times New Roman" w:eastAsia="宋体"/>
                <w:color w:val="auto"/>
                <w:sz w:val="24"/>
                <w:szCs w:val="24"/>
                <w:highlight w:val="none"/>
                <w:lang w:val="en-US" w:eastAsia="zh-CN"/>
              </w:rPr>
              <w:t>柳州金太阳工业废物处置有限公司</w:t>
            </w:r>
            <w:r>
              <w:rPr>
                <w:rFonts w:hint="eastAsia" w:ascii="Times New Roman" w:hAnsi="Times New Roman" w:eastAsia="宋体" w:cs="Times New Roman"/>
                <w:b w:val="0"/>
                <w:bCs w:val="0"/>
                <w:snapToGrid w:val="0"/>
                <w:color w:val="auto"/>
                <w:sz w:val="24"/>
                <w:szCs w:val="24"/>
                <w:lang w:eastAsia="zh-CN"/>
              </w:rPr>
              <w:t>处置</w:t>
            </w:r>
            <w:r>
              <w:rPr>
                <w:rFonts w:hint="eastAsia"/>
                <w:color w:val="auto"/>
                <w:kern w:val="44"/>
                <w:sz w:val="24"/>
                <w:highlight w:val="none"/>
                <w:lang w:eastAsia="zh-CN"/>
              </w:rPr>
              <w:t>。</w:t>
            </w:r>
          </w:p>
          <w:p w14:paraId="66B482F1">
            <w:pPr>
              <w:pStyle w:val="37"/>
              <w:keepNext w:val="0"/>
              <w:keepLines w:val="0"/>
              <w:pageBreakBefore w:val="0"/>
              <w:widowControl w:val="0"/>
              <w:kinsoku/>
              <w:overflowPunct/>
              <w:topLinePunct w:val="0"/>
              <w:bidi w:val="0"/>
              <w:spacing w:after="0" w:line="500" w:lineRule="exact"/>
              <w:ind w:left="0" w:leftChars="0" w:firstLine="482"/>
              <w:textAlignment w:val="auto"/>
              <w:rPr>
                <w:rFonts w:hint="default" w:ascii="Times New Roman" w:hAnsi="Times New Roman" w:eastAsia="宋体" w:cs="Times New Roman"/>
                <w:b w:val="0"/>
                <w:bCs w:val="0"/>
                <w:snapToGrid w:val="0"/>
                <w:color w:val="auto"/>
                <w:sz w:val="24"/>
                <w:szCs w:val="24"/>
                <w:lang w:val="en-US" w:eastAsia="zh-CN"/>
              </w:rPr>
            </w:pPr>
            <w:r>
              <w:rPr>
                <w:rFonts w:hint="eastAsia" w:ascii="Times New Roman" w:hAnsi="Times New Roman" w:eastAsia="宋体" w:cs="Times New Roman"/>
                <w:b w:val="0"/>
                <w:bCs w:val="0"/>
                <w:snapToGrid w:val="0"/>
                <w:color w:val="auto"/>
                <w:sz w:val="24"/>
                <w:szCs w:val="24"/>
                <w:lang w:val="en-US" w:eastAsia="zh-CN"/>
              </w:rPr>
              <w:t>⑪废活性炭</w:t>
            </w:r>
          </w:p>
          <w:p w14:paraId="598E72C5">
            <w:pPr>
              <w:keepLines w:val="0"/>
              <w:pageBreakBefore w:val="0"/>
              <w:kinsoku/>
              <w:wordWrap/>
              <w:topLinePunct w:val="0"/>
              <w:autoSpaceDE/>
              <w:autoSpaceDN/>
              <w:bidi w:val="0"/>
              <w:adjustRightInd w:val="0"/>
              <w:snapToGrid w:val="0"/>
              <w:spacing w:line="500" w:lineRule="exact"/>
              <w:ind w:left="0" w:leftChars="0" w:right="0" w:firstLine="480" w:firstLineChars="200"/>
              <w:jc w:val="both"/>
              <w:textAlignment w:val="auto"/>
              <w:rPr>
                <w:rFonts w:hint="eastAsia" w:eastAsia="宋体" w:cs="宋体"/>
                <w:color w:val="auto"/>
                <w:sz w:val="24"/>
                <w:szCs w:val="24"/>
                <w:lang w:val="en-US" w:eastAsia="zh-CN"/>
              </w:rPr>
            </w:pPr>
            <w:r>
              <w:rPr>
                <w:rFonts w:hint="default" w:ascii="Times New Roman" w:hAnsi="Times New Roman" w:eastAsia="宋体" w:cs="Times New Roman"/>
                <w:b w:val="0"/>
                <w:bCs w:val="0"/>
                <w:snapToGrid w:val="0"/>
                <w:color w:val="auto"/>
                <w:sz w:val="24"/>
                <w:szCs w:val="24"/>
              </w:rPr>
              <w:t>项目使用活性炭对</w:t>
            </w:r>
            <w:r>
              <w:rPr>
                <w:rFonts w:hint="eastAsia" w:ascii="Times New Roman" w:hAnsi="Times New Roman" w:eastAsia="宋体" w:cs="Times New Roman"/>
                <w:b w:val="0"/>
                <w:bCs w:val="0"/>
                <w:snapToGrid w:val="0"/>
                <w:color w:val="auto"/>
                <w:sz w:val="24"/>
                <w:szCs w:val="24"/>
              </w:rPr>
              <w:t>挥发性有机物</w:t>
            </w:r>
            <w:r>
              <w:rPr>
                <w:rFonts w:hint="default" w:ascii="Times New Roman" w:hAnsi="Times New Roman" w:eastAsia="宋体" w:cs="Times New Roman"/>
                <w:b w:val="0"/>
                <w:bCs w:val="0"/>
                <w:snapToGrid w:val="0"/>
                <w:color w:val="auto"/>
                <w:sz w:val="24"/>
                <w:szCs w:val="24"/>
              </w:rPr>
              <w:t>进行吸附，吸附处理过程需定期对活性炭进行更换，活性炭的使用量与有机废气的排放量有关，</w:t>
            </w:r>
            <w:r>
              <w:rPr>
                <w:rFonts w:hint="default" w:ascii="Times New Roman" w:hAnsi="Times New Roman" w:eastAsia="宋体" w:cs="Times New Roman"/>
                <w:b w:val="0"/>
                <w:bCs w:val="0"/>
                <w:snapToGrid w:val="0"/>
                <w:color w:val="auto"/>
                <w:sz w:val="24"/>
                <w:szCs w:val="24"/>
              </w:rPr>
              <w:t>根据广东工业大学工程研究，活性炭吸附率为250g/kg活性炭，由大气污染源强分析</w:t>
            </w:r>
            <w:r>
              <w:rPr>
                <w:rFonts w:hint="default" w:ascii="Times New Roman" w:hAnsi="Times New Roman" w:eastAsia="宋体" w:cs="Times New Roman"/>
                <w:b w:val="0"/>
                <w:bCs w:val="0"/>
                <w:snapToGrid w:val="0"/>
                <w:color w:val="auto"/>
                <w:sz w:val="24"/>
                <w:szCs w:val="24"/>
              </w:rPr>
              <w:t>，</w:t>
            </w:r>
            <w:r>
              <w:rPr>
                <w:rFonts w:hint="eastAsia" w:ascii="Times New Roman" w:hAnsi="Times New Roman" w:eastAsia="宋体" w:cs="Times New Roman"/>
                <w:b w:val="0"/>
                <w:bCs w:val="0"/>
                <w:snapToGrid w:val="0"/>
                <w:color w:val="auto"/>
                <w:sz w:val="24"/>
                <w:szCs w:val="24"/>
              </w:rPr>
              <w:t>有机废气</w:t>
            </w:r>
            <w:r>
              <w:rPr>
                <w:rFonts w:hint="default" w:ascii="Times New Roman" w:hAnsi="Times New Roman" w:eastAsia="宋体" w:cs="Times New Roman"/>
                <w:b w:val="0"/>
                <w:bCs w:val="0"/>
                <w:snapToGrid w:val="0"/>
                <w:color w:val="auto"/>
                <w:sz w:val="24"/>
                <w:szCs w:val="24"/>
              </w:rPr>
              <w:t>进入活性炭吸附装置的</w:t>
            </w:r>
            <w:r>
              <w:rPr>
                <w:rFonts w:hint="eastAsia" w:ascii="Times New Roman" w:hAnsi="Times New Roman" w:eastAsia="宋体" w:cs="Times New Roman"/>
                <w:b w:val="0"/>
                <w:bCs w:val="0"/>
                <w:snapToGrid w:val="0"/>
                <w:color w:val="auto"/>
                <w:sz w:val="24"/>
                <w:szCs w:val="24"/>
              </w:rPr>
              <w:t>被活性炭吸附的</w:t>
            </w:r>
            <w:r>
              <w:rPr>
                <w:rFonts w:hint="eastAsia" w:ascii="Times New Roman" w:hAnsi="Times New Roman" w:eastAsia="宋体" w:cs="Times New Roman"/>
                <w:b w:val="0"/>
                <w:bCs w:val="0"/>
                <w:snapToGrid w:val="0"/>
                <w:color w:val="auto"/>
                <w:sz w:val="24"/>
                <w:szCs w:val="24"/>
                <w:lang w:val="en-US" w:eastAsia="zh-CN"/>
              </w:rPr>
              <w:t>有机废气</w:t>
            </w:r>
            <w:r>
              <w:rPr>
                <w:rFonts w:hint="default" w:ascii="Times New Roman" w:hAnsi="Times New Roman" w:eastAsia="宋体" w:cs="Times New Roman"/>
                <w:b w:val="0"/>
                <w:bCs w:val="0"/>
                <w:snapToGrid w:val="0"/>
                <w:color w:val="auto"/>
                <w:sz w:val="24"/>
                <w:szCs w:val="24"/>
              </w:rPr>
              <w:t>量</w:t>
            </w:r>
            <w:r>
              <w:rPr>
                <w:rFonts w:hint="eastAsia" w:ascii="Times New Roman" w:hAnsi="Times New Roman" w:eastAsia="宋体" w:cs="Times New Roman"/>
                <w:b w:val="0"/>
                <w:bCs w:val="0"/>
                <w:snapToGrid w:val="0"/>
                <w:color w:val="auto"/>
                <w:sz w:val="24"/>
                <w:szCs w:val="24"/>
              </w:rPr>
              <w:t>约</w:t>
            </w:r>
            <w:r>
              <w:rPr>
                <w:rFonts w:hint="default" w:ascii="Times New Roman" w:hAnsi="Times New Roman" w:eastAsia="宋体" w:cs="Times New Roman"/>
                <w:b w:val="0"/>
                <w:bCs w:val="0"/>
                <w:snapToGrid w:val="0"/>
                <w:color w:val="auto"/>
                <w:sz w:val="24"/>
                <w:szCs w:val="24"/>
              </w:rPr>
              <w:t>为</w:t>
            </w:r>
            <w:r>
              <w:rPr>
                <w:rFonts w:hint="eastAsia" w:ascii="Times New Roman" w:hAnsi="Times New Roman" w:eastAsia="宋体" w:cs="Times New Roman"/>
                <w:b w:val="0"/>
                <w:bCs w:val="0"/>
                <w:snapToGrid w:val="0"/>
                <w:color w:val="auto"/>
                <w:sz w:val="24"/>
                <w:szCs w:val="24"/>
                <w:lang w:val="en-US" w:eastAsia="zh-CN"/>
              </w:rPr>
              <w:t>1.08</w:t>
            </w:r>
            <w:r>
              <w:rPr>
                <w:rFonts w:hint="default" w:ascii="Times New Roman" w:hAnsi="Times New Roman" w:eastAsia="宋体" w:cs="Times New Roman"/>
                <w:b w:val="0"/>
                <w:bCs w:val="0"/>
                <w:snapToGrid w:val="0"/>
                <w:color w:val="auto"/>
                <w:sz w:val="24"/>
                <w:szCs w:val="24"/>
              </w:rPr>
              <w:t>t/a</w:t>
            </w:r>
            <w:r>
              <w:rPr>
                <w:rFonts w:hint="default" w:ascii="Times New Roman" w:hAnsi="Times New Roman" w:eastAsia="宋体" w:cs="Times New Roman"/>
                <w:b w:val="0"/>
                <w:bCs w:val="0"/>
                <w:snapToGrid w:val="0"/>
                <w:color w:val="auto"/>
                <w:sz w:val="24"/>
                <w:szCs w:val="24"/>
              </w:rPr>
              <w:t>，经计算新活性炭使用量</w:t>
            </w:r>
            <w:r>
              <w:rPr>
                <w:rFonts w:hint="eastAsia" w:ascii="Times New Roman" w:hAnsi="Times New Roman" w:eastAsia="宋体" w:cs="Times New Roman"/>
                <w:b w:val="0"/>
                <w:bCs w:val="0"/>
                <w:snapToGrid w:val="0"/>
                <w:color w:val="auto"/>
                <w:sz w:val="24"/>
                <w:szCs w:val="24"/>
              </w:rPr>
              <w:t>约</w:t>
            </w:r>
            <w:r>
              <w:rPr>
                <w:rFonts w:hint="default" w:ascii="Times New Roman" w:hAnsi="Times New Roman" w:eastAsia="宋体" w:cs="Times New Roman"/>
                <w:b w:val="0"/>
                <w:bCs w:val="0"/>
                <w:snapToGrid w:val="0"/>
                <w:color w:val="auto"/>
                <w:sz w:val="24"/>
                <w:szCs w:val="24"/>
              </w:rPr>
              <w:t>为</w:t>
            </w:r>
            <w:r>
              <w:rPr>
                <w:rFonts w:hint="eastAsia" w:cs="Times New Roman"/>
                <w:b w:val="0"/>
                <w:bCs w:val="0"/>
                <w:snapToGrid w:val="0"/>
                <w:color w:val="auto"/>
                <w:sz w:val="24"/>
                <w:szCs w:val="24"/>
                <w:lang w:val="en-US" w:eastAsia="zh-CN"/>
              </w:rPr>
              <w:t>4.32</w:t>
            </w:r>
            <w:r>
              <w:rPr>
                <w:rFonts w:hint="eastAsia" w:ascii="Times New Roman" w:hAnsi="Times New Roman" w:eastAsia="宋体" w:cs="Times New Roman"/>
                <w:b w:val="0"/>
                <w:bCs w:val="0"/>
                <w:snapToGrid w:val="0"/>
                <w:color w:val="auto"/>
                <w:sz w:val="24"/>
                <w:szCs w:val="24"/>
                <w:lang w:val="en-US" w:eastAsia="zh-CN"/>
              </w:rPr>
              <w:t>t</w:t>
            </w:r>
            <w:r>
              <w:rPr>
                <w:rFonts w:hint="default" w:ascii="Times New Roman" w:hAnsi="Times New Roman" w:eastAsia="宋体" w:cs="Times New Roman"/>
                <w:b w:val="0"/>
                <w:bCs w:val="0"/>
                <w:snapToGrid w:val="0"/>
                <w:color w:val="auto"/>
                <w:sz w:val="24"/>
                <w:szCs w:val="24"/>
              </w:rPr>
              <w:t>/</w:t>
            </w:r>
            <w:r>
              <w:rPr>
                <w:rFonts w:hint="default" w:ascii="Times New Roman" w:hAnsi="Times New Roman" w:eastAsia="宋体" w:cs="Times New Roman"/>
                <w:b w:val="0"/>
                <w:bCs w:val="0"/>
                <w:snapToGrid w:val="0"/>
                <w:color w:val="auto"/>
                <w:sz w:val="24"/>
                <w:szCs w:val="24"/>
              </w:rPr>
              <w:t>a，</w:t>
            </w:r>
            <w:r>
              <w:rPr>
                <w:rFonts w:hint="eastAsia" w:cs="Times New Roman"/>
                <w:b w:val="0"/>
                <w:bCs w:val="0"/>
                <w:snapToGrid w:val="0"/>
                <w:color w:val="auto"/>
                <w:sz w:val="24"/>
                <w:szCs w:val="24"/>
                <w:lang w:eastAsia="zh-CN"/>
              </w:rPr>
              <w:t>活性炭处理装置均采用颗粒型活性炭，一次性装载量为</w:t>
            </w:r>
            <w:r>
              <w:rPr>
                <w:rFonts w:hint="eastAsia" w:cs="Times New Roman"/>
                <w:b w:val="0"/>
                <w:bCs w:val="0"/>
                <w:snapToGrid w:val="0"/>
                <w:color w:val="auto"/>
                <w:sz w:val="24"/>
                <w:szCs w:val="24"/>
                <w:lang w:val="en-US" w:eastAsia="zh-CN"/>
              </w:rPr>
              <w:t>1200kg</w:t>
            </w:r>
            <w:r>
              <w:rPr>
                <w:rFonts w:hint="eastAsia" w:cs="Times New Roman"/>
                <w:b w:val="0"/>
                <w:bCs w:val="0"/>
                <w:snapToGrid w:val="0"/>
                <w:color w:val="auto"/>
                <w:sz w:val="24"/>
                <w:szCs w:val="24"/>
                <w:lang w:eastAsia="zh-CN"/>
              </w:rPr>
              <w:t>，</w:t>
            </w:r>
            <w:r>
              <w:rPr>
                <w:rFonts w:hint="eastAsia" w:cs="Times New Roman"/>
                <w:b w:val="0"/>
                <w:bCs w:val="0"/>
                <w:snapToGrid w:val="0"/>
                <w:color w:val="auto"/>
                <w:sz w:val="24"/>
                <w:szCs w:val="24"/>
                <w:lang w:val="en-US" w:eastAsia="zh-CN"/>
              </w:rPr>
              <w:t>日常为保持活性炭的效率，该装置保持定期更换，按3个月更换一次的频率计算，项目废活性炭产生量为</w:t>
            </w:r>
            <w:r>
              <w:rPr>
                <w:rFonts w:hint="eastAsia" w:cs="Times New Roman"/>
                <w:b w:val="0"/>
                <w:bCs w:val="0"/>
                <w:snapToGrid w:val="0"/>
                <w:color w:val="auto"/>
                <w:sz w:val="24"/>
                <w:szCs w:val="24"/>
                <w:lang w:val="en-US" w:eastAsia="zh-CN"/>
              </w:rPr>
              <w:t>4.8t/a</w:t>
            </w:r>
            <w:r>
              <w:rPr>
                <w:rFonts w:hint="eastAsia" w:cs="Times New Roman"/>
                <w:b w:val="0"/>
                <w:bCs w:val="0"/>
                <w:snapToGrid w:val="0"/>
                <w:color w:val="auto"/>
                <w:sz w:val="24"/>
                <w:szCs w:val="24"/>
                <w:lang w:eastAsia="zh-CN"/>
              </w:rPr>
              <w:t>。</w:t>
            </w:r>
            <w:r>
              <w:rPr>
                <w:rFonts w:hint="eastAsia" w:cs="Times New Roman"/>
                <w:b w:val="0"/>
                <w:bCs w:val="0"/>
                <w:snapToGrid w:val="0"/>
                <w:color w:val="auto"/>
                <w:sz w:val="24"/>
                <w:szCs w:val="24"/>
                <w:lang w:eastAsia="zh-CN"/>
              </w:rPr>
              <w:t>每季度进行</w:t>
            </w:r>
            <w:r>
              <w:rPr>
                <w:rFonts w:hint="eastAsia" w:cs="Times New Roman"/>
                <w:b w:val="0"/>
                <w:bCs w:val="0"/>
                <w:snapToGrid w:val="0"/>
                <w:color w:val="auto"/>
                <w:sz w:val="24"/>
                <w:szCs w:val="24"/>
                <w:lang w:eastAsia="zh-CN"/>
              </w:rPr>
              <w:t>出口浓度检测，若效率下降20%以上，立即更换，</w:t>
            </w:r>
            <w:r>
              <w:rPr>
                <w:rFonts w:hint="eastAsia" w:cs="Times New Roman"/>
                <w:b w:val="0"/>
                <w:bCs w:val="0"/>
                <w:snapToGrid w:val="0"/>
                <w:color w:val="auto"/>
                <w:sz w:val="24"/>
                <w:szCs w:val="24"/>
                <w:lang w:val="en-US" w:eastAsia="zh-CN"/>
              </w:rPr>
              <w:t>保证</w:t>
            </w:r>
            <w:r>
              <w:rPr>
                <w:rFonts w:hint="eastAsia" w:cs="Times New Roman"/>
                <w:b w:val="0"/>
                <w:bCs w:val="0"/>
                <w:snapToGrid w:val="0"/>
                <w:color w:val="auto"/>
                <w:sz w:val="24"/>
                <w:szCs w:val="24"/>
                <w:lang w:eastAsia="zh-CN"/>
              </w:rPr>
              <w:t>活性炭吸附设备</w:t>
            </w:r>
            <w:r>
              <w:rPr>
                <w:rFonts w:hint="eastAsia" w:cs="Times New Roman"/>
                <w:b w:val="0"/>
                <w:bCs w:val="0"/>
                <w:snapToGrid w:val="0"/>
                <w:color w:val="auto"/>
                <w:sz w:val="24"/>
                <w:szCs w:val="24"/>
                <w:lang w:val="en-US" w:eastAsia="zh-CN"/>
              </w:rPr>
              <w:t>内</w:t>
            </w:r>
            <w:r>
              <w:rPr>
                <w:rFonts w:hint="eastAsia" w:cs="Times New Roman"/>
                <w:b w:val="0"/>
                <w:bCs w:val="0"/>
                <w:snapToGrid w:val="0"/>
                <w:color w:val="auto"/>
                <w:sz w:val="24"/>
                <w:szCs w:val="24"/>
                <w:lang w:eastAsia="zh-CN"/>
              </w:rPr>
              <w:t>配置</w:t>
            </w:r>
            <w:r>
              <w:rPr>
                <w:rFonts w:hint="eastAsia" w:cs="Times New Roman"/>
                <w:b w:val="0"/>
                <w:bCs w:val="0"/>
                <w:snapToGrid w:val="0"/>
                <w:color w:val="auto"/>
                <w:sz w:val="24"/>
                <w:szCs w:val="24"/>
                <w:lang w:val="en-US" w:eastAsia="zh-CN"/>
              </w:rPr>
              <w:t>干式过滤棉。日常需如实记录活性炭填充量、更换时间、废炭重量及转移信息，保留转移联单，台账保存期限不得少于5年。</w:t>
            </w:r>
            <w:r>
              <w:rPr>
                <w:rFonts w:hint="default" w:ascii="Times New Roman" w:hAnsi="Times New Roman" w:eastAsia="宋体" w:cs="Times New Roman"/>
                <w:b w:val="0"/>
                <w:bCs w:val="0"/>
                <w:snapToGrid w:val="0"/>
                <w:color w:val="auto"/>
                <w:sz w:val="24"/>
                <w:szCs w:val="24"/>
              </w:rPr>
              <w:t>根据《国家危险废物名录》（20</w:t>
            </w:r>
            <w:r>
              <w:rPr>
                <w:rFonts w:hint="eastAsia" w:ascii="Times New Roman" w:hAnsi="Times New Roman" w:eastAsia="宋体" w:cs="Times New Roman"/>
                <w:b w:val="0"/>
                <w:bCs w:val="0"/>
                <w:snapToGrid w:val="0"/>
                <w:color w:val="auto"/>
                <w:sz w:val="24"/>
                <w:szCs w:val="24"/>
              </w:rPr>
              <w:t>2</w:t>
            </w:r>
            <w:r>
              <w:rPr>
                <w:rFonts w:hint="eastAsia" w:ascii="Times New Roman" w:hAnsi="Times New Roman" w:eastAsia="宋体" w:cs="Times New Roman"/>
                <w:b w:val="0"/>
                <w:bCs w:val="0"/>
                <w:snapToGrid w:val="0"/>
                <w:color w:val="auto"/>
                <w:sz w:val="24"/>
                <w:szCs w:val="24"/>
                <w:lang w:val="en-US" w:eastAsia="zh-CN"/>
              </w:rPr>
              <w:t>5</w:t>
            </w:r>
            <w:r>
              <w:rPr>
                <w:rFonts w:hint="default" w:ascii="Times New Roman" w:hAnsi="Times New Roman" w:eastAsia="宋体" w:cs="Times New Roman"/>
                <w:b w:val="0"/>
                <w:bCs w:val="0"/>
                <w:snapToGrid w:val="0"/>
                <w:color w:val="auto"/>
                <w:sz w:val="24"/>
                <w:szCs w:val="24"/>
              </w:rPr>
              <w:t>年</w:t>
            </w:r>
            <w:r>
              <w:rPr>
                <w:rFonts w:hint="eastAsia" w:ascii="Times New Roman" w:hAnsi="Times New Roman" w:eastAsia="宋体" w:cs="Times New Roman"/>
                <w:b w:val="0"/>
                <w:bCs w:val="0"/>
                <w:snapToGrid w:val="0"/>
                <w:color w:val="auto"/>
                <w:sz w:val="24"/>
                <w:szCs w:val="24"/>
                <w:lang w:val="en-US" w:eastAsia="zh-CN"/>
              </w:rPr>
              <w:t>版</w:t>
            </w:r>
            <w:r>
              <w:rPr>
                <w:rFonts w:hint="default" w:ascii="Times New Roman" w:hAnsi="Times New Roman" w:eastAsia="宋体" w:cs="Times New Roman"/>
                <w:b w:val="0"/>
                <w:bCs w:val="0"/>
                <w:snapToGrid w:val="0"/>
                <w:color w:val="auto"/>
                <w:sz w:val="24"/>
                <w:szCs w:val="24"/>
              </w:rPr>
              <w:t>），该固废属于HW49其他废物</w:t>
            </w:r>
            <w:r>
              <w:rPr>
                <w:rFonts w:hint="eastAsia" w:ascii="Times New Roman" w:hAnsi="Times New Roman" w:eastAsia="宋体" w:cs="Times New Roman"/>
                <w:b w:val="0"/>
                <w:bCs w:val="0"/>
                <w:snapToGrid w:val="0"/>
                <w:color w:val="auto"/>
                <w:sz w:val="24"/>
                <w:szCs w:val="24"/>
                <w:lang w:eastAsia="zh-CN"/>
              </w:rPr>
              <w:t>，</w:t>
            </w:r>
            <w:r>
              <w:rPr>
                <w:rFonts w:hint="eastAsia" w:ascii="Times New Roman" w:hAnsi="Times New Roman" w:eastAsia="宋体" w:cs="Times New Roman"/>
                <w:b w:val="0"/>
                <w:bCs w:val="0"/>
                <w:snapToGrid w:val="0"/>
                <w:color w:val="auto"/>
                <w:sz w:val="24"/>
                <w:szCs w:val="24"/>
              </w:rPr>
              <w:t>废物代码</w:t>
            </w:r>
            <w:r>
              <w:rPr>
                <w:rFonts w:hint="eastAsia" w:ascii="Times New Roman" w:hAnsi="Times New Roman" w:eastAsia="宋体" w:cs="Times New Roman"/>
                <w:b w:val="0"/>
                <w:bCs w:val="0"/>
                <w:snapToGrid w:val="0"/>
                <w:color w:val="auto"/>
                <w:sz w:val="24"/>
                <w:szCs w:val="24"/>
                <w:lang w:val="en-US" w:eastAsia="zh-CN"/>
              </w:rPr>
              <w:t>900-039-49：烟气、VOCs 治理过程（不包括餐饮行业油烟治理过程）产生的废活性炭，化学原料和化学制品脱色（不包括有机合成食品添加剂脱色）、除杂、净化过程产生的废活性炭</w:t>
            </w:r>
            <w:r>
              <w:rPr>
                <w:rFonts w:hint="default" w:ascii="Times New Roman" w:hAnsi="Times New Roman" w:eastAsia="宋体" w:cs="Times New Roman"/>
                <w:b w:val="0"/>
                <w:bCs w:val="0"/>
                <w:snapToGrid w:val="0"/>
                <w:color w:val="auto"/>
                <w:sz w:val="24"/>
                <w:szCs w:val="24"/>
              </w:rPr>
              <w:t>，应按照危险废物处理；废</w:t>
            </w:r>
            <w:r>
              <w:rPr>
                <w:rFonts w:hint="eastAsia" w:ascii="Times New Roman" w:hAnsi="Times New Roman" w:eastAsia="宋体" w:cs="Times New Roman"/>
                <w:b w:val="0"/>
                <w:bCs w:val="0"/>
                <w:snapToGrid w:val="0"/>
                <w:color w:val="auto"/>
                <w:sz w:val="24"/>
                <w:szCs w:val="24"/>
                <w:lang w:val="en-US" w:eastAsia="zh-CN"/>
              </w:rPr>
              <w:t>活性炭暂存于危废暂存区内，</w:t>
            </w:r>
            <w:r>
              <w:rPr>
                <w:rFonts w:hint="default" w:ascii="Times New Roman" w:hAnsi="Times New Roman" w:eastAsia="宋体" w:cs="Times New Roman"/>
                <w:b w:val="0"/>
                <w:bCs w:val="0"/>
                <w:snapToGrid w:val="0"/>
                <w:color w:val="auto"/>
                <w:sz w:val="24"/>
                <w:szCs w:val="24"/>
              </w:rPr>
              <w:t>定期由</w:t>
            </w:r>
            <w:r>
              <w:rPr>
                <w:rFonts w:hint="eastAsia" w:ascii="Times New Roman" w:hAnsi="Times New Roman" w:eastAsia="宋体"/>
                <w:color w:val="auto"/>
                <w:sz w:val="24"/>
                <w:szCs w:val="24"/>
                <w:highlight w:val="none"/>
                <w:lang w:val="en-US" w:eastAsia="zh-CN"/>
              </w:rPr>
              <w:t>柳州金太阳工业废物处置有限公司</w:t>
            </w:r>
            <w:r>
              <w:rPr>
                <w:rFonts w:hint="default" w:ascii="Times New Roman" w:hAnsi="Times New Roman" w:eastAsia="宋体" w:cs="Times New Roman"/>
                <w:b w:val="0"/>
                <w:bCs w:val="0"/>
                <w:snapToGrid w:val="0"/>
                <w:color w:val="auto"/>
                <w:sz w:val="24"/>
                <w:szCs w:val="24"/>
              </w:rPr>
              <w:t>处理</w:t>
            </w:r>
            <w:r>
              <w:rPr>
                <w:rFonts w:hint="eastAsia" w:ascii="Times New Roman" w:hAnsi="Times New Roman" w:cs="Times New Roman"/>
                <w:b w:val="0"/>
                <w:bCs w:val="0"/>
                <w:snapToGrid w:val="0"/>
                <w:color w:val="auto"/>
                <w:sz w:val="24"/>
                <w:szCs w:val="24"/>
                <w:lang w:eastAsia="zh-CN"/>
              </w:rPr>
              <w:t>。</w:t>
            </w:r>
          </w:p>
          <w:p w14:paraId="2D7D8D1D">
            <w:pPr>
              <w:pStyle w:val="37"/>
              <w:keepLines w:val="0"/>
              <w:pageBreakBefore w:val="0"/>
              <w:kinsoku/>
              <w:wordWrap/>
              <w:topLinePunct w:val="0"/>
              <w:autoSpaceDE/>
              <w:autoSpaceDN/>
              <w:bidi w:val="0"/>
              <w:spacing w:before="0" w:after="0" w:line="500" w:lineRule="exact"/>
              <w:ind w:left="0" w:leftChars="0" w:right="0" w:firstLine="480"/>
              <w:jc w:val="both"/>
              <w:textAlignment w:val="auto"/>
              <w:rPr>
                <w:rFonts w:hint="default" w:cs="宋体"/>
                <w:color w:val="auto"/>
                <w:sz w:val="24"/>
                <w:szCs w:val="24"/>
                <w:lang w:val="en-US" w:eastAsia="zh-CN"/>
              </w:rPr>
            </w:pPr>
            <w:r>
              <w:rPr>
                <w:rFonts w:hint="eastAsia" w:cs="宋体"/>
                <w:color w:val="auto"/>
                <w:sz w:val="24"/>
                <w:szCs w:val="24"/>
                <w:lang w:val="en-US" w:eastAsia="zh-CN"/>
              </w:rPr>
              <w:t>⑫不合格产品</w:t>
            </w:r>
          </w:p>
          <w:p w14:paraId="4D43AE89">
            <w:pPr>
              <w:pStyle w:val="37"/>
              <w:keepLines w:val="0"/>
              <w:pageBreakBefore w:val="0"/>
              <w:kinsoku/>
              <w:wordWrap/>
              <w:topLinePunct w:val="0"/>
              <w:autoSpaceDE/>
              <w:autoSpaceDN/>
              <w:bidi w:val="0"/>
              <w:spacing w:before="0" w:after="0" w:line="500" w:lineRule="exact"/>
              <w:ind w:left="0" w:leftChars="0" w:right="0" w:firstLine="480"/>
              <w:jc w:val="both"/>
              <w:textAlignment w:val="auto"/>
              <w:rPr>
                <w:rFonts w:hint="default" w:cs="宋体"/>
                <w:color w:val="auto"/>
                <w:sz w:val="24"/>
                <w:szCs w:val="24"/>
                <w:lang w:val="en-US" w:eastAsia="zh-CN"/>
              </w:rPr>
            </w:pPr>
            <w:r>
              <w:rPr>
                <w:rFonts w:hint="eastAsia" w:cs="宋体"/>
                <w:color w:val="auto"/>
                <w:sz w:val="24"/>
                <w:szCs w:val="24"/>
                <w:lang w:val="en-US" w:eastAsia="zh-CN"/>
              </w:rPr>
              <w:t>项目机加工工序完成后，对产品进行检验，检验过程中产生的不合格产品，</w:t>
            </w:r>
            <w:r>
              <w:rPr>
                <w:rFonts w:hint="eastAsia"/>
                <w:color w:val="auto"/>
                <w:sz w:val="24"/>
                <w:highlight w:val="none"/>
                <w:u w:val="none"/>
                <w:lang w:eastAsia="zh-CN"/>
              </w:rPr>
              <w:t>根据建设单位提供信息，</w:t>
            </w:r>
            <w:r>
              <w:rPr>
                <w:rFonts w:hint="eastAsia"/>
                <w:color w:val="auto"/>
                <w:sz w:val="24"/>
                <w:highlight w:val="none"/>
                <w:u w:val="none"/>
                <w:lang w:val="en-US" w:eastAsia="zh-CN"/>
              </w:rPr>
              <w:t>不合格产品产生量约500t/a，直接返回生产线重新加工。</w:t>
            </w:r>
          </w:p>
          <w:p w14:paraId="6DE819DD">
            <w:pPr>
              <w:pStyle w:val="37"/>
              <w:keepLines w:val="0"/>
              <w:pageBreakBefore w:val="0"/>
              <w:kinsoku/>
              <w:wordWrap/>
              <w:topLinePunct w:val="0"/>
              <w:autoSpaceDE/>
              <w:autoSpaceDN/>
              <w:bidi w:val="0"/>
              <w:spacing w:before="0" w:after="0" w:line="500" w:lineRule="exact"/>
              <w:ind w:left="0" w:leftChars="0" w:right="0" w:firstLine="480"/>
              <w:jc w:val="both"/>
              <w:textAlignment w:val="auto"/>
              <w:rPr>
                <w:rFonts w:hint="default" w:eastAsia="宋体" w:cs="宋体"/>
                <w:color w:val="auto"/>
                <w:sz w:val="24"/>
                <w:szCs w:val="24"/>
                <w:lang w:val="en-US" w:eastAsia="zh-CN"/>
              </w:rPr>
            </w:pPr>
            <w:r>
              <w:rPr>
                <w:rFonts w:hint="eastAsia" w:cs="宋体"/>
                <w:color w:val="auto"/>
                <w:sz w:val="24"/>
                <w:szCs w:val="24"/>
              </w:rPr>
              <w:t>⑬</w:t>
            </w:r>
            <w:r>
              <w:rPr>
                <w:rFonts w:hint="eastAsia" w:cs="宋体"/>
                <w:color w:val="auto"/>
                <w:sz w:val="24"/>
                <w:szCs w:val="24"/>
                <w:lang w:val="en-US" w:eastAsia="zh-CN"/>
              </w:rPr>
              <w:t>废过滤棉</w:t>
            </w:r>
          </w:p>
          <w:p w14:paraId="3EC593C5">
            <w:pPr>
              <w:pStyle w:val="37"/>
              <w:keepLines w:val="0"/>
              <w:pageBreakBefore w:val="0"/>
              <w:kinsoku/>
              <w:wordWrap/>
              <w:topLinePunct w:val="0"/>
              <w:autoSpaceDE/>
              <w:autoSpaceDN/>
              <w:bidi w:val="0"/>
              <w:spacing w:before="0" w:after="0" w:line="500" w:lineRule="exact"/>
              <w:ind w:left="0" w:leftChars="0" w:right="0" w:firstLine="480"/>
              <w:jc w:val="both"/>
              <w:textAlignment w:val="auto"/>
              <w:rPr>
                <w:rFonts w:hint="eastAsia" w:eastAsia="宋体" w:cs="宋体"/>
                <w:color w:val="auto"/>
                <w:sz w:val="24"/>
                <w:szCs w:val="24"/>
                <w:lang w:eastAsia="zh-CN"/>
              </w:rPr>
            </w:pPr>
            <w:r>
              <w:rPr>
                <w:rFonts w:hint="eastAsia" w:cs="宋体"/>
                <w:color w:val="auto"/>
                <w:sz w:val="24"/>
                <w:szCs w:val="24"/>
              </w:rPr>
              <w:t>项目废气经</w:t>
            </w:r>
            <w:r>
              <w:rPr>
                <w:rFonts w:hint="eastAsia" w:cs="宋体"/>
                <w:color w:val="auto"/>
                <w:sz w:val="24"/>
                <w:szCs w:val="24"/>
                <w:lang w:val="en-US" w:eastAsia="zh-CN"/>
              </w:rPr>
              <w:t>水</w:t>
            </w:r>
            <w:r>
              <w:rPr>
                <w:rFonts w:hint="eastAsia" w:cs="宋体"/>
                <w:color w:val="auto"/>
                <w:sz w:val="24"/>
                <w:szCs w:val="24"/>
              </w:rPr>
              <w:t>喷淋后进入活性炭之前需要经过滤棉进行除湿除雾，废过滤棉产生量约</w:t>
            </w:r>
            <w:r>
              <w:rPr>
                <w:rFonts w:hint="eastAsia" w:cs="宋体"/>
                <w:color w:val="auto"/>
                <w:sz w:val="24"/>
                <w:szCs w:val="24"/>
                <w:lang w:val="en-US" w:eastAsia="zh-CN"/>
              </w:rPr>
              <w:t>0.5</w:t>
            </w:r>
            <w:r>
              <w:rPr>
                <w:rFonts w:hint="eastAsia" w:cs="宋体"/>
                <w:color w:val="auto"/>
                <w:sz w:val="24"/>
                <w:szCs w:val="24"/>
              </w:rPr>
              <w:t>t/a，</w:t>
            </w:r>
            <w:r>
              <w:rPr>
                <w:rFonts w:hint="default" w:ascii="Times New Roman" w:hAnsi="Times New Roman" w:eastAsia="宋体" w:cs="Times New Roman"/>
                <w:b w:val="0"/>
                <w:bCs w:val="0"/>
                <w:snapToGrid w:val="0"/>
                <w:color w:val="auto"/>
                <w:sz w:val="24"/>
                <w:szCs w:val="24"/>
              </w:rPr>
              <w:t>根据《国家危险废物名录》（20</w:t>
            </w:r>
            <w:r>
              <w:rPr>
                <w:rFonts w:hint="eastAsia" w:ascii="Times New Roman" w:hAnsi="Times New Roman" w:eastAsia="宋体" w:cs="Times New Roman"/>
                <w:b w:val="0"/>
                <w:bCs w:val="0"/>
                <w:snapToGrid w:val="0"/>
                <w:color w:val="auto"/>
                <w:sz w:val="24"/>
                <w:szCs w:val="24"/>
              </w:rPr>
              <w:t>2</w:t>
            </w:r>
            <w:r>
              <w:rPr>
                <w:rFonts w:hint="eastAsia" w:ascii="Times New Roman" w:hAnsi="Times New Roman" w:eastAsia="宋体" w:cs="Times New Roman"/>
                <w:b w:val="0"/>
                <w:bCs w:val="0"/>
                <w:snapToGrid w:val="0"/>
                <w:color w:val="auto"/>
                <w:sz w:val="24"/>
                <w:szCs w:val="24"/>
                <w:lang w:val="en-US" w:eastAsia="zh-CN"/>
              </w:rPr>
              <w:t>5</w:t>
            </w:r>
            <w:r>
              <w:rPr>
                <w:rFonts w:hint="default" w:ascii="Times New Roman" w:hAnsi="Times New Roman" w:eastAsia="宋体" w:cs="Times New Roman"/>
                <w:b w:val="0"/>
                <w:bCs w:val="0"/>
                <w:snapToGrid w:val="0"/>
                <w:color w:val="auto"/>
                <w:sz w:val="24"/>
                <w:szCs w:val="24"/>
              </w:rPr>
              <w:t>年</w:t>
            </w:r>
            <w:r>
              <w:rPr>
                <w:rFonts w:hint="eastAsia" w:ascii="Times New Roman" w:hAnsi="Times New Roman" w:eastAsia="宋体" w:cs="Times New Roman"/>
                <w:b w:val="0"/>
                <w:bCs w:val="0"/>
                <w:snapToGrid w:val="0"/>
                <w:color w:val="auto"/>
                <w:sz w:val="24"/>
                <w:szCs w:val="24"/>
                <w:lang w:val="en-US" w:eastAsia="zh-CN"/>
              </w:rPr>
              <w:t>版</w:t>
            </w:r>
            <w:r>
              <w:rPr>
                <w:rFonts w:hint="default" w:ascii="Times New Roman" w:hAnsi="Times New Roman" w:eastAsia="宋体" w:cs="Times New Roman"/>
                <w:b w:val="0"/>
                <w:bCs w:val="0"/>
                <w:snapToGrid w:val="0"/>
                <w:color w:val="auto"/>
                <w:sz w:val="24"/>
                <w:szCs w:val="24"/>
              </w:rPr>
              <w:t>），该固废属于HW49其他废物</w:t>
            </w:r>
            <w:r>
              <w:rPr>
                <w:rFonts w:hint="eastAsia" w:ascii="Times New Roman" w:hAnsi="Times New Roman" w:eastAsia="宋体" w:cs="Times New Roman"/>
                <w:b w:val="0"/>
                <w:bCs w:val="0"/>
                <w:snapToGrid w:val="0"/>
                <w:color w:val="auto"/>
                <w:sz w:val="24"/>
                <w:szCs w:val="24"/>
                <w:lang w:eastAsia="zh-CN"/>
              </w:rPr>
              <w:t>，</w:t>
            </w:r>
            <w:r>
              <w:rPr>
                <w:rFonts w:hint="eastAsia" w:ascii="Times New Roman" w:hAnsi="Times New Roman" w:eastAsia="宋体" w:cs="Times New Roman"/>
                <w:b w:val="0"/>
                <w:bCs w:val="0"/>
                <w:snapToGrid w:val="0"/>
                <w:color w:val="auto"/>
                <w:sz w:val="24"/>
                <w:szCs w:val="24"/>
              </w:rPr>
              <w:t>废物代码</w:t>
            </w:r>
            <w:r>
              <w:rPr>
                <w:rFonts w:hint="eastAsia" w:ascii="Times New Roman" w:hAnsi="Times New Roman" w:eastAsia="宋体" w:cs="Times New Roman"/>
                <w:b w:val="0"/>
                <w:bCs w:val="0"/>
                <w:snapToGrid w:val="0"/>
                <w:color w:val="auto"/>
                <w:sz w:val="24"/>
                <w:szCs w:val="24"/>
                <w:lang w:val="en-US" w:eastAsia="zh-CN"/>
              </w:rPr>
              <w:t>900-041-49：含有或者沾染毒性、感染性危险废物的废弃的包装物、容器、过滤吸附介质</w:t>
            </w:r>
            <w:r>
              <w:rPr>
                <w:rFonts w:hint="default" w:ascii="Times New Roman" w:hAnsi="Times New Roman" w:eastAsia="宋体" w:cs="Times New Roman"/>
                <w:b w:val="0"/>
                <w:bCs w:val="0"/>
                <w:snapToGrid w:val="0"/>
                <w:color w:val="auto"/>
                <w:sz w:val="24"/>
                <w:szCs w:val="24"/>
              </w:rPr>
              <w:t>，应按照危险废物处理；</w:t>
            </w:r>
            <w:r>
              <w:rPr>
                <w:rFonts w:hint="eastAsia" w:cs="宋体"/>
                <w:color w:val="auto"/>
                <w:sz w:val="24"/>
                <w:szCs w:val="24"/>
                <w:lang w:val="en-US" w:eastAsia="zh-CN"/>
              </w:rPr>
              <w:t>废过滤棉</w:t>
            </w:r>
            <w:r>
              <w:rPr>
                <w:rFonts w:hint="eastAsia" w:ascii="Times New Roman" w:hAnsi="Times New Roman" w:eastAsia="宋体" w:cs="Times New Roman"/>
                <w:b w:val="0"/>
                <w:bCs w:val="0"/>
                <w:snapToGrid w:val="0"/>
                <w:color w:val="auto"/>
                <w:sz w:val="24"/>
                <w:szCs w:val="24"/>
                <w:lang w:val="en-US" w:eastAsia="zh-CN"/>
              </w:rPr>
              <w:t>暂存于危废暂存区内，</w:t>
            </w:r>
            <w:r>
              <w:rPr>
                <w:rFonts w:hint="default" w:ascii="Times New Roman" w:hAnsi="Times New Roman" w:eastAsia="宋体" w:cs="Times New Roman"/>
                <w:b w:val="0"/>
                <w:bCs w:val="0"/>
                <w:snapToGrid w:val="0"/>
                <w:color w:val="auto"/>
                <w:sz w:val="24"/>
                <w:szCs w:val="24"/>
              </w:rPr>
              <w:t>定期由</w:t>
            </w:r>
            <w:r>
              <w:rPr>
                <w:rFonts w:hint="eastAsia" w:ascii="Times New Roman" w:hAnsi="Times New Roman" w:eastAsia="宋体"/>
                <w:color w:val="auto"/>
                <w:sz w:val="24"/>
                <w:szCs w:val="24"/>
                <w:highlight w:val="none"/>
                <w:lang w:val="en-US" w:eastAsia="zh-CN"/>
              </w:rPr>
              <w:t>柳州金太阳工业废物处置有限公司</w:t>
            </w:r>
            <w:r>
              <w:rPr>
                <w:rFonts w:hint="default" w:ascii="Times New Roman" w:hAnsi="Times New Roman" w:eastAsia="宋体" w:cs="Times New Roman"/>
                <w:b w:val="0"/>
                <w:bCs w:val="0"/>
                <w:snapToGrid w:val="0"/>
                <w:color w:val="auto"/>
                <w:sz w:val="24"/>
                <w:szCs w:val="24"/>
              </w:rPr>
              <w:t>处理</w:t>
            </w:r>
            <w:r>
              <w:rPr>
                <w:rFonts w:hint="eastAsia" w:cs="宋体"/>
                <w:color w:val="auto"/>
                <w:sz w:val="24"/>
                <w:szCs w:val="24"/>
                <w:lang w:eastAsia="zh-CN"/>
              </w:rPr>
              <w:t>。</w:t>
            </w:r>
          </w:p>
          <w:p w14:paraId="4D73EB38">
            <w:pPr>
              <w:pStyle w:val="37"/>
              <w:keepLines w:val="0"/>
              <w:pageBreakBefore w:val="0"/>
              <w:kinsoku/>
              <w:wordWrap/>
              <w:topLinePunct w:val="0"/>
              <w:autoSpaceDE/>
              <w:autoSpaceDN/>
              <w:bidi w:val="0"/>
              <w:spacing w:before="0" w:after="0" w:line="500" w:lineRule="exact"/>
              <w:ind w:left="0" w:leftChars="0" w:right="0" w:firstLine="480"/>
              <w:jc w:val="both"/>
              <w:textAlignment w:val="auto"/>
              <w:rPr>
                <w:rFonts w:hint="default" w:eastAsia="宋体" w:cs="宋体"/>
                <w:color w:val="auto"/>
                <w:sz w:val="24"/>
                <w:szCs w:val="24"/>
                <w:lang w:val="en-US" w:eastAsia="zh-CN"/>
              </w:rPr>
            </w:pPr>
            <w:r>
              <w:rPr>
                <w:rFonts w:hint="eastAsia" w:cs="宋体"/>
                <w:color w:val="auto"/>
                <w:sz w:val="24"/>
                <w:szCs w:val="24"/>
              </w:rPr>
              <w:t>⑭</w:t>
            </w:r>
            <w:r>
              <w:rPr>
                <w:rFonts w:hint="eastAsia" w:cs="宋体"/>
                <w:color w:val="auto"/>
                <w:sz w:val="24"/>
                <w:szCs w:val="24"/>
                <w:lang w:val="en-US" w:eastAsia="zh-CN"/>
              </w:rPr>
              <w:t>喷粉废料</w:t>
            </w:r>
          </w:p>
          <w:p w14:paraId="52F82FD6">
            <w:pPr>
              <w:pStyle w:val="37"/>
              <w:keepLines w:val="0"/>
              <w:pageBreakBefore w:val="0"/>
              <w:kinsoku/>
              <w:wordWrap/>
              <w:topLinePunct w:val="0"/>
              <w:autoSpaceDE/>
              <w:autoSpaceDN/>
              <w:bidi w:val="0"/>
              <w:spacing w:before="0" w:after="0" w:line="500" w:lineRule="exact"/>
              <w:ind w:left="0" w:leftChars="0" w:right="0" w:firstLine="480"/>
              <w:jc w:val="both"/>
              <w:textAlignment w:val="auto"/>
              <w:rPr>
                <w:rFonts w:hint="default" w:cs="宋体"/>
                <w:color w:val="auto"/>
                <w:sz w:val="24"/>
                <w:szCs w:val="24"/>
                <w:lang w:val="en-US"/>
              </w:rPr>
            </w:pPr>
            <w:r>
              <w:rPr>
                <w:rFonts w:hint="eastAsia" w:ascii="Times New Roman" w:hAnsi="Times New Roman" w:eastAsia="宋体" w:cs="Times New Roman"/>
                <w:b w:val="0"/>
                <w:bCs w:val="0"/>
                <w:snapToGrid w:val="0"/>
                <w:color w:val="auto"/>
                <w:sz w:val="24"/>
                <w:szCs w:val="24"/>
                <w:lang w:val="en-US" w:eastAsia="zh-CN"/>
              </w:rPr>
              <w:t>项目</w:t>
            </w:r>
            <w:r>
              <w:rPr>
                <w:rFonts w:hint="eastAsia" w:ascii="Times New Roman" w:hAnsi="Times New Roman" w:cs="Times New Roman"/>
                <w:b w:val="0"/>
                <w:bCs w:val="0"/>
                <w:snapToGrid w:val="0"/>
                <w:color w:val="auto"/>
                <w:sz w:val="24"/>
                <w:szCs w:val="24"/>
                <w:lang w:val="en-US" w:eastAsia="zh-CN"/>
              </w:rPr>
              <w:t>喷粉</w:t>
            </w:r>
            <w:r>
              <w:rPr>
                <w:rFonts w:hint="eastAsia" w:ascii="Times New Roman" w:hAnsi="Times New Roman" w:eastAsia="宋体" w:cs="Times New Roman"/>
                <w:b w:val="0"/>
                <w:bCs w:val="0"/>
                <w:snapToGrid w:val="0"/>
                <w:color w:val="auto"/>
                <w:sz w:val="24"/>
                <w:szCs w:val="24"/>
                <w:lang w:val="en-US" w:eastAsia="zh-CN"/>
              </w:rPr>
              <w:t>工序会产生</w:t>
            </w:r>
            <w:r>
              <w:rPr>
                <w:rFonts w:hint="eastAsia" w:ascii="Times New Roman" w:hAnsi="Times New Roman" w:cs="Times New Roman"/>
                <w:b w:val="0"/>
                <w:bCs w:val="0"/>
                <w:snapToGrid w:val="0"/>
                <w:color w:val="auto"/>
                <w:sz w:val="24"/>
                <w:szCs w:val="24"/>
                <w:lang w:val="en-US" w:eastAsia="zh-CN"/>
              </w:rPr>
              <w:t>废料</w:t>
            </w:r>
            <w:r>
              <w:rPr>
                <w:rFonts w:hint="eastAsia" w:ascii="Times New Roman" w:hAnsi="Times New Roman" w:eastAsia="宋体" w:cs="Times New Roman"/>
                <w:b w:val="0"/>
                <w:bCs w:val="0"/>
                <w:snapToGrid w:val="0"/>
                <w:color w:val="auto"/>
                <w:sz w:val="24"/>
                <w:szCs w:val="24"/>
                <w:lang w:val="en-US" w:eastAsia="zh-CN"/>
              </w:rPr>
              <w:t>，根据</w:t>
            </w:r>
            <w:r>
              <w:rPr>
                <w:rFonts w:hint="eastAsia" w:cs="Times New Roman"/>
                <w:b w:val="0"/>
                <w:bCs w:val="0"/>
                <w:snapToGrid w:val="0"/>
                <w:color w:val="auto"/>
                <w:sz w:val="24"/>
                <w:szCs w:val="24"/>
                <w:lang w:val="en-US" w:eastAsia="zh-CN"/>
              </w:rPr>
              <w:t>前文涂料平衡，</w:t>
            </w:r>
            <w:r>
              <w:rPr>
                <w:rFonts w:hint="eastAsia" w:ascii="Times New Roman" w:hAnsi="Times New Roman" w:eastAsia="宋体" w:cs="Times New Roman"/>
                <w:b w:val="0"/>
                <w:bCs w:val="0"/>
                <w:snapToGrid w:val="0"/>
                <w:color w:val="auto"/>
                <w:sz w:val="24"/>
                <w:szCs w:val="24"/>
                <w:lang w:val="en-US" w:eastAsia="zh-CN"/>
              </w:rPr>
              <w:t>项目</w:t>
            </w:r>
            <w:r>
              <w:rPr>
                <w:rFonts w:hint="eastAsia" w:ascii="Times New Roman" w:hAnsi="Times New Roman" w:cs="Times New Roman"/>
                <w:b w:val="0"/>
                <w:bCs w:val="0"/>
                <w:snapToGrid w:val="0"/>
                <w:color w:val="auto"/>
                <w:sz w:val="24"/>
                <w:szCs w:val="24"/>
                <w:lang w:val="en-US" w:eastAsia="zh-CN"/>
              </w:rPr>
              <w:t>喷粉废料产</w:t>
            </w:r>
            <w:r>
              <w:rPr>
                <w:rFonts w:hint="eastAsia" w:ascii="Times New Roman" w:hAnsi="Times New Roman" w:eastAsia="宋体" w:cs="Times New Roman"/>
                <w:b w:val="0"/>
                <w:bCs w:val="0"/>
                <w:snapToGrid w:val="0"/>
                <w:color w:val="auto"/>
                <w:sz w:val="24"/>
                <w:szCs w:val="24"/>
                <w:lang w:val="en-US" w:eastAsia="zh-CN"/>
              </w:rPr>
              <w:t>生量约</w:t>
            </w:r>
            <w:r>
              <w:rPr>
                <w:rFonts w:hint="eastAsia" w:cs="Times New Roman"/>
                <w:b w:val="0"/>
                <w:bCs w:val="0"/>
                <w:snapToGrid w:val="0"/>
                <w:color w:val="auto"/>
                <w:sz w:val="24"/>
                <w:szCs w:val="24"/>
                <w:lang w:val="en-US" w:eastAsia="zh-CN"/>
              </w:rPr>
              <w:t>0.63</w:t>
            </w:r>
            <w:r>
              <w:rPr>
                <w:rFonts w:hint="eastAsia" w:ascii="Times New Roman" w:hAnsi="Times New Roman" w:eastAsia="宋体" w:cs="Times New Roman"/>
                <w:b w:val="0"/>
                <w:bCs w:val="0"/>
                <w:snapToGrid w:val="0"/>
                <w:color w:val="auto"/>
                <w:sz w:val="24"/>
                <w:szCs w:val="24"/>
                <w:lang w:val="en-US" w:eastAsia="zh-CN"/>
              </w:rPr>
              <w:t>t/a，</w:t>
            </w:r>
            <w:r>
              <w:rPr>
                <w:rFonts w:hint="eastAsia" w:ascii="Times New Roman" w:hAnsi="Times New Roman" w:cs="Times New Roman"/>
                <w:b w:val="0"/>
                <w:bCs w:val="0"/>
                <w:snapToGrid w:val="0"/>
                <w:color w:val="auto"/>
                <w:sz w:val="24"/>
                <w:szCs w:val="24"/>
                <w:lang w:val="en-US" w:eastAsia="zh-CN"/>
              </w:rPr>
              <w:t>集中收集后外售处理。</w:t>
            </w:r>
          </w:p>
          <w:p w14:paraId="2BA08162">
            <w:pPr>
              <w:pStyle w:val="37"/>
              <w:keepLines w:val="0"/>
              <w:pageBreakBefore w:val="0"/>
              <w:kinsoku/>
              <w:wordWrap/>
              <w:topLinePunct w:val="0"/>
              <w:autoSpaceDE/>
              <w:autoSpaceDN/>
              <w:bidi w:val="0"/>
              <w:spacing w:before="0" w:after="0" w:line="500" w:lineRule="exact"/>
              <w:ind w:left="0" w:leftChars="0" w:right="0" w:firstLine="480"/>
              <w:jc w:val="both"/>
              <w:textAlignment w:val="auto"/>
              <w:rPr>
                <w:rFonts w:hint="eastAsia" w:cs="宋体"/>
                <w:color w:val="auto"/>
                <w:sz w:val="24"/>
                <w:szCs w:val="24"/>
              </w:rPr>
            </w:pPr>
            <w:r>
              <w:rPr>
                <w:rFonts w:hint="eastAsia" w:cs="宋体"/>
                <w:color w:val="auto"/>
                <w:sz w:val="24"/>
                <w:szCs w:val="24"/>
              </w:rPr>
              <w:t>⑮生活垃圾</w:t>
            </w:r>
          </w:p>
          <w:p w14:paraId="5B54D47F">
            <w:pPr>
              <w:pStyle w:val="37"/>
              <w:keepLines w:val="0"/>
              <w:pageBreakBefore w:val="0"/>
              <w:kinsoku/>
              <w:wordWrap/>
              <w:topLinePunct w:val="0"/>
              <w:autoSpaceDE/>
              <w:autoSpaceDN/>
              <w:bidi w:val="0"/>
              <w:spacing w:before="0" w:after="0" w:line="500" w:lineRule="exact"/>
              <w:ind w:left="0" w:leftChars="0" w:right="0" w:firstLine="480"/>
              <w:jc w:val="both"/>
              <w:textAlignment w:val="auto"/>
              <w:rPr>
                <w:rFonts w:hint="eastAsia" w:eastAsia="宋体" w:cs="宋体"/>
                <w:color w:val="auto"/>
                <w:sz w:val="24"/>
                <w:szCs w:val="24"/>
                <w:lang w:eastAsia="zh-CN" w:bidi="ar"/>
              </w:rPr>
            </w:pPr>
            <w:r>
              <w:rPr>
                <w:rFonts w:hint="eastAsia" w:ascii="Times New Roman" w:hAnsi="Times New Roman" w:eastAsia="宋体"/>
                <w:color w:val="auto"/>
                <w:sz w:val="24"/>
                <w:lang w:val="en-US" w:eastAsia="zh-CN"/>
              </w:rPr>
              <w:t>项目劳动定员</w:t>
            </w:r>
            <w:r>
              <w:rPr>
                <w:rFonts w:hint="eastAsia"/>
                <w:color w:val="auto"/>
                <w:sz w:val="24"/>
                <w:lang w:val="en-US" w:eastAsia="zh-CN"/>
              </w:rPr>
              <w:t>638</w:t>
            </w:r>
            <w:r>
              <w:rPr>
                <w:rFonts w:hint="eastAsia" w:ascii="Times New Roman" w:hAnsi="Times New Roman" w:eastAsia="宋体"/>
                <w:color w:val="auto"/>
                <w:sz w:val="24"/>
                <w:lang w:val="en-US" w:eastAsia="zh-CN"/>
              </w:rPr>
              <w:t>人，不在场内</w:t>
            </w:r>
            <w:r>
              <w:rPr>
                <w:rFonts w:hint="eastAsia"/>
                <w:color w:val="auto"/>
                <w:sz w:val="24"/>
                <w:lang w:val="en-US" w:eastAsia="zh-CN"/>
              </w:rPr>
              <w:t>住</w:t>
            </w:r>
            <w:r>
              <w:rPr>
                <w:rFonts w:hint="eastAsia" w:ascii="Times New Roman" w:hAnsi="Times New Roman" w:eastAsia="宋体"/>
                <w:color w:val="auto"/>
                <w:sz w:val="24"/>
                <w:lang w:val="en-US" w:eastAsia="zh-CN"/>
              </w:rPr>
              <w:t>宿，全年工作</w:t>
            </w:r>
            <w:r>
              <w:rPr>
                <w:rFonts w:hint="eastAsia"/>
                <w:color w:val="auto"/>
                <w:sz w:val="24"/>
                <w:lang w:val="en-US" w:eastAsia="zh-CN"/>
              </w:rPr>
              <w:t>300</w:t>
            </w:r>
            <w:r>
              <w:rPr>
                <w:rFonts w:hint="eastAsia" w:ascii="Times New Roman" w:hAnsi="Times New Roman" w:eastAsia="宋体"/>
                <w:color w:val="auto"/>
                <w:sz w:val="24"/>
                <w:lang w:val="en-US" w:eastAsia="zh-CN"/>
              </w:rPr>
              <w:t>天。生活垃圾产生量不住厂按0.5kg/人·d，则生活垃圾产生量为</w:t>
            </w:r>
            <w:r>
              <w:rPr>
                <w:rFonts w:hint="eastAsia"/>
                <w:color w:val="auto"/>
                <w:sz w:val="24"/>
                <w:lang w:val="en-US" w:eastAsia="zh-CN"/>
              </w:rPr>
              <w:t>95.7</w:t>
            </w:r>
            <w:r>
              <w:rPr>
                <w:rFonts w:hint="eastAsia" w:ascii="Times New Roman" w:hAnsi="Times New Roman" w:eastAsia="宋体"/>
                <w:color w:val="auto"/>
                <w:sz w:val="24"/>
                <w:lang w:val="en-US" w:eastAsia="zh-CN"/>
              </w:rPr>
              <w:t>t/a。生活垃圾集中收集后，交由环卫部门统一清运处理</w:t>
            </w:r>
            <w:r>
              <w:rPr>
                <w:rFonts w:hint="eastAsia" w:cs="宋体"/>
                <w:color w:val="auto"/>
                <w:sz w:val="24"/>
                <w:szCs w:val="24"/>
                <w:lang w:eastAsia="zh-CN" w:bidi="ar"/>
              </w:rPr>
              <w:t>。</w:t>
            </w:r>
          </w:p>
          <w:p w14:paraId="3932CBDA">
            <w:pPr>
              <w:pStyle w:val="37"/>
              <w:keepLines w:val="0"/>
              <w:pageBreakBefore w:val="0"/>
              <w:kinsoku/>
              <w:wordWrap/>
              <w:topLinePunct w:val="0"/>
              <w:autoSpaceDE/>
              <w:autoSpaceDN/>
              <w:bidi w:val="0"/>
              <w:spacing w:before="0" w:after="0" w:line="500" w:lineRule="exact"/>
              <w:ind w:left="0" w:leftChars="0" w:right="0" w:firstLine="480"/>
              <w:jc w:val="both"/>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根据《固体废物分类与代码目录》（公告〔2024年〕第4号）对本项目产生的固废进行判定，结果详见下表：</w:t>
            </w:r>
          </w:p>
          <w:p w14:paraId="0BFCD94D">
            <w:pPr>
              <w:adjustRightInd w:val="0"/>
              <w:snapToGrid w:val="0"/>
              <w:jc w:val="center"/>
              <w:rPr>
                <w:b/>
                <w:color w:val="auto"/>
                <w:szCs w:val="21"/>
                <w:highlight w:val="none"/>
              </w:rPr>
            </w:pPr>
            <w:r>
              <w:rPr>
                <w:b/>
                <w:color w:val="auto"/>
                <w:sz w:val="24"/>
                <w:highlight w:val="none"/>
              </w:rPr>
              <w:t>表4</w:t>
            </w:r>
            <w:r>
              <w:rPr>
                <w:rFonts w:hint="eastAsia"/>
                <w:b/>
                <w:color w:val="auto"/>
                <w:sz w:val="24"/>
                <w:highlight w:val="none"/>
              </w:rPr>
              <w:t>-</w:t>
            </w:r>
            <w:r>
              <w:rPr>
                <w:rFonts w:hint="eastAsia"/>
                <w:b/>
                <w:color w:val="auto"/>
                <w:sz w:val="24"/>
                <w:highlight w:val="none"/>
                <w:lang w:val="en-US" w:eastAsia="zh-CN"/>
              </w:rPr>
              <w:t xml:space="preserve">22 </w:t>
            </w:r>
            <w:r>
              <w:rPr>
                <w:b/>
                <w:color w:val="auto"/>
                <w:sz w:val="24"/>
                <w:highlight w:val="none"/>
              </w:rPr>
              <w:t>项目固体废物属性判定一览表</w:t>
            </w:r>
          </w:p>
          <w:tbl>
            <w:tblPr>
              <w:tblStyle w:val="3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979"/>
              <w:gridCol w:w="631"/>
              <w:gridCol w:w="631"/>
              <w:gridCol w:w="631"/>
              <w:gridCol w:w="1165"/>
              <w:gridCol w:w="838"/>
              <w:gridCol w:w="1375"/>
            </w:tblGrid>
            <w:tr w14:paraId="70C2E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pct"/>
                  <w:tcBorders>
                    <w:tl2br w:val="nil"/>
                    <w:tr2bl w:val="nil"/>
                  </w:tcBorders>
                  <w:vAlign w:val="center"/>
                </w:tcPr>
                <w:p w14:paraId="1F086062">
                  <w:pPr>
                    <w:jc w:val="center"/>
                    <w:rPr>
                      <w:color w:val="auto"/>
                      <w:szCs w:val="21"/>
                      <w:highlight w:val="none"/>
                    </w:rPr>
                  </w:pPr>
                  <w:r>
                    <w:rPr>
                      <w:color w:val="auto"/>
                      <w:szCs w:val="21"/>
                      <w:highlight w:val="none"/>
                    </w:rPr>
                    <w:t>固废名称</w:t>
                  </w:r>
                </w:p>
              </w:tc>
              <w:tc>
                <w:tcPr>
                  <w:tcW w:w="661" w:type="pct"/>
                  <w:tcBorders>
                    <w:tl2br w:val="nil"/>
                    <w:tr2bl w:val="nil"/>
                  </w:tcBorders>
                  <w:vAlign w:val="center"/>
                </w:tcPr>
                <w:p w14:paraId="10E14FC4">
                  <w:pPr>
                    <w:widowControl/>
                    <w:adjustRightInd w:val="0"/>
                    <w:snapToGrid w:val="0"/>
                    <w:jc w:val="center"/>
                    <w:rPr>
                      <w:color w:val="auto"/>
                      <w:szCs w:val="21"/>
                      <w:highlight w:val="none"/>
                    </w:rPr>
                  </w:pPr>
                  <w:r>
                    <w:rPr>
                      <w:color w:val="auto"/>
                      <w:szCs w:val="21"/>
                      <w:highlight w:val="none"/>
                    </w:rPr>
                    <w:t>产生环节</w:t>
                  </w:r>
                </w:p>
              </w:tc>
              <w:tc>
                <w:tcPr>
                  <w:tcW w:w="426" w:type="pct"/>
                  <w:tcBorders>
                    <w:tl2br w:val="nil"/>
                    <w:tr2bl w:val="nil"/>
                  </w:tcBorders>
                  <w:vAlign w:val="center"/>
                </w:tcPr>
                <w:p w14:paraId="23110523">
                  <w:pPr>
                    <w:widowControl/>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单位</w:t>
                  </w:r>
                </w:p>
              </w:tc>
              <w:tc>
                <w:tcPr>
                  <w:tcW w:w="426" w:type="pct"/>
                  <w:tcBorders>
                    <w:tl2br w:val="nil"/>
                    <w:tr2bl w:val="nil"/>
                  </w:tcBorders>
                  <w:vAlign w:val="center"/>
                </w:tcPr>
                <w:p w14:paraId="4B40198A">
                  <w:pPr>
                    <w:widowControl/>
                    <w:adjustRightInd w:val="0"/>
                    <w:snapToGrid w:val="0"/>
                    <w:jc w:val="center"/>
                    <w:rPr>
                      <w:rFonts w:hint="default"/>
                      <w:color w:val="auto"/>
                      <w:szCs w:val="21"/>
                      <w:highlight w:val="none"/>
                      <w:lang w:val="en-US" w:eastAsia="zh-CN"/>
                    </w:rPr>
                  </w:pPr>
                  <w:r>
                    <w:rPr>
                      <w:rFonts w:hint="eastAsia"/>
                      <w:color w:val="auto"/>
                      <w:szCs w:val="21"/>
                      <w:highlight w:val="none"/>
                      <w:lang w:val="en-US" w:eastAsia="zh-CN"/>
                    </w:rPr>
                    <w:t>数量</w:t>
                  </w:r>
                </w:p>
              </w:tc>
              <w:tc>
                <w:tcPr>
                  <w:tcW w:w="426" w:type="pct"/>
                  <w:tcBorders>
                    <w:tl2br w:val="nil"/>
                    <w:tr2bl w:val="nil"/>
                  </w:tcBorders>
                  <w:vAlign w:val="center"/>
                </w:tcPr>
                <w:p w14:paraId="7CEBB92F">
                  <w:pPr>
                    <w:widowControl/>
                    <w:adjustRightInd w:val="0"/>
                    <w:snapToGrid w:val="0"/>
                    <w:jc w:val="center"/>
                    <w:rPr>
                      <w:color w:val="auto"/>
                      <w:szCs w:val="21"/>
                      <w:highlight w:val="none"/>
                    </w:rPr>
                  </w:pPr>
                  <w:r>
                    <w:rPr>
                      <w:color w:val="auto"/>
                      <w:szCs w:val="21"/>
                      <w:highlight w:val="none"/>
                    </w:rPr>
                    <w:t>形态</w:t>
                  </w:r>
                </w:p>
              </w:tc>
              <w:tc>
                <w:tcPr>
                  <w:tcW w:w="787" w:type="pct"/>
                  <w:tcBorders>
                    <w:tl2br w:val="nil"/>
                    <w:tr2bl w:val="nil"/>
                  </w:tcBorders>
                  <w:vAlign w:val="center"/>
                </w:tcPr>
                <w:p w14:paraId="6CC24C1B">
                  <w:pPr>
                    <w:widowControl/>
                    <w:adjustRightInd w:val="0"/>
                    <w:snapToGrid w:val="0"/>
                    <w:jc w:val="center"/>
                    <w:rPr>
                      <w:color w:val="auto"/>
                      <w:szCs w:val="21"/>
                      <w:highlight w:val="none"/>
                    </w:rPr>
                  </w:pPr>
                  <w:r>
                    <w:rPr>
                      <w:color w:val="auto"/>
                      <w:szCs w:val="21"/>
                      <w:highlight w:val="none"/>
                    </w:rPr>
                    <w:t>主要成分</w:t>
                  </w:r>
                </w:p>
              </w:tc>
              <w:tc>
                <w:tcPr>
                  <w:tcW w:w="566" w:type="pct"/>
                  <w:tcBorders>
                    <w:tl2br w:val="nil"/>
                    <w:tr2bl w:val="nil"/>
                  </w:tcBorders>
                  <w:vAlign w:val="center"/>
                </w:tcPr>
                <w:p w14:paraId="1937F445">
                  <w:pPr>
                    <w:widowControl/>
                    <w:adjustRightInd w:val="0"/>
                    <w:snapToGrid w:val="0"/>
                    <w:jc w:val="center"/>
                    <w:rPr>
                      <w:color w:val="auto"/>
                      <w:szCs w:val="21"/>
                      <w:highlight w:val="none"/>
                    </w:rPr>
                  </w:pPr>
                  <w:r>
                    <w:rPr>
                      <w:color w:val="auto"/>
                      <w:szCs w:val="21"/>
                      <w:highlight w:val="none"/>
                    </w:rPr>
                    <w:t>类别</w:t>
                  </w:r>
                </w:p>
              </w:tc>
              <w:tc>
                <w:tcPr>
                  <w:tcW w:w="929" w:type="pct"/>
                  <w:tcBorders>
                    <w:tl2br w:val="nil"/>
                    <w:tr2bl w:val="nil"/>
                  </w:tcBorders>
                  <w:vAlign w:val="center"/>
                </w:tcPr>
                <w:p w14:paraId="378BE7E5">
                  <w:pPr>
                    <w:widowControl/>
                    <w:adjustRightInd w:val="0"/>
                    <w:snapToGrid w:val="0"/>
                    <w:jc w:val="center"/>
                    <w:rPr>
                      <w:color w:val="auto"/>
                      <w:szCs w:val="21"/>
                      <w:highlight w:val="none"/>
                    </w:rPr>
                  </w:pPr>
                  <w:r>
                    <w:rPr>
                      <w:color w:val="auto"/>
                      <w:szCs w:val="21"/>
                      <w:highlight w:val="none"/>
                    </w:rPr>
                    <w:t>固体废物代码</w:t>
                  </w:r>
                </w:p>
              </w:tc>
            </w:tr>
            <w:tr w14:paraId="4044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pct"/>
                  <w:tcBorders>
                    <w:tl2br w:val="nil"/>
                    <w:tr2bl w:val="nil"/>
                  </w:tcBorders>
                  <w:vAlign w:val="center"/>
                </w:tcPr>
                <w:p w14:paraId="0AFD550A">
                  <w:pPr>
                    <w:jc w:val="center"/>
                    <w:rPr>
                      <w:rFonts w:hint="default" w:eastAsia="宋体"/>
                      <w:color w:val="auto"/>
                      <w:szCs w:val="21"/>
                      <w:highlight w:val="none"/>
                      <w:lang w:val="en-US" w:eastAsia="zh-CN"/>
                    </w:rPr>
                  </w:pPr>
                  <w:r>
                    <w:rPr>
                      <w:rFonts w:hint="eastAsia" w:eastAsia="宋体"/>
                      <w:color w:val="auto"/>
                      <w:szCs w:val="21"/>
                      <w:highlight w:val="none"/>
                      <w:lang w:val="en-US" w:eastAsia="zh-CN"/>
                    </w:rPr>
                    <w:t>金属碎屑</w:t>
                  </w:r>
                  <w:r>
                    <w:rPr>
                      <w:rFonts w:hint="eastAsia"/>
                      <w:color w:val="auto"/>
                      <w:szCs w:val="21"/>
                      <w:highlight w:val="none"/>
                      <w:lang w:val="en-US" w:eastAsia="zh-CN"/>
                    </w:rPr>
                    <w:t>及边角料</w:t>
                  </w:r>
                </w:p>
              </w:tc>
              <w:tc>
                <w:tcPr>
                  <w:tcW w:w="661" w:type="pct"/>
                  <w:tcBorders>
                    <w:tl2br w:val="nil"/>
                    <w:tr2bl w:val="nil"/>
                  </w:tcBorders>
                  <w:vAlign w:val="center"/>
                </w:tcPr>
                <w:p w14:paraId="059AD36B">
                  <w:pPr>
                    <w:widowControl/>
                    <w:adjustRightInd w:val="0"/>
                    <w:snapToGrid w:val="0"/>
                    <w:jc w:val="center"/>
                    <w:rPr>
                      <w:rFonts w:hint="eastAsia"/>
                      <w:color w:val="auto"/>
                      <w:kern w:val="2"/>
                      <w:sz w:val="21"/>
                      <w:szCs w:val="21"/>
                      <w:highlight w:val="none"/>
                      <w:lang w:val="en-US" w:eastAsia="zh-CN"/>
                    </w:rPr>
                  </w:pPr>
                  <w:r>
                    <w:rPr>
                      <w:rFonts w:hint="eastAsia"/>
                      <w:color w:val="auto"/>
                      <w:kern w:val="2"/>
                      <w:sz w:val="21"/>
                      <w:szCs w:val="21"/>
                      <w:highlight w:val="none"/>
                      <w:lang w:val="en-US" w:eastAsia="zh-CN"/>
                    </w:rPr>
                    <w:t>生产</w:t>
                  </w:r>
                </w:p>
                <w:p w14:paraId="459ED11F">
                  <w:pPr>
                    <w:widowControl/>
                    <w:adjustRightInd w:val="0"/>
                    <w:snapToGrid w:val="0"/>
                    <w:jc w:val="center"/>
                    <w:rPr>
                      <w:rFonts w:hint="default" w:eastAsia="宋体"/>
                      <w:color w:val="auto"/>
                      <w:szCs w:val="21"/>
                      <w:highlight w:val="none"/>
                      <w:lang w:val="en-US" w:eastAsia="zh-CN"/>
                    </w:rPr>
                  </w:pPr>
                  <w:r>
                    <w:rPr>
                      <w:rFonts w:hint="eastAsia"/>
                      <w:color w:val="auto"/>
                      <w:kern w:val="2"/>
                      <w:sz w:val="21"/>
                      <w:szCs w:val="21"/>
                      <w:highlight w:val="none"/>
                      <w:lang w:val="en-US" w:eastAsia="zh-CN"/>
                    </w:rPr>
                    <w:t>过程</w:t>
                  </w:r>
                </w:p>
              </w:tc>
              <w:tc>
                <w:tcPr>
                  <w:tcW w:w="426" w:type="pct"/>
                  <w:tcBorders>
                    <w:tl2br w:val="nil"/>
                    <w:tr2bl w:val="nil"/>
                  </w:tcBorders>
                  <w:vAlign w:val="center"/>
                </w:tcPr>
                <w:p w14:paraId="1924E884">
                  <w:pPr>
                    <w:widowControl/>
                    <w:adjustRightInd w:val="0"/>
                    <w:snapToGrid w:val="0"/>
                    <w:jc w:val="center"/>
                    <w:rPr>
                      <w:rFonts w:hint="default"/>
                      <w:color w:val="auto"/>
                      <w:kern w:val="2"/>
                      <w:sz w:val="21"/>
                      <w:szCs w:val="21"/>
                      <w:highlight w:val="none"/>
                      <w:lang w:val="en-US" w:eastAsia="zh-CN"/>
                    </w:rPr>
                  </w:pPr>
                  <w:r>
                    <w:rPr>
                      <w:rFonts w:hint="eastAsia"/>
                      <w:color w:val="auto"/>
                      <w:kern w:val="2"/>
                      <w:sz w:val="21"/>
                      <w:szCs w:val="21"/>
                      <w:highlight w:val="none"/>
                      <w:lang w:val="en-US" w:eastAsia="zh-CN"/>
                    </w:rPr>
                    <w:t>t/a</w:t>
                  </w:r>
                </w:p>
              </w:tc>
              <w:tc>
                <w:tcPr>
                  <w:tcW w:w="426" w:type="pct"/>
                  <w:tcBorders>
                    <w:tl2br w:val="nil"/>
                    <w:tr2bl w:val="nil"/>
                  </w:tcBorders>
                  <w:vAlign w:val="center"/>
                </w:tcPr>
                <w:p w14:paraId="24B8520F">
                  <w:pPr>
                    <w:widowControl/>
                    <w:adjustRightInd w:val="0"/>
                    <w:snapToGrid w:val="0"/>
                    <w:jc w:val="center"/>
                    <w:rPr>
                      <w:rFonts w:hint="default"/>
                      <w:color w:val="auto"/>
                      <w:kern w:val="2"/>
                      <w:sz w:val="21"/>
                      <w:szCs w:val="21"/>
                      <w:highlight w:val="none"/>
                      <w:lang w:val="en-US" w:eastAsia="zh-CN"/>
                    </w:rPr>
                  </w:pPr>
                  <w:r>
                    <w:rPr>
                      <w:rFonts w:hint="eastAsia"/>
                      <w:color w:val="auto"/>
                      <w:kern w:val="2"/>
                      <w:sz w:val="21"/>
                      <w:szCs w:val="21"/>
                      <w:highlight w:val="none"/>
                      <w:lang w:val="en-US" w:eastAsia="zh-CN"/>
                    </w:rPr>
                    <w:t>70</w:t>
                  </w:r>
                </w:p>
              </w:tc>
              <w:tc>
                <w:tcPr>
                  <w:tcW w:w="426" w:type="pct"/>
                  <w:tcBorders>
                    <w:tl2br w:val="nil"/>
                    <w:tr2bl w:val="nil"/>
                  </w:tcBorders>
                  <w:vAlign w:val="center"/>
                </w:tcPr>
                <w:p w14:paraId="5ACD0EE9">
                  <w:pPr>
                    <w:widowControl/>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固态</w:t>
                  </w:r>
                </w:p>
              </w:tc>
              <w:tc>
                <w:tcPr>
                  <w:tcW w:w="787" w:type="pct"/>
                  <w:tcBorders>
                    <w:tl2br w:val="nil"/>
                    <w:tr2bl w:val="nil"/>
                  </w:tcBorders>
                  <w:vAlign w:val="center"/>
                </w:tcPr>
                <w:p w14:paraId="6548613E">
                  <w:pPr>
                    <w:widowControl/>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金属</w:t>
                  </w:r>
                </w:p>
              </w:tc>
              <w:tc>
                <w:tcPr>
                  <w:tcW w:w="566" w:type="pct"/>
                  <w:tcBorders>
                    <w:tl2br w:val="nil"/>
                    <w:tr2bl w:val="nil"/>
                  </w:tcBorders>
                  <w:vAlign w:val="center"/>
                </w:tcPr>
                <w:p w14:paraId="65FE2BDF">
                  <w:pPr>
                    <w:widowControl/>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工业固废</w:t>
                  </w:r>
                </w:p>
              </w:tc>
              <w:tc>
                <w:tcPr>
                  <w:tcW w:w="929" w:type="pct"/>
                  <w:tcBorders>
                    <w:tl2br w:val="nil"/>
                    <w:tr2bl w:val="nil"/>
                  </w:tcBorders>
                  <w:vAlign w:val="center"/>
                </w:tcPr>
                <w:p w14:paraId="6F092AED">
                  <w:pPr>
                    <w:widowControl/>
                    <w:adjustRightInd w:val="0"/>
                    <w:snapToGrid w:val="0"/>
                    <w:jc w:val="center"/>
                    <w:rPr>
                      <w:color w:val="auto"/>
                      <w:szCs w:val="21"/>
                      <w:highlight w:val="none"/>
                    </w:rPr>
                  </w:pPr>
                  <w:r>
                    <w:rPr>
                      <w:rFonts w:hint="eastAsia"/>
                      <w:color w:val="auto"/>
                      <w:szCs w:val="21"/>
                      <w:highlight w:val="none"/>
                    </w:rPr>
                    <w:t>SW17</w:t>
                  </w:r>
                  <w:r>
                    <w:rPr>
                      <w:rFonts w:hint="eastAsia"/>
                      <w:color w:val="auto"/>
                      <w:szCs w:val="21"/>
                      <w:highlight w:val="none"/>
                      <w:lang w:val="en-US" w:eastAsia="zh-CN"/>
                    </w:rPr>
                    <w:t xml:space="preserve"> </w:t>
                  </w:r>
                  <w:r>
                    <w:rPr>
                      <w:rFonts w:hint="eastAsia"/>
                      <w:color w:val="auto"/>
                      <w:szCs w:val="21"/>
                      <w:highlight w:val="none"/>
                    </w:rPr>
                    <w:t xml:space="preserve">900-001-S17 </w:t>
                  </w:r>
                </w:p>
              </w:tc>
            </w:tr>
            <w:tr w14:paraId="0818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pct"/>
                  <w:tcBorders>
                    <w:tl2br w:val="nil"/>
                    <w:tr2bl w:val="nil"/>
                  </w:tcBorders>
                  <w:vAlign w:val="center"/>
                </w:tcPr>
                <w:p w14:paraId="2707E18D">
                  <w:pPr>
                    <w:jc w:val="center"/>
                    <w:rPr>
                      <w:rFonts w:hint="default" w:eastAsia="宋体"/>
                      <w:color w:val="auto"/>
                      <w:szCs w:val="21"/>
                      <w:highlight w:val="none"/>
                      <w:lang w:val="en-US" w:eastAsia="zh-CN"/>
                    </w:rPr>
                  </w:pPr>
                  <w:r>
                    <w:rPr>
                      <w:rFonts w:hint="eastAsia"/>
                      <w:color w:val="auto"/>
                      <w:szCs w:val="21"/>
                      <w:highlight w:val="none"/>
                      <w:lang w:val="en-US" w:eastAsia="zh-CN"/>
                    </w:rPr>
                    <w:t>不合格产品</w:t>
                  </w:r>
                </w:p>
              </w:tc>
              <w:tc>
                <w:tcPr>
                  <w:tcW w:w="661" w:type="pct"/>
                  <w:tcBorders>
                    <w:tl2br w:val="nil"/>
                    <w:tr2bl w:val="nil"/>
                  </w:tcBorders>
                  <w:shd w:val="clear" w:color="auto" w:fill="auto"/>
                  <w:vAlign w:val="center"/>
                </w:tcPr>
                <w:p w14:paraId="3C16D926">
                  <w:pPr>
                    <w:widowControl/>
                    <w:adjustRightInd w:val="0"/>
                    <w:snapToGrid w:val="0"/>
                    <w:jc w:val="center"/>
                    <w:rPr>
                      <w:rFonts w:hint="eastAsia"/>
                      <w:color w:val="auto"/>
                      <w:kern w:val="2"/>
                      <w:sz w:val="21"/>
                      <w:szCs w:val="21"/>
                      <w:highlight w:val="none"/>
                      <w:lang w:val="en-US" w:eastAsia="zh-CN"/>
                    </w:rPr>
                  </w:pPr>
                  <w:r>
                    <w:rPr>
                      <w:rFonts w:hint="eastAsia"/>
                      <w:color w:val="auto"/>
                      <w:kern w:val="2"/>
                      <w:sz w:val="21"/>
                      <w:szCs w:val="21"/>
                      <w:highlight w:val="none"/>
                      <w:lang w:val="en-US" w:eastAsia="zh-CN"/>
                    </w:rPr>
                    <w:t>生产</w:t>
                  </w:r>
                </w:p>
                <w:p w14:paraId="211B95A0">
                  <w:pPr>
                    <w:widowControl/>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lang w:val="en-US" w:eastAsia="zh-CN"/>
                    </w:rPr>
                    <w:t>过程</w:t>
                  </w:r>
                </w:p>
              </w:tc>
              <w:tc>
                <w:tcPr>
                  <w:tcW w:w="426" w:type="pct"/>
                  <w:tcBorders>
                    <w:tl2br w:val="nil"/>
                    <w:tr2bl w:val="nil"/>
                  </w:tcBorders>
                  <w:shd w:val="clear" w:color="auto" w:fill="auto"/>
                  <w:vAlign w:val="center"/>
                </w:tcPr>
                <w:p w14:paraId="14A17ED5">
                  <w:pPr>
                    <w:widowControl/>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lang w:val="en-US" w:eastAsia="zh-CN"/>
                    </w:rPr>
                    <w:t>t/a</w:t>
                  </w:r>
                </w:p>
              </w:tc>
              <w:tc>
                <w:tcPr>
                  <w:tcW w:w="426" w:type="pct"/>
                  <w:tcBorders>
                    <w:tl2br w:val="nil"/>
                    <w:tr2bl w:val="nil"/>
                  </w:tcBorders>
                  <w:shd w:val="clear" w:color="auto" w:fill="auto"/>
                  <w:vAlign w:val="center"/>
                </w:tcPr>
                <w:p w14:paraId="3E67FF73">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lang w:val="en-US" w:eastAsia="zh-CN"/>
                    </w:rPr>
                    <w:t>500</w:t>
                  </w:r>
                </w:p>
              </w:tc>
              <w:tc>
                <w:tcPr>
                  <w:tcW w:w="426" w:type="pct"/>
                  <w:tcBorders>
                    <w:tl2br w:val="nil"/>
                    <w:tr2bl w:val="nil"/>
                  </w:tcBorders>
                  <w:shd w:val="clear" w:color="auto" w:fill="auto"/>
                  <w:vAlign w:val="center"/>
                </w:tcPr>
                <w:p w14:paraId="5BC7DC67">
                  <w:pPr>
                    <w:widowControl/>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固态</w:t>
                  </w:r>
                </w:p>
              </w:tc>
              <w:tc>
                <w:tcPr>
                  <w:tcW w:w="787" w:type="pct"/>
                  <w:tcBorders>
                    <w:tl2br w:val="nil"/>
                    <w:tr2bl w:val="nil"/>
                  </w:tcBorders>
                  <w:shd w:val="clear" w:color="auto" w:fill="auto"/>
                  <w:vAlign w:val="center"/>
                </w:tcPr>
                <w:p w14:paraId="44415A56">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金属</w:t>
                  </w:r>
                </w:p>
              </w:tc>
              <w:tc>
                <w:tcPr>
                  <w:tcW w:w="566" w:type="pct"/>
                  <w:tcBorders>
                    <w:tl2br w:val="nil"/>
                    <w:tr2bl w:val="nil"/>
                  </w:tcBorders>
                  <w:shd w:val="clear" w:color="auto" w:fill="auto"/>
                  <w:vAlign w:val="center"/>
                </w:tcPr>
                <w:p w14:paraId="6F0B140D">
                  <w:pPr>
                    <w:widowControl/>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工业固废</w:t>
                  </w:r>
                </w:p>
              </w:tc>
              <w:tc>
                <w:tcPr>
                  <w:tcW w:w="929" w:type="pct"/>
                  <w:tcBorders>
                    <w:tl2br w:val="nil"/>
                    <w:tr2bl w:val="nil"/>
                  </w:tcBorders>
                  <w:shd w:val="clear" w:color="auto" w:fill="auto"/>
                  <w:vAlign w:val="center"/>
                </w:tcPr>
                <w:p w14:paraId="07AA7733">
                  <w:pPr>
                    <w:widowControl/>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SW17</w:t>
                  </w:r>
                  <w:r>
                    <w:rPr>
                      <w:rFonts w:hint="eastAsia"/>
                      <w:color w:val="auto"/>
                      <w:szCs w:val="21"/>
                      <w:highlight w:val="none"/>
                      <w:lang w:val="en-US" w:eastAsia="zh-CN"/>
                    </w:rPr>
                    <w:t xml:space="preserve"> </w:t>
                  </w:r>
                  <w:r>
                    <w:rPr>
                      <w:rFonts w:hint="eastAsia"/>
                      <w:color w:val="auto"/>
                      <w:szCs w:val="21"/>
                      <w:highlight w:val="none"/>
                    </w:rPr>
                    <w:t xml:space="preserve">900-001-S17 </w:t>
                  </w:r>
                </w:p>
              </w:tc>
            </w:tr>
            <w:tr w14:paraId="41F5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pct"/>
                  <w:tcBorders>
                    <w:tl2br w:val="nil"/>
                    <w:tr2bl w:val="nil"/>
                  </w:tcBorders>
                  <w:shd w:val="clear" w:color="auto" w:fill="auto"/>
                  <w:vAlign w:val="center"/>
                </w:tcPr>
                <w:p w14:paraId="6C9E69E4">
                  <w:pPr>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焊渣</w:t>
                  </w:r>
                </w:p>
              </w:tc>
              <w:tc>
                <w:tcPr>
                  <w:tcW w:w="661" w:type="pct"/>
                  <w:tcBorders>
                    <w:tl2br w:val="nil"/>
                    <w:tr2bl w:val="nil"/>
                  </w:tcBorders>
                  <w:shd w:val="clear" w:color="auto" w:fill="auto"/>
                  <w:vAlign w:val="center"/>
                </w:tcPr>
                <w:p w14:paraId="5CCCD754">
                  <w:pPr>
                    <w:widowControl/>
                    <w:pBdr>
                      <w:bottom w:val="none" w:color="auto" w:sz="0" w:space="0"/>
                    </w:pBdr>
                    <w:adjustRightInd w:val="0"/>
                    <w:jc w:val="center"/>
                    <w:rPr>
                      <w:rFonts w:hint="eastAsia"/>
                      <w:color w:val="auto"/>
                      <w:kern w:val="2"/>
                      <w:sz w:val="21"/>
                      <w:szCs w:val="21"/>
                      <w:highlight w:val="none"/>
                      <w:lang w:val="en-US" w:eastAsia="zh-CN"/>
                    </w:rPr>
                  </w:pPr>
                  <w:r>
                    <w:rPr>
                      <w:rFonts w:hint="eastAsia"/>
                      <w:color w:val="auto"/>
                      <w:kern w:val="2"/>
                      <w:sz w:val="21"/>
                      <w:szCs w:val="21"/>
                      <w:highlight w:val="none"/>
                      <w:lang w:val="en-US" w:eastAsia="zh-CN"/>
                    </w:rPr>
                    <w:t>生产</w:t>
                  </w:r>
                </w:p>
                <w:p w14:paraId="2821FCC3">
                  <w:pPr>
                    <w:widowControl/>
                    <w:pBdr>
                      <w:bottom w:val="none" w:color="auto" w:sz="0" w:space="0"/>
                    </w:pBdr>
                    <w:adjustRightIn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lang w:val="en-US" w:eastAsia="zh-CN"/>
                    </w:rPr>
                    <w:t>过程</w:t>
                  </w:r>
                </w:p>
              </w:tc>
              <w:tc>
                <w:tcPr>
                  <w:tcW w:w="426" w:type="pct"/>
                  <w:tcBorders>
                    <w:tl2br w:val="nil"/>
                    <w:tr2bl w:val="nil"/>
                  </w:tcBorders>
                  <w:shd w:val="clear" w:color="auto" w:fill="auto"/>
                  <w:vAlign w:val="center"/>
                </w:tcPr>
                <w:p w14:paraId="1C2638E7">
                  <w:pPr>
                    <w:widowControl/>
                    <w:pBdr>
                      <w:bottom w:val="none" w:color="auto" w:sz="0" w:space="0"/>
                    </w:pBdr>
                    <w:adjustRightInd w:val="0"/>
                    <w:jc w:val="center"/>
                    <w:rPr>
                      <w:rFonts w:hint="eastAsia"/>
                      <w:color w:val="auto"/>
                      <w:kern w:val="2"/>
                      <w:sz w:val="21"/>
                      <w:szCs w:val="21"/>
                      <w:highlight w:val="none"/>
                      <w:lang w:val="en-US" w:eastAsia="zh-CN"/>
                    </w:rPr>
                  </w:pPr>
                  <w:r>
                    <w:rPr>
                      <w:rFonts w:hint="eastAsia"/>
                      <w:color w:val="auto"/>
                      <w:kern w:val="2"/>
                      <w:sz w:val="21"/>
                      <w:szCs w:val="21"/>
                      <w:highlight w:val="none"/>
                      <w:lang w:val="en-US" w:eastAsia="zh-CN"/>
                    </w:rPr>
                    <w:t>t/a</w:t>
                  </w:r>
                </w:p>
              </w:tc>
              <w:tc>
                <w:tcPr>
                  <w:tcW w:w="426" w:type="pct"/>
                  <w:tcBorders>
                    <w:tl2br w:val="nil"/>
                    <w:tr2bl w:val="nil"/>
                  </w:tcBorders>
                  <w:shd w:val="clear" w:color="auto" w:fill="auto"/>
                  <w:vAlign w:val="center"/>
                </w:tcPr>
                <w:p w14:paraId="47401FCB">
                  <w:pPr>
                    <w:widowControl/>
                    <w:pBdr>
                      <w:bottom w:val="none" w:color="auto" w:sz="0" w:space="0"/>
                    </w:pBdr>
                    <w:adjustRightInd w:val="0"/>
                    <w:jc w:val="center"/>
                    <w:rPr>
                      <w:rFonts w:hint="default"/>
                      <w:color w:val="auto"/>
                      <w:kern w:val="2"/>
                      <w:sz w:val="21"/>
                      <w:szCs w:val="21"/>
                      <w:highlight w:val="none"/>
                      <w:lang w:val="en-US" w:eastAsia="zh-CN"/>
                    </w:rPr>
                  </w:pPr>
                  <w:r>
                    <w:rPr>
                      <w:rFonts w:hint="eastAsia"/>
                      <w:color w:val="auto"/>
                      <w:kern w:val="2"/>
                      <w:sz w:val="21"/>
                      <w:szCs w:val="21"/>
                      <w:highlight w:val="none"/>
                      <w:lang w:val="en-US" w:eastAsia="zh-CN"/>
                    </w:rPr>
                    <w:t>2</w:t>
                  </w:r>
                </w:p>
              </w:tc>
              <w:tc>
                <w:tcPr>
                  <w:tcW w:w="426" w:type="pct"/>
                  <w:tcBorders>
                    <w:tl2br w:val="nil"/>
                    <w:tr2bl w:val="nil"/>
                  </w:tcBorders>
                  <w:shd w:val="clear" w:color="auto" w:fill="auto"/>
                  <w:vAlign w:val="center"/>
                </w:tcPr>
                <w:p w14:paraId="1821B917">
                  <w:pPr>
                    <w:widowControl/>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固态</w:t>
                  </w:r>
                </w:p>
              </w:tc>
              <w:tc>
                <w:tcPr>
                  <w:tcW w:w="787" w:type="pct"/>
                  <w:tcBorders>
                    <w:tl2br w:val="nil"/>
                    <w:tr2bl w:val="nil"/>
                  </w:tcBorders>
                  <w:shd w:val="clear" w:color="auto" w:fill="auto"/>
                  <w:vAlign w:val="center"/>
                </w:tcPr>
                <w:p w14:paraId="22D3BDD4">
                  <w:pPr>
                    <w:pStyle w:val="13"/>
                    <w:widowControl/>
                    <w:pBdr>
                      <w:bottom w:val="none" w:color="auto" w:sz="0" w:space="0"/>
                    </w:pBdr>
                    <w:adjustRightInd w:val="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焊渣</w:t>
                  </w:r>
                </w:p>
              </w:tc>
              <w:tc>
                <w:tcPr>
                  <w:tcW w:w="566" w:type="pct"/>
                  <w:tcBorders>
                    <w:tl2br w:val="nil"/>
                    <w:tr2bl w:val="nil"/>
                  </w:tcBorders>
                  <w:shd w:val="clear" w:color="auto" w:fill="auto"/>
                  <w:vAlign w:val="center"/>
                </w:tcPr>
                <w:p w14:paraId="11E21A7D">
                  <w:pPr>
                    <w:pStyle w:val="13"/>
                    <w:widowControl/>
                    <w:pBdr>
                      <w:bottom w:val="none" w:color="auto" w:sz="0" w:space="0"/>
                    </w:pBdr>
                    <w:adjustRightInd w:val="0"/>
                    <w:rPr>
                      <w:color w:val="auto"/>
                      <w:sz w:val="21"/>
                      <w:szCs w:val="21"/>
                      <w:highlight w:val="none"/>
                    </w:rPr>
                  </w:pPr>
                  <w:r>
                    <w:rPr>
                      <w:rFonts w:hint="eastAsia"/>
                      <w:color w:val="auto"/>
                      <w:sz w:val="21"/>
                      <w:szCs w:val="21"/>
                      <w:highlight w:val="none"/>
                    </w:rPr>
                    <w:t>工业</w:t>
                  </w:r>
                </w:p>
                <w:p w14:paraId="34562908">
                  <w:pPr>
                    <w:pStyle w:val="13"/>
                    <w:widowControl/>
                    <w:pBdr>
                      <w:bottom w:val="none" w:color="auto" w:sz="0" w:space="0"/>
                    </w:pBdr>
                    <w:adjustRightInd w:val="0"/>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固废</w:t>
                  </w:r>
                </w:p>
              </w:tc>
              <w:tc>
                <w:tcPr>
                  <w:tcW w:w="929" w:type="pct"/>
                  <w:tcBorders>
                    <w:tl2br w:val="nil"/>
                    <w:tr2bl w:val="nil"/>
                  </w:tcBorders>
                  <w:shd w:val="clear" w:color="auto" w:fill="auto"/>
                  <w:vAlign w:val="center"/>
                </w:tcPr>
                <w:p w14:paraId="0B6BCBBE">
                  <w:pPr>
                    <w:pStyle w:val="13"/>
                    <w:widowControl/>
                    <w:pBdr>
                      <w:bottom w:val="none" w:color="auto" w:sz="0" w:space="0"/>
                    </w:pBdr>
                    <w:adjustRightInd w:val="0"/>
                    <w:rPr>
                      <w:rFonts w:hint="eastAsia" w:ascii="Times New Roman" w:hAnsi="Times New Roman" w:eastAsia="宋体" w:cs="Times New Roman"/>
                      <w:color w:val="auto"/>
                      <w:kern w:val="0"/>
                      <w:sz w:val="21"/>
                      <w:szCs w:val="21"/>
                      <w:highlight w:val="none"/>
                      <w:lang w:val="en-US" w:eastAsia="zh-CN" w:bidi="ar-SA"/>
                    </w:rPr>
                  </w:pPr>
                  <w:r>
                    <w:rPr>
                      <w:color w:val="auto"/>
                      <w:sz w:val="21"/>
                      <w:szCs w:val="21"/>
                      <w:highlight w:val="none"/>
                    </w:rPr>
                    <w:t>SW</w:t>
                  </w:r>
                  <w:r>
                    <w:rPr>
                      <w:rFonts w:hint="eastAsia"/>
                      <w:color w:val="auto"/>
                      <w:sz w:val="21"/>
                      <w:szCs w:val="21"/>
                      <w:highlight w:val="none"/>
                      <w:lang w:val="en-US" w:eastAsia="zh-CN"/>
                    </w:rPr>
                    <w:t xml:space="preserve">59 </w:t>
                  </w:r>
                  <w:r>
                    <w:rPr>
                      <w:rFonts w:hint="eastAsia"/>
                      <w:color w:val="auto"/>
                      <w:sz w:val="21"/>
                      <w:szCs w:val="21"/>
                      <w:highlight w:val="none"/>
                    </w:rPr>
                    <w:t xml:space="preserve">900-099-S59 </w:t>
                  </w:r>
                </w:p>
              </w:tc>
            </w:tr>
            <w:tr w14:paraId="206F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pct"/>
                  <w:tcBorders>
                    <w:tl2br w:val="nil"/>
                    <w:tr2bl w:val="nil"/>
                  </w:tcBorders>
                  <w:vAlign w:val="center"/>
                </w:tcPr>
                <w:p w14:paraId="73BF481B">
                  <w:pPr>
                    <w:jc w:val="center"/>
                    <w:rPr>
                      <w:rFonts w:hint="eastAsia" w:eastAsia="宋体"/>
                      <w:color w:val="auto"/>
                      <w:spacing w:val="2"/>
                      <w:szCs w:val="21"/>
                      <w:highlight w:val="none"/>
                      <w:lang w:val="en-US" w:eastAsia="zh-CN"/>
                    </w:rPr>
                  </w:pPr>
                  <w:r>
                    <w:rPr>
                      <w:color w:val="auto"/>
                      <w:szCs w:val="21"/>
                      <w:highlight w:val="none"/>
                    </w:rPr>
                    <w:t>废</w:t>
                  </w:r>
                  <w:r>
                    <w:rPr>
                      <w:rFonts w:hint="eastAsia"/>
                      <w:color w:val="auto"/>
                      <w:szCs w:val="21"/>
                      <w:highlight w:val="none"/>
                      <w:lang w:val="en-US" w:eastAsia="zh-CN"/>
                    </w:rPr>
                    <w:t>化学品</w:t>
                  </w:r>
                  <w:r>
                    <w:rPr>
                      <w:color w:val="auto"/>
                      <w:szCs w:val="21"/>
                      <w:highlight w:val="none"/>
                    </w:rPr>
                    <w:t>包装</w:t>
                  </w:r>
                  <w:r>
                    <w:rPr>
                      <w:rFonts w:hint="eastAsia"/>
                      <w:color w:val="auto"/>
                      <w:szCs w:val="21"/>
                      <w:highlight w:val="none"/>
                      <w:lang w:val="en-US" w:eastAsia="zh-CN"/>
                    </w:rPr>
                    <w:t>物</w:t>
                  </w:r>
                </w:p>
              </w:tc>
              <w:tc>
                <w:tcPr>
                  <w:tcW w:w="661" w:type="pct"/>
                  <w:tcBorders>
                    <w:tl2br w:val="nil"/>
                    <w:tr2bl w:val="nil"/>
                  </w:tcBorders>
                  <w:vAlign w:val="center"/>
                </w:tcPr>
                <w:p w14:paraId="16F21888">
                  <w:pPr>
                    <w:pStyle w:val="13"/>
                    <w:widowControl/>
                    <w:pBdr>
                      <w:bottom w:val="none" w:color="auto" w:sz="0" w:space="0"/>
                    </w:pBdr>
                    <w:adjustRightInd w:val="0"/>
                    <w:jc w:val="center"/>
                    <w:rPr>
                      <w:rFonts w:hint="eastAsia" w:eastAsia="宋体"/>
                      <w:color w:val="auto"/>
                      <w:kern w:val="2"/>
                      <w:sz w:val="21"/>
                      <w:szCs w:val="21"/>
                      <w:highlight w:val="none"/>
                      <w:lang w:eastAsia="zh-CN"/>
                    </w:rPr>
                  </w:pPr>
                  <w:r>
                    <w:rPr>
                      <w:rFonts w:hint="eastAsia"/>
                      <w:color w:val="auto"/>
                      <w:kern w:val="2"/>
                      <w:sz w:val="21"/>
                      <w:szCs w:val="21"/>
                      <w:highlight w:val="none"/>
                      <w:lang w:val="en-US" w:eastAsia="zh-CN"/>
                    </w:rPr>
                    <w:t>原料</w:t>
                  </w:r>
                </w:p>
              </w:tc>
              <w:tc>
                <w:tcPr>
                  <w:tcW w:w="426" w:type="pct"/>
                  <w:tcBorders>
                    <w:tl2br w:val="nil"/>
                    <w:tr2bl w:val="nil"/>
                  </w:tcBorders>
                  <w:vAlign w:val="center"/>
                </w:tcPr>
                <w:p w14:paraId="018AB55C">
                  <w:pPr>
                    <w:widowControl/>
                    <w:pBdr>
                      <w:bottom w:val="none" w:color="auto" w:sz="0" w:space="0"/>
                    </w:pBdr>
                    <w:adjustRightInd w:val="0"/>
                    <w:jc w:val="center"/>
                    <w:rPr>
                      <w:rFonts w:hint="eastAsia"/>
                      <w:color w:val="auto"/>
                      <w:kern w:val="2"/>
                      <w:sz w:val="21"/>
                      <w:szCs w:val="21"/>
                      <w:highlight w:val="none"/>
                      <w:lang w:val="en-US" w:eastAsia="zh-CN"/>
                    </w:rPr>
                  </w:pPr>
                  <w:r>
                    <w:rPr>
                      <w:rFonts w:hint="eastAsia"/>
                      <w:color w:val="auto"/>
                      <w:kern w:val="2"/>
                      <w:sz w:val="21"/>
                      <w:szCs w:val="21"/>
                      <w:highlight w:val="none"/>
                      <w:lang w:val="en-US" w:eastAsia="zh-CN"/>
                    </w:rPr>
                    <w:t>t/a</w:t>
                  </w:r>
                </w:p>
              </w:tc>
              <w:tc>
                <w:tcPr>
                  <w:tcW w:w="426" w:type="pct"/>
                  <w:tcBorders>
                    <w:tl2br w:val="nil"/>
                    <w:tr2bl w:val="nil"/>
                  </w:tcBorders>
                  <w:vAlign w:val="center"/>
                </w:tcPr>
                <w:p w14:paraId="1D3845B6">
                  <w:pPr>
                    <w:pStyle w:val="13"/>
                    <w:widowControl/>
                    <w:pBdr>
                      <w:bottom w:val="none" w:color="auto" w:sz="0" w:space="0"/>
                    </w:pBdr>
                    <w:adjustRightInd w:val="0"/>
                    <w:jc w:val="center"/>
                    <w:rPr>
                      <w:rFonts w:hint="default"/>
                      <w:color w:val="auto"/>
                      <w:kern w:val="2"/>
                      <w:sz w:val="21"/>
                      <w:szCs w:val="21"/>
                      <w:highlight w:val="none"/>
                      <w:lang w:val="en-US" w:eastAsia="zh-CN"/>
                    </w:rPr>
                  </w:pPr>
                  <w:r>
                    <w:rPr>
                      <w:rFonts w:hint="eastAsia"/>
                      <w:color w:val="auto"/>
                      <w:kern w:val="2"/>
                      <w:sz w:val="21"/>
                      <w:szCs w:val="21"/>
                      <w:highlight w:val="none"/>
                      <w:lang w:val="en-US" w:eastAsia="zh-CN"/>
                    </w:rPr>
                    <w:t>2</w:t>
                  </w:r>
                </w:p>
              </w:tc>
              <w:tc>
                <w:tcPr>
                  <w:tcW w:w="426" w:type="pct"/>
                  <w:tcBorders>
                    <w:tl2br w:val="nil"/>
                    <w:tr2bl w:val="nil"/>
                  </w:tcBorders>
                  <w:vAlign w:val="center"/>
                </w:tcPr>
                <w:p w14:paraId="1EDC7365">
                  <w:pPr>
                    <w:pStyle w:val="13"/>
                    <w:widowControl/>
                    <w:pBdr>
                      <w:bottom w:val="none" w:color="auto" w:sz="0" w:space="0"/>
                    </w:pBdr>
                    <w:adjustRightInd w:val="0"/>
                    <w:rPr>
                      <w:color w:val="auto"/>
                      <w:kern w:val="2"/>
                      <w:sz w:val="21"/>
                      <w:szCs w:val="21"/>
                      <w:highlight w:val="none"/>
                    </w:rPr>
                  </w:pPr>
                  <w:r>
                    <w:rPr>
                      <w:rFonts w:hint="eastAsia"/>
                      <w:color w:val="auto"/>
                      <w:kern w:val="2"/>
                      <w:sz w:val="21"/>
                      <w:szCs w:val="21"/>
                      <w:highlight w:val="none"/>
                    </w:rPr>
                    <w:t>固态</w:t>
                  </w:r>
                </w:p>
              </w:tc>
              <w:tc>
                <w:tcPr>
                  <w:tcW w:w="787" w:type="pct"/>
                  <w:tcBorders>
                    <w:tl2br w:val="nil"/>
                    <w:tr2bl w:val="nil"/>
                  </w:tcBorders>
                  <w:vAlign w:val="center"/>
                </w:tcPr>
                <w:p w14:paraId="097398F1">
                  <w:pPr>
                    <w:pStyle w:val="13"/>
                    <w:widowControl/>
                    <w:pBdr>
                      <w:bottom w:val="none" w:color="auto" w:sz="0" w:space="0"/>
                    </w:pBdr>
                    <w:adjustRightInd w:val="0"/>
                    <w:rPr>
                      <w:rFonts w:hint="eastAsia" w:eastAsia="宋体"/>
                      <w:color w:val="auto"/>
                      <w:kern w:val="2"/>
                      <w:sz w:val="21"/>
                      <w:szCs w:val="21"/>
                      <w:highlight w:val="none"/>
                      <w:lang w:val="en-US" w:eastAsia="zh-CN"/>
                    </w:rPr>
                  </w:pPr>
                  <w:r>
                    <w:rPr>
                      <w:rFonts w:hint="eastAsia"/>
                      <w:color w:val="auto"/>
                      <w:kern w:val="2"/>
                      <w:sz w:val="21"/>
                      <w:szCs w:val="21"/>
                      <w:highlight w:val="none"/>
                      <w:lang w:val="en-US" w:eastAsia="zh-CN"/>
                    </w:rPr>
                    <w:t>塑料</w:t>
                  </w:r>
                </w:p>
              </w:tc>
              <w:tc>
                <w:tcPr>
                  <w:tcW w:w="566" w:type="pct"/>
                  <w:tcBorders>
                    <w:tl2br w:val="nil"/>
                    <w:tr2bl w:val="nil"/>
                  </w:tcBorders>
                  <w:vAlign w:val="center"/>
                </w:tcPr>
                <w:p w14:paraId="3742F450">
                  <w:pPr>
                    <w:pStyle w:val="13"/>
                    <w:widowControl/>
                    <w:pBdr>
                      <w:bottom w:val="none" w:color="auto" w:sz="0" w:space="0"/>
                    </w:pBdr>
                    <w:adjustRightInd w:val="0"/>
                    <w:rPr>
                      <w:color w:val="auto"/>
                      <w:sz w:val="21"/>
                      <w:szCs w:val="21"/>
                      <w:highlight w:val="none"/>
                    </w:rPr>
                  </w:pPr>
                  <w:r>
                    <w:rPr>
                      <w:rFonts w:hint="eastAsia"/>
                      <w:color w:val="auto"/>
                      <w:sz w:val="21"/>
                      <w:szCs w:val="21"/>
                      <w:highlight w:val="none"/>
                    </w:rPr>
                    <w:t>工业</w:t>
                  </w:r>
                </w:p>
                <w:p w14:paraId="13C31F59">
                  <w:pPr>
                    <w:pStyle w:val="13"/>
                    <w:widowControl/>
                    <w:pBdr>
                      <w:bottom w:val="none" w:color="auto" w:sz="0" w:space="0"/>
                    </w:pBdr>
                    <w:adjustRightInd w:val="0"/>
                    <w:rPr>
                      <w:color w:val="auto"/>
                      <w:kern w:val="2"/>
                      <w:sz w:val="21"/>
                      <w:szCs w:val="21"/>
                      <w:highlight w:val="none"/>
                    </w:rPr>
                  </w:pPr>
                  <w:r>
                    <w:rPr>
                      <w:rFonts w:hint="eastAsia"/>
                      <w:color w:val="auto"/>
                      <w:sz w:val="21"/>
                      <w:szCs w:val="21"/>
                      <w:highlight w:val="none"/>
                    </w:rPr>
                    <w:t>固废</w:t>
                  </w:r>
                </w:p>
              </w:tc>
              <w:tc>
                <w:tcPr>
                  <w:tcW w:w="929" w:type="pct"/>
                  <w:tcBorders>
                    <w:tl2br w:val="nil"/>
                    <w:tr2bl w:val="nil"/>
                  </w:tcBorders>
                  <w:vAlign w:val="center"/>
                </w:tcPr>
                <w:p w14:paraId="4E202E3D">
                  <w:pPr>
                    <w:pStyle w:val="13"/>
                    <w:widowControl/>
                    <w:pBdr>
                      <w:bottom w:val="none" w:color="auto" w:sz="0" w:space="0"/>
                    </w:pBdr>
                    <w:adjustRightInd w:val="0"/>
                    <w:rPr>
                      <w:color w:val="auto"/>
                      <w:sz w:val="21"/>
                      <w:szCs w:val="21"/>
                      <w:highlight w:val="none"/>
                    </w:rPr>
                  </w:pPr>
                  <w:r>
                    <w:rPr>
                      <w:color w:val="auto"/>
                      <w:sz w:val="21"/>
                      <w:szCs w:val="21"/>
                      <w:highlight w:val="none"/>
                    </w:rPr>
                    <w:t>SW</w:t>
                  </w:r>
                  <w:r>
                    <w:rPr>
                      <w:rFonts w:hint="eastAsia"/>
                      <w:color w:val="auto"/>
                      <w:sz w:val="21"/>
                      <w:szCs w:val="21"/>
                      <w:highlight w:val="none"/>
                    </w:rPr>
                    <w:t>59</w:t>
                  </w:r>
                  <w:r>
                    <w:rPr>
                      <w:rFonts w:hint="eastAsia"/>
                      <w:color w:val="auto"/>
                      <w:sz w:val="21"/>
                      <w:szCs w:val="21"/>
                      <w:highlight w:val="none"/>
                      <w:lang w:val="en-US" w:eastAsia="zh-CN"/>
                    </w:rPr>
                    <w:t xml:space="preserve"> </w:t>
                  </w:r>
                  <w:r>
                    <w:rPr>
                      <w:color w:val="auto"/>
                      <w:sz w:val="21"/>
                      <w:szCs w:val="21"/>
                      <w:highlight w:val="none"/>
                    </w:rPr>
                    <w:t>900-099-S59</w:t>
                  </w:r>
                </w:p>
              </w:tc>
            </w:tr>
            <w:tr w14:paraId="166F4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pct"/>
                  <w:tcBorders>
                    <w:tl2br w:val="nil"/>
                    <w:tr2bl w:val="nil"/>
                  </w:tcBorders>
                  <w:vAlign w:val="center"/>
                </w:tcPr>
                <w:p w14:paraId="434BB0EE">
                  <w:pPr>
                    <w:jc w:val="center"/>
                    <w:rPr>
                      <w:rFonts w:hint="default" w:eastAsia="宋体"/>
                      <w:color w:val="auto"/>
                      <w:szCs w:val="21"/>
                      <w:highlight w:val="none"/>
                      <w:lang w:val="en-US" w:eastAsia="zh-CN"/>
                    </w:rPr>
                  </w:pPr>
                  <w:r>
                    <w:rPr>
                      <w:rFonts w:hint="eastAsia"/>
                      <w:color w:val="auto"/>
                      <w:szCs w:val="21"/>
                      <w:highlight w:val="none"/>
                      <w:lang w:val="en-US" w:eastAsia="zh-CN"/>
                    </w:rPr>
                    <w:t>一般废包装</w:t>
                  </w:r>
                </w:p>
              </w:tc>
              <w:tc>
                <w:tcPr>
                  <w:tcW w:w="661" w:type="pct"/>
                  <w:tcBorders>
                    <w:tl2br w:val="nil"/>
                    <w:tr2bl w:val="nil"/>
                  </w:tcBorders>
                  <w:vAlign w:val="center"/>
                </w:tcPr>
                <w:p w14:paraId="459F6EE8">
                  <w:pPr>
                    <w:pStyle w:val="13"/>
                    <w:widowControl/>
                    <w:pBdr>
                      <w:bottom w:val="none" w:color="auto" w:sz="0" w:space="0"/>
                    </w:pBdr>
                    <w:adjustRightInd w:val="0"/>
                    <w:jc w:val="center"/>
                    <w:rPr>
                      <w:rFonts w:hint="default"/>
                      <w:color w:val="auto"/>
                      <w:kern w:val="2"/>
                      <w:sz w:val="21"/>
                      <w:szCs w:val="21"/>
                      <w:highlight w:val="none"/>
                      <w:lang w:val="en-US" w:eastAsia="zh-CN"/>
                    </w:rPr>
                  </w:pPr>
                  <w:r>
                    <w:rPr>
                      <w:rFonts w:hint="eastAsia"/>
                      <w:color w:val="auto"/>
                      <w:kern w:val="2"/>
                      <w:sz w:val="21"/>
                      <w:szCs w:val="21"/>
                      <w:highlight w:val="none"/>
                      <w:lang w:val="en-US" w:eastAsia="zh-CN"/>
                    </w:rPr>
                    <w:t>生产过程</w:t>
                  </w:r>
                </w:p>
              </w:tc>
              <w:tc>
                <w:tcPr>
                  <w:tcW w:w="426" w:type="pct"/>
                  <w:tcBorders>
                    <w:tl2br w:val="nil"/>
                    <w:tr2bl w:val="nil"/>
                  </w:tcBorders>
                  <w:shd w:val="clear" w:color="auto" w:fill="auto"/>
                  <w:vAlign w:val="center"/>
                </w:tcPr>
                <w:p w14:paraId="13D8CEF4">
                  <w:pPr>
                    <w:widowControl/>
                    <w:pBdr>
                      <w:bottom w:val="none" w:color="auto" w:sz="0" w:space="0"/>
                    </w:pBdr>
                    <w:adjustRightIn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lang w:val="en-US" w:eastAsia="zh-CN"/>
                    </w:rPr>
                    <w:t>t/a</w:t>
                  </w:r>
                </w:p>
              </w:tc>
              <w:tc>
                <w:tcPr>
                  <w:tcW w:w="426" w:type="pct"/>
                  <w:tcBorders>
                    <w:tl2br w:val="nil"/>
                    <w:tr2bl w:val="nil"/>
                  </w:tcBorders>
                  <w:shd w:val="clear" w:color="auto" w:fill="auto"/>
                  <w:vAlign w:val="center"/>
                </w:tcPr>
                <w:p w14:paraId="6BFEE725">
                  <w:pPr>
                    <w:pStyle w:val="13"/>
                    <w:widowControl/>
                    <w:pBdr>
                      <w:bottom w:val="none" w:color="auto" w:sz="0" w:space="0"/>
                    </w:pBdr>
                    <w:adjustRightIn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lang w:val="en-US" w:eastAsia="zh-CN"/>
                    </w:rPr>
                    <w:t>4</w:t>
                  </w:r>
                </w:p>
              </w:tc>
              <w:tc>
                <w:tcPr>
                  <w:tcW w:w="426" w:type="pct"/>
                  <w:tcBorders>
                    <w:tl2br w:val="nil"/>
                    <w:tr2bl w:val="nil"/>
                  </w:tcBorders>
                  <w:shd w:val="clear" w:color="auto" w:fill="auto"/>
                  <w:vAlign w:val="center"/>
                </w:tcPr>
                <w:p w14:paraId="50926F8D">
                  <w:pPr>
                    <w:pStyle w:val="13"/>
                    <w:widowControl/>
                    <w:pBdr>
                      <w:bottom w:val="none" w:color="auto" w:sz="0" w:space="0"/>
                    </w:pBdr>
                    <w:adjustRightInd w:val="0"/>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rPr>
                    <w:t>固态</w:t>
                  </w:r>
                </w:p>
              </w:tc>
              <w:tc>
                <w:tcPr>
                  <w:tcW w:w="787" w:type="pct"/>
                  <w:tcBorders>
                    <w:tl2br w:val="nil"/>
                    <w:tr2bl w:val="nil"/>
                  </w:tcBorders>
                  <w:shd w:val="clear" w:color="auto" w:fill="auto"/>
                  <w:vAlign w:val="center"/>
                </w:tcPr>
                <w:p w14:paraId="3732AF5C">
                  <w:pPr>
                    <w:pStyle w:val="13"/>
                    <w:widowControl/>
                    <w:pBdr>
                      <w:bottom w:val="none" w:color="auto" w:sz="0" w:space="0"/>
                    </w:pBdr>
                    <w:adjustRightInd w:val="0"/>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lang w:val="en-US" w:eastAsia="zh-CN"/>
                    </w:rPr>
                    <w:t>塑料</w:t>
                  </w:r>
                </w:p>
              </w:tc>
              <w:tc>
                <w:tcPr>
                  <w:tcW w:w="566" w:type="pct"/>
                  <w:tcBorders>
                    <w:tl2br w:val="nil"/>
                    <w:tr2bl w:val="nil"/>
                  </w:tcBorders>
                  <w:shd w:val="clear" w:color="auto" w:fill="auto"/>
                  <w:vAlign w:val="center"/>
                </w:tcPr>
                <w:p w14:paraId="457EFB34">
                  <w:pPr>
                    <w:pStyle w:val="13"/>
                    <w:widowControl/>
                    <w:pBdr>
                      <w:bottom w:val="none" w:color="auto" w:sz="0" w:space="0"/>
                    </w:pBdr>
                    <w:adjustRightInd w:val="0"/>
                    <w:rPr>
                      <w:color w:val="auto"/>
                      <w:sz w:val="21"/>
                      <w:szCs w:val="21"/>
                      <w:highlight w:val="none"/>
                    </w:rPr>
                  </w:pPr>
                  <w:r>
                    <w:rPr>
                      <w:rFonts w:hint="eastAsia"/>
                      <w:color w:val="auto"/>
                      <w:sz w:val="21"/>
                      <w:szCs w:val="21"/>
                      <w:highlight w:val="none"/>
                    </w:rPr>
                    <w:t>工业</w:t>
                  </w:r>
                </w:p>
                <w:p w14:paraId="0EE9CA20">
                  <w:pPr>
                    <w:pStyle w:val="13"/>
                    <w:widowControl/>
                    <w:pBdr>
                      <w:bottom w:val="none" w:color="auto" w:sz="0" w:space="0"/>
                    </w:pBdr>
                    <w:adjustRightInd w:val="0"/>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固废</w:t>
                  </w:r>
                </w:p>
              </w:tc>
              <w:tc>
                <w:tcPr>
                  <w:tcW w:w="929" w:type="pct"/>
                  <w:tcBorders>
                    <w:tl2br w:val="nil"/>
                    <w:tr2bl w:val="nil"/>
                  </w:tcBorders>
                  <w:shd w:val="clear" w:color="auto" w:fill="auto"/>
                  <w:vAlign w:val="center"/>
                </w:tcPr>
                <w:p w14:paraId="4C8FB780">
                  <w:pPr>
                    <w:pStyle w:val="13"/>
                    <w:widowControl/>
                    <w:pBdr>
                      <w:bottom w:val="none" w:color="auto" w:sz="0" w:space="0"/>
                    </w:pBdr>
                    <w:adjustRightInd w:val="0"/>
                    <w:rPr>
                      <w:rFonts w:ascii="Times New Roman" w:hAnsi="Times New Roman" w:eastAsia="宋体" w:cs="Times New Roman"/>
                      <w:color w:val="auto"/>
                      <w:kern w:val="0"/>
                      <w:sz w:val="21"/>
                      <w:szCs w:val="21"/>
                      <w:highlight w:val="none"/>
                      <w:lang w:val="en-US" w:eastAsia="zh-CN" w:bidi="ar-SA"/>
                    </w:rPr>
                  </w:pPr>
                  <w:r>
                    <w:rPr>
                      <w:color w:val="auto"/>
                      <w:sz w:val="21"/>
                      <w:szCs w:val="21"/>
                      <w:highlight w:val="none"/>
                    </w:rPr>
                    <w:t>SW</w:t>
                  </w:r>
                  <w:r>
                    <w:rPr>
                      <w:rFonts w:hint="eastAsia"/>
                      <w:color w:val="auto"/>
                      <w:sz w:val="21"/>
                      <w:szCs w:val="21"/>
                      <w:highlight w:val="none"/>
                    </w:rPr>
                    <w:t>59</w:t>
                  </w:r>
                  <w:r>
                    <w:rPr>
                      <w:rFonts w:hint="eastAsia"/>
                      <w:color w:val="auto"/>
                      <w:sz w:val="21"/>
                      <w:szCs w:val="21"/>
                      <w:highlight w:val="none"/>
                      <w:lang w:val="en-US" w:eastAsia="zh-CN"/>
                    </w:rPr>
                    <w:t xml:space="preserve"> </w:t>
                  </w:r>
                  <w:r>
                    <w:rPr>
                      <w:color w:val="auto"/>
                      <w:sz w:val="21"/>
                      <w:szCs w:val="21"/>
                      <w:highlight w:val="none"/>
                    </w:rPr>
                    <w:t>900-099-S59</w:t>
                  </w:r>
                </w:p>
              </w:tc>
            </w:tr>
            <w:tr w14:paraId="39951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pct"/>
                  <w:tcBorders>
                    <w:tl2br w:val="nil"/>
                    <w:tr2bl w:val="nil"/>
                  </w:tcBorders>
                  <w:vAlign w:val="center"/>
                </w:tcPr>
                <w:p w14:paraId="21FBE639">
                  <w:pPr>
                    <w:jc w:val="center"/>
                    <w:rPr>
                      <w:rFonts w:hint="default"/>
                      <w:color w:val="auto"/>
                      <w:szCs w:val="21"/>
                      <w:highlight w:val="none"/>
                      <w:lang w:val="en-US" w:eastAsia="zh-CN"/>
                    </w:rPr>
                  </w:pPr>
                  <w:r>
                    <w:rPr>
                      <w:rFonts w:hint="eastAsia"/>
                      <w:color w:val="auto"/>
                      <w:szCs w:val="21"/>
                      <w:highlight w:val="none"/>
                      <w:lang w:val="en-US" w:eastAsia="zh-CN"/>
                    </w:rPr>
                    <w:t>喷粉废料</w:t>
                  </w:r>
                </w:p>
              </w:tc>
              <w:tc>
                <w:tcPr>
                  <w:tcW w:w="661" w:type="pct"/>
                  <w:tcBorders>
                    <w:tl2br w:val="nil"/>
                    <w:tr2bl w:val="nil"/>
                  </w:tcBorders>
                  <w:shd w:val="clear" w:color="auto" w:fill="auto"/>
                  <w:vAlign w:val="center"/>
                </w:tcPr>
                <w:p w14:paraId="61240EFF">
                  <w:pPr>
                    <w:pStyle w:val="13"/>
                    <w:widowControl/>
                    <w:pBdr>
                      <w:bottom w:val="none" w:color="auto" w:sz="0" w:space="0"/>
                    </w:pBdr>
                    <w:adjustRightIn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lang w:val="en-US" w:eastAsia="zh-CN"/>
                    </w:rPr>
                    <w:t>生产过程</w:t>
                  </w:r>
                </w:p>
              </w:tc>
              <w:tc>
                <w:tcPr>
                  <w:tcW w:w="426" w:type="pct"/>
                  <w:tcBorders>
                    <w:tl2br w:val="nil"/>
                    <w:tr2bl w:val="nil"/>
                  </w:tcBorders>
                  <w:shd w:val="clear" w:color="auto" w:fill="auto"/>
                  <w:vAlign w:val="center"/>
                </w:tcPr>
                <w:p w14:paraId="30A62B7E">
                  <w:pPr>
                    <w:widowControl/>
                    <w:pBdr>
                      <w:bottom w:val="none" w:color="auto" w:sz="0" w:space="0"/>
                    </w:pBdr>
                    <w:adjustRightIn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lang w:val="en-US" w:eastAsia="zh-CN"/>
                    </w:rPr>
                    <w:t>t/a</w:t>
                  </w:r>
                </w:p>
              </w:tc>
              <w:tc>
                <w:tcPr>
                  <w:tcW w:w="426" w:type="pct"/>
                  <w:tcBorders>
                    <w:tl2br w:val="nil"/>
                    <w:tr2bl w:val="nil"/>
                  </w:tcBorders>
                  <w:shd w:val="clear" w:color="auto" w:fill="auto"/>
                  <w:vAlign w:val="center"/>
                </w:tcPr>
                <w:p w14:paraId="35F6E18B">
                  <w:pPr>
                    <w:pStyle w:val="13"/>
                    <w:widowControl/>
                    <w:pBdr>
                      <w:bottom w:val="none" w:color="auto" w:sz="0" w:space="0"/>
                    </w:pBdr>
                    <w:adjustRightInd w:val="0"/>
                    <w:jc w:val="center"/>
                    <w:rPr>
                      <w:rFonts w:hint="default"/>
                      <w:color w:val="auto"/>
                      <w:kern w:val="2"/>
                      <w:sz w:val="21"/>
                      <w:szCs w:val="21"/>
                      <w:highlight w:val="none"/>
                      <w:lang w:val="en-US" w:eastAsia="zh-CN"/>
                    </w:rPr>
                  </w:pPr>
                  <w:r>
                    <w:rPr>
                      <w:rFonts w:hint="eastAsia"/>
                      <w:color w:val="auto"/>
                      <w:kern w:val="2"/>
                      <w:sz w:val="21"/>
                      <w:szCs w:val="21"/>
                      <w:highlight w:val="none"/>
                      <w:lang w:val="en-US" w:eastAsia="zh-CN"/>
                    </w:rPr>
                    <w:t>0.63</w:t>
                  </w:r>
                </w:p>
              </w:tc>
              <w:tc>
                <w:tcPr>
                  <w:tcW w:w="426" w:type="pct"/>
                  <w:tcBorders>
                    <w:tl2br w:val="nil"/>
                    <w:tr2bl w:val="nil"/>
                  </w:tcBorders>
                  <w:shd w:val="clear" w:color="auto" w:fill="auto"/>
                  <w:vAlign w:val="center"/>
                </w:tcPr>
                <w:p w14:paraId="7E669CD3">
                  <w:pPr>
                    <w:pStyle w:val="13"/>
                    <w:widowControl/>
                    <w:pBdr>
                      <w:bottom w:val="none" w:color="auto" w:sz="0" w:space="0"/>
                    </w:pBdr>
                    <w:adjustRightInd w:val="0"/>
                    <w:rPr>
                      <w:rFonts w:hint="eastAsia"/>
                      <w:color w:val="auto"/>
                      <w:kern w:val="2"/>
                      <w:sz w:val="21"/>
                      <w:szCs w:val="21"/>
                      <w:highlight w:val="none"/>
                    </w:rPr>
                  </w:pPr>
                  <w:r>
                    <w:rPr>
                      <w:rFonts w:hint="eastAsia"/>
                      <w:color w:val="auto"/>
                      <w:kern w:val="2"/>
                      <w:sz w:val="21"/>
                      <w:szCs w:val="21"/>
                      <w:highlight w:val="none"/>
                    </w:rPr>
                    <w:t>固态</w:t>
                  </w:r>
                </w:p>
              </w:tc>
              <w:tc>
                <w:tcPr>
                  <w:tcW w:w="787" w:type="pct"/>
                  <w:tcBorders>
                    <w:tl2br w:val="nil"/>
                    <w:tr2bl w:val="nil"/>
                  </w:tcBorders>
                  <w:shd w:val="clear" w:color="auto" w:fill="auto"/>
                  <w:vAlign w:val="center"/>
                </w:tcPr>
                <w:p w14:paraId="60942BA9">
                  <w:pPr>
                    <w:pStyle w:val="13"/>
                    <w:widowControl/>
                    <w:pBdr>
                      <w:bottom w:val="none" w:color="auto" w:sz="0" w:space="0"/>
                    </w:pBdr>
                    <w:adjustRightInd w:val="0"/>
                    <w:rPr>
                      <w:rFonts w:hint="default"/>
                      <w:color w:val="auto"/>
                      <w:kern w:val="2"/>
                      <w:sz w:val="21"/>
                      <w:szCs w:val="21"/>
                      <w:highlight w:val="none"/>
                      <w:lang w:val="en-US" w:eastAsia="zh-CN"/>
                    </w:rPr>
                  </w:pPr>
                  <w:r>
                    <w:rPr>
                      <w:rFonts w:hint="eastAsia"/>
                      <w:color w:val="auto"/>
                      <w:kern w:val="2"/>
                      <w:sz w:val="21"/>
                      <w:szCs w:val="21"/>
                      <w:highlight w:val="none"/>
                      <w:lang w:val="en-US" w:eastAsia="zh-CN"/>
                    </w:rPr>
                    <w:t>树脂</w:t>
                  </w:r>
                </w:p>
              </w:tc>
              <w:tc>
                <w:tcPr>
                  <w:tcW w:w="566" w:type="pct"/>
                  <w:tcBorders>
                    <w:tl2br w:val="nil"/>
                    <w:tr2bl w:val="nil"/>
                  </w:tcBorders>
                  <w:shd w:val="clear" w:color="auto" w:fill="auto"/>
                  <w:vAlign w:val="center"/>
                </w:tcPr>
                <w:p w14:paraId="45623EF6">
                  <w:pPr>
                    <w:pStyle w:val="13"/>
                    <w:widowControl/>
                    <w:pBdr>
                      <w:bottom w:val="none" w:color="auto" w:sz="0" w:space="0"/>
                    </w:pBdr>
                    <w:adjustRightInd w:val="0"/>
                    <w:rPr>
                      <w:color w:val="auto"/>
                      <w:sz w:val="21"/>
                      <w:szCs w:val="21"/>
                      <w:highlight w:val="none"/>
                    </w:rPr>
                  </w:pPr>
                  <w:r>
                    <w:rPr>
                      <w:rFonts w:hint="eastAsia"/>
                      <w:color w:val="auto"/>
                      <w:sz w:val="21"/>
                      <w:szCs w:val="21"/>
                      <w:highlight w:val="none"/>
                    </w:rPr>
                    <w:t>工业</w:t>
                  </w:r>
                </w:p>
                <w:p w14:paraId="7B8224C8">
                  <w:pPr>
                    <w:pStyle w:val="13"/>
                    <w:widowControl/>
                    <w:pBdr>
                      <w:bottom w:val="none" w:color="auto" w:sz="0" w:space="0"/>
                    </w:pBdr>
                    <w:adjustRightInd w:val="0"/>
                    <w:rPr>
                      <w:rFonts w:hint="eastAsia"/>
                      <w:color w:val="auto"/>
                      <w:sz w:val="21"/>
                      <w:szCs w:val="21"/>
                      <w:highlight w:val="none"/>
                    </w:rPr>
                  </w:pPr>
                  <w:r>
                    <w:rPr>
                      <w:rFonts w:hint="eastAsia"/>
                      <w:color w:val="auto"/>
                      <w:sz w:val="21"/>
                      <w:szCs w:val="21"/>
                      <w:highlight w:val="none"/>
                    </w:rPr>
                    <w:t>固废</w:t>
                  </w:r>
                </w:p>
              </w:tc>
              <w:tc>
                <w:tcPr>
                  <w:tcW w:w="929" w:type="pct"/>
                  <w:tcBorders>
                    <w:tl2br w:val="nil"/>
                    <w:tr2bl w:val="nil"/>
                  </w:tcBorders>
                  <w:shd w:val="clear" w:color="auto" w:fill="auto"/>
                  <w:vAlign w:val="center"/>
                </w:tcPr>
                <w:p w14:paraId="567EBC81">
                  <w:pPr>
                    <w:pStyle w:val="13"/>
                    <w:widowControl/>
                    <w:pBdr>
                      <w:bottom w:val="none" w:color="auto" w:sz="0" w:space="0"/>
                    </w:pBdr>
                    <w:adjustRightInd w:val="0"/>
                    <w:rPr>
                      <w:color w:val="auto"/>
                      <w:sz w:val="21"/>
                      <w:szCs w:val="21"/>
                      <w:highlight w:val="none"/>
                    </w:rPr>
                  </w:pPr>
                  <w:r>
                    <w:rPr>
                      <w:color w:val="auto"/>
                      <w:sz w:val="21"/>
                      <w:szCs w:val="21"/>
                      <w:highlight w:val="none"/>
                    </w:rPr>
                    <w:t>SW</w:t>
                  </w:r>
                  <w:r>
                    <w:rPr>
                      <w:rFonts w:hint="eastAsia"/>
                      <w:color w:val="auto"/>
                      <w:sz w:val="21"/>
                      <w:szCs w:val="21"/>
                      <w:highlight w:val="none"/>
                    </w:rPr>
                    <w:t>59</w:t>
                  </w:r>
                  <w:r>
                    <w:rPr>
                      <w:rFonts w:hint="eastAsia"/>
                      <w:color w:val="auto"/>
                      <w:sz w:val="21"/>
                      <w:szCs w:val="21"/>
                      <w:highlight w:val="none"/>
                      <w:lang w:val="en-US" w:eastAsia="zh-CN"/>
                    </w:rPr>
                    <w:t xml:space="preserve"> </w:t>
                  </w:r>
                  <w:r>
                    <w:rPr>
                      <w:color w:val="auto"/>
                      <w:sz w:val="21"/>
                      <w:szCs w:val="21"/>
                      <w:highlight w:val="none"/>
                    </w:rPr>
                    <w:t>900-099-S59</w:t>
                  </w:r>
                </w:p>
              </w:tc>
            </w:tr>
            <w:tr w14:paraId="6BFFB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76" w:type="pct"/>
                  <w:tcBorders>
                    <w:tl2br w:val="nil"/>
                    <w:tr2bl w:val="nil"/>
                  </w:tcBorders>
                  <w:shd w:val="clear" w:color="auto" w:fill="auto"/>
                  <w:vAlign w:val="center"/>
                </w:tcPr>
                <w:p w14:paraId="013A305C">
                  <w:pPr>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表面处理水槽沉渣</w:t>
                  </w:r>
                </w:p>
              </w:tc>
              <w:tc>
                <w:tcPr>
                  <w:tcW w:w="661" w:type="pct"/>
                  <w:tcBorders>
                    <w:tl2br w:val="nil"/>
                    <w:tr2bl w:val="nil"/>
                  </w:tcBorders>
                  <w:shd w:val="clear" w:color="auto" w:fill="auto"/>
                  <w:vAlign w:val="center"/>
                </w:tcPr>
                <w:p w14:paraId="5916459B">
                  <w:pPr>
                    <w:pStyle w:val="13"/>
                    <w:widowControl/>
                    <w:pBdr>
                      <w:bottom w:val="none" w:color="auto" w:sz="0" w:space="0"/>
                    </w:pBdr>
                    <w:adjustRightInd w:val="0"/>
                    <w:jc w:val="center"/>
                    <w:rPr>
                      <w:rFonts w:hint="eastAsia"/>
                      <w:color w:val="auto"/>
                      <w:kern w:val="2"/>
                      <w:sz w:val="21"/>
                      <w:szCs w:val="21"/>
                      <w:highlight w:val="none"/>
                      <w:lang w:val="en-US" w:eastAsia="zh-CN"/>
                    </w:rPr>
                  </w:pPr>
                  <w:r>
                    <w:rPr>
                      <w:rFonts w:hint="eastAsia"/>
                      <w:color w:val="auto"/>
                      <w:kern w:val="2"/>
                      <w:sz w:val="21"/>
                      <w:szCs w:val="21"/>
                      <w:highlight w:val="none"/>
                      <w:lang w:val="en-US" w:eastAsia="zh-CN"/>
                    </w:rPr>
                    <w:t>生产</w:t>
                  </w:r>
                </w:p>
                <w:p w14:paraId="0A6F2F7F">
                  <w:pPr>
                    <w:pStyle w:val="13"/>
                    <w:widowControl/>
                    <w:pBdr>
                      <w:bottom w:val="none" w:color="auto" w:sz="0" w:space="0"/>
                    </w:pBdr>
                    <w:adjustRightIn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lang w:val="en-US" w:eastAsia="zh-CN"/>
                    </w:rPr>
                    <w:t>过程</w:t>
                  </w:r>
                </w:p>
              </w:tc>
              <w:tc>
                <w:tcPr>
                  <w:tcW w:w="426" w:type="pct"/>
                  <w:tcBorders>
                    <w:tl2br w:val="nil"/>
                    <w:tr2bl w:val="nil"/>
                  </w:tcBorders>
                  <w:shd w:val="clear" w:color="auto" w:fill="auto"/>
                  <w:vAlign w:val="center"/>
                </w:tcPr>
                <w:p w14:paraId="2891782E">
                  <w:pPr>
                    <w:widowControl/>
                    <w:pBdr>
                      <w:bottom w:val="none" w:color="auto" w:sz="0" w:space="0"/>
                    </w:pBdr>
                    <w:adjustRightInd w:val="0"/>
                    <w:jc w:val="center"/>
                    <w:rPr>
                      <w:rFonts w:hint="eastAsia"/>
                      <w:color w:val="auto"/>
                      <w:kern w:val="2"/>
                      <w:sz w:val="21"/>
                      <w:szCs w:val="21"/>
                      <w:highlight w:val="none"/>
                      <w:lang w:val="en-US" w:eastAsia="zh-CN"/>
                    </w:rPr>
                  </w:pPr>
                  <w:r>
                    <w:rPr>
                      <w:rFonts w:hint="eastAsia"/>
                      <w:color w:val="auto"/>
                      <w:kern w:val="2"/>
                      <w:sz w:val="21"/>
                      <w:szCs w:val="21"/>
                      <w:highlight w:val="none"/>
                      <w:lang w:val="en-US" w:eastAsia="zh-CN"/>
                    </w:rPr>
                    <w:t>t/a</w:t>
                  </w:r>
                </w:p>
              </w:tc>
              <w:tc>
                <w:tcPr>
                  <w:tcW w:w="426" w:type="pct"/>
                  <w:tcBorders>
                    <w:tl2br w:val="nil"/>
                    <w:tr2bl w:val="nil"/>
                  </w:tcBorders>
                  <w:shd w:val="clear" w:color="auto" w:fill="auto"/>
                  <w:vAlign w:val="center"/>
                </w:tcPr>
                <w:p w14:paraId="008FB9B1">
                  <w:pPr>
                    <w:pStyle w:val="13"/>
                    <w:widowControl/>
                    <w:pBdr>
                      <w:bottom w:val="none" w:color="auto" w:sz="0" w:space="0"/>
                    </w:pBdr>
                    <w:adjustRightInd w:val="0"/>
                    <w:jc w:val="center"/>
                    <w:rPr>
                      <w:rFonts w:hint="default"/>
                      <w:color w:val="auto"/>
                      <w:kern w:val="2"/>
                      <w:sz w:val="21"/>
                      <w:szCs w:val="21"/>
                      <w:highlight w:val="none"/>
                      <w:lang w:val="en-US" w:eastAsia="zh-CN"/>
                    </w:rPr>
                  </w:pPr>
                  <w:r>
                    <w:rPr>
                      <w:rFonts w:hint="eastAsia"/>
                      <w:color w:val="auto"/>
                      <w:kern w:val="2"/>
                      <w:sz w:val="21"/>
                      <w:szCs w:val="21"/>
                      <w:highlight w:val="none"/>
                      <w:lang w:val="en-US" w:eastAsia="zh-CN"/>
                    </w:rPr>
                    <w:t>1</w:t>
                  </w:r>
                </w:p>
              </w:tc>
              <w:tc>
                <w:tcPr>
                  <w:tcW w:w="426" w:type="pct"/>
                  <w:tcBorders>
                    <w:tl2br w:val="nil"/>
                    <w:tr2bl w:val="nil"/>
                  </w:tcBorders>
                  <w:shd w:val="clear" w:color="auto" w:fill="auto"/>
                  <w:vAlign w:val="center"/>
                </w:tcPr>
                <w:p w14:paraId="6232E4E1">
                  <w:pPr>
                    <w:pStyle w:val="13"/>
                    <w:widowControl/>
                    <w:pBdr>
                      <w:bottom w:val="none" w:color="auto" w:sz="0" w:space="0"/>
                    </w:pBdr>
                    <w:adjustRightInd w:val="0"/>
                    <w:rPr>
                      <w:rFonts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rPr>
                    <w:t>固态</w:t>
                  </w:r>
                </w:p>
              </w:tc>
              <w:tc>
                <w:tcPr>
                  <w:tcW w:w="787" w:type="pct"/>
                  <w:tcBorders>
                    <w:tl2br w:val="nil"/>
                    <w:tr2bl w:val="nil"/>
                  </w:tcBorders>
                  <w:shd w:val="clear" w:color="auto" w:fill="auto"/>
                  <w:vAlign w:val="center"/>
                </w:tcPr>
                <w:p w14:paraId="74AC743D">
                  <w:pPr>
                    <w:pStyle w:val="13"/>
                    <w:widowControl/>
                    <w:pBdr>
                      <w:bottom w:val="none" w:color="auto" w:sz="0" w:space="0"/>
                    </w:pBdr>
                    <w:adjustRightInd w:val="0"/>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沉渣</w:t>
                  </w:r>
                </w:p>
              </w:tc>
              <w:tc>
                <w:tcPr>
                  <w:tcW w:w="566" w:type="pct"/>
                  <w:tcBorders>
                    <w:tl2br w:val="nil"/>
                    <w:tr2bl w:val="nil"/>
                  </w:tcBorders>
                  <w:shd w:val="clear" w:color="auto" w:fill="auto"/>
                  <w:vAlign w:val="center"/>
                </w:tcPr>
                <w:p w14:paraId="2992F2F6">
                  <w:pPr>
                    <w:widowControl/>
                    <w:adjustRightInd w:val="0"/>
                    <w:snapToGrid w:val="0"/>
                    <w:jc w:val="center"/>
                    <w:rPr>
                      <w:color w:val="auto"/>
                      <w:szCs w:val="21"/>
                      <w:highlight w:val="none"/>
                    </w:rPr>
                  </w:pPr>
                  <w:r>
                    <w:rPr>
                      <w:rFonts w:hint="eastAsia"/>
                      <w:color w:val="auto"/>
                      <w:szCs w:val="21"/>
                      <w:highlight w:val="none"/>
                    </w:rPr>
                    <w:t>工业</w:t>
                  </w:r>
                </w:p>
                <w:p w14:paraId="41E9316F">
                  <w:pPr>
                    <w:widowControl/>
                    <w:adjustRightInd w:val="0"/>
                    <w:snapToGrid w:val="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固废</w:t>
                  </w:r>
                </w:p>
              </w:tc>
              <w:tc>
                <w:tcPr>
                  <w:tcW w:w="929" w:type="pct"/>
                  <w:tcBorders>
                    <w:tl2br w:val="nil"/>
                    <w:tr2bl w:val="nil"/>
                  </w:tcBorders>
                  <w:shd w:val="clear" w:color="auto" w:fill="auto"/>
                  <w:vAlign w:val="center"/>
                </w:tcPr>
                <w:p w14:paraId="013834AF">
                  <w:pPr>
                    <w:pStyle w:val="13"/>
                    <w:widowControl/>
                    <w:pBdr>
                      <w:bottom w:val="none" w:color="auto" w:sz="0" w:space="0"/>
                    </w:pBdr>
                    <w:adjustRightInd w:val="0"/>
                    <w:rPr>
                      <w:rFonts w:hint="eastAsia" w:ascii="Times New Roman" w:hAnsi="Times New Roman" w:eastAsia="宋体" w:cs="Times New Roman"/>
                      <w:color w:val="auto"/>
                      <w:kern w:val="0"/>
                      <w:sz w:val="21"/>
                      <w:szCs w:val="21"/>
                      <w:highlight w:val="none"/>
                      <w:lang w:val="en-US" w:eastAsia="zh-CN" w:bidi="ar-SA"/>
                    </w:rPr>
                  </w:pPr>
                  <w:r>
                    <w:rPr>
                      <w:color w:val="auto"/>
                      <w:sz w:val="21"/>
                      <w:szCs w:val="21"/>
                      <w:highlight w:val="none"/>
                    </w:rPr>
                    <w:t>SW</w:t>
                  </w:r>
                  <w:r>
                    <w:rPr>
                      <w:rFonts w:hint="eastAsia"/>
                      <w:color w:val="auto"/>
                      <w:sz w:val="21"/>
                      <w:szCs w:val="21"/>
                      <w:highlight w:val="none"/>
                      <w:lang w:val="en-US" w:eastAsia="zh-CN"/>
                    </w:rPr>
                    <w:t xml:space="preserve">59 </w:t>
                  </w:r>
                  <w:r>
                    <w:rPr>
                      <w:rFonts w:hint="eastAsia"/>
                      <w:color w:val="auto"/>
                      <w:sz w:val="21"/>
                      <w:szCs w:val="21"/>
                      <w:highlight w:val="none"/>
                    </w:rPr>
                    <w:t xml:space="preserve">900-099-S59 </w:t>
                  </w:r>
                </w:p>
              </w:tc>
            </w:tr>
            <w:tr w14:paraId="5640D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76" w:type="pct"/>
                  <w:tcBorders>
                    <w:tl2br w:val="nil"/>
                    <w:tr2bl w:val="nil"/>
                  </w:tcBorders>
                  <w:shd w:val="clear" w:color="auto" w:fill="auto"/>
                  <w:vAlign w:val="center"/>
                </w:tcPr>
                <w:p w14:paraId="2F9E1373">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电泳槽渣</w:t>
                  </w:r>
                </w:p>
              </w:tc>
              <w:tc>
                <w:tcPr>
                  <w:tcW w:w="661" w:type="pct"/>
                  <w:tcBorders>
                    <w:tl2br w:val="nil"/>
                    <w:tr2bl w:val="nil"/>
                  </w:tcBorders>
                  <w:shd w:val="clear" w:color="auto" w:fill="auto"/>
                  <w:vAlign w:val="center"/>
                </w:tcPr>
                <w:p w14:paraId="1504DAFD">
                  <w:pPr>
                    <w:pStyle w:val="13"/>
                    <w:widowControl/>
                    <w:pBdr>
                      <w:bottom w:val="none" w:color="auto" w:sz="0" w:space="0"/>
                    </w:pBdr>
                    <w:adjustRightInd w:val="0"/>
                    <w:jc w:val="center"/>
                    <w:rPr>
                      <w:rFonts w:hint="eastAsia"/>
                      <w:color w:val="auto"/>
                      <w:kern w:val="2"/>
                      <w:sz w:val="21"/>
                      <w:szCs w:val="21"/>
                      <w:highlight w:val="none"/>
                      <w:lang w:val="en-US" w:eastAsia="zh-CN"/>
                    </w:rPr>
                  </w:pPr>
                  <w:r>
                    <w:rPr>
                      <w:rFonts w:hint="eastAsia"/>
                      <w:color w:val="auto"/>
                      <w:kern w:val="2"/>
                      <w:sz w:val="21"/>
                      <w:szCs w:val="21"/>
                      <w:highlight w:val="none"/>
                      <w:lang w:val="en-US" w:eastAsia="zh-CN"/>
                    </w:rPr>
                    <w:t>生产</w:t>
                  </w:r>
                </w:p>
                <w:p w14:paraId="422C95CD">
                  <w:pPr>
                    <w:pStyle w:val="13"/>
                    <w:widowControl/>
                    <w:pBdr>
                      <w:bottom w:val="none" w:color="auto" w:sz="0" w:space="0"/>
                    </w:pBdr>
                    <w:adjustRightIn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lang w:val="en-US" w:eastAsia="zh-CN"/>
                    </w:rPr>
                    <w:t>过程</w:t>
                  </w:r>
                </w:p>
              </w:tc>
              <w:tc>
                <w:tcPr>
                  <w:tcW w:w="426" w:type="pct"/>
                  <w:tcBorders>
                    <w:tl2br w:val="nil"/>
                    <w:tr2bl w:val="nil"/>
                  </w:tcBorders>
                  <w:shd w:val="clear" w:color="auto" w:fill="auto"/>
                  <w:vAlign w:val="center"/>
                </w:tcPr>
                <w:p w14:paraId="3BDE933D">
                  <w:pPr>
                    <w:widowControl/>
                    <w:pBdr>
                      <w:bottom w:val="none" w:color="auto" w:sz="0" w:space="0"/>
                    </w:pBdr>
                    <w:adjustRightIn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lang w:val="en-US" w:eastAsia="zh-CN"/>
                    </w:rPr>
                    <w:t>t/a</w:t>
                  </w:r>
                </w:p>
              </w:tc>
              <w:tc>
                <w:tcPr>
                  <w:tcW w:w="426" w:type="pct"/>
                  <w:tcBorders>
                    <w:tl2br w:val="nil"/>
                    <w:tr2bl w:val="nil"/>
                  </w:tcBorders>
                  <w:shd w:val="clear" w:color="auto" w:fill="auto"/>
                  <w:vAlign w:val="center"/>
                </w:tcPr>
                <w:p w14:paraId="15B569BE">
                  <w:pPr>
                    <w:pStyle w:val="13"/>
                    <w:widowControl/>
                    <w:pBdr>
                      <w:bottom w:val="none" w:color="auto" w:sz="0" w:space="0"/>
                    </w:pBdr>
                    <w:adjustRightIn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0.95</w:t>
                  </w:r>
                </w:p>
              </w:tc>
              <w:tc>
                <w:tcPr>
                  <w:tcW w:w="426" w:type="pct"/>
                  <w:tcBorders>
                    <w:tl2br w:val="nil"/>
                    <w:tr2bl w:val="nil"/>
                  </w:tcBorders>
                  <w:shd w:val="clear" w:color="auto" w:fill="auto"/>
                  <w:vAlign w:val="center"/>
                </w:tcPr>
                <w:p w14:paraId="3644E2F2">
                  <w:pPr>
                    <w:pStyle w:val="13"/>
                    <w:widowControl/>
                    <w:pBdr>
                      <w:bottom w:val="none" w:color="auto" w:sz="0" w:space="0"/>
                    </w:pBdr>
                    <w:adjustRightInd w:val="0"/>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rPr>
                    <w:t>固态</w:t>
                  </w:r>
                </w:p>
              </w:tc>
              <w:tc>
                <w:tcPr>
                  <w:tcW w:w="787" w:type="pct"/>
                  <w:tcBorders>
                    <w:tl2br w:val="nil"/>
                    <w:tr2bl w:val="nil"/>
                  </w:tcBorders>
                  <w:shd w:val="clear" w:color="auto" w:fill="auto"/>
                  <w:vAlign w:val="center"/>
                </w:tcPr>
                <w:p w14:paraId="5E14700F">
                  <w:pPr>
                    <w:pStyle w:val="13"/>
                    <w:widowControl/>
                    <w:pBdr>
                      <w:bottom w:val="none" w:color="auto" w:sz="0" w:space="0"/>
                    </w:pBdr>
                    <w:adjustRightInd w:val="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沉渣</w:t>
                  </w:r>
                </w:p>
              </w:tc>
              <w:tc>
                <w:tcPr>
                  <w:tcW w:w="566" w:type="pct"/>
                  <w:tcBorders>
                    <w:tl2br w:val="nil"/>
                    <w:tr2bl w:val="nil"/>
                  </w:tcBorders>
                  <w:shd w:val="clear" w:color="auto" w:fill="auto"/>
                  <w:vAlign w:val="center"/>
                </w:tcPr>
                <w:p w14:paraId="4BBCBFB1">
                  <w:pPr>
                    <w:widowControl/>
                    <w:adjustRightInd w:val="0"/>
                    <w:snapToGrid w:val="0"/>
                    <w:jc w:val="center"/>
                    <w:rPr>
                      <w:color w:val="auto"/>
                      <w:szCs w:val="21"/>
                      <w:highlight w:val="none"/>
                    </w:rPr>
                  </w:pPr>
                  <w:r>
                    <w:rPr>
                      <w:rFonts w:hint="eastAsia"/>
                      <w:color w:val="auto"/>
                      <w:szCs w:val="21"/>
                      <w:highlight w:val="none"/>
                    </w:rPr>
                    <w:t>工业</w:t>
                  </w:r>
                </w:p>
                <w:p w14:paraId="00EA5F0F">
                  <w:pPr>
                    <w:widowControl/>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固废</w:t>
                  </w:r>
                </w:p>
              </w:tc>
              <w:tc>
                <w:tcPr>
                  <w:tcW w:w="929" w:type="pct"/>
                  <w:tcBorders>
                    <w:tl2br w:val="nil"/>
                    <w:tr2bl w:val="nil"/>
                  </w:tcBorders>
                  <w:shd w:val="clear" w:color="auto" w:fill="auto"/>
                  <w:vAlign w:val="center"/>
                </w:tcPr>
                <w:p w14:paraId="472452C9">
                  <w:pPr>
                    <w:pStyle w:val="13"/>
                    <w:widowControl/>
                    <w:pBdr>
                      <w:bottom w:val="none" w:color="auto" w:sz="0" w:space="0"/>
                    </w:pBdr>
                    <w:adjustRightInd w:val="0"/>
                    <w:rPr>
                      <w:rFonts w:hint="eastAsia" w:ascii="Times New Roman" w:hAnsi="Times New Roman" w:eastAsia="宋体" w:cs="Times New Roman"/>
                      <w:color w:val="auto"/>
                      <w:kern w:val="0"/>
                      <w:sz w:val="21"/>
                      <w:szCs w:val="21"/>
                      <w:highlight w:val="none"/>
                      <w:lang w:val="en-US" w:eastAsia="zh-CN" w:bidi="ar-SA"/>
                    </w:rPr>
                  </w:pPr>
                  <w:r>
                    <w:rPr>
                      <w:color w:val="auto"/>
                      <w:sz w:val="21"/>
                      <w:szCs w:val="21"/>
                      <w:highlight w:val="none"/>
                    </w:rPr>
                    <w:t>SW</w:t>
                  </w:r>
                  <w:r>
                    <w:rPr>
                      <w:rFonts w:hint="eastAsia"/>
                      <w:color w:val="auto"/>
                      <w:sz w:val="21"/>
                      <w:szCs w:val="21"/>
                      <w:highlight w:val="none"/>
                      <w:lang w:val="en-US" w:eastAsia="zh-CN"/>
                    </w:rPr>
                    <w:t xml:space="preserve">59 </w:t>
                  </w:r>
                  <w:r>
                    <w:rPr>
                      <w:rFonts w:hint="eastAsia"/>
                      <w:color w:val="auto"/>
                      <w:sz w:val="21"/>
                      <w:szCs w:val="21"/>
                      <w:highlight w:val="none"/>
                    </w:rPr>
                    <w:t xml:space="preserve">900-099-S59 </w:t>
                  </w:r>
                </w:p>
              </w:tc>
            </w:tr>
            <w:tr w14:paraId="436F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pct"/>
                  <w:tcBorders>
                    <w:tl2br w:val="nil"/>
                    <w:tr2bl w:val="nil"/>
                  </w:tcBorders>
                  <w:vAlign w:val="center"/>
                </w:tcPr>
                <w:p w14:paraId="3D74069D">
                  <w:pPr>
                    <w:jc w:val="center"/>
                    <w:rPr>
                      <w:rFonts w:hint="eastAsia" w:eastAsia="宋体"/>
                      <w:color w:val="auto"/>
                      <w:szCs w:val="21"/>
                      <w:highlight w:val="none"/>
                      <w:lang w:eastAsia="zh-CN"/>
                    </w:rPr>
                  </w:pPr>
                  <w:r>
                    <w:rPr>
                      <w:rFonts w:hint="eastAsia"/>
                      <w:color w:val="auto"/>
                      <w:szCs w:val="21"/>
                      <w:highlight w:val="none"/>
                      <w:lang w:val="en-US" w:eastAsia="zh-CN"/>
                    </w:rPr>
                    <w:t>废超滤膜</w:t>
                  </w:r>
                </w:p>
              </w:tc>
              <w:tc>
                <w:tcPr>
                  <w:tcW w:w="661" w:type="pct"/>
                  <w:tcBorders>
                    <w:tl2br w:val="nil"/>
                    <w:tr2bl w:val="nil"/>
                  </w:tcBorders>
                  <w:vAlign w:val="center"/>
                </w:tcPr>
                <w:p w14:paraId="3A097030">
                  <w:pPr>
                    <w:pStyle w:val="13"/>
                    <w:widowControl/>
                    <w:pBdr>
                      <w:bottom w:val="none" w:color="auto" w:sz="0" w:space="0"/>
                    </w:pBdr>
                    <w:adjustRightInd w:val="0"/>
                    <w:jc w:val="center"/>
                    <w:rPr>
                      <w:rFonts w:hint="eastAsia"/>
                      <w:color w:val="auto"/>
                      <w:kern w:val="2"/>
                      <w:sz w:val="21"/>
                      <w:szCs w:val="21"/>
                      <w:highlight w:val="none"/>
                      <w:lang w:val="en-US" w:eastAsia="zh-CN"/>
                    </w:rPr>
                  </w:pPr>
                  <w:r>
                    <w:rPr>
                      <w:rFonts w:hint="eastAsia"/>
                      <w:color w:val="auto"/>
                      <w:kern w:val="2"/>
                      <w:sz w:val="21"/>
                      <w:szCs w:val="21"/>
                      <w:highlight w:val="none"/>
                      <w:lang w:val="en-US" w:eastAsia="zh-CN"/>
                    </w:rPr>
                    <w:t>生产</w:t>
                  </w:r>
                </w:p>
                <w:p w14:paraId="5ABE6343">
                  <w:pPr>
                    <w:pStyle w:val="13"/>
                    <w:widowControl/>
                    <w:pBdr>
                      <w:bottom w:val="none" w:color="auto" w:sz="0" w:space="0"/>
                    </w:pBdr>
                    <w:adjustRightInd w:val="0"/>
                    <w:jc w:val="center"/>
                    <w:rPr>
                      <w:color w:val="auto"/>
                      <w:sz w:val="21"/>
                      <w:szCs w:val="21"/>
                      <w:highlight w:val="none"/>
                    </w:rPr>
                  </w:pPr>
                  <w:r>
                    <w:rPr>
                      <w:rFonts w:hint="eastAsia"/>
                      <w:color w:val="auto"/>
                      <w:kern w:val="2"/>
                      <w:sz w:val="21"/>
                      <w:szCs w:val="21"/>
                      <w:highlight w:val="none"/>
                      <w:lang w:val="en-US" w:eastAsia="zh-CN"/>
                    </w:rPr>
                    <w:t>过程</w:t>
                  </w:r>
                </w:p>
              </w:tc>
              <w:tc>
                <w:tcPr>
                  <w:tcW w:w="426" w:type="pct"/>
                  <w:tcBorders>
                    <w:tl2br w:val="nil"/>
                    <w:tr2bl w:val="nil"/>
                  </w:tcBorders>
                  <w:vAlign w:val="center"/>
                </w:tcPr>
                <w:p w14:paraId="77506125">
                  <w:pPr>
                    <w:widowControl/>
                    <w:pBdr>
                      <w:bottom w:val="none" w:color="auto" w:sz="0" w:space="0"/>
                    </w:pBdr>
                    <w:adjustRightInd w:val="0"/>
                    <w:jc w:val="center"/>
                    <w:rPr>
                      <w:rFonts w:hint="eastAsia"/>
                      <w:color w:val="auto"/>
                      <w:kern w:val="2"/>
                      <w:sz w:val="21"/>
                      <w:szCs w:val="21"/>
                      <w:highlight w:val="none"/>
                      <w:lang w:val="en-US" w:eastAsia="zh-CN"/>
                    </w:rPr>
                  </w:pPr>
                  <w:r>
                    <w:rPr>
                      <w:rFonts w:hint="eastAsia"/>
                      <w:color w:val="auto"/>
                      <w:kern w:val="2"/>
                      <w:sz w:val="21"/>
                      <w:szCs w:val="21"/>
                      <w:highlight w:val="none"/>
                      <w:lang w:val="en-US" w:eastAsia="zh-CN"/>
                    </w:rPr>
                    <w:t>t/a</w:t>
                  </w:r>
                </w:p>
              </w:tc>
              <w:tc>
                <w:tcPr>
                  <w:tcW w:w="426" w:type="pct"/>
                  <w:tcBorders>
                    <w:tl2br w:val="nil"/>
                    <w:tr2bl w:val="nil"/>
                  </w:tcBorders>
                  <w:vAlign w:val="center"/>
                </w:tcPr>
                <w:p w14:paraId="6A25784B">
                  <w:pPr>
                    <w:pStyle w:val="13"/>
                    <w:widowControl/>
                    <w:pBdr>
                      <w:bottom w:val="none" w:color="auto" w:sz="0" w:space="0"/>
                    </w:pBdr>
                    <w:adjustRightInd w:val="0"/>
                    <w:jc w:val="center"/>
                    <w:rPr>
                      <w:rFonts w:hint="default"/>
                      <w:color w:val="auto"/>
                      <w:kern w:val="2"/>
                      <w:sz w:val="21"/>
                      <w:szCs w:val="21"/>
                      <w:highlight w:val="none"/>
                      <w:lang w:val="en-US" w:eastAsia="zh-CN"/>
                    </w:rPr>
                  </w:pPr>
                  <w:r>
                    <w:rPr>
                      <w:rFonts w:hint="eastAsia"/>
                      <w:color w:val="auto"/>
                      <w:kern w:val="2"/>
                      <w:sz w:val="21"/>
                      <w:szCs w:val="21"/>
                      <w:highlight w:val="none"/>
                      <w:lang w:val="en-US" w:eastAsia="zh-CN"/>
                    </w:rPr>
                    <w:t>1</w:t>
                  </w:r>
                </w:p>
              </w:tc>
              <w:tc>
                <w:tcPr>
                  <w:tcW w:w="426" w:type="pct"/>
                  <w:tcBorders>
                    <w:tl2br w:val="nil"/>
                    <w:tr2bl w:val="nil"/>
                  </w:tcBorders>
                  <w:vAlign w:val="center"/>
                </w:tcPr>
                <w:p w14:paraId="2483DEAA">
                  <w:pPr>
                    <w:pStyle w:val="13"/>
                    <w:widowControl/>
                    <w:pBdr>
                      <w:bottom w:val="none" w:color="auto" w:sz="0" w:space="0"/>
                    </w:pBdr>
                    <w:adjustRightInd w:val="0"/>
                    <w:rPr>
                      <w:color w:val="auto"/>
                      <w:kern w:val="2"/>
                      <w:sz w:val="21"/>
                      <w:szCs w:val="21"/>
                      <w:highlight w:val="none"/>
                    </w:rPr>
                  </w:pPr>
                  <w:r>
                    <w:rPr>
                      <w:rFonts w:hint="eastAsia"/>
                      <w:color w:val="auto"/>
                      <w:kern w:val="2"/>
                      <w:sz w:val="21"/>
                      <w:szCs w:val="21"/>
                      <w:highlight w:val="none"/>
                    </w:rPr>
                    <w:t>固态</w:t>
                  </w:r>
                </w:p>
              </w:tc>
              <w:tc>
                <w:tcPr>
                  <w:tcW w:w="787" w:type="pct"/>
                  <w:tcBorders>
                    <w:tl2br w:val="nil"/>
                    <w:tr2bl w:val="nil"/>
                  </w:tcBorders>
                  <w:vAlign w:val="center"/>
                </w:tcPr>
                <w:p w14:paraId="5F43A0F3">
                  <w:pPr>
                    <w:pStyle w:val="13"/>
                    <w:widowControl/>
                    <w:pBdr>
                      <w:bottom w:val="none" w:color="auto" w:sz="0" w:space="0"/>
                    </w:pBdr>
                    <w:adjustRightInd w:val="0"/>
                    <w:rPr>
                      <w:rFonts w:hint="eastAsia" w:eastAsia="宋体"/>
                      <w:color w:val="auto"/>
                      <w:sz w:val="21"/>
                      <w:szCs w:val="21"/>
                      <w:highlight w:val="none"/>
                      <w:lang w:eastAsia="zh-CN"/>
                    </w:rPr>
                  </w:pPr>
                  <w:r>
                    <w:rPr>
                      <w:rFonts w:hint="eastAsia"/>
                      <w:color w:val="auto"/>
                      <w:sz w:val="21"/>
                      <w:szCs w:val="21"/>
                      <w:highlight w:val="none"/>
                      <w:lang w:val="en-US" w:eastAsia="zh-CN"/>
                    </w:rPr>
                    <w:t>滤膜</w:t>
                  </w:r>
                </w:p>
              </w:tc>
              <w:tc>
                <w:tcPr>
                  <w:tcW w:w="566" w:type="pct"/>
                  <w:tcBorders>
                    <w:tl2br w:val="nil"/>
                    <w:tr2bl w:val="nil"/>
                  </w:tcBorders>
                  <w:vAlign w:val="center"/>
                </w:tcPr>
                <w:p w14:paraId="68124851">
                  <w:pPr>
                    <w:pStyle w:val="13"/>
                    <w:widowControl/>
                    <w:pBdr>
                      <w:bottom w:val="none" w:color="auto" w:sz="0" w:space="0"/>
                    </w:pBdr>
                    <w:adjustRightInd w:val="0"/>
                    <w:rPr>
                      <w:color w:val="auto"/>
                      <w:sz w:val="21"/>
                      <w:szCs w:val="21"/>
                      <w:highlight w:val="none"/>
                    </w:rPr>
                  </w:pPr>
                  <w:r>
                    <w:rPr>
                      <w:rFonts w:hint="eastAsia"/>
                      <w:color w:val="auto"/>
                      <w:sz w:val="21"/>
                      <w:szCs w:val="21"/>
                      <w:highlight w:val="none"/>
                    </w:rPr>
                    <w:t>工业</w:t>
                  </w:r>
                </w:p>
                <w:p w14:paraId="71831C63">
                  <w:pPr>
                    <w:pStyle w:val="13"/>
                    <w:widowControl/>
                    <w:pBdr>
                      <w:bottom w:val="none" w:color="auto" w:sz="0" w:space="0"/>
                    </w:pBdr>
                    <w:adjustRightInd w:val="0"/>
                    <w:rPr>
                      <w:color w:val="auto"/>
                      <w:sz w:val="21"/>
                      <w:szCs w:val="21"/>
                      <w:highlight w:val="none"/>
                    </w:rPr>
                  </w:pPr>
                  <w:r>
                    <w:rPr>
                      <w:rFonts w:hint="eastAsia"/>
                      <w:color w:val="auto"/>
                      <w:sz w:val="21"/>
                      <w:szCs w:val="21"/>
                      <w:highlight w:val="none"/>
                    </w:rPr>
                    <w:t>固废</w:t>
                  </w:r>
                </w:p>
              </w:tc>
              <w:tc>
                <w:tcPr>
                  <w:tcW w:w="929" w:type="pct"/>
                  <w:tcBorders>
                    <w:tl2br w:val="nil"/>
                    <w:tr2bl w:val="nil"/>
                  </w:tcBorders>
                  <w:vAlign w:val="center"/>
                </w:tcPr>
                <w:p w14:paraId="003D2D6D">
                  <w:pPr>
                    <w:pStyle w:val="13"/>
                    <w:widowControl/>
                    <w:pBdr>
                      <w:bottom w:val="none" w:color="auto" w:sz="0" w:space="0"/>
                    </w:pBdr>
                    <w:adjustRightInd w:val="0"/>
                    <w:rPr>
                      <w:color w:val="auto"/>
                      <w:sz w:val="21"/>
                      <w:szCs w:val="21"/>
                      <w:highlight w:val="none"/>
                    </w:rPr>
                  </w:pPr>
                  <w:r>
                    <w:rPr>
                      <w:color w:val="auto"/>
                      <w:sz w:val="21"/>
                      <w:szCs w:val="21"/>
                      <w:highlight w:val="none"/>
                    </w:rPr>
                    <w:t>SW</w:t>
                  </w:r>
                  <w:r>
                    <w:rPr>
                      <w:rFonts w:hint="eastAsia"/>
                      <w:color w:val="auto"/>
                      <w:sz w:val="21"/>
                      <w:szCs w:val="21"/>
                      <w:highlight w:val="none"/>
                    </w:rPr>
                    <w:t>59</w:t>
                  </w:r>
                  <w:r>
                    <w:rPr>
                      <w:rFonts w:hint="eastAsia"/>
                      <w:color w:val="auto"/>
                      <w:sz w:val="21"/>
                      <w:szCs w:val="21"/>
                      <w:highlight w:val="none"/>
                      <w:lang w:val="en-US" w:eastAsia="zh-CN"/>
                    </w:rPr>
                    <w:t xml:space="preserve"> </w:t>
                  </w:r>
                  <w:r>
                    <w:rPr>
                      <w:rFonts w:hint="eastAsia"/>
                      <w:color w:val="auto"/>
                      <w:sz w:val="21"/>
                      <w:szCs w:val="21"/>
                      <w:highlight w:val="none"/>
                    </w:rPr>
                    <w:t>900-009-S59</w:t>
                  </w:r>
                </w:p>
              </w:tc>
            </w:tr>
            <w:tr w14:paraId="0A77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pct"/>
                  <w:tcBorders>
                    <w:tl2br w:val="nil"/>
                    <w:tr2bl w:val="nil"/>
                  </w:tcBorders>
                  <w:vAlign w:val="center"/>
                </w:tcPr>
                <w:p w14:paraId="01981C74">
                  <w:pPr>
                    <w:jc w:val="center"/>
                    <w:rPr>
                      <w:rFonts w:hint="default" w:eastAsia="宋体"/>
                      <w:color w:val="auto"/>
                      <w:szCs w:val="21"/>
                      <w:highlight w:val="none"/>
                      <w:lang w:val="en-US" w:eastAsia="zh-CN"/>
                    </w:rPr>
                  </w:pPr>
                  <w:r>
                    <w:rPr>
                      <w:rFonts w:hint="eastAsia"/>
                      <w:color w:val="auto"/>
                      <w:szCs w:val="21"/>
                      <w:highlight w:val="none"/>
                      <w:lang w:val="en-US" w:eastAsia="zh-CN"/>
                    </w:rPr>
                    <w:t>废矿物油</w:t>
                  </w:r>
                </w:p>
              </w:tc>
              <w:tc>
                <w:tcPr>
                  <w:tcW w:w="661" w:type="pct"/>
                  <w:tcBorders>
                    <w:tl2br w:val="nil"/>
                    <w:tr2bl w:val="nil"/>
                  </w:tcBorders>
                  <w:vAlign w:val="center"/>
                </w:tcPr>
                <w:p w14:paraId="2E122788">
                  <w:pPr>
                    <w:pStyle w:val="13"/>
                    <w:widowControl/>
                    <w:pBdr>
                      <w:bottom w:val="none" w:color="auto" w:sz="0" w:space="0"/>
                    </w:pBdr>
                    <w:adjustRightInd w:val="0"/>
                    <w:jc w:val="center"/>
                    <w:rPr>
                      <w:rFonts w:hint="default" w:eastAsia="宋体"/>
                      <w:color w:val="auto"/>
                      <w:kern w:val="2"/>
                      <w:sz w:val="21"/>
                      <w:szCs w:val="21"/>
                      <w:highlight w:val="none"/>
                      <w:lang w:val="en-US" w:eastAsia="zh-CN"/>
                    </w:rPr>
                  </w:pPr>
                  <w:r>
                    <w:rPr>
                      <w:rFonts w:hint="eastAsia"/>
                      <w:color w:val="auto"/>
                      <w:kern w:val="2"/>
                      <w:sz w:val="21"/>
                      <w:szCs w:val="21"/>
                      <w:highlight w:val="none"/>
                      <w:lang w:val="en-US" w:eastAsia="zh-CN"/>
                    </w:rPr>
                    <w:t>废水处理生产过程</w:t>
                  </w:r>
                </w:p>
              </w:tc>
              <w:tc>
                <w:tcPr>
                  <w:tcW w:w="426" w:type="pct"/>
                  <w:tcBorders>
                    <w:tl2br w:val="nil"/>
                    <w:tr2bl w:val="nil"/>
                  </w:tcBorders>
                  <w:vAlign w:val="center"/>
                </w:tcPr>
                <w:p w14:paraId="3BBE2A98">
                  <w:pPr>
                    <w:widowControl/>
                    <w:pBdr>
                      <w:bottom w:val="none" w:color="auto" w:sz="0" w:space="0"/>
                    </w:pBdr>
                    <w:adjustRightInd w:val="0"/>
                    <w:jc w:val="center"/>
                    <w:rPr>
                      <w:rFonts w:hint="eastAsia"/>
                      <w:color w:val="auto"/>
                      <w:kern w:val="2"/>
                      <w:sz w:val="21"/>
                      <w:szCs w:val="21"/>
                      <w:highlight w:val="none"/>
                      <w:lang w:val="en-US" w:eastAsia="zh-CN"/>
                    </w:rPr>
                  </w:pPr>
                  <w:r>
                    <w:rPr>
                      <w:rFonts w:hint="eastAsia"/>
                      <w:color w:val="auto"/>
                      <w:kern w:val="2"/>
                      <w:sz w:val="21"/>
                      <w:szCs w:val="21"/>
                      <w:highlight w:val="none"/>
                      <w:lang w:val="en-US" w:eastAsia="zh-CN"/>
                    </w:rPr>
                    <w:t>t/a</w:t>
                  </w:r>
                </w:p>
              </w:tc>
              <w:tc>
                <w:tcPr>
                  <w:tcW w:w="426" w:type="pct"/>
                  <w:tcBorders>
                    <w:tl2br w:val="nil"/>
                    <w:tr2bl w:val="nil"/>
                  </w:tcBorders>
                  <w:vAlign w:val="center"/>
                </w:tcPr>
                <w:p w14:paraId="7AF8935C">
                  <w:pPr>
                    <w:pStyle w:val="13"/>
                    <w:widowControl/>
                    <w:pBdr>
                      <w:bottom w:val="none" w:color="auto" w:sz="0" w:space="0"/>
                    </w:pBdr>
                    <w:adjustRightInd w:val="0"/>
                    <w:jc w:val="center"/>
                    <w:rPr>
                      <w:rFonts w:hint="default"/>
                      <w:color w:val="auto"/>
                      <w:kern w:val="2"/>
                      <w:sz w:val="21"/>
                      <w:szCs w:val="21"/>
                      <w:highlight w:val="none"/>
                      <w:lang w:val="en-US" w:eastAsia="zh-CN"/>
                    </w:rPr>
                  </w:pPr>
                  <w:r>
                    <w:rPr>
                      <w:rFonts w:hint="eastAsia"/>
                      <w:color w:val="auto"/>
                      <w:kern w:val="2"/>
                      <w:sz w:val="21"/>
                      <w:szCs w:val="21"/>
                      <w:highlight w:val="none"/>
                      <w:lang w:val="en-US" w:eastAsia="zh-CN"/>
                    </w:rPr>
                    <w:t>0.54</w:t>
                  </w:r>
                </w:p>
              </w:tc>
              <w:tc>
                <w:tcPr>
                  <w:tcW w:w="426" w:type="pct"/>
                  <w:tcBorders>
                    <w:tl2br w:val="nil"/>
                    <w:tr2bl w:val="nil"/>
                  </w:tcBorders>
                  <w:vAlign w:val="center"/>
                </w:tcPr>
                <w:p w14:paraId="5124AA9F">
                  <w:pPr>
                    <w:pStyle w:val="13"/>
                    <w:widowControl/>
                    <w:pBdr>
                      <w:bottom w:val="none" w:color="auto" w:sz="0" w:space="0"/>
                    </w:pBdr>
                    <w:adjustRightInd w:val="0"/>
                    <w:rPr>
                      <w:rFonts w:hint="eastAsia" w:eastAsia="宋体"/>
                      <w:color w:val="auto"/>
                      <w:kern w:val="2"/>
                      <w:sz w:val="21"/>
                      <w:szCs w:val="21"/>
                      <w:highlight w:val="none"/>
                      <w:lang w:val="en-US" w:eastAsia="zh-CN"/>
                    </w:rPr>
                  </w:pPr>
                  <w:r>
                    <w:rPr>
                      <w:rFonts w:hint="eastAsia"/>
                      <w:color w:val="auto"/>
                      <w:kern w:val="2"/>
                      <w:sz w:val="21"/>
                      <w:szCs w:val="21"/>
                      <w:highlight w:val="none"/>
                      <w:lang w:val="en-US" w:eastAsia="zh-CN"/>
                    </w:rPr>
                    <w:t>液态</w:t>
                  </w:r>
                </w:p>
              </w:tc>
              <w:tc>
                <w:tcPr>
                  <w:tcW w:w="787" w:type="pct"/>
                  <w:tcBorders>
                    <w:tl2br w:val="nil"/>
                    <w:tr2bl w:val="nil"/>
                  </w:tcBorders>
                  <w:vAlign w:val="center"/>
                </w:tcPr>
                <w:p w14:paraId="79FEAEF0">
                  <w:pPr>
                    <w:pStyle w:val="13"/>
                    <w:widowControl/>
                    <w:pBdr>
                      <w:bottom w:val="none" w:color="auto" w:sz="0" w:space="0"/>
                    </w:pBdr>
                    <w:adjustRightInd w:val="0"/>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矿物油</w:t>
                  </w:r>
                </w:p>
              </w:tc>
              <w:tc>
                <w:tcPr>
                  <w:tcW w:w="566" w:type="pct"/>
                  <w:tcBorders>
                    <w:tl2br w:val="nil"/>
                    <w:tr2bl w:val="nil"/>
                  </w:tcBorders>
                  <w:vAlign w:val="center"/>
                </w:tcPr>
                <w:p w14:paraId="76A0BCC4">
                  <w:pPr>
                    <w:pStyle w:val="13"/>
                    <w:widowControl/>
                    <w:pBdr>
                      <w:bottom w:val="none" w:color="auto" w:sz="0" w:space="0"/>
                    </w:pBdr>
                    <w:adjustRightInd w:val="0"/>
                    <w:rPr>
                      <w:rFonts w:hint="eastAsia" w:eastAsia="宋体"/>
                      <w:color w:val="auto"/>
                      <w:sz w:val="21"/>
                      <w:szCs w:val="21"/>
                      <w:highlight w:val="none"/>
                      <w:lang w:val="en-US" w:eastAsia="zh-CN"/>
                    </w:rPr>
                  </w:pPr>
                  <w:r>
                    <w:rPr>
                      <w:rFonts w:hint="eastAsia"/>
                      <w:color w:val="auto"/>
                      <w:sz w:val="21"/>
                      <w:szCs w:val="21"/>
                      <w:highlight w:val="none"/>
                      <w:lang w:val="en-US" w:eastAsia="zh-CN"/>
                    </w:rPr>
                    <w:t>工业固废</w:t>
                  </w:r>
                </w:p>
              </w:tc>
              <w:tc>
                <w:tcPr>
                  <w:tcW w:w="929" w:type="pct"/>
                  <w:tcBorders>
                    <w:tl2br w:val="nil"/>
                    <w:tr2bl w:val="nil"/>
                  </w:tcBorders>
                  <w:shd w:val="clear" w:color="auto" w:fill="auto"/>
                  <w:vAlign w:val="center"/>
                </w:tcPr>
                <w:p w14:paraId="674AD14B">
                  <w:pPr>
                    <w:pStyle w:val="13"/>
                    <w:widowControl/>
                    <w:pBdr>
                      <w:bottom w:val="none" w:color="auto" w:sz="0" w:space="0"/>
                    </w:pBdr>
                    <w:adjustRightInd w:val="0"/>
                    <w:rPr>
                      <w:rFonts w:hint="eastAsia" w:ascii="Times New Roman" w:hAnsi="Times New Roman" w:eastAsia="宋体" w:cs="Times New Roman"/>
                      <w:color w:val="auto"/>
                      <w:kern w:val="0"/>
                      <w:sz w:val="21"/>
                      <w:szCs w:val="21"/>
                      <w:highlight w:val="none"/>
                      <w:lang w:val="en-US" w:eastAsia="zh-CN" w:bidi="ar-SA"/>
                    </w:rPr>
                  </w:pPr>
                  <w:r>
                    <w:rPr>
                      <w:color w:val="auto"/>
                      <w:sz w:val="21"/>
                      <w:szCs w:val="21"/>
                      <w:highlight w:val="none"/>
                    </w:rPr>
                    <w:t>SW</w:t>
                  </w:r>
                  <w:r>
                    <w:rPr>
                      <w:rFonts w:hint="eastAsia"/>
                      <w:color w:val="auto"/>
                      <w:sz w:val="21"/>
                      <w:szCs w:val="21"/>
                      <w:highlight w:val="none"/>
                      <w:lang w:val="en-US" w:eastAsia="zh-CN"/>
                    </w:rPr>
                    <w:t xml:space="preserve">59 </w:t>
                  </w:r>
                  <w:r>
                    <w:rPr>
                      <w:rFonts w:hint="eastAsia"/>
                      <w:color w:val="auto"/>
                      <w:sz w:val="21"/>
                      <w:szCs w:val="21"/>
                      <w:highlight w:val="none"/>
                    </w:rPr>
                    <w:t xml:space="preserve">900-099-S59 </w:t>
                  </w:r>
                </w:p>
              </w:tc>
            </w:tr>
            <w:tr w14:paraId="3698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pct"/>
                  <w:tcBorders>
                    <w:tl2br w:val="nil"/>
                    <w:tr2bl w:val="nil"/>
                  </w:tcBorders>
                  <w:vAlign w:val="center"/>
                </w:tcPr>
                <w:p w14:paraId="686F954D">
                  <w:pPr>
                    <w:jc w:val="center"/>
                    <w:rPr>
                      <w:rFonts w:hint="default"/>
                      <w:color w:val="auto"/>
                      <w:szCs w:val="21"/>
                      <w:highlight w:val="none"/>
                      <w:lang w:val="en-US" w:eastAsia="zh-CN"/>
                    </w:rPr>
                  </w:pPr>
                  <w:r>
                    <w:rPr>
                      <w:rFonts w:hint="eastAsia"/>
                      <w:color w:val="auto"/>
                      <w:szCs w:val="21"/>
                      <w:highlight w:val="none"/>
                      <w:lang w:val="en-US" w:eastAsia="zh-CN"/>
                    </w:rPr>
                    <w:t>污泥</w:t>
                  </w:r>
                </w:p>
              </w:tc>
              <w:tc>
                <w:tcPr>
                  <w:tcW w:w="661" w:type="pct"/>
                  <w:tcBorders>
                    <w:tl2br w:val="nil"/>
                    <w:tr2bl w:val="nil"/>
                  </w:tcBorders>
                  <w:shd w:val="clear" w:color="auto" w:fill="auto"/>
                  <w:vAlign w:val="center"/>
                </w:tcPr>
                <w:p w14:paraId="761245B5">
                  <w:pPr>
                    <w:pStyle w:val="13"/>
                    <w:widowControl/>
                    <w:pBdr>
                      <w:bottom w:val="none" w:color="auto" w:sz="0" w:space="0"/>
                    </w:pBdr>
                    <w:adjustRightInd w:val="0"/>
                    <w:jc w:val="center"/>
                    <w:rPr>
                      <w:rFonts w:hint="eastAsia"/>
                      <w:color w:val="auto"/>
                      <w:kern w:val="2"/>
                      <w:sz w:val="21"/>
                      <w:szCs w:val="21"/>
                      <w:highlight w:val="none"/>
                      <w:lang w:val="en-US" w:eastAsia="zh-CN"/>
                    </w:rPr>
                  </w:pPr>
                  <w:r>
                    <w:rPr>
                      <w:rFonts w:hint="eastAsia"/>
                      <w:color w:val="auto"/>
                      <w:kern w:val="2"/>
                      <w:sz w:val="21"/>
                      <w:szCs w:val="21"/>
                      <w:highlight w:val="none"/>
                      <w:lang w:val="en-US" w:eastAsia="zh-CN"/>
                    </w:rPr>
                    <w:t>废水</w:t>
                  </w:r>
                </w:p>
                <w:p w14:paraId="2FD03B75">
                  <w:pPr>
                    <w:pStyle w:val="13"/>
                    <w:widowControl/>
                    <w:pBdr>
                      <w:bottom w:val="none" w:color="auto" w:sz="0" w:space="0"/>
                    </w:pBdr>
                    <w:adjustRightIn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lang w:val="en-US" w:eastAsia="zh-CN"/>
                    </w:rPr>
                    <w:t>处理</w:t>
                  </w:r>
                </w:p>
              </w:tc>
              <w:tc>
                <w:tcPr>
                  <w:tcW w:w="426" w:type="pct"/>
                  <w:tcBorders>
                    <w:tl2br w:val="nil"/>
                    <w:tr2bl w:val="nil"/>
                  </w:tcBorders>
                  <w:shd w:val="clear" w:color="auto" w:fill="auto"/>
                  <w:vAlign w:val="center"/>
                </w:tcPr>
                <w:p w14:paraId="0A5D2266">
                  <w:pPr>
                    <w:widowControl/>
                    <w:pBdr>
                      <w:bottom w:val="none" w:color="auto" w:sz="0" w:space="0"/>
                    </w:pBdr>
                    <w:adjustRightInd w:val="0"/>
                    <w:jc w:val="center"/>
                    <w:rPr>
                      <w:rFonts w:hint="eastAsia"/>
                      <w:color w:val="auto"/>
                      <w:kern w:val="2"/>
                      <w:sz w:val="21"/>
                      <w:szCs w:val="21"/>
                      <w:highlight w:val="none"/>
                      <w:lang w:val="en-US" w:eastAsia="zh-CN"/>
                    </w:rPr>
                  </w:pPr>
                  <w:r>
                    <w:rPr>
                      <w:rFonts w:hint="eastAsia"/>
                      <w:color w:val="auto"/>
                      <w:kern w:val="2"/>
                      <w:sz w:val="21"/>
                      <w:szCs w:val="21"/>
                      <w:highlight w:val="none"/>
                      <w:lang w:val="en-US" w:eastAsia="zh-CN"/>
                    </w:rPr>
                    <w:t>t/a</w:t>
                  </w:r>
                </w:p>
              </w:tc>
              <w:tc>
                <w:tcPr>
                  <w:tcW w:w="426" w:type="pct"/>
                  <w:tcBorders>
                    <w:tl2br w:val="nil"/>
                    <w:tr2bl w:val="nil"/>
                  </w:tcBorders>
                  <w:shd w:val="clear" w:color="auto" w:fill="auto"/>
                  <w:vAlign w:val="center"/>
                </w:tcPr>
                <w:p w14:paraId="25A41E8F">
                  <w:pPr>
                    <w:pStyle w:val="13"/>
                    <w:widowControl/>
                    <w:pBdr>
                      <w:bottom w:val="none" w:color="auto" w:sz="0" w:space="0"/>
                    </w:pBdr>
                    <w:adjustRightInd w:val="0"/>
                    <w:jc w:val="center"/>
                    <w:rPr>
                      <w:rFonts w:hint="default"/>
                      <w:color w:val="auto"/>
                      <w:kern w:val="2"/>
                      <w:sz w:val="21"/>
                      <w:szCs w:val="21"/>
                      <w:highlight w:val="none"/>
                      <w:lang w:val="en-US" w:eastAsia="zh-CN"/>
                    </w:rPr>
                  </w:pPr>
                  <w:r>
                    <w:rPr>
                      <w:rFonts w:hint="eastAsia"/>
                      <w:color w:val="auto"/>
                      <w:kern w:val="2"/>
                      <w:sz w:val="21"/>
                      <w:szCs w:val="21"/>
                      <w:highlight w:val="none"/>
                      <w:lang w:val="en-US" w:eastAsia="zh-CN"/>
                    </w:rPr>
                    <w:t>1</w:t>
                  </w:r>
                </w:p>
              </w:tc>
              <w:tc>
                <w:tcPr>
                  <w:tcW w:w="426" w:type="pct"/>
                  <w:tcBorders>
                    <w:tl2br w:val="nil"/>
                    <w:tr2bl w:val="nil"/>
                  </w:tcBorders>
                  <w:shd w:val="clear" w:color="auto" w:fill="auto"/>
                  <w:vAlign w:val="center"/>
                </w:tcPr>
                <w:p w14:paraId="608FA9DE">
                  <w:pPr>
                    <w:pStyle w:val="13"/>
                    <w:widowControl/>
                    <w:pBdr>
                      <w:bottom w:val="none" w:color="auto" w:sz="0" w:space="0"/>
                    </w:pBdr>
                    <w:adjustRightInd w:val="0"/>
                    <w:rPr>
                      <w:rFonts w:hint="default"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kern w:val="2"/>
                      <w:sz w:val="21"/>
                      <w:szCs w:val="21"/>
                      <w:highlight w:val="none"/>
                      <w:lang w:val="en-US" w:eastAsia="zh-CN" w:bidi="ar-SA"/>
                    </w:rPr>
                    <w:t>固态</w:t>
                  </w:r>
                </w:p>
              </w:tc>
              <w:tc>
                <w:tcPr>
                  <w:tcW w:w="787" w:type="pct"/>
                  <w:tcBorders>
                    <w:tl2br w:val="nil"/>
                    <w:tr2bl w:val="nil"/>
                  </w:tcBorders>
                  <w:shd w:val="clear" w:color="auto" w:fill="auto"/>
                  <w:vAlign w:val="center"/>
                </w:tcPr>
                <w:p w14:paraId="0FAD5B55">
                  <w:pPr>
                    <w:pStyle w:val="13"/>
                    <w:widowControl/>
                    <w:pBdr>
                      <w:bottom w:val="none" w:color="auto" w:sz="0" w:space="0"/>
                    </w:pBdr>
                    <w:adjustRightInd w:val="0"/>
                    <w:rPr>
                      <w:rFonts w:hint="default" w:ascii="Times New Roman" w:hAnsi="Times New Roman" w:eastAsia="宋体" w:cs="Times New Roman"/>
                      <w:color w:val="auto"/>
                      <w:kern w:val="0"/>
                      <w:sz w:val="21"/>
                      <w:szCs w:val="21"/>
                      <w:highlight w:val="none"/>
                      <w:lang w:val="en-US" w:eastAsia="zh-CN" w:bidi="ar-SA"/>
                    </w:rPr>
                  </w:pPr>
                  <w:r>
                    <w:rPr>
                      <w:rFonts w:hint="eastAsia" w:eastAsia="宋体" w:cs="Times New Roman"/>
                      <w:color w:val="auto"/>
                      <w:kern w:val="0"/>
                      <w:sz w:val="21"/>
                      <w:szCs w:val="21"/>
                      <w:highlight w:val="none"/>
                      <w:lang w:val="en-US" w:eastAsia="zh-CN" w:bidi="ar-SA"/>
                    </w:rPr>
                    <w:t>污泥</w:t>
                  </w:r>
                </w:p>
              </w:tc>
              <w:tc>
                <w:tcPr>
                  <w:tcW w:w="566" w:type="pct"/>
                  <w:tcBorders>
                    <w:tl2br w:val="nil"/>
                    <w:tr2bl w:val="nil"/>
                  </w:tcBorders>
                  <w:shd w:val="clear" w:color="auto" w:fill="auto"/>
                  <w:vAlign w:val="center"/>
                </w:tcPr>
                <w:p w14:paraId="02FA7004">
                  <w:pPr>
                    <w:pStyle w:val="13"/>
                    <w:widowControl/>
                    <w:pBdr>
                      <w:bottom w:val="none" w:color="auto" w:sz="0" w:space="0"/>
                    </w:pBdr>
                    <w:adjustRightInd w:val="0"/>
                    <w:rPr>
                      <w:rFonts w:hint="eastAsia"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工业固废</w:t>
                  </w:r>
                </w:p>
              </w:tc>
              <w:tc>
                <w:tcPr>
                  <w:tcW w:w="929" w:type="pct"/>
                  <w:tcBorders>
                    <w:tl2br w:val="nil"/>
                    <w:tr2bl w:val="nil"/>
                  </w:tcBorders>
                  <w:shd w:val="clear" w:color="auto" w:fill="auto"/>
                  <w:vAlign w:val="center"/>
                </w:tcPr>
                <w:p w14:paraId="10D75C4E">
                  <w:pPr>
                    <w:pStyle w:val="13"/>
                    <w:widowControl/>
                    <w:pBdr>
                      <w:bottom w:val="none" w:color="auto" w:sz="0" w:space="0"/>
                    </w:pBdr>
                    <w:adjustRightInd w:val="0"/>
                    <w:rPr>
                      <w:rFonts w:hint="eastAsia" w:ascii="Times New Roman" w:hAnsi="Times New Roman" w:eastAsia="宋体" w:cs="Times New Roman"/>
                      <w:color w:val="auto"/>
                      <w:kern w:val="0"/>
                      <w:sz w:val="21"/>
                      <w:szCs w:val="21"/>
                      <w:highlight w:val="none"/>
                      <w:lang w:val="en-US" w:eastAsia="zh-CN" w:bidi="ar-SA"/>
                    </w:rPr>
                  </w:pPr>
                  <w:r>
                    <w:rPr>
                      <w:color w:val="auto"/>
                      <w:sz w:val="21"/>
                      <w:szCs w:val="21"/>
                      <w:highlight w:val="none"/>
                    </w:rPr>
                    <w:t>SW</w:t>
                  </w:r>
                  <w:r>
                    <w:rPr>
                      <w:rFonts w:hint="eastAsia"/>
                      <w:color w:val="auto"/>
                      <w:sz w:val="21"/>
                      <w:szCs w:val="21"/>
                      <w:highlight w:val="none"/>
                      <w:lang w:val="en-US" w:eastAsia="zh-CN"/>
                    </w:rPr>
                    <w:t xml:space="preserve">59 </w:t>
                  </w:r>
                  <w:r>
                    <w:rPr>
                      <w:rFonts w:hint="eastAsia"/>
                      <w:color w:val="auto"/>
                      <w:sz w:val="21"/>
                      <w:szCs w:val="21"/>
                      <w:highlight w:val="none"/>
                    </w:rPr>
                    <w:t xml:space="preserve">900-099-S59 </w:t>
                  </w:r>
                </w:p>
              </w:tc>
            </w:tr>
            <w:tr w14:paraId="44FA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pct"/>
                  <w:tcBorders>
                    <w:tl2br w:val="nil"/>
                    <w:tr2bl w:val="nil"/>
                  </w:tcBorders>
                  <w:vAlign w:val="center"/>
                </w:tcPr>
                <w:p w14:paraId="735F4E83">
                  <w:pPr>
                    <w:jc w:val="center"/>
                    <w:rPr>
                      <w:rFonts w:hint="default"/>
                      <w:color w:val="auto"/>
                      <w:szCs w:val="21"/>
                      <w:highlight w:val="none"/>
                      <w:lang w:val="en-US" w:eastAsia="zh-CN"/>
                    </w:rPr>
                  </w:pPr>
                  <w:r>
                    <w:rPr>
                      <w:rFonts w:hint="eastAsia"/>
                      <w:color w:val="auto"/>
                      <w:szCs w:val="21"/>
                      <w:highlight w:val="none"/>
                      <w:lang w:val="en-US" w:eastAsia="zh-CN"/>
                    </w:rPr>
                    <w:t>废活性炭</w:t>
                  </w:r>
                </w:p>
              </w:tc>
              <w:tc>
                <w:tcPr>
                  <w:tcW w:w="661" w:type="pct"/>
                  <w:tcBorders>
                    <w:tl2br w:val="nil"/>
                    <w:tr2bl w:val="nil"/>
                  </w:tcBorders>
                  <w:vAlign w:val="center"/>
                </w:tcPr>
                <w:p w14:paraId="1F6E51EE">
                  <w:pPr>
                    <w:pStyle w:val="13"/>
                    <w:widowControl/>
                    <w:pBdr>
                      <w:bottom w:val="none" w:color="auto" w:sz="0" w:space="0"/>
                    </w:pBdr>
                    <w:adjustRightInd w:val="0"/>
                    <w:jc w:val="center"/>
                    <w:rPr>
                      <w:rFonts w:hint="eastAsia"/>
                      <w:color w:val="auto"/>
                      <w:kern w:val="2"/>
                      <w:sz w:val="21"/>
                      <w:szCs w:val="21"/>
                      <w:highlight w:val="none"/>
                      <w:lang w:val="en-US" w:eastAsia="zh-CN"/>
                    </w:rPr>
                  </w:pPr>
                  <w:r>
                    <w:rPr>
                      <w:rFonts w:hint="eastAsia"/>
                      <w:color w:val="auto"/>
                      <w:kern w:val="2"/>
                      <w:sz w:val="21"/>
                      <w:szCs w:val="21"/>
                      <w:highlight w:val="none"/>
                      <w:lang w:val="en-US" w:eastAsia="zh-CN"/>
                    </w:rPr>
                    <w:t>废气</w:t>
                  </w:r>
                </w:p>
                <w:p w14:paraId="46D1EF86">
                  <w:pPr>
                    <w:pStyle w:val="13"/>
                    <w:widowControl/>
                    <w:pBdr>
                      <w:bottom w:val="none" w:color="auto" w:sz="0" w:space="0"/>
                    </w:pBdr>
                    <w:adjustRightInd w:val="0"/>
                    <w:jc w:val="center"/>
                    <w:rPr>
                      <w:rFonts w:hint="default"/>
                      <w:color w:val="auto"/>
                      <w:kern w:val="2"/>
                      <w:sz w:val="21"/>
                      <w:szCs w:val="21"/>
                      <w:highlight w:val="none"/>
                      <w:lang w:val="en-US" w:eastAsia="zh-CN"/>
                    </w:rPr>
                  </w:pPr>
                  <w:r>
                    <w:rPr>
                      <w:rFonts w:hint="eastAsia"/>
                      <w:color w:val="auto"/>
                      <w:kern w:val="2"/>
                      <w:sz w:val="21"/>
                      <w:szCs w:val="21"/>
                      <w:highlight w:val="none"/>
                      <w:lang w:val="en-US" w:eastAsia="zh-CN"/>
                    </w:rPr>
                    <w:t>处理</w:t>
                  </w:r>
                </w:p>
              </w:tc>
              <w:tc>
                <w:tcPr>
                  <w:tcW w:w="426" w:type="pct"/>
                  <w:tcBorders>
                    <w:tl2br w:val="nil"/>
                    <w:tr2bl w:val="nil"/>
                  </w:tcBorders>
                  <w:vAlign w:val="center"/>
                </w:tcPr>
                <w:p w14:paraId="72A9186A">
                  <w:pPr>
                    <w:widowControl/>
                    <w:pBdr>
                      <w:bottom w:val="none" w:color="auto" w:sz="0" w:space="0"/>
                    </w:pBdr>
                    <w:adjustRightInd w:val="0"/>
                    <w:jc w:val="center"/>
                    <w:rPr>
                      <w:rFonts w:hint="eastAsia"/>
                      <w:color w:val="auto"/>
                      <w:kern w:val="2"/>
                      <w:sz w:val="21"/>
                      <w:szCs w:val="21"/>
                      <w:highlight w:val="none"/>
                      <w:lang w:val="en-US" w:eastAsia="zh-CN"/>
                    </w:rPr>
                  </w:pPr>
                  <w:r>
                    <w:rPr>
                      <w:rFonts w:hint="eastAsia"/>
                      <w:color w:val="auto"/>
                      <w:kern w:val="2"/>
                      <w:sz w:val="21"/>
                      <w:szCs w:val="21"/>
                      <w:highlight w:val="none"/>
                      <w:lang w:val="en-US" w:eastAsia="zh-CN"/>
                    </w:rPr>
                    <w:t>t/a</w:t>
                  </w:r>
                </w:p>
              </w:tc>
              <w:tc>
                <w:tcPr>
                  <w:tcW w:w="426" w:type="pct"/>
                  <w:tcBorders>
                    <w:tl2br w:val="nil"/>
                    <w:tr2bl w:val="nil"/>
                  </w:tcBorders>
                  <w:vAlign w:val="center"/>
                </w:tcPr>
                <w:p w14:paraId="7F5467B1">
                  <w:pPr>
                    <w:pStyle w:val="13"/>
                    <w:widowControl/>
                    <w:pBdr>
                      <w:bottom w:val="none" w:color="auto" w:sz="0" w:space="0"/>
                    </w:pBdr>
                    <w:adjustRightInd w:val="0"/>
                    <w:jc w:val="center"/>
                    <w:rPr>
                      <w:rFonts w:hint="default"/>
                      <w:color w:val="auto"/>
                      <w:kern w:val="2"/>
                      <w:sz w:val="21"/>
                      <w:szCs w:val="21"/>
                      <w:highlight w:val="none"/>
                      <w:lang w:val="en-US" w:eastAsia="zh-CN"/>
                    </w:rPr>
                  </w:pPr>
                  <w:r>
                    <w:rPr>
                      <w:rFonts w:hint="eastAsia"/>
                      <w:color w:val="auto"/>
                      <w:kern w:val="2"/>
                      <w:sz w:val="21"/>
                      <w:szCs w:val="21"/>
                      <w:highlight w:val="none"/>
                      <w:lang w:val="en-US" w:eastAsia="zh-CN"/>
                    </w:rPr>
                    <w:t>4.8</w:t>
                  </w:r>
                </w:p>
              </w:tc>
              <w:tc>
                <w:tcPr>
                  <w:tcW w:w="426" w:type="pct"/>
                  <w:tcBorders>
                    <w:tl2br w:val="nil"/>
                    <w:tr2bl w:val="nil"/>
                  </w:tcBorders>
                  <w:vAlign w:val="center"/>
                </w:tcPr>
                <w:p w14:paraId="70D0F204">
                  <w:pPr>
                    <w:pStyle w:val="13"/>
                    <w:widowControl/>
                    <w:pBdr>
                      <w:bottom w:val="none" w:color="auto" w:sz="0" w:space="0"/>
                    </w:pBdr>
                    <w:adjustRightInd w:val="0"/>
                    <w:rPr>
                      <w:rFonts w:hint="default"/>
                      <w:color w:val="auto"/>
                      <w:kern w:val="2"/>
                      <w:sz w:val="21"/>
                      <w:szCs w:val="21"/>
                      <w:highlight w:val="none"/>
                      <w:lang w:val="en-US" w:eastAsia="zh-CN"/>
                    </w:rPr>
                  </w:pPr>
                  <w:r>
                    <w:rPr>
                      <w:rFonts w:hint="eastAsia"/>
                      <w:color w:val="auto"/>
                      <w:kern w:val="2"/>
                      <w:sz w:val="21"/>
                      <w:szCs w:val="21"/>
                      <w:highlight w:val="none"/>
                      <w:lang w:val="en-US" w:eastAsia="zh-CN"/>
                    </w:rPr>
                    <w:t>固态</w:t>
                  </w:r>
                </w:p>
              </w:tc>
              <w:tc>
                <w:tcPr>
                  <w:tcW w:w="787" w:type="pct"/>
                  <w:tcBorders>
                    <w:tl2br w:val="nil"/>
                    <w:tr2bl w:val="nil"/>
                  </w:tcBorders>
                  <w:vAlign w:val="center"/>
                </w:tcPr>
                <w:p w14:paraId="16BF1B34">
                  <w:pPr>
                    <w:pStyle w:val="13"/>
                    <w:widowControl/>
                    <w:pBdr>
                      <w:bottom w:val="none" w:color="auto" w:sz="0" w:space="0"/>
                    </w:pBdr>
                    <w:adjustRightInd w:val="0"/>
                    <w:rPr>
                      <w:rFonts w:hint="default"/>
                      <w:color w:val="auto"/>
                      <w:sz w:val="21"/>
                      <w:szCs w:val="21"/>
                      <w:highlight w:val="none"/>
                      <w:lang w:val="en-US" w:eastAsia="zh-CN"/>
                    </w:rPr>
                  </w:pPr>
                  <w:r>
                    <w:rPr>
                      <w:rFonts w:hint="eastAsia"/>
                      <w:color w:val="auto"/>
                      <w:sz w:val="21"/>
                      <w:szCs w:val="21"/>
                      <w:highlight w:val="none"/>
                      <w:lang w:val="en-US" w:eastAsia="zh-CN"/>
                    </w:rPr>
                    <w:t>活性炭</w:t>
                  </w:r>
                </w:p>
              </w:tc>
              <w:tc>
                <w:tcPr>
                  <w:tcW w:w="566" w:type="pct"/>
                  <w:tcBorders>
                    <w:tl2br w:val="nil"/>
                    <w:tr2bl w:val="nil"/>
                  </w:tcBorders>
                  <w:shd w:val="clear" w:color="auto" w:fill="auto"/>
                  <w:vAlign w:val="center"/>
                </w:tcPr>
                <w:p w14:paraId="4717C066">
                  <w:pPr>
                    <w:pStyle w:val="13"/>
                    <w:widowControl/>
                    <w:pBdr>
                      <w:bottom w:val="none" w:color="auto" w:sz="0" w:space="0"/>
                    </w:pBdr>
                    <w:adjustRightInd w:val="0"/>
                    <w:rPr>
                      <w:color w:val="auto"/>
                      <w:sz w:val="21"/>
                      <w:szCs w:val="21"/>
                      <w:highlight w:val="none"/>
                    </w:rPr>
                  </w:pPr>
                  <w:r>
                    <w:rPr>
                      <w:rFonts w:hint="eastAsia"/>
                      <w:color w:val="auto"/>
                      <w:sz w:val="21"/>
                      <w:szCs w:val="21"/>
                      <w:highlight w:val="none"/>
                    </w:rPr>
                    <w:t>工业</w:t>
                  </w:r>
                </w:p>
                <w:p w14:paraId="51567D7D">
                  <w:pPr>
                    <w:pStyle w:val="13"/>
                    <w:widowControl/>
                    <w:pBdr>
                      <w:bottom w:val="none" w:color="auto" w:sz="0" w:space="0"/>
                    </w:pBdr>
                    <w:adjustRightInd w:val="0"/>
                    <w:rPr>
                      <w:rFonts w:hint="eastAsia"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rPr>
                    <w:t>固废</w:t>
                  </w:r>
                </w:p>
              </w:tc>
              <w:tc>
                <w:tcPr>
                  <w:tcW w:w="929" w:type="pct"/>
                  <w:tcBorders>
                    <w:tl2br w:val="nil"/>
                    <w:tr2bl w:val="nil"/>
                  </w:tcBorders>
                  <w:shd w:val="clear" w:color="auto" w:fill="auto"/>
                  <w:vAlign w:val="center"/>
                </w:tcPr>
                <w:p w14:paraId="304A5EE0">
                  <w:pPr>
                    <w:pStyle w:val="13"/>
                    <w:widowControl/>
                    <w:pBdr>
                      <w:bottom w:val="none" w:color="auto" w:sz="0" w:space="0"/>
                    </w:pBdr>
                    <w:adjustRightInd w:val="0"/>
                    <w:rPr>
                      <w:rFonts w:hint="eastAsia" w:ascii="Times New Roman" w:hAnsi="Times New Roman" w:eastAsia="宋体" w:cs="Times New Roman"/>
                      <w:color w:val="auto"/>
                      <w:kern w:val="0"/>
                      <w:sz w:val="21"/>
                      <w:szCs w:val="21"/>
                      <w:highlight w:val="none"/>
                      <w:lang w:val="en-US" w:eastAsia="zh-CN" w:bidi="ar-SA"/>
                    </w:rPr>
                  </w:pPr>
                  <w:r>
                    <w:rPr>
                      <w:color w:val="auto"/>
                      <w:sz w:val="21"/>
                      <w:szCs w:val="21"/>
                      <w:highlight w:val="none"/>
                    </w:rPr>
                    <w:t>SW</w:t>
                  </w:r>
                  <w:r>
                    <w:rPr>
                      <w:rFonts w:hint="eastAsia"/>
                      <w:color w:val="auto"/>
                      <w:sz w:val="21"/>
                      <w:szCs w:val="21"/>
                      <w:highlight w:val="none"/>
                    </w:rPr>
                    <w:t>59</w:t>
                  </w:r>
                  <w:r>
                    <w:rPr>
                      <w:rFonts w:hint="eastAsia"/>
                      <w:color w:val="auto"/>
                      <w:sz w:val="21"/>
                      <w:szCs w:val="21"/>
                      <w:highlight w:val="none"/>
                      <w:lang w:val="en-US" w:eastAsia="zh-CN"/>
                    </w:rPr>
                    <w:t xml:space="preserve"> </w:t>
                  </w:r>
                  <w:r>
                    <w:rPr>
                      <w:rFonts w:hint="eastAsia"/>
                      <w:color w:val="auto"/>
                      <w:sz w:val="21"/>
                      <w:szCs w:val="21"/>
                      <w:highlight w:val="none"/>
                    </w:rPr>
                    <w:t>900-008-S59</w:t>
                  </w:r>
                </w:p>
              </w:tc>
            </w:tr>
            <w:tr w14:paraId="6415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pct"/>
                  <w:tcBorders>
                    <w:tl2br w:val="nil"/>
                    <w:tr2bl w:val="nil"/>
                  </w:tcBorders>
                  <w:vAlign w:val="center"/>
                </w:tcPr>
                <w:p w14:paraId="52229805">
                  <w:pPr>
                    <w:jc w:val="center"/>
                    <w:rPr>
                      <w:rFonts w:hint="default"/>
                      <w:color w:val="auto"/>
                      <w:szCs w:val="21"/>
                      <w:highlight w:val="none"/>
                      <w:lang w:val="en-US" w:eastAsia="zh-CN"/>
                    </w:rPr>
                  </w:pPr>
                  <w:r>
                    <w:rPr>
                      <w:rFonts w:hint="eastAsia"/>
                      <w:color w:val="auto"/>
                      <w:szCs w:val="21"/>
                      <w:highlight w:val="none"/>
                      <w:lang w:val="en-US" w:eastAsia="zh-CN"/>
                    </w:rPr>
                    <w:t>废过滤棉</w:t>
                  </w:r>
                </w:p>
              </w:tc>
              <w:tc>
                <w:tcPr>
                  <w:tcW w:w="661" w:type="pct"/>
                  <w:tcBorders>
                    <w:tl2br w:val="nil"/>
                    <w:tr2bl w:val="nil"/>
                  </w:tcBorders>
                  <w:shd w:val="clear" w:color="auto" w:fill="auto"/>
                  <w:vAlign w:val="center"/>
                </w:tcPr>
                <w:p w14:paraId="77FA3C3D">
                  <w:pPr>
                    <w:pStyle w:val="13"/>
                    <w:widowControl/>
                    <w:pBdr>
                      <w:bottom w:val="none" w:color="auto" w:sz="0" w:space="0"/>
                    </w:pBdr>
                    <w:adjustRightInd w:val="0"/>
                    <w:jc w:val="center"/>
                    <w:rPr>
                      <w:rFonts w:hint="eastAsia"/>
                      <w:color w:val="auto"/>
                      <w:kern w:val="2"/>
                      <w:sz w:val="21"/>
                      <w:szCs w:val="21"/>
                      <w:highlight w:val="none"/>
                      <w:lang w:val="en-US" w:eastAsia="zh-CN"/>
                    </w:rPr>
                  </w:pPr>
                  <w:r>
                    <w:rPr>
                      <w:rFonts w:hint="eastAsia"/>
                      <w:color w:val="auto"/>
                      <w:kern w:val="2"/>
                      <w:sz w:val="21"/>
                      <w:szCs w:val="21"/>
                      <w:highlight w:val="none"/>
                      <w:lang w:val="en-US" w:eastAsia="zh-CN"/>
                    </w:rPr>
                    <w:t>废气</w:t>
                  </w:r>
                </w:p>
                <w:p w14:paraId="08065C65">
                  <w:pPr>
                    <w:pStyle w:val="13"/>
                    <w:widowControl/>
                    <w:pBdr>
                      <w:bottom w:val="none" w:color="auto" w:sz="0" w:space="0"/>
                    </w:pBdr>
                    <w:adjustRightIn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lang w:val="en-US" w:eastAsia="zh-CN"/>
                    </w:rPr>
                    <w:t>处理</w:t>
                  </w:r>
                </w:p>
              </w:tc>
              <w:tc>
                <w:tcPr>
                  <w:tcW w:w="426" w:type="pct"/>
                  <w:tcBorders>
                    <w:tl2br w:val="nil"/>
                    <w:tr2bl w:val="nil"/>
                  </w:tcBorders>
                  <w:shd w:val="clear" w:color="auto" w:fill="auto"/>
                  <w:vAlign w:val="center"/>
                </w:tcPr>
                <w:p w14:paraId="65A8E18A">
                  <w:pPr>
                    <w:widowControl/>
                    <w:pBdr>
                      <w:bottom w:val="none" w:color="auto" w:sz="0" w:space="0"/>
                    </w:pBdr>
                    <w:adjustRightIn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lang w:val="en-US" w:eastAsia="zh-CN"/>
                    </w:rPr>
                    <w:t>t/a</w:t>
                  </w:r>
                </w:p>
              </w:tc>
              <w:tc>
                <w:tcPr>
                  <w:tcW w:w="426" w:type="pct"/>
                  <w:tcBorders>
                    <w:tl2br w:val="nil"/>
                    <w:tr2bl w:val="nil"/>
                  </w:tcBorders>
                  <w:shd w:val="clear" w:color="auto" w:fill="auto"/>
                  <w:vAlign w:val="center"/>
                </w:tcPr>
                <w:p w14:paraId="1BE2739A">
                  <w:pPr>
                    <w:pStyle w:val="13"/>
                    <w:widowControl/>
                    <w:pBdr>
                      <w:bottom w:val="none" w:color="auto" w:sz="0" w:space="0"/>
                    </w:pBdr>
                    <w:adjustRightIn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lang w:val="en-US" w:eastAsia="zh-CN"/>
                    </w:rPr>
                    <w:t>0.5</w:t>
                  </w:r>
                </w:p>
              </w:tc>
              <w:tc>
                <w:tcPr>
                  <w:tcW w:w="426" w:type="pct"/>
                  <w:tcBorders>
                    <w:tl2br w:val="nil"/>
                    <w:tr2bl w:val="nil"/>
                  </w:tcBorders>
                  <w:shd w:val="clear" w:color="auto" w:fill="auto"/>
                  <w:vAlign w:val="center"/>
                </w:tcPr>
                <w:p w14:paraId="21EBB86E">
                  <w:pPr>
                    <w:pStyle w:val="13"/>
                    <w:widowControl/>
                    <w:pBdr>
                      <w:bottom w:val="none" w:color="auto" w:sz="0" w:space="0"/>
                    </w:pBdr>
                    <w:adjustRightInd w:val="0"/>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lang w:val="en-US" w:eastAsia="zh-CN"/>
                    </w:rPr>
                    <w:t>固态</w:t>
                  </w:r>
                </w:p>
              </w:tc>
              <w:tc>
                <w:tcPr>
                  <w:tcW w:w="787" w:type="pct"/>
                  <w:tcBorders>
                    <w:tl2br w:val="nil"/>
                    <w:tr2bl w:val="nil"/>
                  </w:tcBorders>
                  <w:shd w:val="clear" w:color="auto" w:fill="auto"/>
                  <w:vAlign w:val="center"/>
                </w:tcPr>
                <w:p w14:paraId="6DC49900">
                  <w:pPr>
                    <w:pStyle w:val="13"/>
                    <w:widowControl/>
                    <w:pBdr>
                      <w:bottom w:val="none" w:color="auto" w:sz="0" w:space="0"/>
                    </w:pBdr>
                    <w:adjustRightInd w:val="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棉</w:t>
                  </w:r>
                </w:p>
              </w:tc>
              <w:tc>
                <w:tcPr>
                  <w:tcW w:w="566" w:type="pct"/>
                  <w:tcBorders>
                    <w:tl2br w:val="nil"/>
                    <w:tr2bl w:val="nil"/>
                  </w:tcBorders>
                  <w:shd w:val="clear" w:color="auto" w:fill="auto"/>
                  <w:vAlign w:val="center"/>
                </w:tcPr>
                <w:p w14:paraId="6F871AD5">
                  <w:pPr>
                    <w:pStyle w:val="13"/>
                    <w:widowControl/>
                    <w:pBdr>
                      <w:bottom w:val="none" w:color="auto" w:sz="0" w:space="0"/>
                    </w:pBdr>
                    <w:adjustRightInd w:val="0"/>
                    <w:rPr>
                      <w:color w:val="auto"/>
                      <w:sz w:val="21"/>
                      <w:szCs w:val="21"/>
                      <w:highlight w:val="none"/>
                    </w:rPr>
                  </w:pPr>
                  <w:r>
                    <w:rPr>
                      <w:rFonts w:hint="eastAsia"/>
                      <w:color w:val="auto"/>
                      <w:sz w:val="21"/>
                      <w:szCs w:val="21"/>
                      <w:highlight w:val="none"/>
                    </w:rPr>
                    <w:t>工业</w:t>
                  </w:r>
                </w:p>
                <w:p w14:paraId="09FE71D0">
                  <w:pPr>
                    <w:pStyle w:val="13"/>
                    <w:widowControl/>
                    <w:pBdr>
                      <w:bottom w:val="none" w:color="auto" w:sz="0" w:space="0"/>
                    </w:pBdr>
                    <w:adjustRightInd w:val="0"/>
                    <w:rPr>
                      <w:rFonts w:hint="eastAsia"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rPr>
                    <w:t>固废</w:t>
                  </w:r>
                </w:p>
              </w:tc>
              <w:tc>
                <w:tcPr>
                  <w:tcW w:w="929" w:type="pct"/>
                  <w:tcBorders>
                    <w:tl2br w:val="nil"/>
                    <w:tr2bl w:val="nil"/>
                  </w:tcBorders>
                  <w:shd w:val="clear" w:color="auto" w:fill="auto"/>
                  <w:vAlign w:val="center"/>
                </w:tcPr>
                <w:p w14:paraId="7AA862E3">
                  <w:pPr>
                    <w:pStyle w:val="13"/>
                    <w:widowControl/>
                    <w:pBdr>
                      <w:bottom w:val="none" w:color="auto" w:sz="0" w:space="0"/>
                    </w:pBdr>
                    <w:adjustRightInd w:val="0"/>
                    <w:rPr>
                      <w:color w:val="auto"/>
                      <w:sz w:val="21"/>
                      <w:szCs w:val="21"/>
                      <w:highlight w:val="none"/>
                    </w:rPr>
                  </w:pPr>
                  <w:r>
                    <w:rPr>
                      <w:color w:val="auto"/>
                      <w:sz w:val="21"/>
                      <w:szCs w:val="21"/>
                      <w:highlight w:val="none"/>
                    </w:rPr>
                    <w:t>SW</w:t>
                  </w:r>
                  <w:r>
                    <w:rPr>
                      <w:rFonts w:hint="eastAsia"/>
                      <w:color w:val="auto"/>
                      <w:sz w:val="21"/>
                      <w:szCs w:val="21"/>
                      <w:highlight w:val="none"/>
                    </w:rPr>
                    <w:t>59</w:t>
                  </w:r>
                  <w:r>
                    <w:rPr>
                      <w:rFonts w:hint="eastAsia"/>
                      <w:color w:val="auto"/>
                      <w:sz w:val="21"/>
                      <w:szCs w:val="21"/>
                      <w:highlight w:val="none"/>
                      <w:lang w:val="en-US" w:eastAsia="zh-CN"/>
                    </w:rPr>
                    <w:t xml:space="preserve"> </w:t>
                  </w:r>
                  <w:r>
                    <w:rPr>
                      <w:rFonts w:hint="eastAsia"/>
                      <w:color w:val="auto"/>
                      <w:sz w:val="21"/>
                      <w:szCs w:val="21"/>
                      <w:highlight w:val="none"/>
                    </w:rPr>
                    <w:t>900-008-S59</w:t>
                  </w:r>
                </w:p>
              </w:tc>
            </w:tr>
            <w:tr w14:paraId="593F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pct"/>
                  <w:tcBorders>
                    <w:tl2br w:val="nil"/>
                    <w:tr2bl w:val="nil"/>
                  </w:tcBorders>
                  <w:vAlign w:val="center"/>
                </w:tcPr>
                <w:p w14:paraId="3938829B">
                  <w:pPr>
                    <w:jc w:val="center"/>
                    <w:rPr>
                      <w:rFonts w:hint="eastAsia"/>
                      <w:color w:val="auto"/>
                      <w:szCs w:val="21"/>
                      <w:highlight w:val="none"/>
                      <w:lang w:val="en-US" w:eastAsia="zh-CN"/>
                    </w:rPr>
                  </w:pPr>
                  <w:r>
                    <w:rPr>
                      <w:rFonts w:hint="eastAsia"/>
                      <w:color w:val="auto"/>
                      <w:szCs w:val="21"/>
                      <w:highlight w:val="none"/>
                      <w:lang w:val="en-US" w:eastAsia="zh-CN"/>
                    </w:rPr>
                    <w:t>废含油棉纱及抹布</w:t>
                  </w:r>
                </w:p>
              </w:tc>
              <w:tc>
                <w:tcPr>
                  <w:tcW w:w="661" w:type="pct"/>
                  <w:tcBorders>
                    <w:tl2br w:val="nil"/>
                    <w:tr2bl w:val="nil"/>
                  </w:tcBorders>
                  <w:vAlign w:val="center"/>
                </w:tcPr>
                <w:p w14:paraId="3908625E">
                  <w:pPr>
                    <w:pStyle w:val="13"/>
                    <w:widowControl/>
                    <w:pBdr>
                      <w:bottom w:val="none" w:color="auto" w:sz="0" w:space="0"/>
                    </w:pBdr>
                    <w:adjustRightInd w:val="0"/>
                    <w:jc w:val="center"/>
                    <w:rPr>
                      <w:rFonts w:hint="default"/>
                      <w:color w:val="auto"/>
                      <w:kern w:val="2"/>
                      <w:sz w:val="21"/>
                      <w:szCs w:val="21"/>
                      <w:highlight w:val="none"/>
                      <w:lang w:val="en-US" w:eastAsia="zh-CN"/>
                    </w:rPr>
                  </w:pPr>
                  <w:r>
                    <w:rPr>
                      <w:rFonts w:hint="eastAsia"/>
                      <w:color w:val="auto"/>
                      <w:kern w:val="2"/>
                      <w:sz w:val="21"/>
                      <w:szCs w:val="21"/>
                      <w:highlight w:val="none"/>
                      <w:lang w:val="en-US" w:eastAsia="zh-CN"/>
                    </w:rPr>
                    <w:t>维修</w:t>
                  </w:r>
                </w:p>
              </w:tc>
              <w:tc>
                <w:tcPr>
                  <w:tcW w:w="426" w:type="pct"/>
                  <w:tcBorders>
                    <w:tl2br w:val="nil"/>
                    <w:tr2bl w:val="nil"/>
                  </w:tcBorders>
                  <w:vAlign w:val="center"/>
                </w:tcPr>
                <w:p w14:paraId="739437FF">
                  <w:pPr>
                    <w:widowControl/>
                    <w:pBdr>
                      <w:bottom w:val="none" w:color="auto" w:sz="0" w:space="0"/>
                    </w:pBdr>
                    <w:adjustRightInd w:val="0"/>
                    <w:jc w:val="center"/>
                    <w:rPr>
                      <w:rFonts w:hint="eastAsia"/>
                      <w:color w:val="auto"/>
                      <w:kern w:val="2"/>
                      <w:sz w:val="21"/>
                      <w:szCs w:val="21"/>
                      <w:highlight w:val="none"/>
                      <w:lang w:val="en-US" w:eastAsia="zh-CN"/>
                    </w:rPr>
                  </w:pPr>
                  <w:r>
                    <w:rPr>
                      <w:rFonts w:hint="eastAsia"/>
                      <w:color w:val="auto"/>
                      <w:kern w:val="2"/>
                      <w:sz w:val="21"/>
                      <w:szCs w:val="21"/>
                      <w:highlight w:val="none"/>
                      <w:lang w:val="en-US" w:eastAsia="zh-CN"/>
                    </w:rPr>
                    <w:t>t/a</w:t>
                  </w:r>
                </w:p>
              </w:tc>
              <w:tc>
                <w:tcPr>
                  <w:tcW w:w="426" w:type="pct"/>
                  <w:tcBorders>
                    <w:tl2br w:val="nil"/>
                    <w:tr2bl w:val="nil"/>
                  </w:tcBorders>
                  <w:vAlign w:val="center"/>
                </w:tcPr>
                <w:p w14:paraId="76E84EEE">
                  <w:pPr>
                    <w:pStyle w:val="13"/>
                    <w:widowControl/>
                    <w:pBdr>
                      <w:bottom w:val="none" w:color="auto" w:sz="0" w:space="0"/>
                    </w:pBdr>
                    <w:adjustRightInd w:val="0"/>
                    <w:jc w:val="center"/>
                    <w:rPr>
                      <w:rFonts w:hint="default"/>
                      <w:color w:val="auto"/>
                      <w:kern w:val="2"/>
                      <w:sz w:val="21"/>
                      <w:szCs w:val="21"/>
                      <w:highlight w:val="none"/>
                      <w:lang w:val="en-US" w:eastAsia="zh-CN"/>
                    </w:rPr>
                  </w:pPr>
                  <w:r>
                    <w:rPr>
                      <w:rFonts w:hint="eastAsia"/>
                      <w:color w:val="auto"/>
                      <w:kern w:val="2"/>
                      <w:sz w:val="21"/>
                      <w:szCs w:val="21"/>
                      <w:highlight w:val="none"/>
                      <w:lang w:val="en-US" w:eastAsia="zh-CN"/>
                    </w:rPr>
                    <w:t>0.1</w:t>
                  </w:r>
                </w:p>
              </w:tc>
              <w:tc>
                <w:tcPr>
                  <w:tcW w:w="426" w:type="pct"/>
                  <w:tcBorders>
                    <w:tl2br w:val="nil"/>
                    <w:tr2bl w:val="nil"/>
                  </w:tcBorders>
                  <w:vAlign w:val="center"/>
                </w:tcPr>
                <w:p w14:paraId="3C35FB3F">
                  <w:pPr>
                    <w:pStyle w:val="13"/>
                    <w:widowControl/>
                    <w:pBdr>
                      <w:bottom w:val="none" w:color="auto" w:sz="0" w:space="0"/>
                    </w:pBdr>
                    <w:adjustRightInd w:val="0"/>
                    <w:rPr>
                      <w:rFonts w:hint="default"/>
                      <w:color w:val="auto"/>
                      <w:kern w:val="2"/>
                      <w:sz w:val="21"/>
                      <w:szCs w:val="21"/>
                      <w:highlight w:val="none"/>
                      <w:lang w:val="en-US" w:eastAsia="zh-CN"/>
                    </w:rPr>
                  </w:pPr>
                  <w:r>
                    <w:rPr>
                      <w:rFonts w:hint="eastAsia"/>
                      <w:color w:val="auto"/>
                      <w:kern w:val="2"/>
                      <w:sz w:val="21"/>
                      <w:szCs w:val="21"/>
                      <w:highlight w:val="none"/>
                      <w:lang w:val="en-US" w:eastAsia="zh-CN"/>
                    </w:rPr>
                    <w:t>固态</w:t>
                  </w:r>
                </w:p>
              </w:tc>
              <w:tc>
                <w:tcPr>
                  <w:tcW w:w="787" w:type="pct"/>
                  <w:tcBorders>
                    <w:tl2br w:val="nil"/>
                    <w:tr2bl w:val="nil"/>
                  </w:tcBorders>
                  <w:vAlign w:val="center"/>
                </w:tcPr>
                <w:p w14:paraId="1AFDCC75">
                  <w:pPr>
                    <w:pStyle w:val="13"/>
                    <w:widowControl/>
                    <w:pBdr>
                      <w:bottom w:val="none" w:color="auto" w:sz="0" w:space="0"/>
                    </w:pBdr>
                    <w:adjustRightInd w:val="0"/>
                    <w:rPr>
                      <w:rFonts w:hint="eastAsia"/>
                      <w:color w:val="auto"/>
                      <w:sz w:val="21"/>
                      <w:szCs w:val="21"/>
                      <w:highlight w:val="none"/>
                      <w:lang w:val="en-US" w:eastAsia="zh-CN"/>
                    </w:rPr>
                  </w:pPr>
                  <w:r>
                    <w:rPr>
                      <w:rFonts w:hint="eastAsia"/>
                      <w:color w:val="auto"/>
                      <w:sz w:val="21"/>
                      <w:szCs w:val="21"/>
                      <w:highlight w:val="none"/>
                      <w:lang w:val="en-US" w:eastAsia="zh-CN"/>
                    </w:rPr>
                    <w:t>棉纱及抹布</w:t>
                  </w:r>
                </w:p>
              </w:tc>
              <w:tc>
                <w:tcPr>
                  <w:tcW w:w="566" w:type="pct"/>
                  <w:tcBorders>
                    <w:tl2br w:val="nil"/>
                    <w:tr2bl w:val="nil"/>
                  </w:tcBorders>
                  <w:vAlign w:val="center"/>
                </w:tcPr>
                <w:p w14:paraId="56B3141C">
                  <w:pPr>
                    <w:pStyle w:val="13"/>
                    <w:widowControl/>
                    <w:pBdr>
                      <w:bottom w:val="none" w:color="auto" w:sz="0" w:space="0"/>
                    </w:pBdr>
                    <w:adjustRightInd w:val="0"/>
                    <w:rPr>
                      <w:color w:val="auto"/>
                      <w:sz w:val="21"/>
                      <w:szCs w:val="21"/>
                      <w:highlight w:val="none"/>
                    </w:rPr>
                  </w:pPr>
                  <w:r>
                    <w:rPr>
                      <w:rFonts w:hint="eastAsia"/>
                      <w:color w:val="auto"/>
                      <w:sz w:val="21"/>
                      <w:szCs w:val="21"/>
                      <w:highlight w:val="none"/>
                    </w:rPr>
                    <w:t>工业</w:t>
                  </w:r>
                </w:p>
                <w:p w14:paraId="4C4E1D03">
                  <w:pPr>
                    <w:pStyle w:val="13"/>
                    <w:widowControl/>
                    <w:pBdr>
                      <w:bottom w:val="none" w:color="auto" w:sz="0" w:space="0"/>
                    </w:pBdr>
                    <w:adjustRightInd w:val="0"/>
                    <w:rPr>
                      <w:rFonts w:hint="eastAsia"/>
                      <w:color w:val="auto"/>
                      <w:sz w:val="21"/>
                      <w:szCs w:val="21"/>
                      <w:highlight w:val="none"/>
                      <w:lang w:val="en-US" w:eastAsia="zh-CN"/>
                    </w:rPr>
                  </w:pPr>
                  <w:r>
                    <w:rPr>
                      <w:rFonts w:hint="eastAsia"/>
                      <w:color w:val="auto"/>
                      <w:sz w:val="21"/>
                      <w:szCs w:val="21"/>
                      <w:highlight w:val="none"/>
                    </w:rPr>
                    <w:t>固废</w:t>
                  </w:r>
                </w:p>
              </w:tc>
              <w:tc>
                <w:tcPr>
                  <w:tcW w:w="929" w:type="pct"/>
                  <w:tcBorders>
                    <w:tl2br w:val="nil"/>
                    <w:tr2bl w:val="nil"/>
                  </w:tcBorders>
                  <w:shd w:val="clear" w:color="auto" w:fill="auto"/>
                  <w:vAlign w:val="center"/>
                </w:tcPr>
                <w:p w14:paraId="36566A71">
                  <w:pPr>
                    <w:pStyle w:val="13"/>
                    <w:widowControl/>
                    <w:pBdr>
                      <w:bottom w:val="none" w:color="auto" w:sz="0" w:space="0"/>
                    </w:pBdr>
                    <w:adjustRightInd w:val="0"/>
                    <w:rPr>
                      <w:rFonts w:hint="eastAsia" w:ascii="Times New Roman" w:hAnsi="Times New Roman" w:eastAsia="宋体" w:cs="Times New Roman"/>
                      <w:color w:val="auto"/>
                      <w:kern w:val="0"/>
                      <w:sz w:val="21"/>
                      <w:szCs w:val="21"/>
                      <w:highlight w:val="none"/>
                      <w:lang w:val="en-US" w:eastAsia="zh-CN" w:bidi="ar-SA"/>
                    </w:rPr>
                  </w:pPr>
                  <w:r>
                    <w:rPr>
                      <w:color w:val="auto"/>
                      <w:sz w:val="21"/>
                      <w:szCs w:val="21"/>
                      <w:highlight w:val="none"/>
                    </w:rPr>
                    <w:t>SW</w:t>
                  </w:r>
                  <w:r>
                    <w:rPr>
                      <w:rFonts w:hint="eastAsia"/>
                      <w:color w:val="auto"/>
                      <w:sz w:val="21"/>
                      <w:szCs w:val="21"/>
                      <w:highlight w:val="none"/>
                      <w:lang w:val="en-US" w:eastAsia="zh-CN"/>
                    </w:rPr>
                    <w:t xml:space="preserve">59 </w:t>
                  </w:r>
                  <w:r>
                    <w:rPr>
                      <w:rFonts w:hint="eastAsia"/>
                      <w:color w:val="auto"/>
                      <w:sz w:val="21"/>
                      <w:szCs w:val="21"/>
                      <w:highlight w:val="none"/>
                    </w:rPr>
                    <w:t xml:space="preserve">900-099-S59 </w:t>
                  </w:r>
                </w:p>
              </w:tc>
            </w:tr>
            <w:tr w14:paraId="25124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76" w:type="pct"/>
                  <w:tcBorders>
                    <w:tl2br w:val="nil"/>
                    <w:tr2bl w:val="nil"/>
                  </w:tcBorders>
                  <w:shd w:val="clear" w:color="auto" w:fill="auto"/>
                  <w:vAlign w:val="center"/>
                </w:tcPr>
                <w:p w14:paraId="40593854">
                  <w:pPr>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生活垃圾</w:t>
                  </w:r>
                </w:p>
              </w:tc>
              <w:tc>
                <w:tcPr>
                  <w:tcW w:w="661" w:type="pct"/>
                  <w:tcBorders>
                    <w:tl2br w:val="nil"/>
                    <w:tr2bl w:val="nil"/>
                  </w:tcBorders>
                  <w:shd w:val="clear" w:color="auto" w:fill="auto"/>
                  <w:vAlign w:val="center"/>
                </w:tcPr>
                <w:p w14:paraId="0209C382">
                  <w:pPr>
                    <w:pStyle w:val="13"/>
                    <w:widowControl/>
                    <w:pBdr>
                      <w:bottom w:val="none" w:color="auto" w:sz="0" w:space="0"/>
                    </w:pBdr>
                    <w:adjustRightInd w:val="0"/>
                    <w:jc w:val="center"/>
                    <w:rPr>
                      <w:rFonts w:hint="eastAsia"/>
                      <w:color w:val="auto"/>
                      <w:kern w:val="2"/>
                      <w:sz w:val="21"/>
                      <w:szCs w:val="21"/>
                      <w:highlight w:val="none"/>
                    </w:rPr>
                  </w:pPr>
                  <w:r>
                    <w:rPr>
                      <w:rFonts w:hint="eastAsia"/>
                      <w:color w:val="auto"/>
                      <w:kern w:val="2"/>
                      <w:sz w:val="21"/>
                      <w:szCs w:val="21"/>
                      <w:highlight w:val="none"/>
                    </w:rPr>
                    <w:t>职工</w:t>
                  </w:r>
                </w:p>
                <w:p w14:paraId="1BEE926D">
                  <w:pPr>
                    <w:pStyle w:val="13"/>
                    <w:widowControl/>
                    <w:pBdr>
                      <w:bottom w:val="none" w:color="auto" w:sz="0" w:space="0"/>
                    </w:pBdr>
                    <w:adjustRightInd w:val="0"/>
                    <w:jc w:val="center"/>
                    <w:rPr>
                      <w:rFonts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rPr>
                    <w:t>生活</w:t>
                  </w:r>
                </w:p>
              </w:tc>
              <w:tc>
                <w:tcPr>
                  <w:tcW w:w="426" w:type="pct"/>
                  <w:tcBorders>
                    <w:tl2br w:val="nil"/>
                    <w:tr2bl w:val="nil"/>
                  </w:tcBorders>
                  <w:shd w:val="clear" w:color="auto" w:fill="auto"/>
                  <w:vAlign w:val="center"/>
                </w:tcPr>
                <w:p w14:paraId="4CF214BB">
                  <w:pPr>
                    <w:widowControl/>
                    <w:pBdr>
                      <w:bottom w:val="none" w:color="auto" w:sz="0" w:space="0"/>
                    </w:pBdr>
                    <w:adjustRightInd w:val="0"/>
                    <w:jc w:val="center"/>
                    <w:rPr>
                      <w:rFonts w:hint="eastAsia"/>
                      <w:color w:val="auto"/>
                      <w:kern w:val="2"/>
                      <w:sz w:val="21"/>
                      <w:szCs w:val="21"/>
                      <w:highlight w:val="none"/>
                    </w:rPr>
                  </w:pPr>
                  <w:r>
                    <w:rPr>
                      <w:rFonts w:hint="eastAsia"/>
                      <w:color w:val="auto"/>
                      <w:kern w:val="2"/>
                      <w:sz w:val="21"/>
                      <w:szCs w:val="21"/>
                      <w:highlight w:val="none"/>
                      <w:lang w:val="en-US" w:eastAsia="zh-CN"/>
                    </w:rPr>
                    <w:t>t/a</w:t>
                  </w:r>
                </w:p>
              </w:tc>
              <w:tc>
                <w:tcPr>
                  <w:tcW w:w="426" w:type="pct"/>
                  <w:tcBorders>
                    <w:tl2br w:val="nil"/>
                    <w:tr2bl w:val="nil"/>
                  </w:tcBorders>
                  <w:shd w:val="clear" w:color="auto" w:fill="auto"/>
                  <w:vAlign w:val="center"/>
                </w:tcPr>
                <w:p w14:paraId="6D31A483">
                  <w:pPr>
                    <w:pStyle w:val="13"/>
                    <w:widowControl/>
                    <w:pBdr>
                      <w:bottom w:val="none" w:color="auto" w:sz="0" w:space="0"/>
                    </w:pBdr>
                    <w:adjustRightInd w:val="0"/>
                    <w:jc w:val="center"/>
                    <w:rPr>
                      <w:rFonts w:hint="default" w:eastAsia="宋体"/>
                      <w:color w:val="auto"/>
                      <w:kern w:val="2"/>
                      <w:sz w:val="21"/>
                      <w:szCs w:val="21"/>
                      <w:highlight w:val="none"/>
                      <w:lang w:val="en-US" w:eastAsia="zh-CN"/>
                    </w:rPr>
                  </w:pPr>
                  <w:r>
                    <w:rPr>
                      <w:rFonts w:hint="eastAsia"/>
                      <w:color w:val="auto"/>
                      <w:kern w:val="2"/>
                      <w:sz w:val="21"/>
                      <w:szCs w:val="21"/>
                      <w:highlight w:val="none"/>
                      <w:lang w:val="en-US" w:eastAsia="zh-CN"/>
                    </w:rPr>
                    <w:t>95.7</w:t>
                  </w:r>
                </w:p>
              </w:tc>
              <w:tc>
                <w:tcPr>
                  <w:tcW w:w="426" w:type="pct"/>
                  <w:tcBorders>
                    <w:tl2br w:val="nil"/>
                    <w:tr2bl w:val="nil"/>
                  </w:tcBorders>
                  <w:shd w:val="clear" w:color="auto" w:fill="auto"/>
                  <w:vAlign w:val="center"/>
                </w:tcPr>
                <w:p w14:paraId="58405188">
                  <w:pPr>
                    <w:widowControl/>
                    <w:adjustRightInd w:val="0"/>
                    <w:snapToGrid w:val="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固态</w:t>
                  </w:r>
                </w:p>
              </w:tc>
              <w:tc>
                <w:tcPr>
                  <w:tcW w:w="787" w:type="pct"/>
                  <w:tcBorders>
                    <w:tl2br w:val="nil"/>
                    <w:tr2bl w:val="nil"/>
                  </w:tcBorders>
                  <w:shd w:val="clear" w:color="auto" w:fill="auto"/>
                  <w:vAlign w:val="center"/>
                </w:tcPr>
                <w:p w14:paraId="174C9404">
                  <w:pPr>
                    <w:pStyle w:val="13"/>
                    <w:widowControl/>
                    <w:pBdr>
                      <w:bottom w:val="none" w:color="auto" w:sz="0" w:space="0"/>
                    </w:pBdr>
                    <w:adjustRightInd w:val="0"/>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生活垃圾</w:t>
                  </w:r>
                </w:p>
              </w:tc>
              <w:tc>
                <w:tcPr>
                  <w:tcW w:w="566" w:type="pct"/>
                  <w:tcBorders>
                    <w:tl2br w:val="nil"/>
                    <w:tr2bl w:val="nil"/>
                  </w:tcBorders>
                  <w:shd w:val="clear" w:color="auto" w:fill="auto"/>
                  <w:vAlign w:val="center"/>
                </w:tcPr>
                <w:p w14:paraId="1C82A006">
                  <w:pPr>
                    <w:widowControl/>
                    <w:adjustRightInd w:val="0"/>
                    <w:snapToGrid w:val="0"/>
                    <w:jc w:val="center"/>
                    <w:rPr>
                      <w:color w:val="auto"/>
                      <w:szCs w:val="21"/>
                      <w:highlight w:val="none"/>
                    </w:rPr>
                  </w:pPr>
                  <w:r>
                    <w:rPr>
                      <w:color w:val="auto"/>
                      <w:szCs w:val="21"/>
                      <w:highlight w:val="none"/>
                    </w:rPr>
                    <w:t>生活</w:t>
                  </w:r>
                </w:p>
                <w:p w14:paraId="3F4B1F2A">
                  <w:pPr>
                    <w:widowControl/>
                    <w:adjustRightInd w:val="0"/>
                    <w:snapToGrid w:val="0"/>
                    <w:jc w:val="center"/>
                    <w:rPr>
                      <w:rFonts w:ascii="Times New Roman" w:hAnsi="Times New Roman" w:eastAsia="宋体" w:cs="Times New Roman"/>
                      <w:color w:val="auto"/>
                      <w:kern w:val="2"/>
                      <w:sz w:val="21"/>
                      <w:szCs w:val="21"/>
                      <w:highlight w:val="none"/>
                      <w:lang w:val="en-US" w:eastAsia="zh-CN" w:bidi="ar-SA"/>
                    </w:rPr>
                  </w:pPr>
                  <w:r>
                    <w:rPr>
                      <w:color w:val="auto"/>
                      <w:szCs w:val="21"/>
                      <w:highlight w:val="none"/>
                    </w:rPr>
                    <w:t>垃圾</w:t>
                  </w:r>
                </w:p>
              </w:tc>
              <w:tc>
                <w:tcPr>
                  <w:tcW w:w="929" w:type="pct"/>
                  <w:tcBorders>
                    <w:tl2br w:val="nil"/>
                    <w:tr2bl w:val="nil"/>
                  </w:tcBorders>
                  <w:shd w:val="clear" w:color="auto" w:fill="auto"/>
                  <w:vAlign w:val="center"/>
                </w:tcPr>
                <w:p w14:paraId="4C1912DA">
                  <w:pPr>
                    <w:pStyle w:val="13"/>
                    <w:widowControl/>
                    <w:pBdr>
                      <w:bottom w:val="none" w:color="auto" w:sz="0" w:space="0"/>
                    </w:pBdr>
                    <w:adjustRightInd w:val="0"/>
                    <w:rPr>
                      <w:rFonts w:ascii="Times New Roman" w:hAnsi="Times New Roman" w:eastAsia="宋体" w:cs="Times New Roman"/>
                      <w:color w:val="auto"/>
                      <w:kern w:val="0"/>
                      <w:sz w:val="21"/>
                      <w:szCs w:val="21"/>
                      <w:highlight w:val="none"/>
                      <w:lang w:val="en-US" w:eastAsia="zh-CN" w:bidi="ar-SA"/>
                    </w:rPr>
                  </w:pPr>
                  <w:r>
                    <w:rPr>
                      <w:color w:val="auto"/>
                      <w:sz w:val="21"/>
                      <w:szCs w:val="21"/>
                      <w:highlight w:val="none"/>
                    </w:rPr>
                    <w:t>900-099-S64</w:t>
                  </w:r>
                </w:p>
              </w:tc>
            </w:tr>
          </w:tbl>
          <w:p w14:paraId="7CCD4C42">
            <w:pPr>
              <w:keepLines w:val="0"/>
              <w:pageBreakBefore w:val="0"/>
              <w:kinsoku/>
              <w:wordWrap/>
              <w:topLinePunct w:val="0"/>
              <w:autoSpaceDE/>
              <w:autoSpaceDN/>
              <w:bidi w:val="0"/>
              <w:spacing w:line="500" w:lineRule="exact"/>
              <w:ind w:left="0" w:leftChars="0" w:right="0" w:firstLine="480" w:firstLineChars="200"/>
              <w:jc w:val="both"/>
              <w:textAlignment w:val="auto"/>
              <w:rPr>
                <w:rFonts w:cs="宋体"/>
                <w:b/>
                <w:color w:val="auto"/>
                <w:sz w:val="24"/>
                <w:szCs w:val="24"/>
              </w:rPr>
            </w:pPr>
            <w:r>
              <w:rPr>
                <w:rFonts w:cs="宋体"/>
                <w:color w:val="auto"/>
                <w:sz w:val="24"/>
                <w:szCs w:val="24"/>
              </w:rPr>
              <w:t>本项目危险废物汇总详见下表</w:t>
            </w:r>
            <w:r>
              <w:rPr>
                <w:rFonts w:hint="eastAsia" w:cs="宋体"/>
                <w:color w:val="auto"/>
                <w:sz w:val="24"/>
                <w:szCs w:val="24"/>
              </w:rPr>
              <w:t>4-</w:t>
            </w:r>
            <w:r>
              <w:rPr>
                <w:rFonts w:hint="eastAsia" w:cs="宋体"/>
                <w:color w:val="auto"/>
                <w:sz w:val="24"/>
                <w:szCs w:val="24"/>
                <w:lang w:val="en-US" w:eastAsia="zh-CN"/>
              </w:rPr>
              <w:t>23</w:t>
            </w:r>
            <w:r>
              <w:rPr>
                <w:rFonts w:cs="宋体"/>
                <w:color w:val="auto"/>
                <w:sz w:val="24"/>
                <w:szCs w:val="24"/>
              </w:rPr>
              <w:t>。</w:t>
            </w:r>
          </w:p>
          <w:p w14:paraId="6E409117">
            <w:pPr>
              <w:keepLines w:val="0"/>
              <w:pageBreakBefore w:val="0"/>
              <w:kinsoku/>
              <w:wordWrap/>
              <w:topLinePunct w:val="0"/>
              <w:autoSpaceDE/>
              <w:autoSpaceDN/>
              <w:bidi w:val="0"/>
              <w:spacing w:line="500" w:lineRule="exact"/>
              <w:ind w:left="0" w:leftChars="0" w:right="0"/>
              <w:jc w:val="center"/>
              <w:textAlignment w:val="auto"/>
              <w:rPr>
                <w:rFonts w:cs="宋体"/>
                <w:color w:val="auto"/>
                <w:sz w:val="24"/>
                <w:szCs w:val="24"/>
              </w:rPr>
            </w:pPr>
            <w:r>
              <w:rPr>
                <w:rFonts w:cs="宋体"/>
                <w:b/>
                <w:color w:val="auto"/>
                <w:sz w:val="24"/>
                <w:szCs w:val="24"/>
              </w:rPr>
              <w:t>表</w:t>
            </w:r>
            <w:r>
              <w:rPr>
                <w:rFonts w:hint="eastAsia" w:cs="宋体"/>
                <w:b/>
                <w:color w:val="auto"/>
                <w:sz w:val="24"/>
                <w:szCs w:val="24"/>
              </w:rPr>
              <w:t>4-</w:t>
            </w:r>
            <w:r>
              <w:rPr>
                <w:rFonts w:hint="eastAsia" w:cs="宋体"/>
                <w:b/>
                <w:color w:val="auto"/>
                <w:sz w:val="24"/>
                <w:szCs w:val="24"/>
                <w:lang w:val="en-US" w:eastAsia="zh-CN"/>
              </w:rPr>
              <w:t xml:space="preserve">23 </w:t>
            </w:r>
            <w:r>
              <w:rPr>
                <w:rFonts w:cs="宋体"/>
                <w:b/>
                <w:color w:val="auto"/>
                <w:sz w:val="24"/>
                <w:szCs w:val="24"/>
              </w:rPr>
              <w:t>危险废物汇总表</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067"/>
              <w:gridCol w:w="1231"/>
              <w:gridCol w:w="819"/>
              <w:gridCol w:w="693"/>
              <w:gridCol w:w="452"/>
              <w:gridCol w:w="504"/>
              <w:gridCol w:w="740"/>
              <w:gridCol w:w="524"/>
              <w:gridCol w:w="530"/>
            </w:tblGrid>
            <w:tr w14:paraId="7FFD1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74" w:hRule="atLeast"/>
                <w:jc w:val="center"/>
              </w:trPr>
              <w:tc>
                <w:tcPr>
                  <w:tcW w:w="843" w:type="dxa"/>
                  <w:noWrap w:val="0"/>
                  <w:vAlign w:val="center"/>
                </w:tcPr>
                <w:p w14:paraId="19B03952">
                  <w:pPr>
                    <w:adjustRightInd w:val="0"/>
                    <w:snapToGrid w:val="0"/>
                    <w:spacing w:line="240" w:lineRule="atLeast"/>
                    <w:jc w:val="center"/>
                    <w:rPr>
                      <w:rFonts w:cs="宋体"/>
                      <w:color w:val="auto"/>
                      <w:szCs w:val="21"/>
                    </w:rPr>
                  </w:pPr>
                  <w:r>
                    <w:rPr>
                      <w:rFonts w:cs="宋体"/>
                      <w:color w:val="auto"/>
                      <w:kern w:val="0"/>
                      <w:szCs w:val="21"/>
                    </w:rPr>
                    <w:t>危险废物名称</w:t>
                  </w:r>
                </w:p>
              </w:tc>
              <w:tc>
                <w:tcPr>
                  <w:tcW w:w="1067" w:type="dxa"/>
                  <w:noWrap w:val="0"/>
                  <w:vAlign w:val="center"/>
                </w:tcPr>
                <w:p w14:paraId="2CAB9549">
                  <w:pPr>
                    <w:adjustRightInd w:val="0"/>
                    <w:snapToGrid w:val="0"/>
                    <w:spacing w:line="240" w:lineRule="atLeast"/>
                    <w:jc w:val="center"/>
                    <w:rPr>
                      <w:rFonts w:cs="宋体"/>
                      <w:color w:val="auto"/>
                      <w:szCs w:val="21"/>
                    </w:rPr>
                  </w:pPr>
                  <w:r>
                    <w:rPr>
                      <w:rFonts w:cs="宋体"/>
                      <w:color w:val="auto"/>
                      <w:kern w:val="0"/>
                      <w:szCs w:val="21"/>
                    </w:rPr>
                    <w:t>危险废物类别</w:t>
                  </w:r>
                </w:p>
              </w:tc>
              <w:tc>
                <w:tcPr>
                  <w:tcW w:w="1231" w:type="dxa"/>
                  <w:noWrap w:val="0"/>
                  <w:vAlign w:val="center"/>
                </w:tcPr>
                <w:p w14:paraId="6E0265E8">
                  <w:pPr>
                    <w:adjustRightInd w:val="0"/>
                    <w:snapToGrid w:val="0"/>
                    <w:spacing w:line="240" w:lineRule="atLeast"/>
                    <w:jc w:val="center"/>
                    <w:rPr>
                      <w:rFonts w:cs="宋体"/>
                      <w:color w:val="auto"/>
                      <w:szCs w:val="21"/>
                    </w:rPr>
                  </w:pPr>
                  <w:r>
                    <w:rPr>
                      <w:rFonts w:cs="宋体"/>
                      <w:color w:val="auto"/>
                      <w:kern w:val="0"/>
                      <w:szCs w:val="21"/>
                    </w:rPr>
                    <w:t>危险废物代码</w:t>
                  </w:r>
                </w:p>
              </w:tc>
              <w:tc>
                <w:tcPr>
                  <w:tcW w:w="819" w:type="dxa"/>
                  <w:noWrap w:val="0"/>
                  <w:vAlign w:val="center"/>
                </w:tcPr>
                <w:p w14:paraId="7AA0F4C0">
                  <w:pPr>
                    <w:adjustRightInd w:val="0"/>
                    <w:snapToGrid w:val="0"/>
                    <w:spacing w:line="240" w:lineRule="atLeast"/>
                    <w:jc w:val="center"/>
                    <w:rPr>
                      <w:rFonts w:cs="宋体"/>
                      <w:color w:val="auto"/>
                      <w:szCs w:val="21"/>
                    </w:rPr>
                  </w:pPr>
                  <w:r>
                    <w:rPr>
                      <w:rFonts w:cs="宋体"/>
                      <w:color w:val="auto"/>
                      <w:kern w:val="0"/>
                      <w:szCs w:val="21"/>
                    </w:rPr>
                    <w:t>产生量（t/a）</w:t>
                  </w:r>
                </w:p>
              </w:tc>
              <w:tc>
                <w:tcPr>
                  <w:tcW w:w="693" w:type="dxa"/>
                  <w:noWrap w:val="0"/>
                  <w:vAlign w:val="center"/>
                </w:tcPr>
                <w:p w14:paraId="148CD726">
                  <w:pPr>
                    <w:adjustRightInd w:val="0"/>
                    <w:snapToGrid w:val="0"/>
                    <w:spacing w:line="240" w:lineRule="atLeast"/>
                    <w:jc w:val="center"/>
                    <w:rPr>
                      <w:rFonts w:cs="宋体"/>
                      <w:color w:val="auto"/>
                      <w:szCs w:val="21"/>
                    </w:rPr>
                  </w:pPr>
                  <w:r>
                    <w:rPr>
                      <w:rFonts w:cs="宋体"/>
                      <w:color w:val="auto"/>
                      <w:kern w:val="0"/>
                      <w:szCs w:val="21"/>
                    </w:rPr>
                    <w:t>产生工序及装置</w:t>
                  </w:r>
                </w:p>
              </w:tc>
              <w:tc>
                <w:tcPr>
                  <w:tcW w:w="452" w:type="dxa"/>
                  <w:noWrap w:val="0"/>
                  <w:vAlign w:val="center"/>
                </w:tcPr>
                <w:p w14:paraId="16A684AD">
                  <w:pPr>
                    <w:adjustRightInd w:val="0"/>
                    <w:snapToGrid w:val="0"/>
                    <w:spacing w:line="240" w:lineRule="atLeast"/>
                    <w:jc w:val="center"/>
                    <w:rPr>
                      <w:rFonts w:cs="宋体"/>
                      <w:color w:val="auto"/>
                      <w:kern w:val="0"/>
                      <w:szCs w:val="21"/>
                    </w:rPr>
                  </w:pPr>
                  <w:r>
                    <w:rPr>
                      <w:rFonts w:cs="宋体"/>
                      <w:color w:val="auto"/>
                      <w:szCs w:val="21"/>
                    </w:rPr>
                    <w:t>形态</w:t>
                  </w:r>
                </w:p>
              </w:tc>
              <w:tc>
                <w:tcPr>
                  <w:tcW w:w="504" w:type="dxa"/>
                  <w:noWrap w:val="0"/>
                  <w:vAlign w:val="center"/>
                </w:tcPr>
                <w:p w14:paraId="52C9BAF0">
                  <w:pPr>
                    <w:adjustRightInd w:val="0"/>
                    <w:snapToGrid w:val="0"/>
                    <w:spacing w:line="240" w:lineRule="atLeast"/>
                    <w:jc w:val="center"/>
                    <w:rPr>
                      <w:rFonts w:cs="宋体"/>
                      <w:color w:val="auto"/>
                      <w:kern w:val="0"/>
                      <w:szCs w:val="21"/>
                    </w:rPr>
                  </w:pPr>
                  <w:r>
                    <w:rPr>
                      <w:rFonts w:cs="宋体"/>
                      <w:color w:val="auto"/>
                      <w:szCs w:val="21"/>
                    </w:rPr>
                    <w:t>主要成分</w:t>
                  </w:r>
                </w:p>
              </w:tc>
              <w:tc>
                <w:tcPr>
                  <w:tcW w:w="740" w:type="dxa"/>
                  <w:noWrap w:val="0"/>
                  <w:vAlign w:val="center"/>
                </w:tcPr>
                <w:p w14:paraId="1AC8B0B0">
                  <w:pPr>
                    <w:adjustRightInd w:val="0"/>
                    <w:snapToGrid w:val="0"/>
                    <w:spacing w:line="240" w:lineRule="atLeast"/>
                    <w:jc w:val="center"/>
                    <w:rPr>
                      <w:rFonts w:cs="宋体"/>
                      <w:color w:val="auto"/>
                      <w:kern w:val="0"/>
                      <w:szCs w:val="21"/>
                    </w:rPr>
                  </w:pPr>
                  <w:r>
                    <w:rPr>
                      <w:rFonts w:cs="宋体"/>
                      <w:color w:val="auto"/>
                      <w:szCs w:val="21"/>
                    </w:rPr>
                    <w:t>有害成分</w:t>
                  </w:r>
                </w:p>
              </w:tc>
              <w:tc>
                <w:tcPr>
                  <w:tcW w:w="524" w:type="dxa"/>
                  <w:noWrap w:val="0"/>
                  <w:vAlign w:val="center"/>
                </w:tcPr>
                <w:p w14:paraId="150725A8">
                  <w:pPr>
                    <w:adjustRightInd w:val="0"/>
                    <w:snapToGrid w:val="0"/>
                    <w:spacing w:line="240" w:lineRule="atLeast"/>
                    <w:jc w:val="center"/>
                    <w:rPr>
                      <w:rFonts w:cs="宋体"/>
                      <w:color w:val="auto"/>
                      <w:kern w:val="0"/>
                      <w:szCs w:val="21"/>
                    </w:rPr>
                  </w:pPr>
                  <w:r>
                    <w:rPr>
                      <w:rFonts w:cs="宋体"/>
                      <w:color w:val="auto"/>
                      <w:szCs w:val="21"/>
                    </w:rPr>
                    <w:t>产废周期</w:t>
                  </w:r>
                </w:p>
              </w:tc>
              <w:tc>
                <w:tcPr>
                  <w:tcW w:w="530" w:type="dxa"/>
                  <w:noWrap w:val="0"/>
                  <w:vAlign w:val="center"/>
                </w:tcPr>
                <w:p w14:paraId="5B5E30B5">
                  <w:pPr>
                    <w:adjustRightInd w:val="0"/>
                    <w:snapToGrid w:val="0"/>
                    <w:spacing w:line="240" w:lineRule="atLeast"/>
                    <w:jc w:val="center"/>
                    <w:rPr>
                      <w:rFonts w:cs="宋体"/>
                      <w:color w:val="auto"/>
                      <w:kern w:val="0"/>
                      <w:szCs w:val="21"/>
                    </w:rPr>
                  </w:pPr>
                  <w:r>
                    <w:rPr>
                      <w:rFonts w:cs="宋体"/>
                      <w:color w:val="auto"/>
                      <w:szCs w:val="21"/>
                    </w:rPr>
                    <w:t>危险特性</w:t>
                  </w:r>
                </w:p>
              </w:tc>
            </w:tr>
            <w:tr w14:paraId="10E33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noWrap w:val="0"/>
                  <w:vAlign w:val="center"/>
                </w:tcPr>
                <w:p w14:paraId="01A54C5B">
                  <w:pPr>
                    <w:adjustRightInd w:val="0"/>
                    <w:snapToGrid w:val="0"/>
                    <w:spacing w:line="240" w:lineRule="atLeast"/>
                    <w:jc w:val="center"/>
                    <w:rPr>
                      <w:rFonts w:cs="宋体"/>
                      <w:color w:val="auto"/>
                      <w:szCs w:val="21"/>
                    </w:rPr>
                  </w:pPr>
                  <w:r>
                    <w:rPr>
                      <w:color w:val="auto"/>
                      <w:szCs w:val="21"/>
                      <w:highlight w:val="none"/>
                    </w:rPr>
                    <w:t>废</w:t>
                  </w:r>
                  <w:r>
                    <w:rPr>
                      <w:rFonts w:hint="eastAsia"/>
                      <w:color w:val="auto"/>
                      <w:szCs w:val="21"/>
                      <w:highlight w:val="none"/>
                      <w:lang w:val="en-US" w:eastAsia="zh-CN"/>
                    </w:rPr>
                    <w:t>化学品</w:t>
                  </w:r>
                  <w:r>
                    <w:rPr>
                      <w:color w:val="auto"/>
                      <w:szCs w:val="21"/>
                      <w:highlight w:val="none"/>
                    </w:rPr>
                    <w:t>包装</w:t>
                  </w:r>
                  <w:r>
                    <w:rPr>
                      <w:rFonts w:hint="eastAsia"/>
                      <w:color w:val="auto"/>
                      <w:szCs w:val="21"/>
                      <w:highlight w:val="none"/>
                      <w:lang w:val="en-US" w:eastAsia="zh-CN"/>
                    </w:rPr>
                    <w:t>物</w:t>
                  </w:r>
                </w:p>
              </w:tc>
              <w:tc>
                <w:tcPr>
                  <w:tcW w:w="1067" w:type="dxa"/>
                  <w:noWrap w:val="0"/>
                  <w:vAlign w:val="center"/>
                </w:tcPr>
                <w:p w14:paraId="4DB6F5EF">
                  <w:pPr>
                    <w:adjustRightInd w:val="0"/>
                    <w:snapToGrid w:val="0"/>
                    <w:spacing w:line="240" w:lineRule="atLeast"/>
                    <w:jc w:val="center"/>
                    <w:rPr>
                      <w:rFonts w:cs="宋体"/>
                      <w:color w:val="auto"/>
                      <w:szCs w:val="21"/>
                    </w:rPr>
                  </w:pPr>
                  <w:r>
                    <w:rPr>
                      <w:rFonts w:hint="eastAsia" w:cs="宋体"/>
                      <w:color w:val="auto"/>
                      <w:szCs w:val="21"/>
                    </w:rPr>
                    <w:t>HW49其他废物</w:t>
                  </w:r>
                </w:p>
              </w:tc>
              <w:tc>
                <w:tcPr>
                  <w:tcW w:w="1231" w:type="dxa"/>
                  <w:noWrap w:val="0"/>
                  <w:vAlign w:val="center"/>
                </w:tcPr>
                <w:p w14:paraId="062ECBA1">
                  <w:pPr>
                    <w:adjustRightInd w:val="0"/>
                    <w:snapToGrid w:val="0"/>
                    <w:spacing w:line="240" w:lineRule="atLeast"/>
                    <w:jc w:val="center"/>
                    <w:rPr>
                      <w:rFonts w:hint="eastAsia" w:eastAsia="宋体" w:cs="宋体"/>
                      <w:color w:val="auto"/>
                      <w:szCs w:val="21"/>
                      <w:lang w:eastAsia="zh-CN"/>
                    </w:rPr>
                  </w:pPr>
                  <w:r>
                    <w:rPr>
                      <w:rFonts w:hint="eastAsia" w:cs="宋体"/>
                      <w:color w:val="auto"/>
                      <w:szCs w:val="21"/>
                    </w:rPr>
                    <w:t>900-041-49</w:t>
                  </w:r>
                </w:p>
              </w:tc>
              <w:tc>
                <w:tcPr>
                  <w:tcW w:w="819" w:type="dxa"/>
                  <w:noWrap w:val="0"/>
                  <w:vAlign w:val="center"/>
                </w:tcPr>
                <w:p w14:paraId="6C32B23B">
                  <w:pPr>
                    <w:adjustRightInd w:val="0"/>
                    <w:snapToGrid w:val="0"/>
                    <w:spacing w:line="240" w:lineRule="atLeast"/>
                    <w:jc w:val="center"/>
                    <w:rPr>
                      <w:rFonts w:hint="default" w:eastAsia="宋体" w:cs="宋体"/>
                      <w:color w:val="auto"/>
                      <w:szCs w:val="21"/>
                      <w:lang w:val="en-US" w:eastAsia="zh-CN"/>
                    </w:rPr>
                  </w:pPr>
                  <w:r>
                    <w:rPr>
                      <w:rFonts w:hint="eastAsia" w:cs="宋体"/>
                      <w:color w:val="auto"/>
                      <w:szCs w:val="21"/>
                      <w:lang w:val="en-US" w:eastAsia="zh-CN"/>
                    </w:rPr>
                    <w:t>2</w:t>
                  </w:r>
                </w:p>
              </w:tc>
              <w:tc>
                <w:tcPr>
                  <w:tcW w:w="693" w:type="dxa"/>
                  <w:noWrap w:val="0"/>
                  <w:vAlign w:val="center"/>
                </w:tcPr>
                <w:p w14:paraId="663EBDD8">
                  <w:pPr>
                    <w:adjustRightInd w:val="0"/>
                    <w:snapToGrid w:val="0"/>
                    <w:spacing w:line="240" w:lineRule="atLeast"/>
                    <w:jc w:val="center"/>
                    <w:rPr>
                      <w:rFonts w:hint="eastAsia" w:eastAsia="宋体" w:cs="宋体"/>
                      <w:color w:val="auto"/>
                      <w:szCs w:val="21"/>
                      <w:lang w:eastAsia="zh-CN"/>
                    </w:rPr>
                  </w:pPr>
                  <w:r>
                    <w:rPr>
                      <w:rFonts w:hint="eastAsia" w:cs="宋体"/>
                      <w:color w:val="auto"/>
                      <w:szCs w:val="21"/>
                      <w:lang w:val="en-US" w:eastAsia="zh-CN"/>
                    </w:rPr>
                    <w:t>生产过程</w:t>
                  </w:r>
                </w:p>
              </w:tc>
              <w:tc>
                <w:tcPr>
                  <w:tcW w:w="452" w:type="dxa"/>
                  <w:noWrap w:val="0"/>
                  <w:vAlign w:val="center"/>
                </w:tcPr>
                <w:p w14:paraId="0C510076">
                  <w:pPr>
                    <w:adjustRightInd w:val="0"/>
                    <w:snapToGrid w:val="0"/>
                    <w:spacing w:line="240" w:lineRule="atLeast"/>
                    <w:jc w:val="center"/>
                    <w:rPr>
                      <w:rFonts w:cs="宋体"/>
                      <w:color w:val="auto"/>
                      <w:szCs w:val="21"/>
                    </w:rPr>
                  </w:pPr>
                  <w:r>
                    <w:rPr>
                      <w:rFonts w:cs="宋体"/>
                      <w:color w:val="auto"/>
                      <w:szCs w:val="21"/>
                    </w:rPr>
                    <w:t>固态</w:t>
                  </w:r>
                </w:p>
              </w:tc>
              <w:tc>
                <w:tcPr>
                  <w:tcW w:w="504" w:type="dxa"/>
                  <w:noWrap w:val="0"/>
                  <w:vAlign w:val="center"/>
                </w:tcPr>
                <w:p w14:paraId="2E2EF7D8">
                  <w:pPr>
                    <w:adjustRightInd w:val="0"/>
                    <w:snapToGrid w:val="0"/>
                    <w:spacing w:line="240" w:lineRule="atLeast"/>
                    <w:jc w:val="center"/>
                    <w:rPr>
                      <w:rFonts w:hint="default" w:eastAsia="宋体" w:cs="宋体"/>
                      <w:color w:val="auto"/>
                      <w:szCs w:val="21"/>
                      <w:lang w:val="en-US" w:eastAsia="zh-CN"/>
                    </w:rPr>
                  </w:pPr>
                  <w:r>
                    <w:rPr>
                      <w:rFonts w:hint="eastAsia" w:cs="宋体"/>
                      <w:color w:val="auto"/>
                      <w:szCs w:val="21"/>
                      <w:lang w:val="en-US" w:eastAsia="zh-CN"/>
                    </w:rPr>
                    <w:t>塑料</w:t>
                  </w:r>
                </w:p>
              </w:tc>
              <w:tc>
                <w:tcPr>
                  <w:tcW w:w="740" w:type="dxa"/>
                  <w:noWrap w:val="0"/>
                  <w:vAlign w:val="center"/>
                </w:tcPr>
                <w:p w14:paraId="0179DC20">
                  <w:pPr>
                    <w:adjustRightInd w:val="0"/>
                    <w:snapToGrid w:val="0"/>
                    <w:spacing w:line="240" w:lineRule="atLeast"/>
                    <w:jc w:val="center"/>
                    <w:rPr>
                      <w:rFonts w:hint="eastAsia" w:eastAsia="宋体" w:cs="宋体"/>
                      <w:color w:val="auto"/>
                      <w:szCs w:val="21"/>
                      <w:lang w:eastAsia="zh-CN"/>
                    </w:rPr>
                  </w:pPr>
                  <w:r>
                    <w:rPr>
                      <w:rFonts w:cs="宋体"/>
                      <w:color w:val="auto"/>
                      <w:szCs w:val="21"/>
                    </w:rPr>
                    <w:t>有机树脂</w:t>
                  </w:r>
                  <w:r>
                    <w:rPr>
                      <w:rFonts w:hint="eastAsia" w:cs="宋体"/>
                      <w:color w:val="auto"/>
                      <w:szCs w:val="21"/>
                      <w:lang w:eastAsia="zh-CN"/>
                    </w:rPr>
                    <w:t>、烃类</w:t>
                  </w:r>
                </w:p>
              </w:tc>
              <w:tc>
                <w:tcPr>
                  <w:tcW w:w="524" w:type="dxa"/>
                  <w:noWrap w:val="0"/>
                  <w:vAlign w:val="center"/>
                </w:tcPr>
                <w:p w14:paraId="1595C283">
                  <w:pPr>
                    <w:adjustRightInd w:val="0"/>
                    <w:snapToGrid w:val="0"/>
                    <w:spacing w:line="240" w:lineRule="atLeast"/>
                    <w:jc w:val="center"/>
                    <w:rPr>
                      <w:rFonts w:cs="宋体"/>
                      <w:color w:val="auto"/>
                      <w:szCs w:val="21"/>
                    </w:rPr>
                  </w:pPr>
                  <w:r>
                    <w:rPr>
                      <w:rFonts w:cs="宋体"/>
                      <w:color w:val="auto"/>
                      <w:szCs w:val="21"/>
                    </w:rPr>
                    <w:t>1</w:t>
                  </w:r>
                  <w:r>
                    <w:rPr>
                      <w:rFonts w:hint="eastAsia" w:cs="宋体"/>
                      <w:color w:val="auto"/>
                      <w:szCs w:val="21"/>
                    </w:rPr>
                    <w:t>次/月</w:t>
                  </w:r>
                </w:p>
              </w:tc>
              <w:tc>
                <w:tcPr>
                  <w:tcW w:w="530" w:type="dxa"/>
                  <w:noWrap w:val="0"/>
                  <w:vAlign w:val="center"/>
                </w:tcPr>
                <w:p w14:paraId="598B8905">
                  <w:pPr>
                    <w:adjustRightInd w:val="0"/>
                    <w:snapToGrid w:val="0"/>
                    <w:spacing w:line="240" w:lineRule="atLeast"/>
                    <w:jc w:val="center"/>
                    <w:rPr>
                      <w:rFonts w:hint="default"/>
                      <w:color w:val="auto"/>
                      <w:lang w:val="en-US"/>
                    </w:rPr>
                  </w:pPr>
                  <w:r>
                    <w:rPr>
                      <w:rFonts w:hint="eastAsia" w:cs="宋体"/>
                      <w:color w:val="auto"/>
                      <w:szCs w:val="21"/>
                      <w:lang w:val="en-US" w:eastAsia="zh-CN"/>
                    </w:rPr>
                    <w:t>T/In</w:t>
                  </w:r>
                </w:p>
              </w:tc>
            </w:tr>
            <w:tr w14:paraId="52E9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43" w:type="dxa"/>
                  <w:noWrap w:val="0"/>
                  <w:vAlign w:val="center"/>
                </w:tcPr>
                <w:p w14:paraId="4E34894F">
                  <w:pPr>
                    <w:adjustRightInd w:val="0"/>
                    <w:snapToGrid w:val="0"/>
                    <w:spacing w:line="240" w:lineRule="atLeast"/>
                    <w:jc w:val="center"/>
                    <w:rPr>
                      <w:rFonts w:hint="eastAsia" w:eastAsia="宋体" w:cs="宋体"/>
                      <w:color w:val="auto"/>
                      <w:szCs w:val="21"/>
                      <w:lang w:eastAsia="zh-CN"/>
                    </w:rPr>
                  </w:pPr>
                  <w:r>
                    <w:rPr>
                      <w:rFonts w:cs="宋体"/>
                      <w:color w:val="auto"/>
                      <w:szCs w:val="21"/>
                    </w:rPr>
                    <w:t>废矿物油</w:t>
                  </w:r>
                </w:p>
              </w:tc>
              <w:tc>
                <w:tcPr>
                  <w:tcW w:w="1067" w:type="dxa"/>
                  <w:noWrap w:val="0"/>
                  <w:vAlign w:val="center"/>
                </w:tcPr>
                <w:p w14:paraId="0C4E2520">
                  <w:pPr>
                    <w:adjustRightInd w:val="0"/>
                    <w:snapToGrid w:val="0"/>
                    <w:spacing w:line="240" w:lineRule="atLeast"/>
                    <w:jc w:val="center"/>
                    <w:rPr>
                      <w:rFonts w:cs="宋体"/>
                      <w:color w:val="auto"/>
                      <w:szCs w:val="21"/>
                    </w:rPr>
                  </w:pPr>
                  <w:r>
                    <w:rPr>
                      <w:rFonts w:hint="default" w:ascii="Times New Roman" w:hAnsi="Times New Roman" w:eastAsia="宋体" w:cs="宋体"/>
                      <w:color w:val="auto"/>
                      <w:sz w:val="21"/>
                      <w:szCs w:val="21"/>
                    </w:rPr>
                    <w:t>HW08废矿物油与含矿物油废物</w:t>
                  </w:r>
                </w:p>
              </w:tc>
              <w:tc>
                <w:tcPr>
                  <w:tcW w:w="1231" w:type="dxa"/>
                  <w:noWrap w:val="0"/>
                  <w:vAlign w:val="center"/>
                </w:tcPr>
                <w:p w14:paraId="7C7E6C6C">
                  <w:pPr>
                    <w:adjustRightInd w:val="0"/>
                    <w:snapToGrid w:val="0"/>
                    <w:spacing w:line="240" w:lineRule="atLeast"/>
                    <w:jc w:val="center"/>
                    <w:rPr>
                      <w:rFonts w:cs="宋体"/>
                      <w:color w:val="auto"/>
                      <w:szCs w:val="21"/>
                    </w:rPr>
                  </w:pPr>
                  <w:r>
                    <w:rPr>
                      <w:rFonts w:hint="default" w:ascii="Times New Roman" w:hAnsi="Times New Roman" w:eastAsia="宋体" w:cs="宋体"/>
                      <w:color w:val="auto"/>
                      <w:sz w:val="21"/>
                      <w:szCs w:val="21"/>
                    </w:rPr>
                    <w:t>900-214-08</w:t>
                  </w:r>
                </w:p>
              </w:tc>
              <w:tc>
                <w:tcPr>
                  <w:tcW w:w="819" w:type="dxa"/>
                  <w:noWrap w:val="0"/>
                  <w:vAlign w:val="center"/>
                </w:tcPr>
                <w:p w14:paraId="3A2C1B5D">
                  <w:pPr>
                    <w:adjustRightInd w:val="0"/>
                    <w:snapToGrid w:val="0"/>
                    <w:spacing w:line="240" w:lineRule="atLeast"/>
                    <w:jc w:val="center"/>
                    <w:rPr>
                      <w:rFonts w:hint="default" w:eastAsia="宋体" w:cs="宋体"/>
                      <w:color w:val="auto"/>
                      <w:szCs w:val="21"/>
                      <w:lang w:val="en-US" w:eastAsia="zh-CN"/>
                    </w:rPr>
                  </w:pPr>
                  <w:r>
                    <w:rPr>
                      <w:rFonts w:hint="eastAsia" w:cs="宋体"/>
                      <w:color w:val="auto"/>
                      <w:szCs w:val="21"/>
                      <w:lang w:val="en-US" w:eastAsia="zh-CN"/>
                    </w:rPr>
                    <w:t>0.54</w:t>
                  </w:r>
                </w:p>
              </w:tc>
              <w:tc>
                <w:tcPr>
                  <w:tcW w:w="693" w:type="dxa"/>
                  <w:noWrap w:val="0"/>
                  <w:vAlign w:val="center"/>
                </w:tcPr>
                <w:p w14:paraId="74DAE6BA">
                  <w:pPr>
                    <w:adjustRightInd w:val="0"/>
                    <w:snapToGrid w:val="0"/>
                    <w:spacing w:line="240" w:lineRule="atLeast"/>
                    <w:jc w:val="center"/>
                    <w:rPr>
                      <w:rFonts w:hint="default" w:eastAsia="宋体" w:cs="宋体"/>
                      <w:color w:val="auto"/>
                      <w:szCs w:val="21"/>
                      <w:lang w:val="en-US" w:eastAsia="zh-CN"/>
                    </w:rPr>
                  </w:pPr>
                  <w:r>
                    <w:rPr>
                      <w:rFonts w:cs="宋体"/>
                      <w:color w:val="auto"/>
                      <w:szCs w:val="21"/>
                    </w:rPr>
                    <w:t>设备维修</w:t>
                  </w:r>
                  <w:r>
                    <w:rPr>
                      <w:rFonts w:hint="eastAsia" w:cs="宋体"/>
                      <w:color w:val="auto"/>
                      <w:szCs w:val="21"/>
                      <w:lang w:eastAsia="zh-CN"/>
                    </w:rPr>
                    <w:t>、</w:t>
                  </w:r>
                  <w:r>
                    <w:rPr>
                      <w:rFonts w:hint="eastAsia" w:cs="宋体"/>
                      <w:color w:val="auto"/>
                      <w:szCs w:val="21"/>
                      <w:lang w:val="en-US" w:eastAsia="zh-CN"/>
                    </w:rPr>
                    <w:t>废水处理</w:t>
                  </w:r>
                </w:p>
              </w:tc>
              <w:tc>
                <w:tcPr>
                  <w:tcW w:w="452" w:type="dxa"/>
                  <w:noWrap w:val="0"/>
                  <w:vAlign w:val="center"/>
                </w:tcPr>
                <w:p w14:paraId="00223B22">
                  <w:pPr>
                    <w:adjustRightInd w:val="0"/>
                    <w:snapToGrid w:val="0"/>
                    <w:spacing w:line="240" w:lineRule="atLeast"/>
                    <w:jc w:val="center"/>
                    <w:rPr>
                      <w:rFonts w:cs="宋体"/>
                      <w:color w:val="auto"/>
                      <w:szCs w:val="21"/>
                    </w:rPr>
                  </w:pPr>
                  <w:r>
                    <w:rPr>
                      <w:rFonts w:cs="宋体"/>
                      <w:color w:val="auto"/>
                      <w:szCs w:val="21"/>
                    </w:rPr>
                    <w:t>液态</w:t>
                  </w:r>
                </w:p>
              </w:tc>
              <w:tc>
                <w:tcPr>
                  <w:tcW w:w="504" w:type="dxa"/>
                  <w:noWrap w:val="0"/>
                  <w:vAlign w:val="center"/>
                </w:tcPr>
                <w:p w14:paraId="0826605F">
                  <w:pPr>
                    <w:adjustRightInd w:val="0"/>
                    <w:snapToGrid w:val="0"/>
                    <w:spacing w:line="240" w:lineRule="atLeast"/>
                    <w:jc w:val="center"/>
                    <w:rPr>
                      <w:rFonts w:cs="宋体"/>
                      <w:color w:val="auto"/>
                      <w:szCs w:val="21"/>
                    </w:rPr>
                  </w:pPr>
                  <w:r>
                    <w:rPr>
                      <w:rFonts w:cs="宋体"/>
                      <w:color w:val="auto"/>
                      <w:szCs w:val="21"/>
                    </w:rPr>
                    <w:t>矿物油</w:t>
                  </w:r>
                </w:p>
              </w:tc>
              <w:tc>
                <w:tcPr>
                  <w:tcW w:w="740" w:type="dxa"/>
                  <w:noWrap w:val="0"/>
                  <w:vAlign w:val="center"/>
                </w:tcPr>
                <w:p w14:paraId="7F754D9A">
                  <w:pPr>
                    <w:adjustRightInd w:val="0"/>
                    <w:snapToGrid w:val="0"/>
                    <w:spacing w:line="240" w:lineRule="atLeast"/>
                    <w:jc w:val="center"/>
                    <w:rPr>
                      <w:rFonts w:cs="宋体"/>
                      <w:color w:val="auto"/>
                      <w:szCs w:val="21"/>
                    </w:rPr>
                  </w:pPr>
                  <w:r>
                    <w:rPr>
                      <w:rFonts w:cs="宋体"/>
                      <w:color w:val="auto"/>
                      <w:szCs w:val="21"/>
                    </w:rPr>
                    <w:t>烃类、苯系物</w:t>
                  </w:r>
                </w:p>
              </w:tc>
              <w:tc>
                <w:tcPr>
                  <w:tcW w:w="524" w:type="dxa"/>
                  <w:noWrap w:val="0"/>
                  <w:vAlign w:val="center"/>
                </w:tcPr>
                <w:p w14:paraId="5E4A476D">
                  <w:pPr>
                    <w:adjustRightInd w:val="0"/>
                    <w:snapToGrid w:val="0"/>
                    <w:spacing w:line="240" w:lineRule="atLeast"/>
                    <w:jc w:val="center"/>
                    <w:rPr>
                      <w:rFonts w:cs="宋体"/>
                      <w:color w:val="auto"/>
                      <w:szCs w:val="21"/>
                    </w:rPr>
                  </w:pPr>
                  <w:r>
                    <w:rPr>
                      <w:rFonts w:hint="eastAsia" w:cs="宋体"/>
                      <w:color w:val="auto"/>
                      <w:szCs w:val="21"/>
                    </w:rPr>
                    <w:t>1次/月</w:t>
                  </w:r>
                </w:p>
              </w:tc>
              <w:tc>
                <w:tcPr>
                  <w:tcW w:w="530" w:type="dxa"/>
                  <w:noWrap w:val="0"/>
                  <w:vAlign w:val="center"/>
                </w:tcPr>
                <w:p w14:paraId="0E21A0A3">
                  <w:pPr>
                    <w:adjustRightInd w:val="0"/>
                    <w:snapToGrid w:val="0"/>
                    <w:spacing w:line="240" w:lineRule="atLeast"/>
                    <w:jc w:val="center"/>
                    <w:rPr>
                      <w:rFonts w:cs="宋体"/>
                      <w:color w:val="auto"/>
                      <w:szCs w:val="21"/>
                    </w:rPr>
                  </w:pPr>
                  <w:r>
                    <w:rPr>
                      <w:rFonts w:hint="eastAsia" w:cs="宋体"/>
                      <w:color w:val="auto"/>
                      <w:szCs w:val="21"/>
                      <w:lang w:val="en-US" w:eastAsia="zh-CN"/>
                    </w:rPr>
                    <w:t>T/In</w:t>
                  </w:r>
                </w:p>
              </w:tc>
            </w:tr>
            <w:tr w14:paraId="6DAB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843" w:type="dxa"/>
                  <w:noWrap w:val="0"/>
                  <w:vAlign w:val="center"/>
                </w:tcPr>
                <w:p w14:paraId="4B571E6A">
                  <w:pPr>
                    <w:adjustRightInd w:val="0"/>
                    <w:snapToGrid w:val="0"/>
                    <w:spacing w:line="240" w:lineRule="atLeast"/>
                    <w:jc w:val="center"/>
                    <w:rPr>
                      <w:rFonts w:cs="宋体"/>
                      <w:color w:val="auto"/>
                      <w:szCs w:val="21"/>
                    </w:rPr>
                  </w:pPr>
                  <w:r>
                    <w:rPr>
                      <w:rFonts w:cs="宋体"/>
                      <w:color w:val="auto"/>
                      <w:szCs w:val="21"/>
                    </w:rPr>
                    <w:t>废活性炭</w:t>
                  </w:r>
                </w:p>
              </w:tc>
              <w:tc>
                <w:tcPr>
                  <w:tcW w:w="1067" w:type="dxa"/>
                  <w:noWrap w:val="0"/>
                  <w:vAlign w:val="center"/>
                </w:tcPr>
                <w:p w14:paraId="6F6EE36E">
                  <w:pPr>
                    <w:adjustRightInd w:val="0"/>
                    <w:snapToGrid w:val="0"/>
                    <w:spacing w:line="240" w:lineRule="atLeast"/>
                    <w:jc w:val="center"/>
                    <w:rPr>
                      <w:rFonts w:hint="default" w:eastAsia="宋体" w:cs="宋体"/>
                      <w:color w:val="auto"/>
                      <w:szCs w:val="21"/>
                      <w:lang w:val="en-US" w:eastAsia="zh-CN"/>
                    </w:rPr>
                  </w:pPr>
                  <w:r>
                    <w:rPr>
                      <w:rFonts w:cs="宋体"/>
                      <w:color w:val="auto"/>
                      <w:szCs w:val="21"/>
                    </w:rPr>
                    <w:t>HW49其他废物</w:t>
                  </w:r>
                </w:p>
              </w:tc>
              <w:tc>
                <w:tcPr>
                  <w:tcW w:w="1231" w:type="dxa"/>
                  <w:noWrap w:val="0"/>
                  <w:vAlign w:val="center"/>
                </w:tcPr>
                <w:p w14:paraId="1C3329EF">
                  <w:pPr>
                    <w:adjustRightInd w:val="0"/>
                    <w:snapToGrid w:val="0"/>
                    <w:spacing w:line="240" w:lineRule="atLeast"/>
                    <w:jc w:val="center"/>
                    <w:rPr>
                      <w:rFonts w:cs="宋体"/>
                      <w:color w:val="auto"/>
                      <w:szCs w:val="21"/>
                    </w:rPr>
                  </w:pPr>
                  <w:r>
                    <w:rPr>
                      <w:rFonts w:cs="宋体"/>
                      <w:color w:val="auto"/>
                      <w:szCs w:val="21"/>
                    </w:rPr>
                    <w:t>900-0</w:t>
                  </w:r>
                  <w:r>
                    <w:rPr>
                      <w:rFonts w:hint="eastAsia" w:cs="宋体"/>
                      <w:color w:val="auto"/>
                      <w:szCs w:val="21"/>
                    </w:rPr>
                    <w:t>39</w:t>
                  </w:r>
                  <w:r>
                    <w:rPr>
                      <w:rFonts w:cs="宋体"/>
                      <w:color w:val="auto"/>
                      <w:szCs w:val="21"/>
                    </w:rPr>
                    <w:t>-49</w:t>
                  </w:r>
                </w:p>
              </w:tc>
              <w:tc>
                <w:tcPr>
                  <w:tcW w:w="819" w:type="dxa"/>
                  <w:noWrap w:val="0"/>
                  <w:vAlign w:val="center"/>
                </w:tcPr>
                <w:p w14:paraId="1EAFE2D8">
                  <w:pPr>
                    <w:adjustRightInd w:val="0"/>
                    <w:snapToGrid w:val="0"/>
                    <w:spacing w:line="240" w:lineRule="atLeast"/>
                    <w:jc w:val="center"/>
                    <w:rPr>
                      <w:rFonts w:hint="default" w:eastAsia="宋体" w:cs="宋体"/>
                      <w:color w:val="auto"/>
                      <w:szCs w:val="21"/>
                      <w:lang w:val="en-US" w:eastAsia="zh-CN"/>
                    </w:rPr>
                  </w:pPr>
                  <w:r>
                    <w:rPr>
                      <w:rFonts w:hint="eastAsia" w:cs="宋体"/>
                      <w:color w:val="auto"/>
                      <w:szCs w:val="21"/>
                      <w:lang w:val="en-US" w:eastAsia="zh-CN"/>
                    </w:rPr>
                    <w:t>4.8</w:t>
                  </w:r>
                </w:p>
              </w:tc>
              <w:tc>
                <w:tcPr>
                  <w:tcW w:w="693" w:type="dxa"/>
                  <w:noWrap w:val="0"/>
                  <w:vAlign w:val="center"/>
                </w:tcPr>
                <w:p w14:paraId="666D2224">
                  <w:pPr>
                    <w:adjustRightInd w:val="0"/>
                    <w:snapToGrid w:val="0"/>
                    <w:spacing w:line="240" w:lineRule="atLeast"/>
                    <w:jc w:val="center"/>
                    <w:rPr>
                      <w:rFonts w:cs="宋体"/>
                      <w:color w:val="auto"/>
                      <w:szCs w:val="21"/>
                    </w:rPr>
                  </w:pPr>
                  <w:r>
                    <w:rPr>
                      <w:rFonts w:cs="宋体"/>
                      <w:bCs/>
                      <w:color w:val="auto"/>
                      <w:szCs w:val="21"/>
                    </w:rPr>
                    <w:t>活性炭处理装置</w:t>
                  </w:r>
                </w:p>
              </w:tc>
              <w:tc>
                <w:tcPr>
                  <w:tcW w:w="452" w:type="dxa"/>
                  <w:noWrap w:val="0"/>
                  <w:vAlign w:val="center"/>
                </w:tcPr>
                <w:p w14:paraId="742FF122">
                  <w:pPr>
                    <w:adjustRightInd w:val="0"/>
                    <w:snapToGrid w:val="0"/>
                    <w:spacing w:line="240" w:lineRule="atLeast"/>
                    <w:jc w:val="center"/>
                    <w:rPr>
                      <w:rFonts w:cs="宋体"/>
                      <w:color w:val="auto"/>
                      <w:szCs w:val="21"/>
                    </w:rPr>
                  </w:pPr>
                  <w:r>
                    <w:rPr>
                      <w:rFonts w:cs="宋体"/>
                      <w:color w:val="auto"/>
                      <w:szCs w:val="21"/>
                    </w:rPr>
                    <w:t>固态</w:t>
                  </w:r>
                </w:p>
              </w:tc>
              <w:tc>
                <w:tcPr>
                  <w:tcW w:w="504" w:type="dxa"/>
                  <w:noWrap w:val="0"/>
                  <w:vAlign w:val="center"/>
                </w:tcPr>
                <w:p w14:paraId="6E6D8C05">
                  <w:pPr>
                    <w:adjustRightInd w:val="0"/>
                    <w:snapToGrid w:val="0"/>
                    <w:spacing w:line="240" w:lineRule="atLeast"/>
                    <w:jc w:val="center"/>
                    <w:rPr>
                      <w:rFonts w:hint="eastAsia" w:eastAsia="宋体" w:cs="宋体"/>
                      <w:color w:val="auto"/>
                      <w:szCs w:val="21"/>
                      <w:lang w:eastAsia="zh-CN"/>
                    </w:rPr>
                  </w:pPr>
                  <w:r>
                    <w:rPr>
                      <w:rFonts w:hint="eastAsia" w:cs="宋体"/>
                      <w:color w:val="auto"/>
                      <w:szCs w:val="21"/>
                      <w:lang w:eastAsia="zh-CN"/>
                    </w:rPr>
                    <w:t>有机物</w:t>
                  </w:r>
                </w:p>
              </w:tc>
              <w:tc>
                <w:tcPr>
                  <w:tcW w:w="740" w:type="dxa"/>
                  <w:noWrap w:val="0"/>
                  <w:vAlign w:val="center"/>
                </w:tcPr>
                <w:p w14:paraId="07832B55">
                  <w:pPr>
                    <w:adjustRightInd w:val="0"/>
                    <w:snapToGrid w:val="0"/>
                    <w:spacing w:line="240" w:lineRule="atLeast"/>
                    <w:jc w:val="center"/>
                    <w:rPr>
                      <w:rFonts w:cs="宋体"/>
                      <w:color w:val="auto"/>
                      <w:szCs w:val="21"/>
                    </w:rPr>
                  </w:pPr>
                  <w:r>
                    <w:rPr>
                      <w:rFonts w:hint="eastAsia" w:cs="宋体"/>
                      <w:color w:val="auto"/>
                      <w:szCs w:val="21"/>
                      <w:lang w:eastAsia="zh-CN"/>
                    </w:rPr>
                    <w:t>有机物</w:t>
                  </w:r>
                </w:p>
              </w:tc>
              <w:tc>
                <w:tcPr>
                  <w:tcW w:w="524" w:type="dxa"/>
                  <w:noWrap w:val="0"/>
                  <w:vAlign w:val="center"/>
                </w:tcPr>
                <w:p w14:paraId="0AE93A61">
                  <w:pPr>
                    <w:adjustRightInd w:val="0"/>
                    <w:snapToGrid w:val="0"/>
                    <w:spacing w:line="240" w:lineRule="atLeast"/>
                    <w:jc w:val="center"/>
                    <w:rPr>
                      <w:rFonts w:cs="宋体"/>
                      <w:color w:val="auto"/>
                      <w:szCs w:val="21"/>
                    </w:rPr>
                  </w:pPr>
                  <w:r>
                    <w:rPr>
                      <w:rFonts w:hint="eastAsia" w:cs="宋体"/>
                      <w:color w:val="auto"/>
                      <w:szCs w:val="21"/>
                    </w:rPr>
                    <w:t>1次/</w:t>
                  </w:r>
                  <w:r>
                    <w:rPr>
                      <w:rFonts w:hint="eastAsia" w:cs="宋体"/>
                      <w:color w:val="auto"/>
                      <w:szCs w:val="21"/>
                      <w:lang w:val="en-US" w:eastAsia="zh-CN"/>
                    </w:rPr>
                    <w:t>3个</w:t>
                  </w:r>
                  <w:r>
                    <w:rPr>
                      <w:rFonts w:hint="eastAsia" w:cs="宋体"/>
                      <w:color w:val="auto"/>
                      <w:szCs w:val="21"/>
                    </w:rPr>
                    <w:t>月</w:t>
                  </w:r>
                </w:p>
              </w:tc>
              <w:tc>
                <w:tcPr>
                  <w:tcW w:w="530" w:type="dxa"/>
                  <w:noWrap w:val="0"/>
                  <w:vAlign w:val="center"/>
                </w:tcPr>
                <w:p w14:paraId="588CACF3">
                  <w:pPr>
                    <w:adjustRightInd w:val="0"/>
                    <w:snapToGrid w:val="0"/>
                    <w:spacing w:line="240" w:lineRule="atLeast"/>
                    <w:jc w:val="center"/>
                    <w:rPr>
                      <w:rFonts w:cs="宋体"/>
                      <w:color w:val="auto"/>
                      <w:szCs w:val="21"/>
                    </w:rPr>
                  </w:pPr>
                  <w:r>
                    <w:rPr>
                      <w:rFonts w:hint="eastAsia" w:cs="宋体"/>
                      <w:color w:val="auto"/>
                      <w:szCs w:val="21"/>
                      <w:lang w:val="en-US" w:eastAsia="zh-CN"/>
                    </w:rPr>
                    <w:t>T</w:t>
                  </w:r>
                </w:p>
              </w:tc>
            </w:tr>
            <w:tr w14:paraId="0896A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843" w:type="dxa"/>
                  <w:noWrap w:val="0"/>
                  <w:vAlign w:val="center"/>
                </w:tcPr>
                <w:p w14:paraId="1E8FA028">
                  <w:pPr>
                    <w:adjustRightInd w:val="0"/>
                    <w:snapToGrid w:val="0"/>
                    <w:spacing w:line="240" w:lineRule="atLeast"/>
                    <w:jc w:val="center"/>
                    <w:rPr>
                      <w:rFonts w:hint="eastAsia" w:eastAsia="宋体" w:cs="宋体"/>
                      <w:color w:val="auto"/>
                      <w:szCs w:val="21"/>
                      <w:lang w:val="en-US" w:eastAsia="zh-CN"/>
                    </w:rPr>
                  </w:pPr>
                  <w:r>
                    <w:rPr>
                      <w:rFonts w:hint="eastAsia" w:cs="宋体"/>
                      <w:color w:val="auto"/>
                      <w:szCs w:val="21"/>
                      <w:lang w:val="en-US" w:eastAsia="zh-CN"/>
                    </w:rPr>
                    <w:t>废过滤棉</w:t>
                  </w:r>
                </w:p>
              </w:tc>
              <w:tc>
                <w:tcPr>
                  <w:tcW w:w="1067" w:type="dxa"/>
                  <w:shd w:val="clear" w:color="auto" w:fill="auto"/>
                  <w:noWrap w:val="0"/>
                  <w:vAlign w:val="center"/>
                </w:tcPr>
                <w:p w14:paraId="753FE683">
                  <w:pPr>
                    <w:adjustRightInd w:val="0"/>
                    <w:snapToGrid w:val="0"/>
                    <w:spacing w:line="240" w:lineRule="atLeast"/>
                    <w:jc w:val="center"/>
                    <w:rPr>
                      <w:rFonts w:ascii="Times New Roman" w:hAnsi="Times New Roman" w:eastAsia="宋体" w:cs="宋体"/>
                      <w:color w:val="auto"/>
                      <w:kern w:val="2"/>
                      <w:sz w:val="21"/>
                      <w:szCs w:val="21"/>
                      <w:lang w:val="en-US" w:eastAsia="zh-CN" w:bidi="ar-SA"/>
                    </w:rPr>
                  </w:pPr>
                  <w:r>
                    <w:rPr>
                      <w:rFonts w:hint="eastAsia" w:cs="宋体"/>
                      <w:color w:val="auto"/>
                      <w:szCs w:val="21"/>
                    </w:rPr>
                    <w:t>HW49其他废物</w:t>
                  </w:r>
                </w:p>
              </w:tc>
              <w:tc>
                <w:tcPr>
                  <w:tcW w:w="1231" w:type="dxa"/>
                  <w:shd w:val="clear" w:color="auto" w:fill="auto"/>
                  <w:noWrap w:val="0"/>
                  <w:vAlign w:val="center"/>
                </w:tcPr>
                <w:p w14:paraId="45D37901">
                  <w:pPr>
                    <w:adjustRightInd w:val="0"/>
                    <w:snapToGrid w:val="0"/>
                    <w:spacing w:line="240" w:lineRule="atLeast"/>
                    <w:jc w:val="center"/>
                    <w:rPr>
                      <w:rFonts w:hint="eastAsia" w:ascii="Times New Roman" w:hAnsi="Times New Roman" w:eastAsia="宋体" w:cs="宋体"/>
                      <w:color w:val="auto"/>
                      <w:kern w:val="2"/>
                      <w:sz w:val="21"/>
                      <w:szCs w:val="21"/>
                      <w:lang w:val="en-US" w:eastAsia="zh-CN" w:bidi="ar-SA"/>
                    </w:rPr>
                  </w:pPr>
                  <w:r>
                    <w:rPr>
                      <w:rFonts w:hint="eastAsia" w:cs="宋体"/>
                      <w:color w:val="auto"/>
                      <w:szCs w:val="21"/>
                    </w:rPr>
                    <w:t>900-041-49</w:t>
                  </w:r>
                </w:p>
              </w:tc>
              <w:tc>
                <w:tcPr>
                  <w:tcW w:w="819" w:type="dxa"/>
                  <w:noWrap w:val="0"/>
                  <w:vAlign w:val="center"/>
                </w:tcPr>
                <w:p w14:paraId="74F41BED">
                  <w:pPr>
                    <w:adjustRightInd w:val="0"/>
                    <w:snapToGrid w:val="0"/>
                    <w:spacing w:line="240" w:lineRule="atLeast"/>
                    <w:jc w:val="center"/>
                    <w:rPr>
                      <w:rFonts w:hint="default" w:cs="宋体"/>
                      <w:color w:val="auto"/>
                      <w:szCs w:val="21"/>
                      <w:lang w:val="en-US" w:eastAsia="zh-CN"/>
                    </w:rPr>
                  </w:pPr>
                  <w:r>
                    <w:rPr>
                      <w:rFonts w:hint="eastAsia" w:cs="宋体"/>
                      <w:color w:val="auto"/>
                      <w:szCs w:val="21"/>
                      <w:lang w:val="en-US" w:eastAsia="zh-CN"/>
                    </w:rPr>
                    <w:t>0.5</w:t>
                  </w:r>
                </w:p>
              </w:tc>
              <w:tc>
                <w:tcPr>
                  <w:tcW w:w="693" w:type="dxa"/>
                  <w:noWrap w:val="0"/>
                  <w:vAlign w:val="center"/>
                </w:tcPr>
                <w:p w14:paraId="2EEC31CF">
                  <w:pPr>
                    <w:adjustRightInd w:val="0"/>
                    <w:snapToGrid w:val="0"/>
                    <w:spacing w:line="240" w:lineRule="atLeast"/>
                    <w:jc w:val="center"/>
                    <w:rPr>
                      <w:rFonts w:hint="default" w:eastAsia="宋体" w:cs="宋体"/>
                      <w:bCs/>
                      <w:color w:val="auto"/>
                      <w:szCs w:val="21"/>
                      <w:lang w:val="en-US" w:eastAsia="zh-CN"/>
                    </w:rPr>
                  </w:pPr>
                  <w:r>
                    <w:rPr>
                      <w:rFonts w:hint="eastAsia" w:cs="宋体"/>
                      <w:bCs/>
                      <w:color w:val="auto"/>
                      <w:szCs w:val="21"/>
                      <w:lang w:val="en-US" w:eastAsia="zh-CN"/>
                    </w:rPr>
                    <w:t>废气处理</w:t>
                  </w:r>
                </w:p>
              </w:tc>
              <w:tc>
                <w:tcPr>
                  <w:tcW w:w="452" w:type="dxa"/>
                  <w:shd w:val="clear" w:color="auto" w:fill="auto"/>
                  <w:noWrap w:val="0"/>
                  <w:vAlign w:val="center"/>
                </w:tcPr>
                <w:p w14:paraId="394A66FF">
                  <w:pPr>
                    <w:adjustRightInd w:val="0"/>
                    <w:snapToGrid w:val="0"/>
                    <w:spacing w:line="240" w:lineRule="atLeast"/>
                    <w:jc w:val="center"/>
                    <w:rPr>
                      <w:rFonts w:ascii="Times New Roman" w:hAnsi="Times New Roman" w:eastAsia="宋体" w:cs="宋体"/>
                      <w:color w:val="auto"/>
                      <w:kern w:val="2"/>
                      <w:sz w:val="21"/>
                      <w:szCs w:val="21"/>
                      <w:lang w:val="en-US" w:eastAsia="zh-CN" w:bidi="ar-SA"/>
                    </w:rPr>
                  </w:pPr>
                  <w:r>
                    <w:rPr>
                      <w:rFonts w:cs="宋体"/>
                      <w:color w:val="auto"/>
                      <w:szCs w:val="21"/>
                    </w:rPr>
                    <w:t>固态</w:t>
                  </w:r>
                </w:p>
              </w:tc>
              <w:tc>
                <w:tcPr>
                  <w:tcW w:w="504" w:type="dxa"/>
                  <w:shd w:val="clear" w:color="auto" w:fill="auto"/>
                  <w:noWrap w:val="0"/>
                  <w:vAlign w:val="center"/>
                </w:tcPr>
                <w:p w14:paraId="714BB89D">
                  <w:pPr>
                    <w:adjustRightInd w:val="0"/>
                    <w:snapToGrid w:val="0"/>
                    <w:spacing w:line="240" w:lineRule="atLeast"/>
                    <w:jc w:val="center"/>
                    <w:rPr>
                      <w:rFonts w:hint="default" w:ascii="Times New Roman" w:hAnsi="Times New Roman" w:eastAsia="宋体" w:cs="宋体"/>
                      <w:color w:val="auto"/>
                      <w:kern w:val="2"/>
                      <w:sz w:val="21"/>
                      <w:szCs w:val="21"/>
                      <w:lang w:val="en-US" w:eastAsia="zh-CN" w:bidi="ar-SA"/>
                    </w:rPr>
                  </w:pPr>
                  <w:r>
                    <w:rPr>
                      <w:rFonts w:hint="eastAsia" w:cs="宋体"/>
                      <w:color w:val="auto"/>
                      <w:kern w:val="2"/>
                      <w:sz w:val="21"/>
                      <w:szCs w:val="21"/>
                      <w:lang w:val="en-US" w:eastAsia="zh-CN" w:bidi="ar-SA"/>
                    </w:rPr>
                    <w:t>棉</w:t>
                  </w:r>
                </w:p>
              </w:tc>
              <w:tc>
                <w:tcPr>
                  <w:tcW w:w="740" w:type="dxa"/>
                  <w:shd w:val="clear" w:color="auto" w:fill="auto"/>
                  <w:noWrap w:val="0"/>
                  <w:vAlign w:val="center"/>
                </w:tcPr>
                <w:p w14:paraId="30F6B465">
                  <w:pPr>
                    <w:adjustRightInd w:val="0"/>
                    <w:snapToGrid w:val="0"/>
                    <w:spacing w:line="240" w:lineRule="atLeast"/>
                    <w:jc w:val="center"/>
                    <w:rPr>
                      <w:rFonts w:hint="eastAsia" w:ascii="Times New Roman" w:hAnsi="Times New Roman" w:eastAsia="宋体" w:cs="宋体"/>
                      <w:color w:val="auto"/>
                      <w:kern w:val="2"/>
                      <w:sz w:val="21"/>
                      <w:szCs w:val="21"/>
                      <w:lang w:val="en-US" w:eastAsia="zh-CN" w:bidi="ar-SA"/>
                    </w:rPr>
                  </w:pPr>
                  <w:r>
                    <w:rPr>
                      <w:rFonts w:cs="宋体"/>
                      <w:color w:val="auto"/>
                      <w:szCs w:val="21"/>
                    </w:rPr>
                    <w:t>有机</w:t>
                  </w:r>
                  <w:r>
                    <w:rPr>
                      <w:rFonts w:hint="eastAsia" w:cs="宋体"/>
                      <w:color w:val="auto"/>
                      <w:szCs w:val="21"/>
                      <w:lang w:val="en-US" w:eastAsia="zh-CN"/>
                    </w:rPr>
                    <w:t>物</w:t>
                  </w:r>
                </w:p>
              </w:tc>
              <w:tc>
                <w:tcPr>
                  <w:tcW w:w="524" w:type="dxa"/>
                  <w:shd w:val="clear" w:color="auto" w:fill="auto"/>
                  <w:noWrap w:val="0"/>
                  <w:vAlign w:val="center"/>
                </w:tcPr>
                <w:p w14:paraId="69D21FD5">
                  <w:pPr>
                    <w:adjustRightInd w:val="0"/>
                    <w:snapToGrid w:val="0"/>
                    <w:spacing w:line="240" w:lineRule="atLeast"/>
                    <w:jc w:val="center"/>
                    <w:rPr>
                      <w:rFonts w:hint="eastAsia" w:ascii="Times New Roman" w:hAnsi="Times New Roman" w:eastAsia="宋体" w:cs="宋体"/>
                      <w:color w:val="auto"/>
                      <w:kern w:val="2"/>
                      <w:sz w:val="21"/>
                      <w:szCs w:val="21"/>
                      <w:lang w:val="en-US" w:eastAsia="zh-CN" w:bidi="ar-SA"/>
                    </w:rPr>
                  </w:pPr>
                  <w:r>
                    <w:rPr>
                      <w:rFonts w:cs="宋体"/>
                      <w:color w:val="auto"/>
                      <w:szCs w:val="21"/>
                    </w:rPr>
                    <w:t>1</w:t>
                  </w:r>
                  <w:r>
                    <w:rPr>
                      <w:rFonts w:hint="eastAsia" w:cs="宋体"/>
                      <w:color w:val="auto"/>
                      <w:szCs w:val="21"/>
                    </w:rPr>
                    <w:t>次/月</w:t>
                  </w:r>
                </w:p>
              </w:tc>
              <w:tc>
                <w:tcPr>
                  <w:tcW w:w="530" w:type="dxa"/>
                  <w:shd w:val="clear" w:color="auto" w:fill="auto"/>
                  <w:noWrap w:val="0"/>
                  <w:vAlign w:val="center"/>
                </w:tcPr>
                <w:p w14:paraId="3907835C">
                  <w:pPr>
                    <w:adjustRightInd w:val="0"/>
                    <w:snapToGrid w:val="0"/>
                    <w:spacing w:line="240" w:lineRule="atLeast"/>
                    <w:jc w:val="center"/>
                    <w:rPr>
                      <w:rFonts w:hint="eastAsia" w:ascii="Times New Roman" w:hAnsi="Times New Roman" w:eastAsia="宋体" w:cs="Times New Roman"/>
                      <w:color w:val="auto"/>
                      <w:kern w:val="2"/>
                      <w:sz w:val="21"/>
                      <w:szCs w:val="24"/>
                      <w:lang w:val="en-US" w:eastAsia="zh-CN" w:bidi="ar-SA"/>
                    </w:rPr>
                  </w:pPr>
                  <w:r>
                    <w:rPr>
                      <w:rFonts w:hint="eastAsia" w:cs="宋体"/>
                      <w:color w:val="auto"/>
                      <w:szCs w:val="21"/>
                      <w:lang w:val="en-US" w:eastAsia="zh-CN"/>
                    </w:rPr>
                    <w:t>T/In</w:t>
                  </w:r>
                </w:p>
              </w:tc>
            </w:tr>
            <w:tr w14:paraId="122E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43" w:type="dxa"/>
                  <w:noWrap w:val="0"/>
                  <w:vAlign w:val="center"/>
                </w:tcPr>
                <w:p w14:paraId="5842BCCE">
                  <w:pPr>
                    <w:adjustRightInd w:val="0"/>
                    <w:snapToGrid w:val="0"/>
                    <w:spacing w:line="240" w:lineRule="atLeast"/>
                    <w:jc w:val="center"/>
                    <w:rPr>
                      <w:rFonts w:cs="宋体"/>
                      <w:color w:val="auto"/>
                      <w:szCs w:val="21"/>
                    </w:rPr>
                  </w:pPr>
                  <w:r>
                    <w:rPr>
                      <w:rFonts w:hint="eastAsia" w:cs="宋体"/>
                      <w:color w:val="auto"/>
                      <w:szCs w:val="21"/>
                    </w:rPr>
                    <w:t>表面处理水槽沉渣</w:t>
                  </w:r>
                </w:p>
              </w:tc>
              <w:tc>
                <w:tcPr>
                  <w:tcW w:w="1067" w:type="dxa"/>
                  <w:noWrap w:val="0"/>
                  <w:vAlign w:val="center"/>
                </w:tcPr>
                <w:p w14:paraId="7B93A165">
                  <w:pPr>
                    <w:adjustRightInd w:val="0"/>
                    <w:snapToGrid w:val="0"/>
                    <w:spacing w:line="240" w:lineRule="atLeast"/>
                    <w:jc w:val="center"/>
                    <w:rPr>
                      <w:rFonts w:cs="宋体"/>
                      <w:color w:val="auto"/>
                      <w:szCs w:val="21"/>
                    </w:rPr>
                  </w:pPr>
                  <w:r>
                    <w:rPr>
                      <w:rFonts w:hint="eastAsia" w:cs="宋体"/>
                      <w:color w:val="auto"/>
                      <w:szCs w:val="21"/>
                    </w:rPr>
                    <w:t>HW17表面处理废物</w:t>
                  </w:r>
                </w:p>
              </w:tc>
              <w:tc>
                <w:tcPr>
                  <w:tcW w:w="1231" w:type="dxa"/>
                  <w:noWrap w:val="0"/>
                  <w:vAlign w:val="center"/>
                </w:tcPr>
                <w:p w14:paraId="3A58AF29">
                  <w:pPr>
                    <w:adjustRightInd w:val="0"/>
                    <w:snapToGrid w:val="0"/>
                    <w:spacing w:line="240" w:lineRule="atLeast"/>
                    <w:jc w:val="center"/>
                    <w:rPr>
                      <w:rFonts w:cs="宋体"/>
                      <w:color w:val="auto"/>
                      <w:szCs w:val="21"/>
                    </w:rPr>
                  </w:pPr>
                  <w:r>
                    <w:rPr>
                      <w:rFonts w:hint="eastAsia"/>
                      <w:color w:val="auto"/>
                    </w:rPr>
                    <w:t>336-064-17</w:t>
                  </w:r>
                </w:p>
              </w:tc>
              <w:tc>
                <w:tcPr>
                  <w:tcW w:w="819" w:type="dxa"/>
                  <w:noWrap w:val="0"/>
                  <w:vAlign w:val="center"/>
                </w:tcPr>
                <w:p w14:paraId="6BEED394">
                  <w:pPr>
                    <w:adjustRightInd w:val="0"/>
                    <w:snapToGrid w:val="0"/>
                    <w:spacing w:line="240" w:lineRule="atLeast"/>
                    <w:jc w:val="center"/>
                    <w:rPr>
                      <w:rFonts w:hint="default" w:eastAsia="宋体" w:cs="宋体"/>
                      <w:color w:val="auto"/>
                      <w:szCs w:val="21"/>
                      <w:lang w:val="en-US" w:eastAsia="zh-CN"/>
                    </w:rPr>
                  </w:pPr>
                  <w:r>
                    <w:rPr>
                      <w:rFonts w:hint="eastAsia" w:cs="宋体"/>
                      <w:color w:val="auto"/>
                      <w:szCs w:val="21"/>
                      <w:lang w:val="en-US" w:eastAsia="zh-CN"/>
                    </w:rPr>
                    <w:t>1</w:t>
                  </w:r>
                </w:p>
              </w:tc>
              <w:tc>
                <w:tcPr>
                  <w:tcW w:w="693" w:type="dxa"/>
                  <w:noWrap w:val="0"/>
                  <w:vAlign w:val="center"/>
                </w:tcPr>
                <w:p w14:paraId="2140B2E9">
                  <w:pPr>
                    <w:adjustRightInd w:val="0"/>
                    <w:snapToGrid w:val="0"/>
                    <w:spacing w:line="240" w:lineRule="atLeast"/>
                    <w:jc w:val="center"/>
                    <w:rPr>
                      <w:rFonts w:cs="宋体"/>
                      <w:bCs/>
                      <w:color w:val="auto"/>
                      <w:szCs w:val="21"/>
                    </w:rPr>
                  </w:pPr>
                  <w:r>
                    <w:rPr>
                      <w:rFonts w:hint="eastAsia" w:cs="宋体"/>
                      <w:color w:val="auto"/>
                      <w:szCs w:val="21"/>
                      <w:lang w:eastAsia="zh-CN"/>
                    </w:rPr>
                    <w:t>生产过程</w:t>
                  </w:r>
                </w:p>
              </w:tc>
              <w:tc>
                <w:tcPr>
                  <w:tcW w:w="452" w:type="dxa"/>
                  <w:noWrap w:val="0"/>
                  <w:vAlign w:val="center"/>
                </w:tcPr>
                <w:p w14:paraId="33CDC325">
                  <w:pPr>
                    <w:adjustRightInd w:val="0"/>
                    <w:snapToGrid w:val="0"/>
                    <w:spacing w:line="240" w:lineRule="atLeast"/>
                    <w:jc w:val="center"/>
                    <w:rPr>
                      <w:rFonts w:cs="宋体"/>
                      <w:bCs/>
                      <w:color w:val="auto"/>
                      <w:szCs w:val="21"/>
                    </w:rPr>
                  </w:pPr>
                  <w:r>
                    <w:rPr>
                      <w:rFonts w:cs="宋体"/>
                      <w:color w:val="auto"/>
                      <w:szCs w:val="21"/>
                    </w:rPr>
                    <w:t>固态</w:t>
                  </w:r>
                </w:p>
              </w:tc>
              <w:tc>
                <w:tcPr>
                  <w:tcW w:w="504" w:type="dxa"/>
                  <w:noWrap w:val="0"/>
                  <w:vAlign w:val="center"/>
                </w:tcPr>
                <w:p w14:paraId="47855EBC">
                  <w:pPr>
                    <w:adjustRightInd w:val="0"/>
                    <w:snapToGrid w:val="0"/>
                    <w:spacing w:line="240" w:lineRule="atLeast"/>
                    <w:jc w:val="center"/>
                    <w:rPr>
                      <w:rFonts w:hint="default" w:eastAsia="宋体" w:cs="宋体"/>
                      <w:bCs/>
                      <w:color w:val="auto"/>
                      <w:szCs w:val="21"/>
                      <w:lang w:val="en-US" w:eastAsia="zh-CN"/>
                    </w:rPr>
                  </w:pPr>
                  <w:r>
                    <w:rPr>
                      <w:rFonts w:hint="eastAsia" w:cs="宋体"/>
                      <w:color w:val="auto"/>
                      <w:szCs w:val="21"/>
                      <w:lang w:eastAsia="zh-CN"/>
                    </w:rPr>
                    <w:t>有机物、</w:t>
                  </w:r>
                  <w:r>
                    <w:rPr>
                      <w:rFonts w:hint="eastAsia" w:cs="宋体"/>
                      <w:color w:val="auto"/>
                      <w:szCs w:val="21"/>
                      <w:lang w:val="en-US" w:eastAsia="zh-CN"/>
                    </w:rPr>
                    <w:t>烃类</w:t>
                  </w:r>
                </w:p>
              </w:tc>
              <w:tc>
                <w:tcPr>
                  <w:tcW w:w="740" w:type="dxa"/>
                  <w:noWrap w:val="0"/>
                  <w:vAlign w:val="center"/>
                </w:tcPr>
                <w:p w14:paraId="10287F9A">
                  <w:pPr>
                    <w:adjustRightInd w:val="0"/>
                    <w:snapToGrid w:val="0"/>
                    <w:spacing w:line="240" w:lineRule="atLeast"/>
                    <w:jc w:val="center"/>
                    <w:rPr>
                      <w:rFonts w:cs="宋体"/>
                      <w:bCs/>
                      <w:color w:val="auto"/>
                      <w:szCs w:val="21"/>
                    </w:rPr>
                  </w:pPr>
                  <w:r>
                    <w:rPr>
                      <w:rFonts w:hint="eastAsia" w:cs="宋体"/>
                      <w:color w:val="auto"/>
                      <w:szCs w:val="21"/>
                      <w:lang w:eastAsia="zh-CN"/>
                    </w:rPr>
                    <w:t>有机物、</w:t>
                  </w:r>
                  <w:r>
                    <w:rPr>
                      <w:rFonts w:hint="eastAsia" w:cs="宋体"/>
                      <w:color w:val="auto"/>
                      <w:szCs w:val="21"/>
                      <w:lang w:val="en-US" w:eastAsia="zh-CN"/>
                    </w:rPr>
                    <w:t>烃类</w:t>
                  </w:r>
                </w:p>
              </w:tc>
              <w:tc>
                <w:tcPr>
                  <w:tcW w:w="524" w:type="dxa"/>
                  <w:noWrap w:val="0"/>
                  <w:vAlign w:val="center"/>
                </w:tcPr>
                <w:p w14:paraId="1D2B28A1">
                  <w:pPr>
                    <w:adjustRightInd w:val="0"/>
                    <w:snapToGrid w:val="0"/>
                    <w:spacing w:line="240" w:lineRule="atLeast"/>
                    <w:jc w:val="center"/>
                    <w:rPr>
                      <w:rFonts w:hint="eastAsia" w:eastAsia="宋体" w:cs="宋体"/>
                      <w:bCs/>
                      <w:color w:val="auto"/>
                      <w:szCs w:val="21"/>
                      <w:lang w:eastAsia="zh-CN"/>
                    </w:rPr>
                  </w:pPr>
                  <w:r>
                    <w:rPr>
                      <w:rFonts w:cs="宋体"/>
                      <w:color w:val="auto"/>
                      <w:szCs w:val="21"/>
                    </w:rPr>
                    <w:t>1次/</w:t>
                  </w:r>
                  <w:r>
                    <w:rPr>
                      <w:rFonts w:hint="eastAsia" w:cs="宋体"/>
                      <w:color w:val="auto"/>
                      <w:szCs w:val="21"/>
                      <w:lang w:eastAsia="zh-CN"/>
                    </w:rPr>
                    <w:t>月</w:t>
                  </w:r>
                </w:p>
              </w:tc>
              <w:tc>
                <w:tcPr>
                  <w:tcW w:w="530" w:type="dxa"/>
                  <w:noWrap w:val="0"/>
                  <w:vAlign w:val="center"/>
                </w:tcPr>
                <w:p w14:paraId="5FCB544B">
                  <w:pPr>
                    <w:adjustRightInd w:val="0"/>
                    <w:snapToGrid w:val="0"/>
                    <w:spacing w:line="240" w:lineRule="atLeast"/>
                    <w:jc w:val="center"/>
                    <w:rPr>
                      <w:rFonts w:hint="default" w:eastAsia="宋体" w:cs="宋体"/>
                      <w:bCs/>
                      <w:color w:val="auto"/>
                      <w:szCs w:val="21"/>
                      <w:lang w:val="en-US" w:eastAsia="zh-CN"/>
                    </w:rPr>
                  </w:pPr>
                  <w:r>
                    <w:rPr>
                      <w:rFonts w:hint="eastAsia" w:cs="宋体"/>
                      <w:bCs/>
                      <w:color w:val="auto"/>
                      <w:szCs w:val="21"/>
                      <w:lang w:val="en-US" w:eastAsia="zh-CN"/>
                    </w:rPr>
                    <w:t>T/C</w:t>
                  </w:r>
                </w:p>
              </w:tc>
            </w:tr>
            <w:tr w14:paraId="1C996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43" w:type="dxa"/>
                  <w:noWrap w:val="0"/>
                  <w:vAlign w:val="center"/>
                </w:tcPr>
                <w:p w14:paraId="6668A026">
                  <w:pPr>
                    <w:adjustRightInd w:val="0"/>
                    <w:snapToGrid w:val="0"/>
                    <w:spacing w:line="240" w:lineRule="atLeast"/>
                    <w:jc w:val="center"/>
                    <w:rPr>
                      <w:rFonts w:hint="default" w:eastAsia="宋体" w:cs="宋体"/>
                      <w:color w:val="auto"/>
                      <w:szCs w:val="21"/>
                      <w:lang w:val="en-US" w:eastAsia="zh-CN"/>
                    </w:rPr>
                  </w:pPr>
                  <w:r>
                    <w:rPr>
                      <w:rFonts w:hint="eastAsia" w:cs="宋体"/>
                      <w:color w:val="auto"/>
                      <w:szCs w:val="21"/>
                      <w:lang w:val="en-US" w:eastAsia="zh-CN"/>
                    </w:rPr>
                    <w:t>电泳槽渣</w:t>
                  </w:r>
                </w:p>
              </w:tc>
              <w:tc>
                <w:tcPr>
                  <w:tcW w:w="1067" w:type="dxa"/>
                  <w:shd w:val="clear" w:color="auto" w:fill="auto"/>
                  <w:noWrap w:val="0"/>
                  <w:vAlign w:val="center"/>
                </w:tcPr>
                <w:p w14:paraId="70E9269A">
                  <w:pPr>
                    <w:adjustRightInd w:val="0"/>
                    <w:snapToGrid w:val="0"/>
                    <w:spacing w:line="240" w:lineRule="atLeast"/>
                    <w:jc w:val="center"/>
                    <w:rPr>
                      <w:rFonts w:hint="eastAsia" w:ascii="Times New Roman" w:hAnsi="Times New Roman" w:eastAsia="宋体" w:cs="宋体"/>
                      <w:color w:val="auto"/>
                      <w:kern w:val="2"/>
                      <w:sz w:val="21"/>
                      <w:szCs w:val="21"/>
                      <w:lang w:val="en-US" w:eastAsia="zh-CN" w:bidi="ar-SA"/>
                    </w:rPr>
                  </w:pPr>
                  <w:r>
                    <w:rPr>
                      <w:rFonts w:hint="eastAsia" w:cs="宋体"/>
                      <w:color w:val="auto"/>
                      <w:szCs w:val="21"/>
                    </w:rPr>
                    <w:t>HW17表面处理废物</w:t>
                  </w:r>
                </w:p>
              </w:tc>
              <w:tc>
                <w:tcPr>
                  <w:tcW w:w="1231" w:type="dxa"/>
                  <w:shd w:val="clear" w:color="auto" w:fill="auto"/>
                  <w:noWrap w:val="0"/>
                  <w:vAlign w:val="center"/>
                </w:tcPr>
                <w:p w14:paraId="060F1E36">
                  <w:pPr>
                    <w:adjustRightInd w:val="0"/>
                    <w:snapToGrid w:val="0"/>
                    <w:spacing w:line="240" w:lineRule="atLeast"/>
                    <w:jc w:val="center"/>
                    <w:rPr>
                      <w:rFonts w:hint="eastAsia" w:ascii="Times New Roman" w:hAnsi="Times New Roman" w:eastAsia="宋体" w:cs="宋体"/>
                      <w:color w:val="auto"/>
                      <w:kern w:val="2"/>
                      <w:sz w:val="21"/>
                      <w:szCs w:val="21"/>
                      <w:lang w:val="en-US" w:eastAsia="zh-CN" w:bidi="ar-SA"/>
                    </w:rPr>
                  </w:pPr>
                  <w:r>
                    <w:rPr>
                      <w:rFonts w:hint="eastAsia"/>
                      <w:color w:val="auto"/>
                    </w:rPr>
                    <w:t>336-064-17</w:t>
                  </w:r>
                </w:p>
              </w:tc>
              <w:tc>
                <w:tcPr>
                  <w:tcW w:w="819" w:type="dxa"/>
                  <w:shd w:val="clear" w:color="auto" w:fill="auto"/>
                  <w:noWrap w:val="0"/>
                  <w:vAlign w:val="center"/>
                </w:tcPr>
                <w:p w14:paraId="5DFC7252">
                  <w:pPr>
                    <w:adjustRightInd w:val="0"/>
                    <w:snapToGrid w:val="0"/>
                    <w:spacing w:line="240" w:lineRule="atLeast"/>
                    <w:jc w:val="center"/>
                    <w:rPr>
                      <w:rFonts w:hint="default" w:ascii="Times New Roman" w:hAnsi="Times New Roman" w:eastAsia="宋体" w:cs="宋体"/>
                      <w:color w:val="auto"/>
                      <w:kern w:val="2"/>
                      <w:sz w:val="21"/>
                      <w:szCs w:val="21"/>
                      <w:lang w:val="en-US" w:eastAsia="zh-CN" w:bidi="ar-SA"/>
                    </w:rPr>
                  </w:pPr>
                  <w:r>
                    <w:rPr>
                      <w:rFonts w:hint="eastAsia" w:cs="宋体"/>
                      <w:color w:val="auto"/>
                      <w:kern w:val="2"/>
                      <w:sz w:val="21"/>
                      <w:szCs w:val="21"/>
                      <w:lang w:val="en-US" w:eastAsia="zh-CN" w:bidi="ar-SA"/>
                    </w:rPr>
                    <w:t>0.95</w:t>
                  </w:r>
                </w:p>
              </w:tc>
              <w:tc>
                <w:tcPr>
                  <w:tcW w:w="693" w:type="dxa"/>
                  <w:shd w:val="clear" w:color="auto" w:fill="auto"/>
                  <w:noWrap w:val="0"/>
                  <w:vAlign w:val="center"/>
                </w:tcPr>
                <w:p w14:paraId="13B05171">
                  <w:pPr>
                    <w:adjustRightInd w:val="0"/>
                    <w:snapToGrid w:val="0"/>
                    <w:spacing w:line="240" w:lineRule="atLeast"/>
                    <w:jc w:val="center"/>
                    <w:rPr>
                      <w:rFonts w:hint="eastAsia" w:ascii="Times New Roman" w:hAnsi="Times New Roman" w:eastAsia="宋体" w:cs="宋体"/>
                      <w:bCs/>
                      <w:color w:val="auto"/>
                      <w:kern w:val="2"/>
                      <w:sz w:val="21"/>
                      <w:szCs w:val="21"/>
                      <w:lang w:val="en-US" w:eastAsia="zh-CN" w:bidi="ar-SA"/>
                    </w:rPr>
                  </w:pPr>
                  <w:r>
                    <w:rPr>
                      <w:rFonts w:hint="eastAsia" w:cs="宋体"/>
                      <w:color w:val="auto"/>
                      <w:szCs w:val="21"/>
                      <w:lang w:eastAsia="zh-CN"/>
                    </w:rPr>
                    <w:t>生产过程</w:t>
                  </w:r>
                </w:p>
              </w:tc>
              <w:tc>
                <w:tcPr>
                  <w:tcW w:w="452" w:type="dxa"/>
                  <w:shd w:val="clear" w:color="auto" w:fill="auto"/>
                  <w:noWrap w:val="0"/>
                  <w:vAlign w:val="center"/>
                </w:tcPr>
                <w:p w14:paraId="3DD9D6C8">
                  <w:pPr>
                    <w:adjustRightInd w:val="0"/>
                    <w:snapToGrid w:val="0"/>
                    <w:spacing w:line="240" w:lineRule="atLeast"/>
                    <w:jc w:val="center"/>
                    <w:rPr>
                      <w:rFonts w:ascii="Times New Roman" w:hAnsi="Times New Roman" w:eastAsia="宋体" w:cs="宋体"/>
                      <w:bCs/>
                      <w:color w:val="auto"/>
                      <w:kern w:val="2"/>
                      <w:sz w:val="21"/>
                      <w:szCs w:val="21"/>
                      <w:lang w:val="en-US" w:eastAsia="zh-CN" w:bidi="ar-SA"/>
                    </w:rPr>
                  </w:pPr>
                  <w:r>
                    <w:rPr>
                      <w:rFonts w:cs="宋体"/>
                      <w:color w:val="auto"/>
                      <w:szCs w:val="21"/>
                    </w:rPr>
                    <w:t>固态</w:t>
                  </w:r>
                </w:p>
              </w:tc>
              <w:tc>
                <w:tcPr>
                  <w:tcW w:w="504" w:type="dxa"/>
                  <w:shd w:val="clear" w:color="auto" w:fill="auto"/>
                  <w:noWrap w:val="0"/>
                  <w:vAlign w:val="center"/>
                </w:tcPr>
                <w:p w14:paraId="141FF86E">
                  <w:pPr>
                    <w:adjustRightInd w:val="0"/>
                    <w:snapToGrid w:val="0"/>
                    <w:spacing w:line="240" w:lineRule="atLeast"/>
                    <w:jc w:val="center"/>
                    <w:rPr>
                      <w:rFonts w:hint="eastAsia" w:ascii="Times New Roman" w:hAnsi="Times New Roman" w:eastAsia="宋体" w:cs="宋体"/>
                      <w:bCs/>
                      <w:color w:val="auto"/>
                      <w:kern w:val="2"/>
                      <w:sz w:val="21"/>
                      <w:szCs w:val="21"/>
                      <w:lang w:val="en-US" w:eastAsia="zh-CN" w:bidi="ar-SA"/>
                    </w:rPr>
                  </w:pPr>
                  <w:r>
                    <w:rPr>
                      <w:rFonts w:hint="eastAsia" w:cs="宋体"/>
                      <w:color w:val="auto"/>
                      <w:szCs w:val="21"/>
                      <w:lang w:eastAsia="zh-CN"/>
                    </w:rPr>
                    <w:t>有机物、</w:t>
                  </w:r>
                  <w:r>
                    <w:rPr>
                      <w:rFonts w:hint="eastAsia" w:cs="宋体"/>
                      <w:color w:val="auto"/>
                      <w:szCs w:val="21"/>
                      <w:lang w:val="en-US" w:eastAsia="zh-CN"/>
                    </w:rPr>
                    <w:t>烃类</w:t>
                  </w:r>
                </w:p>
              </w:tc>
              <w:tc>
                <w:tcPr>
                  <w:tcW w:w="740" w:type="dxa"/>
                  <w:shd w:val="clear" w:color="auto" w:fill="auto"/>
                  <w:noWrap w:val="0"/>
                  <w:vAlign w:val="center"/>
                </w:tcPr>
                <w:p w14:paraId="36EB66B2">
                  <w:pPr>
                    <w:adjustRightInd w:val="0"/>
                    <w:snapToGrid w:val="0"/>
                    <w:spacing w:line="240" w:lineRule="atLeast"/>
                    <w:jc w:val="center"/>
                    <w:rPr>
                      <w:rFonts w:hint="eastAsia" w:ascii="Times New Roman" w:hAnsi="Times New Roman" w:eastAsia="宋体" w:cs="宋体"/>
                      <w:bCs/>
                      <w:color w:val="auto"/>
                      <w:kern w:val="2"/>
                      <w:sz w:val="21"/>
                      <w:szCs w:val="21"/>
                      <w:lang w:val="en-US" w:eastAsia="zh-CN" w:bidi="ar-SA"/>
                    </w:rPr>
                  </w:pPr>
                  <w:r>
                    <w:rPr>
                      <w:rFonts w:hint="eastAsia" w:cs="宋体"/>
                      <w:color w:val="auto"/>
                      <w:szCs w:val="21"/>
                      <w:lang w:eastAsia="zh-CN"/>
                    </w:rPr>
                    <w:t>有机物、</w:t>
                  </w:r>
                  <w:r>
                    <w:rPr>
                      <w:rFonts w:hint="eastAsia" w:cs="宋体"/>
                      <w:color w:val="auto"/>
                      <w:szCs w:val="21"/>
                      <w:lang w:val="en-US" w:eastAsia="zh-CN"/>
                    </w:rPr>
                    <w:t>烃类</w:t>
                  </w:r>
                </w:p>
              </w:tc>
              <w:tc>
                <w:tcPr>
                  <w:tcW w:w="524" w:type="dxa"/>
                  <w:shd w:val="clear" w:color="auto" w:fill="auto"/>
                  <w:noWrap w:val="0"/>
                  <w:vAlign w:val="center"/>
                </w:tcPr>
                <w:p w14:paraId="52A4509E">
                  <w:pPr>
                    <w:adjustRightInd w:val="0"/>
                    <w:snapToGrid w:val="0"/>
                    <w:spacing w:line="240" w:lineRule="atLeast"/>
                    <w:jc w:val="center"/>
                    <w:rPr>
                      <w:rFonts w:hint="eastAsia" w:ascii="Times New Roman" w:hAnsi="Times New Roman" w:eastAsia="宋体" w:cs="宋体"/>
                      <w:bCs/>
                      <w:color w:val="auto"/>
                      <w:kern w:val="2"/>
                      <w:sz w:val="21"/>
                      <w:szCs w:val="21"/>
                      <w:lang w:val="en-US" w:eastAsia="zh-CN" w:bidi="ar-SA"/>
                    </w:rPr>
                  </w:pPr>
                  <w:r>
                    <w:rPr>
                      <w:rFonts w:cs="宋体"/>
                      <w:color w:val="auto"/>
                      <w:szCs w:val="21"/>
                    </w:rPr>
                    <w:t>1次/</w:t>
                  </w:r>
                  <w:r>
                    <w:rPr>
                      <w:rFonts w:hint="eastAsia" w:cs="宋体"/>
                      <w:color w:val="auto"/>
                      <w:szCs w:val="21"/>
                      <w:lang w:eastAsia="zh-CN"/>
                    </w:rPr>
                    <w:t>月</w:t>
                  </w:r>
                </w:p>
              </w:tc>
              <w:tc>
                <w:tcPr>
                  <w:tcW w:w="530" w:type="dxa"/>
                  <w:shd w:val="clear" w:color="auto" w:fill="auto"/>
                  <w:noWrap w:val="0"/>
                  <w:vAlign w:val="center"/>
                </w:tcPr>
                <w:p w14:paraId="6586AAB4">
                  <w:pPr>
                    <w:adjustRightInd w:val="0"/>
                    <w:snapToGrid w:val="0"/>
                    <w:spacing w:line="240" w:lineRule="atLeast"/>
                    <w:jc w:val="center"/>
                    <w:rPr>
                      <w:rFonts w:hint="eastAsia" w:ascii="Times New Roman" w:hAnsi="Times New Roman" w:eastAsia="宋体" w:cs="宋体"/>
                      <w:bCs/>
                      <w:color w:val="auto"/>
                      <w:kern w:val="2"/>
                      <w:sz w:val="21"/>
                      <w:szCs w:val="21"/>
                      <w:lang w:val="en-US" w:eastAsia="zh-CN" w:bidi="ar-SA"/>
                    </w:rPr>
                  </w:pPr>
                  <w:r>
                    <w:rPr>
                      <w:rFonts w:hint="eastAsia" w:cs="宋体"/>
                      <w:bCs/>
                      <w:color w:val="auto"/>
                      <w:szCs w:val="21"/>
                      <w:lang w:val="en-US" w:eastAsia="zh-CN"/>
                    </w:rPr>
                    <w:t>T/C</w:t>
                  </w:r>
                </w:p>
              </w:tc>
            </w:tr>
            <w:tr w14:paraId="3C59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43" w:type="dxa"/>
                  <w:noWrap w:val="0"/>
                  <w:vAlign w:val="center"/>
                </w:tcPr>
                <w:p w14:paraId="52672447">
                  <w:pPr>
                    <w:adjustRightInd w:val="0"/>
                    <w:snapToGrid w:val="0"/>
                    <w:spacing w:line="240" w:lineRule="atLeast"/>
                    <w:jc w:val="center"/>
                    <w:rPr>
                      <w:rFonts w:hint="eastAsia" w:cs="宋体"/>
                      <w:color w:val="auto"/>
                      <w:szCs w:val="21"/>
                    </w:rPr>
                  </w:pPr>
                  <w:r>
                    <w:rPr>
                      <w:rFonts w:hint="eastAsia" w:cs="宋体"/>
                      <w:color w:val="auto"/>
                      <w:szCs w:val="21"/>
                    </w:rPr>
                    <w:t>废超滤膜</w:t>
                  </w:r>
                </w:p>
              </w:tc>
              <w:tc>
                <w:tcPr>
                  <w:tcW w:w="1067" w:type="dxa"/>
                  <w:noWrap w:val="0"/>
                  <w:vAlign w:val="center"/>
                </w:tcPr>
                <w:p w14:paraId="24083F9B">
                  <w:pPr>
                    <w:adjustRightInd w:val="0"/>
                    <w:snapToGrid w:val="0"/>
                    <w:spacing w:line="240" w:lineRule="atLeast"/>
                    <w:jc w:val="center"/>
                    <w:rPr>
                      <w:rFonts w:hint="eastAsia" w:cs="宋体"/>
                      <w:color w:val="auto"/>
                      <w:szCs w:val="21"/>
                    </w:rPr>
                  </w:pPr>
                  <w:r>
                    <w:rPr>
                      <w:rFonts w:hint="eastAsia" w:cs="宋体"/>
                      <w:color w:val="auto"/>
                      <w:szCs w:val="21"/>
                    </w:rPr>
                    <w:t>HW49其他废物</w:t>
                  </w:r>
                </w:p>
              </w:tc>
              <w:tc>
                <w:tcPr>
                  <w:tcW w:w="1231" w:type="dxa"/>
                  <w:noWrap w:val="0"/>
                  <w:vAlign w:val="center"/>
                </w:tcPr>
                <w:p w14:paraId="51D30179">
                  <w:pPr>
                    <w:adjustRightInd w:val="0"/>
                    <w:snapToGrid w:val="0"/>
                    <w:spacing w:line="240" w:lineRule="atLeast"/>
                    <w:jc w:val="center"/>
                    <w:rPr>
                      <w:rFonts w:hint="eastAsia"/>
                      <w:color w:val="auto"/>
                    </w:rPr>
                  </w:pPr>
                  <w:r>
                    <w:rPr>
                      <w:rFonts w:hint="eastAsia"/>
                      <w:color w:val="auto"/>
                    </w:rPr>
                    <w:t>900-041-49</w:t>
                  </w:r>
                </w:p>
              </w:tc>
              <w:tc>
                <w:tcPr>
                  <w:tcW w:w="819" w:type="dxa"/>
                  <w:noWrap w:val="0"/>
                  <w:vAlign w:val="center"/>
                </w:tcPr>
                <w:p w14:paraId="0FBE1065">
                  <w:pPr>
                    <w:adjustRightInd w:val="0"/>
                    <w:snapToGrid w:val="0"/>
                    <w:spacing w:line="240" w:lineRule="atLeast"/>
                    <w:jc w:val="center"/>
                    <w:rPr>
                      <w:rFonts w:hint="default" w:cs="宋体"/>
                      <w:color w:val="auto"/>
                      <w:szCs w:val="21"/>
                      <w:lang w:val="en-US" w:eastAsia="zh-CN"/>
                    </w:rPr>
                  </w:pPr>
                  <w:r>
                    <w:rPr>
                      <w:rFonts w:hint="eastAsia" w:cs="宋体"/>
                      <w:color w:val="auto"/>
                      <w:szCs w:val="21"/>
                      <w:lang w:val="en-US" w:eastAsia="zh-CN"/>
                    </w:rPr>
                    <w:t>1</w:t>
                  </w:r>
                </w:p>
              </w:tc>
              <w:tc>
                <w:tcPr>
                  <w:tcW w:w="693" w:type="dxa"/>
                  <w:shd w:val="clear" w:color="auto" w:fill="auto"/>
                  <w:noWrap w:val="0"/>
                  <w:vAlign w:val="center"/>
                </w:tcPr>
                <w:p w14:paraId="270D4E61">
                  <w:pPr>
                    <w:adjustRightInd w:val="0"/>
                    <w:snapToGrid w:val="0"/>
                    <w:spacing w:line="240" w:lineRule="atLeast"/>
                    <w:jc w:val="center"/>
                    <w:rPr>
                      <w:rFonts w:hint="eastAsia" w:ascii="Times New Roman" w:hAnsi="Times New Roman" w:eastAsia="宋体" w:cs="宋体"/>
                      <w:bCs/>
                      <w:color w:val="auto"/>
                      <w:kern w:val="2"/>
                      <w:sz w:val="21"/>
                      <w:szCs w:val="21"/>
                      <w:lang w:val="en-US" w:eastAsia="zh-CN" w:bidi="ar-SA"/>
                    </w:rPr>
                  </w:pPr>
                  <w:r>
                    <w:rPr>
                      <w:rFonts w:hint="eastAsia" w:cs="宋体"/>
                      <w:color w:val="auto"/>
                      <w:szCs w:val="21"/>
                      <w:lang w:eastAsia="zh-CN"/>
                    </w:rPr>
                    <w:t>生产过程</w:t>
                  </w:r>
                </w:p>
              </w:tc>
              <w:tc>
                <w:tcPr>
                  <w:tcW w:w="452" w:type="dxa"/>
                  <w:shd w:val="clear" w:color="auto" w:fill="auto"/>
                  <w:noWrap w:val="0"/>
                  <w:vAlign w:val="center"/>
                </w:tcPr>
                <w:p w14:paraId="62F07A20">
                  <w:pPr>
                    <w:adjustRightInd w:val="0"/>
                    <w:snapToGrid w:val="0"/>
                    <w:spacing w:line="240" w:lineRule="atLeast"/>
                    <w:jc w:val="center"/>
                    <w:rPr>
                      <w:rFonts w:ascii="Times New Roman" w:hAnsi="Times New Roman" w:eastAsia="宋体" w:cs="宋体"/>
                      <w:bCs/>
                      <w:color w:val="auto"/>
                      <w:kern w:val="2"/>
                      <w:sz w:val="21"/>
                      <w:szCs w:val="21"/>
                      <w:lang w:val="en-US" w:eastAsia="zh-CN" w:bidi="ar-SA"/>
                    </w:rPr>
                  </w:pPr>
                  <w:r>
                    <w:rPr>
                      <w:rFonts w:cs="宋体"/>
                      <w:color w:val="auto"/>
                      <w:szCs w:val="21"/>
                    </w:rPr>
                    <w:t>固态</w:t>
                  </w:r>
                </w:p>
              </w:tc>
              <w:tc>
                <w:tcPr>
                  <w:tcW w:w="504" w:type="dxa"/>
                  <w:shd w:val="clear" w:color="auto" w:fill="auto"/>
                  <w:noWrap w:val="0"/>
                  <w:vAlign w:val="center"/>
                </w:tcPr>
                <w:p w14:paraId="5B23D3A9">
                  <w:pPr>
                    <w:adjustRightInd w:val="0"/>
                    <w:snapToGrid w:val="0"/>
                    <w:spacing w:line="240" w:lineRule="atLeast"/>
                    <w:jc w:val="center"/>
                    <w:rPr>
                      <w:rFonts w:hint="eastAsia" w:ascii="Times New Roman" w:hAnsi="Times New Roman" w:eastAsia="宋体" w:cs="宋体"/>
                      <w:bCs/>
                      <w:color w:val="auto"/>
                      <w:kern w:val="2"/>
                      <w:sz w:val="21"/>
                      <w:szCs w:val="21"/>
                      <w:lang w:val="en-US" w:eastAsia="zh-CN" w:bidi="ar-SA"/>
                    </w:rPr>
                  </w:pPr>
                  <w:r>
                    <w:rPr>
                      <w:rFonts w:hint="eastAsia" w:cs="宋体"/>
                      <w:color w:val="auto"/>
                      <w:szCs w:val="21"/>
                      <w:lang w:eastAsia="zh-CN"/>
                    </w:rPr>
                    <w:t>有机物、</w:t>
                  </w:r>
                  <w:r>
                    <w:rPr>
                      <w:rFonts w:hint="eastAsia" w:cs="宋体"/>
                      <w:color w:val="auto"/>
                      <w:szCs w:val="21"/>
                      <w:lang w:val="en-US" w:eastAsia="zh-CN"/>
                    </w:rPr>
                    <w:t>烃类</w:t>
                  </w:r>
                </w:p>
              </w:tc>
              <w:tc>
                <w:tcPr>
                  <w:tcW w:w="740" w:type="dxa"/>
                  <w:shd w:val="clear" w:color="auto" w:fill="auto"/>
                  <w:noWrap w:val="0"/>
                  <w:vAlign w:val="center"/>
                </w:tcPr>
                <w:p w14:paraId="24FAC68C">
                  <w:pPr>
                    <w:adjustRightInd w:val="0"/>
                    <w:snapToGrid w:val="0"/>
                    <w:spacing w:line="240" w:lineRule="atLeast"/>
                    <w:jc w:val="center"/>
                    <w:rPr>
                      <w:rFonts w:hint="eastAsia" w:ascii="Times New Roman" w:hAnsi="Times New Roman" w:eastAsia="宋体" w:cs="宋体"/>
                      <w:bCs/>
                      <w:color w:val="auto"/>
                      <w:kern w:val="2"/>
                      <w:sz w:val="21"/>
                      <w:szCs w:val="21"/>
                      <w:lang w:val="en-US" w:eastAsia="zh-CN" w:bidi="ar-SA"/>
                    </w:rPr>
                  </w:pPr>
                  <w:r>
                    <w:rPr>
                      <w:rFonts w:hint="eastAsia" w:cs="宋体"/>
                      <w:color w:val="auto"/>
                      <w:szCs w:val="21"/>
                      <w:lang w:eastAsia="zh-CN"/>
                    </w:rPr>
                    <w:t>有机物、</w:t>
                  </w:r>
                  <w:r>
                    <w:rPr>
                      <w:rFonts w:hint="eastAsia" w:cs="宋体"/>
                      <w:color w:val="auto"/>
                      <w:szCs w:val="21"/>
                      <w:lang w:val="en-US" w:eastAsia="zh-CN"/>
                    </w:rPr>
                    <w:t>烃类</w:t>
                  </w:r>
                </w:p>
              </w:tc>
              <w:tc>
                <w:tcPr>
                  <w:tcW w:w="524" w:type="dxa"/>
                  <w:noWrap w:val="0"/>
                  <w:vAlign w:val="center"/>
                </w:tcPr>
                <w:p w14:paraId="029DB366">
                  <w:pPr>
                    <w:adjustRightInd w:val="0"/>
                    <w:snapToGrid w:val="0"/>
                    <w:spacing w:line="240" w:lineRule="atLeast"/>
                    <w:jc w:val="center"/>
                    <w:rPr>
                      <w:rFonts w:hint="eastAsia" w:eastAsia="宋体" w:cs="宋体"/>
                      <w:color w:val="auto"/>
                      <w:szCs w:val="21"/>
                      <w:lang w:val="en-US" w:eastAsia="zh-CN"/>
                    </w:rPr>
                  </w:pPr>
                  <w:r>
                    <w:rPr>
                      <w:rFonts w:cs="宋体"/>
                      <w:color w:val="auto"/>
                      <w:szCs w:val="21"/>
                    </w:rPr>
                    <w:t>1次/</w:t>
                  </w:r>
                  <w:r>
                    <w:rPr>
                      <w:rFonts w:hint="eastAsia" w:cs="宋体"/>
                      <w:color w:val="auto"/>
                      <w:szCs w:val="21"/>
                      <w:lang w:val="en-US" w:eastAsia="zh-CN"/>
                    </w:rPr>
                    <w:t>年</w:t>
                  </w:r>
                </w:p>
              </w:tc>
              <w:tc>
                <w:tcPr>
                  <w:tcW w:w="530" w:type="dxa"/>
                  <w:noWrap w:val="0"/>
                  <w:vAlign w:val="center"/>
                </w:tcPr>
                <w:p w14:paraId="11987602">
                  <w:pPr>
                    <w:adjustRightInd w:val="0"/>
                    <w:snapToGrid w:val="0"/>
                    <w:spacing w:line="240" w:lineRule="atLeast"/>
                    <w:jc w:val="center"/>
                    <w:rPr>
                      <w:rFonts w:cs="宋体"/>
                      <w:color w:val="auto"/>
                      <w:szCs w:val="21"/>
                    </w:rPr>
                  </w:pPr>
                  <w:r>
                    <w:rPr>
                      <w:rFonts w:hint="eastAsia" w:cs="宋体"/>
                      <w:color w:val="auto"/>
                      <w:szCs w:val="21"/>
                      <w:lang w:val="en-US" w:eastAsia="zh-CN"/>
                    </w:rPr>
                    <w:t>T/In</w:t>
                  </w:r>
                </w:p>
              </w:tc>
            </w:tr>
            <w:tr w14:paraId="1727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43" w:type="dxa"/>
                  <w:noWrap w:val="0"/>
                  <w:vAlign w:val="center"/>
                </w:tcPr>
                <w:p w14:paraId="149BF42F">
                  <w:pPr>
                    <w:adjustRightInd w:val="0"/>
                    <w:snapToGrid w:val="0"/>
                    <w:spacing w:line="240" w:lineRule="atLeast"/>
                    <w:jc w:val="center"/>
                    <w:rPr>
                      <w:rFonts w:hint="eastAsia" w:eastAsia="宋体" w:cs="宋体"/>
                      <w:color w:val="auto"/>
                      <w:szCs w:val="21"/>
                      <w:lang w:val="en-US" w:eastAsia="zh-CN"/>
                    </w:rPr>
                  </w:pPr>
                  <w:r>
                    <w:rPr>
                      <w:rFonts w:hint="eastAsia" w:cs="宋体"/>
                      <w:color w:val="auto"/>
                      <w:szCs w:val="21"/>
                      <w:lang w:val="en-US" w:eastAsia="zh-CN"/>
                    </w:rPr>
                    <w:t>污泥</w:t>
                  </w:r>
                </w:p>
              </w:tc>
              <w:tc>
                <w:tcPr>
                  <w:tcW w:w="1067" w:type="dxa"/>
                  <w:noWrap w:val="0"/>
                  <w:vAlign w:val="center"/>
                </w:tcPr>
                <w:p w14:paraId="525C4BFD">
                  <w:pPr>
                    <w:adjustRightInd w:val="0"/>
                    <w:snapToGrid w:val="0"/>
                    <w:spacing w:line="240" w:lineRule="atLeast"/>
                    <w:jc w:val="center"/>
                    <w:rPr>
                      <w:rFonts w:hint="eastAsia" w:cs="宋体"/>
                      <w:color w:val="auto"/>
                      <w:szCs w:val="21"/>
                    </w:rPr>
                  </w:pPr>
                  <w:r>
                    <w:rPr>
                      <w:rFonts w:hint="eastAsia" w:cs="宋体"/>
                      <w:color w:val="auto"/>
                      <w:szCs w:val="21"/>
                    </w:rPr>
                    <w:t>HW17表面处理废物</w:t>
                  </w:r>
                </w:p>
              </w:tc>
              <w:tc>
                <w:tcPr>
                  <w:tcW w:w="1231" w:type="dxa"/>
                  <w:noWrap w:val="0"/>
                  <w:vAlign w:val="center"/>
                </w:tcPr>
                <w:p w14:paraId="283AC4B2">
                  <w:pPr>
                    <w:adjustRightInd w:val="0"/>
                    <w:snapToGrid w:val="0"/>
                    <w:spacing w:line="240" w:lineRule="atLeast"/>
                    <w:jc w:val="center"/>
                    <w:rPr>
                      <w:rFonts w:hint="eastAsia"/>
                      <w:color w:val="auto"/>
                    </w:rPr>
                  </w:pPr>
                  <w:r>
                    <w:rPr>
                      <w:rFonts w:hint="eastAsia"/>
                      <w:color w:val="auto"/>
                      <w:lang w:val="en-US" w:eastAsia="zh-CN"/>
                    </w:rPr>
                    <w:t>336-064-17</w:t>
                  </w:r>
                </w:p>
              </w:tc>
              <w:tc>
                <w:tcPr>
                  <w:tcW w:w="819" w:type="dxa"/>
                  <w:noWrap w:val="0"/>
                  <w:vAlign w:val="center"/>
                </w:tcPr>
                <w:p w14:paraId="7D0273E1">
                  <w:pPr>
                    <w:adjustRightInd w:val="0"/>
                    <w:snapToGrid w:val="0"/>
                    <w:spacing w:line="240" w:lineRule="atLeast"/>
                    <w:jc w:val="center"/>
                    <w:rPr>
                      <w:rFonts w:hint="default" w:cs="宋体"/>
                      <w:color w:val="auto"/>
                      <w:szCs w:val="21"/>
                      <w:lang w:val="en-US" w:eastAsia="zh-CN"/>
                    </w:rPr>
                  </w:pPr>
                  <w:r>
                    <w:rPr>
                      <w:rFonts w:hint="eastAsia" w:cs="宋体"/>
                      <w:color w:val="auto"/>
                      <w:szCs w:val="21"/>
                      <w:lang w:val="en-US" w:eastAsia="zh-CN"/>
                    </w:rPr>
                    <w:t>1</w:t>
                  </w:r>
                </w:p>
              </w:tc>
              <w:tc>
                <w:tcPr>
                  <w:tcW w:w="693" w:type="dxa"/>
                  <w:shd w:val="clear" w:color="auto" w:fill="auto"/>
                  <w:noWrap w:val="0"/>
                  <w:vAlign w:val="center"/>
                </w:tcPr>
                <w:p w14:paraId="32B8C95C">
                  <w:pPr>
                    <w:adjustRightInd w:val="0"/>
                    <w:snapToGrid w:val="0"/>
                    <w:spacing w:line="240" w:lineRule="atLeast"/>
                    <w:jc w:val="center"/>
                    <w:rPr>
                      <w:rFonts w:hint="default" w:cs="宋体"/>
                      <w:color w:val="auto"/>
                      <w:szCs w:val="21"/>
                      <w:lang w:val="en-US" w:eastAsia="zh-CN"/>
                    </w:rPr>
                  </w:pPr>
                  <w:r>
                    <w:rPr>
                      <w:rFonts w:hint="eastAsia" w:cs="宋体"/>
                      <w:color w:val="auto"/>
                      <w:szCs w:val="21"/>
                      <w:lang w:val="en-US" w:eastAsia="zh-CN"/>
                    </w:rPr>
                    <w:t>废水处理</w:t>
                  </w:r>
                </w:p>
              </w:tc>
              <w:tc>
                <w:tcPr>
                  <w:tcW w:w="452" w:type="dxa"/>
                  <w:shd w:val="clear" w:color="auto" w:fill="auto"/>
                  <w:noWrap w:val="0"/>
                  <w:vAlign w:val="center"/>
                </w:tcPr>
                <w:p w14:paraId="28ED373A">
                  <w:pPr>
                    <w:adjustRightInd w:val="0"/>
                    <w:snapToGrid w:val="0"/>
                    <w:spacing w:line="240" w:lineRule="atLeast"/>
                    <w:jc w:val="center"/>
                    <w:rPr>
                      <w:rFonts w:hint="eastAsia" w:eastAsia="宋体" w:cs="宋体"/>
                      <w:color w:val="auto"/>
                      <w:szCs w:val="21"/>
                      <w:lang w:val="en-US" w:eastAsia="zh-CN"/>
                    </w:rPr>
                  </w:pPr>
                  <w:r>
                    <w:rPr>
                      <w:rFonts w:hint="eastAsia" w:cs="宋体"/>
                      <w:color w:val="auto"/>
                      <w:szCs w:val="21"/>
                      <w:lang w:val="en-US" w:eastAsia="zh-CN"/>
                    </w:rPr>
                    <w:t>固态</w:t>
                  </w:r>
                </w:p>
              </w:tc>
              <w:tc>
                <w:tcPr>
                  <w:tcW w:w="504" w:type="dxa"/>
                  <w:shd w:val="clear" w:color="auto" w:fill="auto"/>
                  <w:noWrap w:val="0"/>
                  <w:vAlign w:val="center"/>
                </w:tcPr>
                <w:p w14:paraId="00229838">
                  <w:pPr>
                    <w:adjustRightInd w:val="0"/>
                    <w:snapToGrid w:val="0"/>
                    <w:spacing w:line="240" w:lineRule="atLeast"/>
                    <w:jc w:val="center"/>
                    <w:rPr>
                      <w:rFonts w:hint="eastAsia" w:ascii="Times New Roman" w:hAnsi="Times New Roman" w:eastAsia="宋体" w:cs="宋体"/>
                      <w:bCs/>
                      <w:color w:val="auto"/>
                      <w:kern w:val="2"/>
                      <w:sz w:val="21"/>
                      <w:szCs w:val="21"/>
                      <w:lang w:val="en-US" w:eastAsia="zh-CN" w:bidi="ar-SA"/>
                    </w:rPr>
                  </w:pPr>
                  <w:r>
                    <w:rPr>
                      <w:rFonts w:hint="eastAsia" w:cs="宋体"/>
                      <w:color w:val="auto"/>
                      <w:szCs w:val="21"/>
                      <w:lang w:eastAsia="zh-CN"/>
                    </w:rPr>
                    <w:t>有机物、</w:t>
                  </w:r>
                  <w:r>
                    <w:rPr>
                      <w:rFonts w:hint="eastAsia" w:cs="宋体"/>
                      <w:color w:val="auto"/>
                      <w:szCs w:val="21"/>
                      <w:lang w:val="en-US" w:eastAsia="zh-CN"/>
                    </w:rPr>
                    <w:t>烃类</w:t>
                  </w:r>
                </w:p>
              </w:tc>
              <w:tc>
                <w:tcPr>
                  <w:tcW w:w="740" w:type="dxa"/>
                  <w:shd w:val="clear" w:color="auto" w:fill="auto"/>
                  <w:noWrap w:val="0"/>
                  <w:vAlign w:val="center"/>
                </w:tcPr>
                <w:p w14:paraId="37813051">
                  <w:pPr>
                    <w:adjustRightInd w:val="0"/>
                    <w:snapToGrid w:val="0"/>
                    <w:spacing w:line="240" w:lineRule="atLeast"/>
                    <w:jc w:val="center"/>
                    <w:rPr>
                      <w:rFonts w:hint="eastAsia" w:ascii="Times New Roman" w:hAnsi="Times New Roman" w:eastAsia="宋体" w:cs="宋体"/>
                      <w:bCs/>
                      <w:color w:val="auto"/>
                      <w:kern w:val="2"/>
                      <w:sz w:val="21"/>
                      <w:szCs w:val="21"/>
                      <w:lang w:val="en-US" w:eastAsia="zh-CN" w:bidi="ar-SA"/>
                    </w:rPr>
                  </w:pPr>
                  <w:r>
                    <w:rPr>
                      <w:rFonts w:hint="eastAsia" w:cs="宋体"/>
                      <w:color w:val="auto"/>
                      <w:szCs w:val="21"/>
                      <w:lang w:eastAsia="zh-CN"/>
                    </w:rPr>
                    <w:t>有机物、</w:t>
                  </w:r>
                  <w:r>
                    <w:rPr>
                      <w:rFonts w:hint="eastAsia" w:cs="宋体"/>
                      <w:color w:val="auto"/>
                      <w:szCs w:val="21"/>
                      <w:lang w:val="en-US" w:eastAsia="zh-CN"/>
                    </w:rPr>
                    <w:t>烃类</w:t>
                  </w:r>
                </w:p>
              </w:tc>
              <w:tc>
                <w:tcPr>
                  <w:tcW w:w="524" w:type="dxa"/>
                  <w:noWrap w:val="0"/>
                  <w:vAlign w:val="center"/>
                </w:tcPr>
                <w:p w14:paraId="37805EC5">
                  <w:pPr>
                    <w:adjustRightInd w:val="0"/>
                    <w:snapToGrid w:val="0"/>
                    <w:spacing w:line="240" w:lineRule="atLeast"/>
                    <w:jc w:val="center"/>
                    <w:rPr>
                      <w:rFonts w:cs="宋体"/>
                      <w:color w:val="auto"/>
                      <w:szCs w:val="21"/>
                    </w:rPr>
                  </w:pPr>
                  <w:r>
                    <w:rPr>
                      <w:rFonts w:cs="宋体"/>
                      <w:color w:val="auto"/>
                      <w:szCs w:val="21"/>
                    </w:rPr>
                    <w:t>1次/</w:t>
                  </w:r>
                  <w:r>
                    <w:rPr>
                      <w:rFonts w:hint="eastAsia" w:cs="宋体"/>
                      <w:color w:val="auto"/>
                      <w:szCs w:val="21"/>
                      <w:lang w:eastAsia="zh-CN"/>
                    </w:rPr>
                    <w:t>月</w:t>
                  </w:r>
                </w:p>
              </w:tc>
              <w:tc>
                <w:tcPr>
                  <w:tcW w:w="530" w:type="dxa"/>
                  <w:noWrap w:val="0"/>
                  <w:vAlign w:val="center"/>
                </w:tcPr>
                <w:p w14:paraId="2929A8A7">
                  <w:pPr>
                    <w:adjustRightInd w:val="0"/>
                    <w:snapToGrid w:val="0"/>
                    <w:spacing w:line="240" w:lineRule="atLeast"/>
                    <w:jc w:val="center"/>
                    <w:rPr>
                      <w:rFonts w:cs="宋体"/>
                      <w:color w:val="auto"/>
                      <w:szCs w:val="21"/>
                    </w:rPr>
                  </w:pPr>
                  <w:r>
                    <w:rPr>
                      <w:rFonts w:hint="eastAsia" w:cs="宋体"/>
                      <w:bCs/>
                      <w:color w:val="auto"/>
                      <w:szCs w:val="21"/>
                      <w:lang w:val="en-US" w:eastAsia="zh-CN"/>
                    </w:rPr>
                    <w:t>T/C</w:t>
                  </w:r>
                </w:p>
              </w:tc>
            </w:tr>
            <w:tr w14:paraId="1FFB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843" w:type="dxa"/>
                  <w:noWrap w:val="0"/>
                  <w:vAlign w:val="center"/>
                </w:tcPr>
                <w:p w14:paraId="34360F26">
                  <w:pPr>
                    <w:adjustRightInd w:val="0"/>
                    <w:snapToGrid w:val="0"/>
                    <w:spacing w:line="240" w:lineRule="atLeast"/>
                    <w:jc w:val="center"/>
                    <w:rPr>
                      <w:rFonts w:cs="宋体"/>
                      <w:color w:val="auto"/>
                      <w:szCs w:val="21"/>
                    </w:rPr>
                  </w:pPr>
                  <w:r>
                    <w:rPr>
                      <w:rFonts w:hint="eastAsia" w:cs="宋体"/>
                      <w:color w:val="auto"/>
                      <w:szCs w:val="21"/>
                    </w:rPr>
                    <w:t>废含油棉纱及抹布</w:t>
                  </w:r>
                </w:p>
              </w:tc>
              <w:tc>
                <w:tcPr>
                  <w:tcW w:w="1067" w:type="dxa"/>
                  <w:noWrap w:val="0"/>
                  <w:vAlign w:val="center"/>
                </w:tcPr>
                <w:p w14:paraId="19F95EAA">
                  <w:pPr>
                    <w:adjustRightInd w:val="0"/>
                    <w:snapToGrid w:val="0"/>
                    <w:spacing w:line="240" w:lineRule="atLeast"/>
                    <w:jc w:val="center"/>
                    <w:rPr>
                      <w:rFonts w:cs="宋体"/>
                      <w:color w:val="auto"/>
                      <w:szCs w:val="21"/>
                    </w:rPr>
                  </w:pPr>
                  <w:r>
                    <w:rPr>
                      <w:rFonts w:cs="宋体"/>
                      <w:color w:val="auto"/>
                      <w:szCs w:val="21"/>
                    </w:rPr>
                    <w:t>HW49其他废物</w:t>
                  </w:r>
                </w:p>
              </w:tc>
              <w:tc>
                <w:tcPr>
                  <w:tcW w:w="1231" w:type="dxa"/>
                  <w:noWrap w:val="0"/>
                  <w:vAlign w:val="center"/>
                </w:tcPr>
                <w:p w14:paraId="6CD1CA5F">
                  <w:pPr>
                    <w:adjustRightInd w:val="0"/>
                    <w:snapToGrid w:val="0"/>
                    <w:spacing w:line="240" w:lineRule="atLeast"/>
                    <w:jc w:val="center"/>
                    <w:rPr>
                      <w:rFonts w:cs="宋体"/>
                      <w:color w:val="auto"/>
                      <w:szCs w:val="21"/>
                    </w:rPr>
                  </w:pPr>
                  <w:r>
                    <w:rPr>
                      <w:rFonts w:hint="eastAsia" w:cs="宋体"/>
                      <w:color w:val="auto"/>
                      <w:sz w:val="21"/>
                      <w:szCs w:val="21"/>
                      <w:lang w:eastAsia="zh-CN"/>
                    </w:rPr>
                    <w:t>900-041-49</w:t>
                  </w:r>
                </w:p>
              </w:tc>
              <w:tc>
                <w:tcPr>
                  <w:tcW w:w="819" w:type="dxa"/>
                  <w:noWrap w:val="0"/>
                  <w:vAlign w:val="center"/>
                </w:tcPr>
                <w:p w14:paraId="132DB71E">
                  <w:pPr>
                    <w:adjustRightInd w:val="0"/>
                    <w:snapToGrid w:val="0"/>
                    <w:spacing w:line="240" w:lineRule="atLeast"/>
                    <w:jc w:val="center"/>
                    <w:rPr>
                      <w:rFonts w:hint="default" w:eastAsia="宋体" w:cs="宋体"/>
                      <w:color w:val="auto"/>
                      <w:szCs w:val="21"/>
                      <w:lang w:val="en-US" w:eastAsia="zh-CN"/>
                    </w:rPr>
                  </w:pPr>
                  <w:r>
                    <w:rPr>
                      <w:rFonts w:hint="eastAsia" w:cs="宋体"/>
                      <w:color w:val="auto"/>
                      <w:szCs w:val="21"/>
                      <w:lang w:val="en-US" w:eastAsia="zh-CN"/>
                    </w:rPr>
                    <w:t>0.1</w:t>
                  </w:r>
                </w:p>
              </w:tc>
              <w:tc>
                <w:tcPr>
                  <w:tcW w:w="693" w:type="dxa"/>
                  <w:noWrap w:val="0"/>
                  <w:vAlign w:val="center"/>
                </w:tcPr>
                <w:p w14:paraId="1AFB3898">
                  <w:pPr>
                    <w:adjustRightInd w:val="0"/>
                    <w:snapToGrid w:val="0"/>
                    <w:spacing w:line="240" w:lineRule="atLeast"/>
                    <w:jc w:val="center"/>
                    <w:rPr>
                      <w:rFonts w:hint="eastAsia" w:eastAsia="宋体" w:cs="宋体"/>
                      <w:color w:val="auto"/>
                      <w:szCs w:val="21"/>
                      <w:lang w:eastAsia="zh-CN"/>
                    </w:rPr>
                  </w:pPr>
                  <w:r>
                    <w:rPr>
                      <w:rFonts w:hint="eastAsia" w:cs="宋体"/>
                      <w:color w:val="auto"/>
                      <w:szCs w:val="21"/>
                      <w:lang w:eastAsia="zh-CN"/>
                    </w:rPr>
                    <w:t>生产过程</w:t>
                  </w:r>
                </w:p>
              </w:tc>
              <w:tc>
                <w:tcPr>
                  <w:tcW w:w="452" w:type="dxa"/>
                  <w:noWrap w:val="0"/>
                  <w:vAlign w:val="center"/>
                </w:tcPr>
                <w:p w14:paraId="44A1489B">
                  <w:pPr>
                    <w:adjustRightInd w:val="0"/>
                    <w:snapToGrid w:val="0"/>
                    <w:spacing w:line="240" w:lineRule="atLeast"/>
                    <w:jc w:val="center"/>
                    <w:rPr>
                      <w:rFonts w:cs="宋体"/>
                      <w:color w:val="auto"/>
                      <w:szCs w:val="21"/>
                    </w:rPr>
                  </w:pPr>
                  <w:r>
                    <w:rPr>
                      <w:rFonts w:cs="宋体"/>
                      <w:color w:val="auto"/>
                      <w:szCs w:val="21"/>
                    </w:rPr>
                    <w:t>固态</w:t>
                  </w:r>
                </w:p>
              </w:tc>
              <w:tc>
                <w:tcPr>
                  <w:tcW w:w="504" w:type="dxa"/>
                  <w:noWrap w:val="0"/>
                  <w:vAlign w:val="center"/>
                </w:tcPr>
                <w:p w14:paraId="3B414CC8">
                  <w:pPr>
                    <w:adjustRightInd w:val="0"/>
                    <w:snapToGrid w:val="0"/>
                    <w:spacing w:line="240" w:lineRule="atLeast"/>
                    <w:jc w:val="center"/>
                    <w:rPr>
                      <w:rFonts w:hint="eastAsia" w:eastAsia="宋体" w:cs="宋体"/>
                      <w:color w:val="auto"/>
                      <w:szCs w:val="21"/>
                      <w:lang w:eastAsia="zh-CN"/>
                    </w:rPr>
                  </w:pPr>
                  <w:r>
                    <w:rPr>
                      <w:rFonts w:hint="eastAsia" w:cs="宋体"/>
                      <w:color w:val="auto"/>
                      <w:szCs w:val="21"/>
                      <w:lang w:eastAsia="zh-CN"/>
                    </w:rPr>
                    <w:t>烃类</w:t>
                  </w:r>
                </w:p>
              </w:tc>
              <w:tc>
                <w:tcPr>
                  <w:tcW w:w="740" w:type="dxa"/>
                  <w:noWrap w:val="0"/>
                  <w:vAlign w:val="center"/>
                </w:tcPr>
                <w:p w14:paraId="78D67771">
                  <w:pPr>
                    <w:adjustRightInd w:val="0"/>
                    <w:snapToGrid w:val="0"/>
                    <w:spacing w:line="240" w:lineRule="atLeast"/>
                    <w:jc w:val="center"/>
                    <w:rPr>
                      <w:rFonts w:cs="宋体"/>
                      <w:color w:val="auto"/>
                      <w:szCs w:val="21"/>
                    </w:rPr>
                  </w:pPr>
                  <w:r>
                    <w:rPr>
                      <w:rFonts w:hint="eastAsia" w:cs="宋体"/>
                      <w:color w:val="auto"/>
                      <w:szCs w:val="21"/>
                      <w:lang w:eastAsia="zh-CN"/>
                    </w:rPr>
                    <w:t>烃类</w:t>
                  </w:r>
                </w:p>
              </w:tc>
              <w:tc>
                <w:tcPr>
                  <w:tcW w:w="524" w:type="dxa"/>
                  <w:noWrap w:val="0"/>
                  <w:vAlign w:val="center"/>
                </w:tcPr>
                <w:p w14:paraId="787D9892">
                  <w:pPr>
                    <w:adjustRightInd w:val="0"/>
                    <w:snapToGrid w:val="0"/>
                    <w:spacing w:line="240" w:lineRule="atLeast"/>
                    <w:jc w:val="center"/>
                    <w:rPr>
                      <w:rFonts w:cs="宋体"/>
                      <w:color w:val="auto"/>
                      <w:szCs w:val="21"/>
                    </w:rPr>
                  </w:pPr>
                  <w:r>
                    <w:rPr>
                      <w:rFonts w:cs="宋体"/>
                      <w:color w:val="auto"/>
                      <w:szCs w:val="21"/>
                    </w:rPr>
                    <w:t>1次/</w:t>
                  </w:r>
                  <w:r>
                    <w:rPr>
                      <w:rFonts w:hint="eastAsia" w:cs="宋体"/>
                      <w:color w:val="auto"/>
                      <w:szCs w:val="21"/>
                      <w:lang w:eastAsia="zh-CN"/>
                    </w:rPr>
                    <w:t>月</w:t>
                  </w:r>
                </w:p>
              </w:tc>
              <w:tc>
                <w:tcPr>
                  <w:tcW w:w="530" w:type="dxa"/>
                  <w:noWrap w:val="0"/>
                  <w:vAlign w:val="center"/>
                </w:tcPr>
                <w:p w14:paraId="0337FF30">
                  <w:pPr>
                    <w:adjustRightInd w:val="0"/>
                    <w:snapToGrid w:val="0"/>
                    <w:spacing w:line="240" w:lineRule="atLeast"/>
                    <w:jc w:val="center"/>
                    <w:rPr>
                      <w:rFonts w:hint="default" w:eastAsia="宋体" w:cs="宋体"/>
                      <w:color w:val="auto"/>
                      <w:szCs w:val="21"/>
                      <w:lang w:val="en-US" w:eastAsia="zh-CN"/>
                    </w:rPr>
                  </w:pPr>
                  <w:r>
                    <w:rPr>
                      <w:rFonts w:hint="eastAsia" w:cs="宋体"/>
                      <w:color w:val="auto"/>
                      <w:szCs w:val="21"/>
                      <w:lang w:val="en-US" w:eastAsia="zh-CN"/>
                    </w:rPr>
                    <w:t>T/In</w:t>
                  </w:r>
                </w:p>
              </w:tc>
            </w:tr>
            <w:tr w14:paraId="59E68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noWrap w:val="0"/>
                  <w:vAlign w:val="center"/>
                </w:tcPr>
                <w:p w14:paraId="5AFF3674">
                  <w:pPr>
                    <w:adjustRightInd w:val="0"/>
                    <w:snapToGrid w:val="0"/>
                    <w:spacing w:line="240" w:lineRule="atLeast"/>
                    <w:jc w:val="center"/>
                    <w:rPr>
                      <w:rFonts w:cs="宋体"/>
                      <w:color w:val="auto"/>
                      <w:szCs w:val="21"/>
                    </w:rPr>
                  </w:pPr>
                  <w:r>
                    <w:rPr>
                      <w:rFonts w:cs="宋体"/>
                      <w:color w:val="auto"/>
                      <w:szCs w:val="21"/>
                    </w:rPr>
                    <w:t>污染防治措施*</w:t>
                  </w:r>
                </w:p>
              </w:tc>
              <w:tc>
                <w:tcPr>
                  <w:tcW w:w="6560" w:type="dxa"/>
                  <w:gridSpan w:val="9"/>
                  <w:noWrap w:val="0"/>
                  <w:vAlign w:val="center"/>
                </w:tcPr>
                <w:p w14:paraId="370269AF">
                  <w:pPr>
                    <w:adjustRightInd w:val="0"/>
                    <w:snapToGrid w:val="0"/>
                    <w:spacing w:line="240" w:lineRule="atLeast"/>
                    <w:jc w:val="both"/>
                    <w:rPr>
                      <w:rFonts w:cs="宋体"/>
                      <w:color w:val="auto"/>
                      <w:kern w:val="0"/>
                      <w:szCs w:val="21"/>
                    </w:rPr>
                  </w:pPr>
                  <w:r>
                    <w:rPr>
                      <w:rFonts w:cs="宋体"/>
                      <w:color w:val="auto"/>
                      <w:kern w:val="0"/>
                      <w:szCs w:val="21"/>
                    </w:rPr>
                    <w:t>集中收集后暂存于危险废物暂存间，</w:t>
                  </w:r>
                  <w:r>
                    <w:rPr>
                      <w:rFonts w:hint="eastAsia" w:cs="宋体"/>
                      <w:color w:val="auto"/>
                      <w:kern w:val="0"/>
                      <w:szCs w:val="21"/>
                      <w:lang w:val="en-US" w:eastAsia="zh-CN"/>
                    </w:rPr>
                    <w:t>委托</w:t>
                  </w:r>
                  <w:r>
                    <w:rPr>
                      <w:rFonts w:hint="eastAsia" w:ascii="Times New Roman" w:hAnsi="Times New Roman" w:eastAsia="宋体"/>
                      <w:color w:val="auto"/>
                      <w:sz w:val="21"/>
                      <w:szCs w:val="21"/>
                      <w:highlight w:val="none"/>
                      <w:lang w:val="en-US" w:eastAsia="zh-CN"/>
                    </w:rPr>
                    <w:t>柳州金太阳工业废物处置有限公司</w:t>
                  </w:r>
                  <w:r>
                    <w:rPr>
                      <w:rFonts w:cs="宋体"/>
                      <w:color w:val="auto"/>
                      <w:kern w:val="0"/>
                      <w:szCs w:val="21"/>
                    </w:rPr>
                    <w:t>进行处理。</w:t>
                  </w:r>
                </w:p>
              </w:tc>
            </w:tr>
          </w:tbl>
          <w:p w14:paraId="31E7DFA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宋体"/>
                <w:color w:val="auto"/>
                <w:sz w:val="24"/>
                <w:szCs w:val="24"/>
              </w:rPr>
            </w:pPr>
            <w:r>
              <w:rPr>
                <w:rFonts w:cs="宋体"/>
                <w:color w:val="auto"/>
                <w:sz w:val="24"/>
              </w:rPr>
              <w:t>本项目采取以上措施处理后，产生的固体废物均得到有效利用及处置，对周围环境影响较小。</w:t>
            </w:r>
          </w:p>
          <w:p w14:paraId="6E26F24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color w:val="auto"/>
                <w:sz w:val="24"/>
              </w:rPr>
            </w:pPr>
            <w:r>
              <w:rPr>
                <w:rFonts w:hint="eastAsia"/>
                <w:color w:val="auto"/>
                <w:sz w:val="24"/>
              </w:rPr>
              <w:t>（1）</w:t>
            </w:r>
            <w:r>
              <w:rPr>
                <w:color w:val="auto"/>
                <w:sz w:val="24"/>
              </w:rPr>
              <w:t>项目一般工业固废储存场所环保设计要求：贮存、处置场的建设类型，必须与将要堆放的一般工业固体废物的类别相一致。贮存、处置场应采取防止粉尘污染的措施。为防止雨水径流进入贮存、处置场内，贮存、处置场周边应设置导流渠。为保障设施、设备正常运营，必要时应采取措施防止地基下沉，尤其是防止不均匀或局部下沉。</w:t>
            </w:r>
          </w:p>
          <w:p w14:paraId="058505CA">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cs="宋体"/>
                <w:color w:val="auto"/>
                <w:sz w:val="24"/>
              </w:rPr>
            </w:pPr>
            <w:r>
              <w:rPr>
                <w:rFonts w:cs="宋体"/>
                <w:color w:val="auto"/>
                <w:sz w:val="24"/>
              </w:rPr>
              <w:t>（</w:t>
            </w:r>
            <w:r>
              <w:rPr>
                <w:rFonts w:hint="eastAsia" w:cs="宋体"/>
                <w:color w:val="auto"/>
                <w:sz w:val="24"/>
              </w:rPr>
              <w:t>2</w:t>
            </w:r>
            <w:r>
              <w:rPr>
                <w:rFonts w:cs="宋体"/>
                <w:color w:val="auto"/>
                <w:sz w:val="24"/>
              </w:rPr>
              <w:t>）危险废物的收集、贮存、处置及影响分析</w:t>
            </w:r>
          </w:p>
          <w:p w14:paraId="5211C7F0">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cs="宋体"/>
                <w:color w:val="auto"/>
                <w:sz w:val="24"/>
              </w:rPr>
            </w:pPr>
            <w:r>
              <w:rPr>
                <w:rFonts w:cs="宋体"/>
                <w:color w:val="auto"/>
                <w:sz w:val="24"/>
              </w:rPr>
              <w:t>根据《建设项目危险废物环境影响评价指南》要求，本项目危险废物不得与一般固体废物混合，应放置于</w:t>
            </w:r>
            <w:r>
              <w:rPr>
                <w:rFonts w:hint="eastAsia" w:cs="宋体"/>
                <w:color w:val="auto"/>
                <w:sz w:val="24"/>
              </w:rPr>
              <w:t>危险废物暂存间</w:t>
            </w:r>
            <w:r>
              <w:rPr>
                <w:rFonts w:cs="宋体"/>
                <w:color w:val="auto"/>
                <w:sz w:val="24"/>
              </w:rPr>
              <w:t>保存，</w:t>
            </w:r>
            <w:r>
              <w:rPr>
                <w:rFonts w:hint="eastAsia" w:cs="宋体"/>
                <w:color w:val="auto"/>
                <w:sz w:val="24"/>
              </w:rPr>
              <w:t>并</w:t>
            </w:r>
            <w:r>
              <w:rPr>
                <w:rFonts w:hint="eastAsia" w:cs="宋体"/>
                <w:color w:val="auto"/>
                <w:sz w:val="24"/>
                <w:lang w:eastAsia="zh-CN"/>
              </w:rPr>
              <w:t>标识</w:t>
            </w:r>
            <w:r>
              <w:rPr>
                <w:rFonts w:cs="宋体"/>
                <w:color w:val="auto"/>
                <w:sz w:val="24"/>
              </w:rPr>
              <w:t>物品名称，危险废物临时贮存场所应符合《危险废物贮存污染控制标准》（GB18597-20</w:t>
            </w:r>
            <w:r>
              <w:rPr>
                <w:rFonts w:hint="eastAsia" w:cs="宋体"/>
                <w:color w:val="auto"/>
                <w:sz w:val="24"/>
                <w:lang w:val="en-US" w:eastAsia="zh-CN"/>
              </w:rPr>
              <w:t>23</w:t>
            </w:r>
            <w:r>
              <w:rPr>
                <w:rFonts w:cs="宋体"/>
                <w:color w:val="auto"/>
                <w:sz w:val="24"/>
              </w:rPr>
              <w:t>）的要求：</w:t>
            </w:r>
          </w:p>
          <w:p w14:paraId="5BA812F5">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cs="宋体"/>
                <w:color w:val="auto"/>
                <w:sz w:val="24"/>
              </w:rPr>
            </w:pPr>
            <w:r>
              <w:rPr>
                <w:rFonts w:cs="宋体"/>
                <w:color w:val="auto"/>
                <w:sz w:val="24"/>
              </w:rPr>
              <w:t>临时贮存场所容量按满足企业一个月的存放需求设置；</w:t>
            </w:r>
          </w:p>
          <w:p w14:paraId="5C1649BC">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cs="宋体"/>
                <w:color w:val="auto"/>
                <w:sz w:val="24"/>
              </w:rPr>
            </w:pPr>
            <w:r>
              <w:rPr>
                <w:rFonts w:cs="宋体"/>
                <w:color w:val="auto"/>
                <w:sz w:val="24"/>
              </w:rPr>
              <w:t>临时</w:t>
            </w:r>
            <w:r>
              <w:rPr>
                <w:rFonts w:hint="eastAsia" w:cs="宋体"/>
                <w:color w:val="auto"/>
                <w:sz w:val="24"/>
                <w:lang w:eastAsia="zh-CN"/>
              </w:rPr>
              <w:t>贮存场所</w:t>
            </w:r>
            <w:r>
              <w:rPr>
                <w:rFonts w:cs="宋体"/>
                <w:color w:val="auto"/>
                <w:sz w:val="24"/>
              </w:rPr>
              <w:t>应</w:t>
            </w:r>
            <w:r>
              <w:rPr>
                <w:rFonts w:hint="eastAsia" w:cs="宋体"/>
                <w:color w:val="auto"/>
                <w:sz w:val="24"/>
                <w:lang w:eastAsia="zh-CN"/>
              </w:rPr>
              <w:t>设置</w:t>
            </w:r>
            <w:r>
              <w:rPr>
                <w:rFonts w:cs="宋体"/>
                <w:color w:val="auto"/>
                <w:sz w:val="24"/>
              </w:rPr>
              <w:t>警示标志；</w:t>
            </w:r>
          </w:p>
          <w:p w14:paraId="1E658083">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cs="宋体"/>
                <w:color w:val="auto"/>
                <w:sz w:val="24"/>
              </w:rPr>
            </w:pPr>
            <w:r>
              <w:rPr>
                <w:rFonts w:cs="宋体"/>
                <w:color w:val="auto"/>
                <w:sz w:val="24"/>
              </w:rPr>
              <w:t>临时</w:t>
            </w:r>
            <w:r>
              <w:rPr>
                <w:rFonts w:hint="eastAsia" w:cs="宋体"/>
                <w:color w:val="auto"/>
                <w:sz w:val="24"/>
                <w:lang w:eastAsia="zh-CN"/>
              </w:rPr>
              <w:t>贮存场所</w:t>
            </w:r>
            <w:r>
              <w:rPr>
                <w:rFonts w:cs="宋体"/>
                <w:color w:val="auto"/>
                <w:sz w:val="24"/>
              </w:rPr>
              <w:t>周围有安全照明系统，需达到防风、防雨、防晒；</w:t>
            </w:r>
          </w:p>
          <w:p w14:paraId="67E22084">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cs="宋体"/>
                <w:color w:val="auto"/>
                <w:sz w:val="24"/>
              </w:rPr>
            </w:pPr>
            <w:r>
              <w:rPr>
                <w:rFonts w:cs="宋体"/>
                <w:color w:val="auto"/>
                <w:sz w:val="24"/>
              </w:rPr>
              <w:t>临时</w:t>
            </w:r>
            <w:r>
              <w:rPr>
                <w:rFonts w:hint="eastAsia" w:cs="宋体"/>
                <w:color w:val="auto"/>
                <w:sz w:val="24"/>
                <w:lang w:eastAsia="zh-CN"/>
              </w:rPr>
              <w:t>贮存场所</w:t>
            </w:r>
            <w:r>
              <w:rPr>
                <w:rFonts w:cs="宋体"/>
                <w:color w:val="auto"/>
                <w:sz w:val="24"/>
              </w:rPr>
              <w:t>基础必须防渗，地面渗透系数小于10</w:t>
            </w:r>
            <w:r>
              <w:rPr>
                <w:rFonts w:cs="宋体"/>
                <w:color w:val="auto"/>
                <w:sz w:val="24"/>
                <w:vertAlign w:val="superscript"/>
              </w:rPr>
              <w:t>-7</w:t>
            </w:r>
            <w:r>
              <w:rPr>
                <w:rFonts w:cs="宋体"/>
                <w:color w:val="auto"/>
                <w:sz w:val="24"/>
              </w:rPr>
              <w:t>cm/s；</w:t>
            </w:r>
          </w:p>
          <w:p w14:paraId="58A62434">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cs="宋体"/>
                <w:color w:val="auto"/>
                <w:sz w:val="24"/>
              </w:rPr>
            </w:pPr>
            <w:r>
              <w:rPr>
                <w:rFonts w:cs="宋体"/>
                <w:color w:val="auto"/>
                <w:sz w:val="24"/>
              </w:rPr>
              <w:t>贮存场所周围的水沟能及时疏导地面径流；</w:t>
            </w:r>
          </w:p>
          <w:p w14:paraId="594DBE7E">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cs="宋体"/>
                <w:color w:val="auto"/>
                <w:sz w:val="24"/>
              </w:rPr>
            </w:pPr>
            <w:r>
              <w:rPr>
                <w:rFonts w:cs="宋体"/>
                <w:color w:val="auto"/>
                <w:sz w:val="24"/>
              </w:rPr>
              <w:t>危险废物临时贮存场所应安装门锁且有专人管理，禁止无关人员进入；</w:t>
            </w:r>
          </w:p>
          <w:p w14:paraId="63B50B1C">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cs="宋体"/>
                <w:color w:val="auto"/>
                <w:sz w:val="24"/>
              </w:rPr>
            </w:pPr>
            <w:r>
              <w:rPr>
                <w:rFonts w:cs="宋体"/>
                <w:color w:val="auto"/>
                <w:sz w:val="24"/>
              </w:rPr>
              <w:t>危险废物临时贮存场所暂存，</w:t>
            </w:r>
            <w:r>
              <w:rPr>
                <w:rFonts w:hint="eastAsia" w:cs="宋体"/>
                <w:color w:val="auto"/>
                <w:sz w:val="24"/>
                <w:szCs w:val="24"/>
                <w:lang w:val="en-US" w:eastAsia="zh-CN"/>
              </w:rPr>
              <w:t>委托</w:t>
            </w:r>
            <w:r>
              <w:rPr>
                <w:rFonts w:cs="宋体"/>
                <w:color w:val="auto"/>
                <w:sz w:val="24"/>
              </w:rPr>
              <w:t>有资质单位统一处理。</w:t>
            </w:r>
          </w:p>
          <w:p w14:paraId="6C56467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宋体"/>
                <w:color w:val="auto"/>
                <w:sz w:val="24"/>
                <w:szCs w:val="24"/>
              </w:rPr>
            </w:pPr>
            <w:r>
              <w:rPr>
                <w:rFonts w:cs="宋体"/>
                <w:color w:val="auto"/>
                <w:sz w:val="24"/>
                <w:szCs w:val="24"/>
              </w:rPr>
              <w:t>经过采取以上措施，本项目产生的固体废物对周围环境的影响不大。</w:t>
            </w:r>
          </w:p>
          <w:p w14:paraId="6C328033">
            <w:pPr>
              <w:pStyle w:val="37"/>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00" w:lineRule="exact"/>
              <w:ind w:right="0" w:firstLine="482" w:firstLineChars="200"/>
              <w:textAlignment w:val="auto"/>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五、</w:t>
            </w:r>
            <w:r>
              <w:rPr>
                <w:rFonts w:hint="default" w:ascii="Times New Roman" w:hAnsi="Times New Roman" w:eastAsia="宋体" w:cs="Times New Roman"/>
                <w:b/>
                <w:bCs/>
                <w:color w:val="auto"/>
                <w:sz w:val="24"/>
                <w:szCs w:val="24"/>
                <w:lang w:val="en-US" w:eastAsia="zh-CN"/>
              </w:rPr>
              <w:t>地下水、土壤</w:t>
            </w:r>
          </w:p>
          <w:p w14:paraId="7842C57A">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textAlignment w:val="auto"/>
              <w:rPr>
                <w:rFonts w:hint="default" w:ascii="Times New Roman" w:hAnsi="Times New Roman" w:cs="Times New Roman"/>
                <w:color w:val="auto"/>
                <w:kern w:val="0"/>
                <w:sz w:val="24"/>
                <w:szCs w:val="24"/>
              </w:rPr>
            </w:pPr>
            <w:r>
              <w:rPr>
                <w:rFonts w:hint="default" w:ascii="Times New Roman" w:hAnsi="Times New Roman" w:cs="Times New Roman"/>
                <w:snapToGrid w:val="0"/>
                <w:color w:val="auto"/>
                <w:kern w:val="0"/>
                <w:sz w:val="24"/>
                <w:szCs w:val="24"/>
              </w:rPr>
              <w:t>本项目生产车间以及污水处理池等均</w:t>
            </w:r>
            <w:r>
              <w:rPr>
                <w:rFonts w:hint="eastAsia" w:cs="Times New Roman"/>
                <w:snapToGrid w:val="0"/>
                <w:color w:val="auto"/>
                <w:kern w:val="0"/>
                <w:sz w:val="24"/>
                <w:szCs w:val="24"/>
                <w:lang w:eastAsia="zh-CN"/>
              </w:rPr>
              <w:t>做</w:t>
            </w:r>
            <w:r>
              <w:rPr>
                <w:rFonts w:hint="default" w:ascii="Times New Roman" w:hAnsi="Times New Roman" w:cs="Times New Roman"/>
                <w:snapToGrid w:val="0"/>
                <w:color w:val="auto"/>
                <w:kern w:val="0"/>
                <w:sz w:val="24"/>
                <w:szCs w:val="24"/>
              </w:rPr>
              <w:t>地面硬化并按要求做防渗处理，且均为地上布置可及时发现，物料泄漏至土壤、地下水的可能性较低。本项目产生的废水主要有：</w:t>
            </w:r>
            <w:r>
              <w:rPr>
                <w:rFonts w:hint="eastAsia" w:cs="Times New Roman"/>
                <w:snapToGrid w:val="0"/>
                <w:color w:val="auto"/>
                <w:kern w:val="0"/>
                <w:sz w:val="24"/>
                <w:szCs w:val="24"/>
                <w:lang w:val="en-US" w:eastAsia="zh-CN"/>
              </w:rPr>
              <w:t>生产废水</w:t>
            </w:r>
            <w:r>
              <w:rPr>
                <w:rFonts w:hint="default" w:ascii="Times New Roman" w:hAnsi="Times New Roman" w:cs="Times New Roman"/>
                <w:snapToGrid w:val="0"/>
                <w:color w:val="auto"/>
                <w:kern w:val="0"/>
                <w:sz w:val="24"/>
                <w:szCs w:val="24"/>
              </w:rPr>
              <w:t>、生活污水</w:t>
            </w:r>
            <w:r>
              <w:rPr>
                <w:rFonts w:hint="default" w:ascii="Times New Roman" w:hAnsi="Times New Roman" w:cs="Times New Roman"/>
                <w:snapToGrid w:val="0"/>
                <w:color w:val="auto"/>
                <w:kern w:val="0"/>
                <w:sz w:val="24"/>
                <w:szCs w:val="24"/>
                <w:lang w:val="en-US" w:eastAsia="zh-CN"/>
              </w:rPr>
              <w:t>；</w:t>
            </w:r>
            <w:r>
              <w:rPr>
                <w:rFonts w:hint="eastAsia" w:cs="Times New Roman"/>
                <w:snapToGrid w:val="0"/>
                <w:color w:val="auto"/>
                <w:kern w:val="0"/>
                <w:sz w:val="24"/>
                <w:szCs w:val="24"/>
                <w:lang w:val="en-US" w:eastAsia="zh-CN"/>
              </w:rPr>
              <w:t>生产废水经污水处理站处理后</w:t>
            </w:r>
            <w:r>
              <w:rPr>
                <w:rFonts w:hint="eastAsia" w:cs="Times New Roman"/>
                <w:color w:val="auto"/>
                <w:kern w:val="0"/>
                <w:sz w:val="24"/>
                <w:szCs w:val="24"/>
                <w:lang w:eastAsia="zh-CN"/>
              </w:rPr>
              <w:t>、</w:t>
            </w:r>
            <w:r>
              <w:rPr>
                <w:rFonts w:hint="default" w:ascii="Times New Roman" w:hAnsi="Times New Roman" w:cs="Times New Roman"/>
                <w:color w:val="auto"/>
                <w:kern w:val="0"/>
                <w:sz w:val="24"/>
                <w:szCs w:val="24"/>
              </w:rPr>
              <w:t>生活污水经三级化粪池处理后</w:t>
            </w:r>
            <w:r>
              <w:rPr>
                <w:rFonts w:hint="eastAsia" w:cs="Times New Roman"/>
                <w:color w:val="auto"/>
                <w:kern w:val="0"/>
                <w:sz w:val="24"/>
                <w:szCs w:val="24"/>
                <w:lang w:val="en-US" w:eastAsia="zh-CN"/>
              </w:rPr>
              <w:t>，两股处理废水与纯水处理废水</w:t>
            </w:r>
            <w:r>
              <w:rPr>
                <w:rFonts w:hint="default" w:ascii="Times New Roman" w:hAnsi="Times New Roman" w:cs="Times New Roman"/>
                <w:color w:val="auto"/>
                <w:kern w:val="0"/>
                <w:sz w:val="24"/>
                <w:szCs w:val="24"/>
                <w:lang w:val="en-US" w:eastAsia="zh-CN"/>
              </w:rPr>
              <w:t>一起</w:t>
            </w:r>
            <w:r>
              <w:rPr>
                <w:rFonts w:hint="default" w:ascii="Times New Roman" w:hAnsi="Times New Roman" w:cs="Times New Roman"/>
                <w:color w:val="auto"/>
                <w:kern w:val="0"/>
                <w:sz w:val="24"/>
                <w:szCs w:val="24"/>
              </w:rPr>
              <w:t>排入</w:t>
            </w:r>
            <w:r>
              <w:rPr>
                <w:rFonts w:hint="eastAsia" w:ascii="Times New Roman" w:hAnsi="Times New Roman" w:cs="Times New Roman"/>
                <w:b w:val="0"/>
                <w:color w:val="auto"/>
                <w:sz w:val="24"/>
                <w:szCs w:val="24"/>
                <w:u w:val="none" w:color="auto"/>
                <w:lang w:val="en-US" w:eastAsia="zh-CN"/>
              </w:rPr>
              <w:t>官塘</w:t>
            </w:r>
            <w:r>
              <w:rPr>
                <w:rFonts w:hint="default" w:ascii="Times New Roman" w:hAnsi="Times New Roman" w:eastAsia="宋体" w:cs="Times New Roman"/>
                <w:b w:val="0"/>
                <w:color w:val="auto"/>
                <w:sz w:val="24"/>
                <w:szCs w:val="24"/>
                <w:u w:val="none" w:color="auto"/>
              </w:rPr>
              <w:t>污水处理厂</w:t>
            </w:r>
            <w:r>
              <w:rPr>
                <w:rFonts w:hint="default" w:ascii="Times New Roman" w:hAnsi="Times New Roman" w:cs="Times New Roman"/>
                <w:color w:val="auto"/>
                <w:kern w:val="0"/>
                <w:sz w:val="24"/>
                <w:szCs w:val="24"/>
              </w:rPr>
              <w:t>进一步处理，三级化粪池、</w:t>
            </w:r>
            <w:r>
              <w:rPr>
                <w:rFonts w:hint="default" w:ascii="Times New Roman" w:hAnsi="Times New Roman" w:cs="Times New Roman"/>
                <w:color w:val="auto"/>
                <w:kern w:val="0"/>
                <w:sz w:val="24"/>
                <w:szCs w:val="24"/>
                <w:lang w:val="en-US" w:eastAsia="zh-CN"/>
              </w:rPr>
              <w:t>污水处理池</w:t>
            </w:r>
            <w:r>
              <w:rPr>
                <w:rFonts w:hint="default" w:ascii="Times New Roman" w:hAnsi="Times New Roman" w:cs="Times New Roman"/>
                <w:color w:val="auto"/>
                <w:kern w:val="0"/>
                <w:sz w:val="24"/>
                <w:szCs w:val="24"/>
              </w:rPr>
              <w:t>均已硬化防渗，污染物泄漏垂直入渗污染土壤、地下水的可能性极低。本项目废气主要是颗粒物、</w:t>
            </w:r>
            <w:r>
              <w:rPr>
                <w:rFonts w:hint="eastAsia" w:ascii="Times New Roman" w:hAnsi="Times New Roman" w:cs="Times New Roman"/>
                <w:color w:val="auto"/>
                <w:kern w:val="0"/>
                <w:sz w:val="24"/>
                <w:szCs w:val="24"/>
                <w:lang w:val="en-US" w:eastAsia="zh-CN"/>
              </w:rPr>
              <w:t>二氧化硫、氮氧化物、</w:t>
            </w:r>
            <w:r>
              <w:rPr>
                <w:rFonts w:hint="eastAsia" w:cs="Times New Roman"/>
                <w:color w:val="auto"/>
                <w:kern w:val="0"/>
                <w:sz w:val="24"/>
                <w:szCs w:val="24"/>
                <w:lang w:val="en-US" w:eastAsia="zh-CN"/>
              </w:rPr>
              <w:t>非甲烷总烃</w:t>
            </w:r>
            <w:r>
              <w:rPr>
                <w:rFonts w:hint="default" w:ascii="Times New Roman" w:hAnsi="Times New Roman" w:cs="Times New Roman"/>
                <w:color w:val="auto"/>
                <w:kern w:val="0"/>
                <w:sz w:val="24"/>
                <w:szCs w:val="24"/>
              </w:rPr>
              <w:t>，经收集处理后达标排放。本项目对地下水和土壤环境影响很小。</w:t>
            </w:r>
          </w:p>
          <w:p w14:paraId="4FCC6E1D">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本项目地下水、土壤污染源主要是化粪池、污水处理池，废水污染物类型主要为COD、NH</w:t>
            </w:r>
            <w:r>
              <w:rPr>
                <w:rFonts w:hint="default" w:ascii="Times New Roman" w:hAnsi="Times New Roman" w:cs="Times New Roman"/>
                <w:color w:val="auto"/>
                <w:sz w:val="24"/>
                <w:szCs w:val="24"/>
                <w:vertAlign w:val="subscript"/>
              </w:rPr>
              <w:t>3</w:t>
            </w:r>
            <w:r>
              <w:rPr>
                <w:rFonts w:hint="default" w:ascii="Times New Roman" w:hAnsi="Times New Roman" w:cs="Times New Roman"/>
                <w:color w:val="auto"/>
                <w:sz w:val="24"/>
                <w:szCs w:val="24"/>
              </w:rPr>
              <w:t>-N</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悬浮物</w:t>
            </w:r>
            <w:r>
              <w:rPr>
                <w:rFonts w:hint="eastAsia" w:cs="Times New Roman"/>
                <w:color w:val="auto"/>
                <w:sz w:val="24"/>
                <w:szCs w:val="24"/>
                <w:lang w:val="en-US" w:eastAsia="zh-CN"/>
              </w:rPr>
              <w:t>、石油类、BOD、磷酸盐、总锌，</w:t>
            </w:r>
            <w:r>
              <w:rPr>
                <w:rFonts w:hint="default" w:ascii="Times New Roman" w:hAnsi="Times New Roman" w:cs="Times New Roman"/>
                <w:color w:val="auto"/>
                <w:sz w:val="24"/>
                <w:szCs w:val="24"/>
              </w:rPr>
              <w:t>污染途径是化粪池</w:t>
            </w:r>
            <w:r>
              <w:rPr>
                <w:rFonts w:hint="eastAsia" w:cs="Times New Roman"/>
                <w:color w:val="auto"/>
                <w:sz w:val="24"/>
                <w:szCs w:val="24"/>
                <w:lang w:eastAsia="zh-CN"/>
              </w:rPr>
              <w:t>、</w:t>
            </w:r>
            <w:r>
              <w:rPr>
                <w:rFonts w:hint="eastAsia" w:cs="Times New Roman"/>
                <w:color w:val="auto"/>
                <w:sz w:val="24"/>
                <w:szCs w:val="24"/>
                <w:lang w:val="en-US" w:eastAsia="zh-CN"/>
              </w:rPr>
              <w:t>污水处理池</w:t>
            </w:r>
            <w:r>
              <w:rPr>
                <w:rFonts w:hint="default" w:ascii="Times New Roman" w:hAnsi="Times New Roman" w:cs="Times New Roman"/>
                <w:color w:val="auto"/>
                <w:sz w:val="24"/>
                <w:szCs w:val="24"/>
              </w:rPr>
              <w:t>防渗层损坏，</w:t>
            </w:r>
            <w:r>
              <w:rPr>
                <w:rFonts w:hint="default" w:ascii="Times New Roman" w:hAnsi="Times New Roman" w:cs="Times New Roman"/>
                <w:bCs/>
                <w:color w:val="auto"/>
                <w:sz w:val="24"/>
                <w:szCs w:val="24"/>
              </w:rPr>
              <w:t>地面防渗能力达不到设计能力，致使废水渗入土壤和地下水，对区域土壤和地下水环境将产生一定的影响</w:t>
            </w:r>
            <w:r>
              <w:rPr>
                <w:rFonts w:hint="default" w:ascii="Times New Roman" w:hAnsi="Times New Roman" w:cs="Times New Roman"/>
                <w:color w:val="auto"/>
                <w:sz w:val="24"/>
                <w:szCs w:val="24"/>
              </w:rPr>
              <w:t>。按照分区防控要求，对本项目地下水、土壤污染源污水处理系统区域</w:t>
            </w:r>
            <w:r>
              <w:rPr>
                <w:rFonts w:hint="eastAsia" w:cs="Times New Roman"/>
                <w:color w:val="auto"/>
                <w:sz w:val="24"/>
                <w:szCs w:val="24"/>
                <w:lang w:eastAsia="zh-CN"/>
              </w:rPr>
              <w:t>、</w:t>
            </w:r>
            <w:r>
              <w:rPr>
                <w:rFonts w:hint="eastAsia" w:cs="Times New Roman"/>
                <w:color w:val="auto"/>
                <w:sz w:val="24"/>
                <w:szCs w:val="24"/>
                <w:lang w:val="en-US" w:eastAsia="zh-CN"/>
              </w:rPr>
              <w:t>表面处理区域</w:t>
            </w:r>
            <w:r>
              <w:rPr>
                <w:rFonts w:hint="default" w:ascii="Times New Roman" w:hAnsi="Times New Roman" w:cs="Times New Roman"/>
                <w:color w:val="auto"/>
                <w:sz w:val="24"/>
                <w:szCs w:val="24"/>
              </w:rPr>
              <w:t>划分为一般防渗区，等效黏土防渗层Mb≥1.5m，K≤1×10</w:t>
            </w:r>
            <w:r>
              <w:rPr>
                <w:rFonts w:hint="default" w:ascii="Times New Roman" w:hAnsi="Times New Roman" w:cs="Times New Roman"/>
                <w:color w:val="auto"/>
                <w:sz w:val="24"/>
                <w:szCs w:val="24"/>
                <w:vertAlign w:val="superscript"/>
              </w:rPr>
              <w:t>-7</w:t>
            </w:r>
            <w:r>
              <w:rPr>
                <w:rFonts w:hint="default" w:ascii="Times New Roman" w:hAnsi="Times New Roman" w:cs="Times New Roman"/>
                <w:color w:val="auto"/>
                <w:sz w:val="24"/>
                <w:szCs w:val="24"/>
              </w:rPr>
              <w:t>cm/s，或参照GB16889执行。厂区</w:t>
            </w:r>
            <w:r>
              <w:rPr>
                <w:rFonts w:hint="eastAsia" w:cs="Times New Roman"/>
                <w:color w:val="auto"/>
                <w:sz w:val="24"/>
                <w:szCs w:val="24"/>
                <w:lang w:eastAsia="zh-CN"/>
              </w:rPr>
              <w:t>其他</w:t>
            </w:r>
            <w:r>
              <w:rPr>
                <w:rFonts w:hint="default" w:ascii="Times New Roman" w:hAnsi="Times New Roman" w:cs="Times New Roman"/>
                <w:color w:val="auto"/>
                <w:sz w:val="24"/>
                <w:szCs w:val="24"/>
              </w:rPr>
              <w:t>区域地面做一般硬化处理。项目</w:t>
            </w:r>
            <w:r>
              <w:rPr>
                <w:rFonts w:hint="default" w:ascii="Times New Roman" w:hAnsi="Times New Roman" w:cs="Times New Roman"/>
                <w:bCs/>
                <w:color w:val="auto"/>
                <w:sz w:val="24"/>
                <w:szCs w:val="24"/>
              </w:rPr>
              <w:t>危险废物暂存间应严格按照</w:t>
            </w:r>
            <w:r>
              <w:rPr>
                <w:rFonts w:hint="default" w:ascii="Times New Roman" w:hAnsi="Times New Roman" w:cs="Times New Roman"/>
                <w:color w:val="auto"/>
                <w:sz w:val="24"/>
                <w:szCs w:val="24"/>
              </w:rPr>
              <w:t>《危险废物贮存污染控制标准》</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"https://www.mee.gov.cn/ywgz/fgbz/bz/bzwb/gthw/wxfwjbffbz/202302/W020230224679408713470.pdf"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（GB18597—2023</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进行建设。</w:t>
            </w:r>
          </w:p>
          <w:p w14:paraId="1C63A546">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textAlignment w:val="auto"/>
              <w:rPr>
                <w:rFonts w:hint="eastAsia" w:eastAsia="宋体" w:cs="Times New Roman"/>
                <w:b/>
                <w:bCs/>
                <w:color w:val="auto"/>
                <w:sz w:val="24"/>
                <w:szCs w:val="24"/>
                <w:lang w:val="en-US" w:eastAsia="zh-CN"/>
              </w:rPr>
            </w:pPr>
            <w:r>
              <w:rPr>
                <w:rFonts w:hint="default" w:ascii="Times New Roman" w:hAnsi="Times New Roman" w:cs="Times New Roman"/>
                <w:color w:val="auto"/>
                <w:sz w:val="24"/>
                <w:szCs w:val="24"/>
              </w:rPr>
              <w:t>建设项目的地下水污染预防措施应按照“源头控制、分区控制、污染监控、应急响应”的主动与被动防渗相结合的防渗原则，从污染物的产生、入渗、扩散、应急响应全阶段进行控制。在做好防止和减少“跑、冒、滴、漏”等源头防污措施的基</w:t>
            </w:r>
            <w:r>
              <w:rPr>
                <w:rFonts w:hint="default" w:ascii="Times New Roman" w:hAnsi="Times New Roman" w:eastAsia="宋体" w:cs="Times New Roman"/>
                <w:color w:val="auto"/>
                <w:sz w:val="24"/>
                <w:szCs w:val="24"/>
              </w:rPr>
              <w:t>础上，对厂区内各单元进行分区防渗处理</w:t>
            </w:r>
            <w:r>
              <w:rPr>
                <w:rFonts w:hint="eastAsia" w:ascii="Times New Roman" w:hAnsi="Times New Roman" w:cs="Times New Roman"/>
                <w:color w:val="auto"/>
                <w:sz w:val="24"/>
                <w:szCs w:val="24"/>
                <w:lang w:eastAsia="zh-CN"/>
              </w:rPr>
              <w:t>。</w:t>
            </w:r>
          </w:p>
          <w:p w14:paraId="464C163F">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default" w:ascii="Times New Roman" w:hAnsi="Times New Roman" w:eastAsia="宋体" w:cs="Times New Roman"/>
                <w:b/>
                <w:bCs/>
                <w:color w:val="auto"/>
                <w:sz w:val="24"/>
                <w:szCs w:val="24"/>
              </w:rPr>
            </w:pPr>
            <w:r>
              <w:rPr>
                <w:rFonts w:hint="eastAsia" w:cs="Times New Roman"/>
                <w:b/>
                <w:bCs/>
                <w:color w:val="auto"/>
                <w:sz w:val="24"/>
                <w:szCs w:val="24"/>
                <w:lang w:val="en-US" w:eastAsia="zh-CN"/>
              </w:rPr>
              <w:t>六</w:t>
            </w:r>
            <w:r>
              <w:rPr>
                <w:rFonts w:hint="default" w:ascii="Times New Roman" w:hAnsi="Times New Roman" w:eastAsia="宋体" w:cs="Times New Roman"/>
                <w:b/>
                <w:bCs/>
                <w:color w:val="auto"/>
                <w:sz w:val="24"/>
                <w:szCs w:val="24"/>
              </w:rPr>
              <w:t>、</w:t>
            </w:r>
            <w:r>
              <w:rPr>
                <w:rFonts w:hint="eastAsia" w:cs="Times New Roman"/>
                <w:b/>
                <w:bCs/>
                <w:color w:val="auto"/>
                <w:sz w:val="24"/>
                <w:szCs w:val="24"/>
                <w:lang w:val="en-US" w:eastAsia="zh-CN"/>
              </w:rPr>
              <w:t>环境</w:t>
            </w:r>
            <w:r>
              <w:rPr>
                <w:rFonts w:hint="default" w:ascii="Times New Roman" w:hAnsi="Times New Roman" w:eastAsia="宋体" w:cs="Times New Roman"/>
                <w:b/>
                <w:bCs/>
                <w:color w:val="auto"/>
                <w:sz w:val="24"/>
                <w:szCs w:val="24"/>
              </w:rPr>
              <w:t>风险</w:t>
            </w:r>
          </w:p>
          <w:p w14:paraId="75B25976">
            <w:pPr>
              <w:pStyle w:val="79"/>
              <w:keepNext w:val="0"/>
              <w:keepLines w:val="0"/>
              <w:pageBreakBefore w:val="0"/>
              <w:widowControl w:val="0"/>
              <w:kinsoku/>
              <w:wordWrap/>
              <w:overflowPunct/>
              <w:topLinePunct w:val="0"/>
              <w:autoSpaceDE/>
              <w:autoSpaceDN/>
              <w:bidi w:val="0"/>
              <w:adjustRightInd w:val="0"/>
              <w:snapToGrid w:val="0"/>
              <w:spacing w:after="0" w:line="500" w:lineRule="exact"/>
              <w:ind w:firstLine="482" w:firstLineChars="200"/>
              <w:textAlignment w:val="auto"/>
              <w:rPr>
                <w:rFonts w:hint="eastAsia" w:ascii="Times New Roman" w:hAnsi="Times New Roman" w:eastAsia="宋体"/>
                <w:b/>
                <w:bCs/>
                <w:caps w:val="0"/>
                <w:smallCaps w:val="0"/>
                <w:color w:val="auto"/>
                <w:sz w:val="24"/>
                <w:szCs w:val="24"/>
                <w:highlight w:val="none"/>
                <w:u w:val="none" w:color="auto"/>
                <w:lang w:val="en-US" w:eastAsia="zh-CN"/>
              </w:rPr>
            </w:pPr>
            <w:r>
              <w:rPr>
                <w:rFonts w:hint="eastAsia" w:ascii="Times New Roman" w:hAnsi="Times New Roman" w:eastAsia="宋体"/>
                <w:b/>
                <w:bCs/>
                <w:caps w:val="0"/>
                <w:smallCaps w:val="0"/>
                <w:color w:val="auto"/>
                <w:sz w:val="24"/>
                <w:szCs w:val="24"/>
                <w:highlight w:val="none"/>
                <w:u w:val="none" w:color="auto"/>
                <w:lang w:val="en-US" w:eastAsia="zh-CN"/>
              </w:rPr>
              <w:t>（1）危险物质和风险源分布情况</w:t>
            </w:r>
          </w:p>
          <w:p w14:paraId="3854E399">
            <w:pPr>
              <w:pStyle w:val="79"/>
              <w:keepNext w:val="0"/>
              <w:keepLines w:val="0"/>
              <w:pageBreakBefore w:val="0"/>
              <w:widowControl w:val="0"/>
              <w:kinsoku/>
              <w:wordWrap/>
              <w:overflowPunct/>
              <w:topLinePunct w:val="0"/>
              <w:autoSpaceDE/>
              <w:autoSpaceDN/>
              <w:bidi w:val="0"/>
              <w:adjustRightInd w:val="0"/>
              <w:snapToGrid w:val="0"/>
              <w:spacing w:after="0" w:line="500" w:lineRule="exact"/>
              <w:ind w:firstLine="480" w:firstLineChars="200"/>
              <w:textAlignment w:val="auto"/>
              <w:rPr>
                <w:rFonts w:ascii="Times New Roman" w:hAnsi="Times New Roman" w:eastAsia="宋体"/>
                <w:caps w:val="0"/>
                <w:smallCaps w:val="0"/>
                <w:color w:val="auto"/>
                <w:sz w:val="24"/>
                <w:szCs w:val="24"/>
                <w:highlight w:val="none"/>
                <w:u w:val="none" w:color="auto"/>
              </w:rPr>
            </w:pPr>
            <w:r>
              <w:rPr>
                <w:rFonts w:hint="eastAsia"/>
                <w:color w:val="auto"/>
                <w:kern w:val="0"/>
                <w:highlight w:val="none"/>
              </w:rPr>
              <w:t>根据《危险化学品重大危险源辨识》</w:t>
            </w:r>
            <w:r>
              <w:rPr>
                <w:rFonts w:hint="eastAsia"/>
                <w:color w:val="auto"/>
                <w:kern w:val="0"/>
                <w:highlight w:val="none"/>
                <w:lang w:eastAsia="zh-CN"/>
              </w:rPr>
              <w:t>（</w:t>
            </w:r>
            <w:r>
              <w:rPr>
                <w:rFonts w:hint="eastAsia"/>
                <w:color w:val="auto"/>
                <w:kern w:val="0"/>
                <w:highlight w:val="none"/>
              </w:rPr>
              <w:t>GB18218- 2018</w:t>
            </w:r>
            <w:r>
              <w:rPr>
                <w:rFonts w:hint="eastAsia"/>
                <w:color w:val="auto"/>
                <w:kern w:val="0"/>
                <w:highlight w:val="none"/>
                <w:lang w:eastAsia="zh-CN"/>
              </w:rPr>
              <w:t>）</w:t>
            </w:r>
            <w:r>
              <w:rPr>
                <w:rFonts w:hint="eastAsia"/>
                <w:color w:val="auto"/>
                <w:kern w:val="0"/>
                <w:highlight w:val="none"/>
              </w:rPr>
              <w:t>和《建设项目环境风险评价技术导则》</w:t>
            </w:r>
            <w:r>
              <w:rPr>
                <w:rFonts w:hint="eastAsia"/>
                <w:color w:val="auto"/>
                <w:kern w:val="0"/>
                <w:highlight w:val="none"/>
                <w:lang w:eastAsia="zh-CN"/>
              </w:rPr>
              <w:t>（</w:t>
            </w:r>
            <w:r>
              <w:rPr>
                <w:rFonts w:hint="eastAsia"/>
                <w:color w:val="auto"/>
                <w:kern w:val="0"/>
                <w:highlight w:val="none"/>
              </w:rPr>
              <w:t>HJ169-2018</w:t>
            </w:r>
            <w:r>
              <w:rPr>
                <w:rFonts w:hint="eastAsia"/>
                <w:color w:val="auto"/>
                <w:kern w:val="0"/>
                <w:highlight w:val="none"/>
                <w:lang w:eastAsia="zh-CN"/>
              </w:rPr>
              <w:t>）</w:t>
            </w:r>
            <w:r>
              <w:rPr>
                <w:rFonts w:hint="eastAsia"/>
                <w:color w:val="auto"/>
                <w:kern w:val="0"/>
                <w:highlight w:val="none"/>
              </w:rPr>
              <w:t>附录 B“表B.1突发环境事件风险物质及临界量”进行判断，</w:t>
            </w:r>
            <w:r>
              <w:rPr>
                <w:rFonts w:hint="eastAsia"/>
                <w:bCs/>
                <w:color w:val="auto"/>
                <w:sz w:val="24"/>
                <w:szCs w:val="32"/>
                <w:highlight w:val="none"/>
              </w:rPr>
              <w:t>对项目所涉及的原材料和辅助材料等进行风险识别调查。项目主要危险物质为</w:t>
            </w:r>
            <w:r>
              <w:rPr>
                <w:rFonts w:hint="eastAsia"/>
                <w:bCs/>
                <w:color w:val="auto"/>
                <w:sz w:val="24"/>
                <w:szCs w:val="32"/>
                <w:highlight w:val="none"/>
                <w:lang w:eastAsia="zh-CN"/>
              </w:rPr>
              <w:t>磷化液（磷酸）、</w:t>
            </w:r>
            <w:r>
              <w:rPr>
                <w:rFonts w:hint="eastAsia"/>
                <w:bCs/>
                <w:color w:val="auto"/>
                <w:sz w:val="24"/>
                <w:szCs w:val="32"/>
                <w:highlight w:val="none"/>
                <w:lang w:val="en-US" w:eastAsia="zh-CN"/>
              </w:rPr>
              <w:t>液化石油气（丙烷、丁烷）、机用润滑油脂；磷化液最大储存量为1t/a，则磷酸最大储</w:t>
            </w:r>
            <w:r>
              <w:rPr>
                <w:rFonts w:hint="default" w:ascii="Times New Roman" w:hAnsi="Times New Roman" w:cs="Times New Roman"/>
                <w:bCs/>
                <w:color w:val="auto"/>
                <w:sz w:val="24"/>
                <w:szCs w:val="32"/>
                <w:highlight w:val="none"/>
                <w:lang w:val="en-US" w:eastAsia="zh-CN"/>
              </w:rPr>
              <w:t>存量为0.25t/a，液化石油气最大储存量为</w:t>
            </w:r>
            <w:r>
              <w:rPr>
                <w:rFonts w:hint="eastAsia" w:ascii="Times New Roman" w:hAnsi="Times New Roman" w:cs="Times New Roman"/>
                <w:bCs/>
                <w:color w:val="auto"/>
                <w:sz w:val="24"/>
                <w:szCs w:val="32"/>
                <w:highlight w:val="none"/>
                <w:lang w:val="en-US" w:eastAsia="zh-CN"/>
              </w:rPr>
              <w:t>2000</w:t>
            </w:r>
            <w:r>
              <w:rPr>
                <w:rFonts w:hint="default" w:ascii="Times New Roman" w:hAnsi="Times New Roman" w:cs="Times New Roman"/>
                <w:color w:val="auto"/>
                <w:kern w:val="0"/>
                <w:sz w:val="24"/>
                <w:szCs w:val="24"/>
                <w:highlight w:val="none"/>
                <w:shd w:val="clear" w:color="auto" w:fill="auto"/>
                <w:lang w:val="en-US" w:eastAsia="zh-CN"/>
              </w:rPr>
              <w:t>m</w:t>
            </w:r>
            <w:r>
              <w:rPr>
                <w:rFonts w:hint="default" w:ascii="Times New Roman" w:hAnsi="Times New Roman" w:cs="Times New Roman"/>
                <w:color w:val="auto"/>
                <w:kern w:val="0"/>
                <w:sz w:val="24"/>
                <w:szCs w:val="24"/>
                <w:highlight w:val="none"/>
                <w:shd w:val="clear" w:color="auto" w:fill="auto"/>
                <w:vertAlign w:val="superscript"/>
                <w:lang w:val="en-US" w:eastAsia="zh-CN"/>
              </w:rPr>
              <w:t>3</w:t>
            </w:r>
            <w:r>
              <w:rPr>
                <w:rFonts w:hint="default" w:ascii="Times New Roman" w:hAnsi="Times New Roman" w:cs="Times New Roman"/>
                <w:color w:val="auto"/>
                <w:kern w:val="0"/>
                <w:sz w:val="24"/>
                <w:szCs w:val="24"/>
                <w:highlight w:val="none"/>
                <w:shd w:val="clear" w:color="auto" w:fill="auto"/>
                <w:lang w:val="en-US" w:eastAsia="zh-CN"/>
              </w:rPr>
              <w:t>/a（</w:t>
            </w:r>
            <w:r>
              <w:rPr>
                <w:rFonts w:hint="eastAsia" w:ascii="Times New Roman" w:hAnsi="Times New Roman" w:cs="Times New Roman"/>
                <w:color w:val="auto"/>
                <w:kern w:val="0"/>
                <w:sz w:val="24"/>
                <w:szCs w:val="24"/>
                <w:highlight w:val="none"/>
                <w:shd w:val="clear" w:color="auto" w:fill="auto"/>
                <w:lang w:val="en-US" w:eastAsia="zh-CN"/>
              </w:rPr>
              <w:t>4.7</w:t>
            </w:r>
            <w:r>
              <w:rPr>
                <w:rFonts w:hint="default" w:ascii="Times New Roman" w:hAnsi="Times New Roman" w:cs="Times New Roman"/>
                <w:color w:val="auto"/>
                <w:kern w:val="0"/>
                <w:sz w:val="24"/>
                <w:szCs w:val="24"/>
                <w:highlight w:val="none"/>
                <w:shd w:val="clear" w:color="auto" w:fill="auto"/>
                <w:lang w:val="en-US" w:eastAsia="zh-CN"/>
              </w:rPr>
              <w:t>t/a），则丙烷和丁烷最大储存量分别为</w:t>
            </w:r>
            <w:r>
              <w:rPr>
                <w:rFonts w:hint="eastAsia" w:ascii="Times New Roman" w:hAnsi="Times New Roman" w:cs="Times New Roman"/>
                <w:color w:val="auto"/>
                <w:kern w:val="0"/>
                <w:sz w:val="24"/>
                <w:szCs w:val="24"/>
                <w:highlight w:val="none"/>
                <w:shd w:val="clear" w:color="auto" w:fill="auto"/>
                <w:lang w:val="en-US" w:eastAsia="zh-CN"/>
              </w:rPr>
              <w:t>3.76</w:t>
            </w:r>
            <w:r>
              <w:rPr>
                <w:rFonts w:hint="default" w:ascii="Times New Roman" w:hAnsi="Times New Roman" w:cs="Times New Roman"/>
                <w:color w:val="auto"/>
                <w:kern w:val="0"/>
                <w:sz w:val="24"/>
                <w:szCs w:val="24"/>
                <w:highlight w:val="none"/>
                <w:shd w:val="clear" w:color="auto" w:fill="auto"/>
                <w:lang w:val="en-US" w:eastAsia="zh-CN"/>
              </w:rPr>
              <w:t>t/a、</w:t>
            </w:r>
            <w:r>
              <w:rPr>
                <w:rFonts w:hint="eastAsia" w:ascii="Times New Roman" w:hAnsi="Times New Roman" w:cs="Times New Roman"/>
                <w:color w:val="auto"/>
                <w:kern w:val="0"/>
                <w:sz w:val="24"/>
                <w:szCs w:val="24"/>
                <w:highlight w:val="none"/>
                <w:shd w:val="clear" w:color="auto" w:fill="auto"/>
                <w:lang w:val="en-US" w:eastAsia="zh-CN"/>
              </w:rPr>
              <w:t>0.94</w:t>
            </w:r>
            <w:r>
              <w:rPr>
                <w:rFonts w:hint="default" w:ascii="Times New Roman" w:hAnsi="Times New Roman" w:cs="Times New Roman"/>
                <w:color w:val="auto"/>
                <w:kern w:val="0"/>
                <w:sz w:val="24"/>
                <w:szCs w:val="24"/>
                <w:highlight w:val="none"/>
                <w:shd w:val="clear" w:color="auto" w:fill="auto"/>
                <w:lang w:val="en-US" w:eastAsia="zh-CN"/>
              </w:rPr>
              <w:t>t/a，</w:t>
            </w:r>
            <w:r>
              <w:rPr>
                <w:rFonts w:hint="default" w:ascii="Times New Roman" w:hAnsi="Times New Roman" w:eastAsia="宋体" w:cs="Times New Roman"/>
                <w:color w:val="auto"/>
                <w:sz w:val="24"/>
                <w:szCs w:val="24"/>
              </w:rPr>
              <w:t>机用润滑油脂</w:t>
            </w:r>
            <w:r>
              <w:rPr>
                <w:rFonts w:hint="default" w:ascii="Times New Roman" w:hAnsi="Times New Roman" w:eastAsia="宋体" w:cs="Times New Roman"/>
                <w:color w:val="auto"/>
                <w:sz w:val="24"/>
                <w:szCs w:val="24"/>
                <w:lang w:val="en-US" w:eastAsia="zh-CN"/>
              </w:rPr>
              <w:t>最大储存量为4t/a</w:t>
            </w:r>
            <w:r>
              <w:rPr>
                <w:rFonts w:hint="default" w:ascii="Times New Roman" w:hAnsi="Times New Roman" w:eastAsia="宋体" w:cs="Times New Roman"/>
                <w:caps w:val="0"/>
                <w:smallCaps w:val="0"/>
                <w:color w:val="auto"/>
                <w:sz w:val="24"/>
                <w:szCs w:val="24"/>
                <w:highlight w:val="none"/>
                <w:u w:val="none" w:color="auto"/>
                <w:lang w:eastAsia="zh-CN"/>
              </w:rPr>
              <w:t>。</w:t>
            </w:r>
            <w:r>
              <w:rPr>
                <w:rFonts w:hint="default" w:ascii="Times New Roman" w:hAnsi="Times New Roman" w:cs="Times New Roman"/>
                <w:bCs/>
                <w:color w:val="auto"/>
                <w:sz w:val="24"/>
                <w:szCs w:val="32"/>
                <w:highlight w:val="none"/>
              </w:rPr>
              <w:t>项目危</w:t>
            </w:r>
            <w:r>
              <w:rPr>
                <w:rFonts w:hint="eastAsia"/>
                <w:bCs/>
                <w:color w:val="auto"/>
                <w:sz w:val="24"/>
                <w:szCs w:val="32"/>
                <w:highlight w:val="none"/>
              </w:rPr>
              <w:t>险物质使用情况见表</w:t>
            </w:r>
            <w:r>
              <w:rPr>
                <w:rFonts w:hint="eastAsia" w:ascii="Times New Roman" w:hAnsi="Times New Roman" w:eastAsia="宋体"/>
                <w:caps w:val="0"/>
                <w:smallCaps w:val="0"/>
                <w:color w:val="auto"/>
                <w:sz w:val="24"/>
                <w:szCs w:val="24"/>
                <w:highlight w:val="none"/>
                <w:u w:val="none" w:color="auto"/>
                <w:lang w:val="en-US" w:eastAsia="zh-CN"/>
              </w:rPr>
              <w:t>4</w:t>
            </w:r>
            <w:r>
              <w:rPr>
                <w:rFonts w:hint="eastAsia"/>
                <w:caps w:val="0"/>
                <w:smallCaps w:val="0"/>
                <w:color w:val="auto"/>
                <w:sz w:val="24"/>
                <w:szCs w:val="24"/>
                <w:highlight w:val="none"/>
                <w:u w:val="none" w:color="auto"/>
                <w:lang w:val="en-US" w:eastAsia="zh-CN"/>
              </w:rPr>
              <w:t>-24</w:t>
            </w:r>
            <w:r>
              <w:rPr>
                <w:rFonts w:ascii="Times New Roman" w:hAnsi="Times New Roman" w:eastAsia="宋体"/>
                <w:caps w:val="0"/>
                <w:smallCaps w:val="0"/>
                <w:color w:val="auto"/>
                <w:sz w:val="24"/>
                <w:szCs w:val="24"/>
                <w:highlight w:val="none"/>
                <w:u w:val="none" w:color="auto"/>
              </w:rPr>
              <w:t>。</w:t>
            </w:r>
          </w:p>
          <w:p w14:paraId="445315BE">
            <w:pPr>
              <w:widowControl/>
              <w:spacing w:line="500" w:lineRule="exact"/>
              <w:ind w:firstLine="480"/>
              <w:jc w:val="center"/>
              <w:rPr>
                <w:rFonts w:ascii="Times New Roman" w:hAnsi="Times New Roman" w:eastAsia="宋体" w:cs="宋体"/>
                <w:b/>
                <w:bCs/>
                <w:color w:val="auto"/>
                <w:sz w:val="24"/>
                <w:szCs w:val="24"/>
              </w:rPr>
            </w:pPr>
          </w:p>
          <w:p w14:paraId="01C89446">
            <w:pPr>
              <w:widowControl/>
              <w:spacing w:line="500" w:lineRule="exact"/>
              <w:ind w:firstLine="480"/>
              <w:jc w:val="center"/>
              <w:rPr>
                <w:rFonts w:ascii="Times New Roman" w:hAnsi="Times New Roman" w:eastAsia="宋体" w:cs="宋体"/>
                <w:b/>
                <w:bCs/>
                <w:color w:val="auto"/>
                <w:sz w:val="24"/>
                <w:szCs w:val="24"/>
              </w:rPr>
            </w:pPr>
          </w:p>
          <w:p w14:paraId="7E2ADBDA">
            <w:pPr>
              <w:widowControl/>
              <w:spacing w:line="500" w:lineRule="exact"/>
              <w:ind w:firstLine="480"/>
              <w:jc w:val="center"/>
              <w:rPr>
                <w:b/>
                <w:color w:val="auto"/>
                <w:sz w:val="24"/>
                <w:szCs w:val="20"/>
                <w:highlight w:val="none"/>
              </w:rPr>
            </w:pPr>
            <w:r>
              <w:rPr>
                <w:rFonts w:ascii="Times New Roman" w:hAnsi="Times New Roman" w:eastAsia="宋体" w:cs="宋体"/>
                <w:b/>
                <w:bCs/>
                <w:color w:val="auto"/>
                <w:sz w:val="24"/>
                <w:szCs w:val="24"/>
              </w:rPr>
              <w:t>表</w:t>
            </w:r>
            <w:r>
              <w:rPr>
                <w:rFonts w:hint="eastAsia" w:ascii="Times New Roman" w:hAnsi="Times New Roman" w:eastAsia="宋体" w:cs="宋体"/>
                <w:b/>
                <w:bCs/>
                <w:color w:val="auto"/>
                <w:sz w:val="24"/>
                <w:szCs w:val="24"/>
                <w:lang w:val="en-US" w:eastAsia="zh-CN"/>
              </w:rPr>
              <w:t>4-2</w:t>
            </w:r>
            <w:r>
              <w:rPr>
                <w:rFonts w:hint="eastAsia" w:cs="宋体"/>
                <w:b/>
                <w:bCs/>
                <w:color w:val="auto"/>
                <w:sz w:val="24"/>
                <w:szCs w:val="24"/>
                <w:lang w:val="en-US" w:eastAsia="zh-CN"/>
              </w:rPr>
              <w:t xml:space="preserve">4 </w:t>
            </w:r>
            <w:r>
              <w:rPr>
                <w:rFonts w:hint="eastAsia" w:ascii="Times New Roman" w:hAnsi="Times New Roman" w:eastAsia="宋体" w:cs="宋体"/>
                <w:b/>
                <w:bCs/>
                <w:color w:val="auto"/>
                <w:sz w:val="24"/>
                <w:szCs w:val="24"/>
              </w:rPr>
              <w:t xml:space="preserve"> </w:t>
            </w:r>
            <w:r>
              <w:rPr>
                <w:rFonts w:hint="eastAsia"/>
                <w:b/>
                <w:color w:val="auto"/>
                <w:sz w:val="24"/>
                <w:szCs w:val="20"/>
                <w:highlight w:val="none"/>
              </w:rPr>
              <w:t>危险物质使用贮存情况表</w:t>
            </w:r>
          </w:p>
          <w:tbl>
            <w:tblPr>
              <w:tblStyle w:val="39"/>
              <w:tblW w:w="4995"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8"/>
              <w:gridCol w:w="1625"/>
              <w:gridCol w:w="1182"/>
              <w:gridCol w:w="1370"/>
              <w:gridCol w:w="1371"/>
            </w:tblGrid>
            <w:tr w14:paraId="5EBAE9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4" w:hRule="atLeast"/>
                <w:tblHeader/>
              </w:trPr>
              <w:tc>
                <w:tcPr>
                  <w:tcW w:w="1249" w:type="pct"/>
                  <w:tcBorders>
                    <w:tl2br w:val="nil"/>
                    <w:tr2bl w:val="nil"/>
                  </w:tcBorders>
                  <w:noWrap/>
                  <w:vAlign w:val="center"/>
                </w:tcPr>
                <w:p w14:paraId="2F830914">
                  <w:pPr>
                    <w:widowControl/>
                    <w:spacing w:line="240" w:lineRule="atLeast"/>
                    <w:jc w:val="center"/>
                    <w:rPr>
                      <w:color w:val="auto"/>
                      <w:szCs w:val="32"/>
                      <w:highlight w:val="none"/>
                    </w:rPr>
                  </w:pPr>
                  <w:r>
                    <w:rPr>
                      <w:rFonts w:hint="eastAsia"/>
                      <w:color w:val="auto"/>
                      <w:szCs w:val="32"/>
                      <w:highlight w:val="none"/>
                    </w:rPr>
                    <w:t>化学品名称</w:t>
                  </w:r>
                </w:p>
              </w:tc>
              <w:tc>
                <w:tcPr>
                  <w:tcW w:w="1098" w:type="pct"/>
                  <w:tcBorders>
                    <w:tl2br w:val="nil"/>
                    <w:tr2bl w:val="nil"/>
                  </w:tcBorders>
                  <w:noWrap/>
                  <w:vAlign w:val="center"/>
                </w:tcPr>
                <w:p w14:paraId="70DBF515">
                  <w:pPr>
                    <w:widowControl/>
                    <w:spacing w:line="240" w:lineRule="atLeast"/>
                    <w:jc w:val="center"/>
                    <w:rPr>
                      <w:color w:val="auto"/>
                      <w:szCs w:val="32"/>
                      <w:highlight w:val="none"/>
                    </w:rPr>
                  </w:pPr>
                  <w:r>
                    <w:rPr>
                      <w:rFonts w:hint="eastAsia"/>
                      <w:color w:val="auto"/>
                      <w:szCs w:val="32"/>
                      <w:highlight w:val="none"/>
                    </w:rPr>
                    <w:t>最大储存量（t）</w:t>
                  </w:r>
                </w:p>
              </w:tc>
              <w:tc>
                <w:tcPr>
                  <w:tcW w:w="799" w:type="pct"/>
                  <w:tcBorders>
                    <w:tl2br w:val="nil"/>
                    <w:tr2bl w:val="nil"/>
                  </w:tcBorders>
                  <w:noWrap/>
                  <w:vAlign w:val="center"/>
                </w:tcPr>
                <w:p w14:paraId="59763987">
                  <w:pPr>
                    <w:widowControl/>
                    <w:spacing w:line="240" w:lineRule="atLeast"/>
                    <w:jc w:val="center"/>
                    <w:rPr>
                      <w:color w:val="auto"/>
                      <w:szCs w:val="32"/>
                      <w:highlight w:val="none"/>
                    </w:rPr>
                  </w:pPr>
                  <w:r>
                    <w:rPr>
                      <w:rFonts w:hint="eastAsia"/>
                      <w:color w:val="auto"/>
                      <w:szCs w:val="32"/>
                      <w:highlight w:val="none"/>
                    </w:rPr>
                    <w:t>临界量（t）</w:t>
                  </w:r>
                </w:p>
              </w:tc>
              <w:tc>
                <w:tcPr>
                  <w:tcW w:w="926" w:type="pct"/>
                  <w:tcBorders>
                    <w:tl2br w:val="nil"/>
                    <w:tr2bl w:val="nil"/>
                  </w:tcBorders>
                  <w:noWrap/>
                  <w:vAlign w:val="center"/>
                </w:tcPr>
                <w:p w14:paraId="6586541B">
                  <w:pPr>
                    <w:widowControl/>
                    <w:spacing w:line="240" w:lineRule="atLeast"/>
                    <w:jc w:val="center"/>
                    <w:rPr>
                      <w:color w:val="auto"/>
                      <w:szCs w:val="32"/>
                      <w:highlight w:val="none"/>
                    </w:rPr>
                  </w:pPr>
                  <w:r>
                    <w:rPr>
                      <w:rFonts w:hint="eastAsia"/>
                      <w:color w:val="auto"/>
                      <w:szCs w:val="32"/>
                      <w:highlight w:val="none"/>
                    </w:rPr>
                    <w:t>贮存条件</w:t>
                  </w:r>
                </w:p>
              </w:tc>
              <w:tc>
                <w:tcPr>
                  <w:tcW w:w="926" w:type="pct"/>
                  <w:tcBorders>
                    <w:tl2br w:val="nil"/>
                    <w:tr2bl w:val="nil"/>
                  </w:tcBorders>
                  <w:noWrap/>
                  <w:vAlign w:val="center"/>
                </w:tcPr>
                <w:p w14:paraId="4BE86712">
                  <w:pPr>
                    <w:widowControl/>
                    <w:spacing w:line="240" w:lineRule="atLeast"/>
                    <w:jc w:val="center"/>
                    <w:rPr>
                      <w:rFonts w:hint="default" w:eastAsia="宋体"/>
                      <w:color w:val="auto"/>
                      <w:szCs w:val="32"/>
                      <w:highlight w:val="none"/>
                      <w:lang w:val="en-US" w:eastAsia="zh-CN"/>
                    </w:rPr>
                  </w:pPr>
                  <w:r>
                    <w:rPr>
                      <w:rFonts w:hint="eastAsia"/>
                      <w:color w:val="auto"/>
                      <w:szCs w:val="32"/>
                      <w:highlight w:val="none"/>
                      <w:lang w:val="en-US" w:eastAsia="zh-CN"/>
                    </w:rPr>
                    <w:t>贮存位置</w:t>
                  </w:r>
                </w:p>
              </w:tc>
            </w:tr>
            <w:tr w14:paraId="3371E2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1249" w:type="pct"/>
                  <w:tcBorders>
                    <w:tl2br w:val="nil"/>
                    <w:tr2bl w:val="nil"/>
                  </w:tcBorders>
                  <w:noWrap/>
                  <w:vAlign w:val="center"/>
                </w:tcPr>
                <w:p w14:paraId="4FE1751F">
                  <w:pPr>
                    <w:widowControl/>
                    <w:spacing w:line="240" w:lineRule="atLeast"/>
                    <w:jc w:val="center"/>
                    <w:rPr>
                      <w:rFonts w:hint="eastAsia" w:eastAsia="宋体"/>
                      <w:color w:val="auto"/>
                      <w:szCs w:val="32"/>
                      <w:highlight w:val="none"/>
                      <w:lang w:eastAsia="zh-CN"/>
                    </w:rPr>
                  </w:pPr>
                  <w:r>
                    <w:rPr>
                      <w:rFonts w:hint="eastAsia" w:eastAsia="宋体"/>
                      <w:color w:val="auto"/>
                      <w:szCs w:val="32"/>
                      <w:lang w:val="en-US" w:eastAsia="zh-CN"/>
                    </w:rPr>
                    <w:t>矿物油</w:t>
                  </w:r>
                </w:p>
              </w:tc>
              <w:tc>
                <w:tcPr>
                  <w:tcW w:w="1098" w:type="pct"/>
                  <w:tcBorders>
                    <w:tl2br w:val="nil"/>
                    <w:tr2bl w:val="nil"/>
                  </w:tcBorders>
                  <w:noWrap/>
                  <w:vAlign w:val="center"/>
                </w:tcPr>
                <w:p w14:paraId="59E98007">
                  <w:pPr>
                    <w:widowControl/>
                    <w:spacing w:line="240" w:lineRule="atLeast"/>
                    <w:jc w:val="center"/>
                    <w:rPr>
                      <w:rFonts w:hint="default" w:eastAsia="宋体"/>
                      <w:color w:val="auto"/>
                      <w:szCs w:val="32"/>
                      <w:highlight w:val="none"/>
                      <w:lang w:val="en-US" w:eastAsia="zh-CN"/>
                    </w:rPr>
                  </w:pPr>
                  <w:r>
                    <w:rPr>
                      <w:rFonts w:hint="eastAsia"/>
                      <w:color w:val="auto"/>
                      <w:szCs w:val="32"/>
                      <w:lang w:val="en-US" w:eastAsia="zh-CN"/>
                    </w:rPr>
                    <w:t>1</w:t>
                  </w:r>
                </w:p>
              </w:tc>
              <w:tc>
                <w:tcPr>
                  <w:tcW w:w="799" w:type="pct"/>
                  <w:tcBorders>
                    <w:tl2br w:val="nil"/>
                    <w:tr2bl w:val="nil"/>
                  </w:tcBorders>
                  <w:noWrap/>
                  <w:vAlign w:val="center"/>
                </w:tcPr>
                <w:p w14:paraId="55303DC3">
                  <w:pPr>
                    <w:widowControl/>
                    <w:spacing w:line="240" w:lineRule="atLeast"/>
                    <w:jc w:val="center"/>
                    <w:rPr>
                      <w:rFonts w:hint="default" w:eastAsia="宋体"/>
                      <w:color w:val="auto"/>
                      <w:szCs w:val="32"/>
                      <w:highlight w:val="none"/>
                      <w:lang w:val="en-US" w:eastAsia="zh-CN"/>
                    </w:rPr>
                  </w:pPr>
                  <w:r>
                    <w:rPr>
                      <w:rFonts w:hint="eastAsia"/>
                      <w:color w:val="auto"/>
                      <w:szCs w:val="32"/>
                    </w:rPr>
                    <w:t>2500</w:t>
                  </w:r>
                </w:p>
              </w:tc>
              <w:tc>
                <w:tcPr>
                  <w:tcW w:w="926" w:type="pct"/>
                  <w:tcBorders>
                    <w:tl2br w:val="nil"/>
                    <w:tr2bl w:val="nil"/>
                  </w:tcBorders>
                  <w:noWrap/>
                  <w:vAlign w:val="center"/>
                </w:tcPr>
                <w:p w14:paraId="015FD8C7">
                  <w:pPr>
                    <w:widowControl/>
                    <w:spacing w:line="240" w:lineRule="atLeast"/>
                    <w:jc w:val="center"/>
                    <w:rPr>
                      <w:color w:val="auto"/>
                      <w:szCs w:val="32"/>
                      <w:highlight w:val="none"/>
                    </w:rPr>
                  </w:pPr>
                  <w:r>
                    <w:rPr>
                      <w:rFonts w:hint="eastAsia"/>
                      <w:color w:val="auto"/>
                      <w:szCs w:val="32"/>
                      <w:lang w:val="en-US" w:eastAsia="zh-CN"/>
                    </w:rPr>
                    <w:t>桶装</w:t>
                  </w:r>
                </w:p>
              </w:tc>
              <w:tc>
                <w:tcPr>
                  <w:tcW w:w="926" w:type="pct"/>
                  <w:tcBorders>
                    <w:tl2br w:val="nil"/>
                    <w:tr2bl w:val="nil"/>
                  </w:tcBorders>
                  <w:noWrap/>
                  <w:vAlign w:val="center"/>
                </w:tcPr>
                <w:p w14:paraId="79FC6818">
                  <w:pPr>
                    <w:widowControl/>
                    <w:spacing w:line="240" w:lineRule="atLeast"/>
                    <w:jc w:val="center"/>
                    <w:rPr>
                      <w:rFonts w:hint="default" w:eastAsia="宋体"/>
                      <w:color w:val="auto"/>
                      <w:szCs w:val="32"/>
                      <w:lang w:val="en-US" w:eastAsia="zh-CN"/>
                    </w:rPr>
                  </w:pPr>
                  <w:r>
                    <w:rPr>
                      <w:rFonts w:hint="eastAsia"/>
                      <w:color w:val="auto"/>
                      <w:szCs w:val="32"/>
                      <w:lang w:val="en-US" w:eastAsia="zh-CN"/>
                    </w:rPr>
                    <w:t>维修区</w:t>
                  </w:r>
                </w:p>
              </w:tc>
            </w:tr>
            <w:tr w14:paraId="192180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1249" w:type="pct"/>
                  <w:tcBorders>
                    <w:tl2br w:val="nil"/>
                    <w:tr2bl w:val="nil"/>
                  </w:tcBorders>
                  <w:noWrap/>
                  <w:vAlign w:val="center"/>
                </w:tcPr>
                <w:p w14:paraId="3A2B0C79">
                  <w:pPr>
                    <w:widowControl/>
                    <w:spacing w:line="240" w:lineRule="atLeast"/>
                    <w:jc w:val="center"/>
                    <w:rPr>
                      <w:rFonts w:hint="default" w:eastAsia="宋体"/>
                      <w:color w:val="auto"/>
                      <w:szCs w:val="32"/>
                      <w:lang w:val="en-US" w:eastAsia="zh-CN"/>
                    </w:rPr>
                  </w:pPr>
                  <w:r>
                    <w:rPr>
                      <w:rFonts w:hint="eastAsia"/>
                      <w:color w:val="auto"/>
                      <w:szCs w:val="32"/>
                      <w:lang w:val="en-US" w:eastAsia="zh-CN"/>
                    </w:rPr>
                    <w:t>丙烷</w:t>
                  </w:r>
                </w:p>
              </w:tc>
              <w:tc>
                <w:tcPr>
                  <w:tcW w:w="1098" w:type="pct"/>
                  <w:tcBorders>
                    <w:tl2br w:val="nil"/>
                    <w:tr2bl w:val="nil"/>
                  </w:tcBorders>
                  <w:noWrap/>
                  <w:vAlign w:val="center"/>
                </w:tcPr>
                <w:p w14:paraId="4BB88938">
                  <w:pPr>
                    <w:widowControl/>
                    <w:spacing w:line="240" w:lineRule="atLeast"/>
                    <w:jc w:val="center"/>
                    <w:rPr>
                      <w:rFonts w:hint="default"/>
                      <w:color w:val="auto"/>
                      <w:szCs w:val="32"/>
                      <w:lang w:val="en-US" w:eastAsia="zh-CN"/>
                    </w:rPr>
                  </w:pPr>
                  <w:r>
                    <w:rPr>
                      <w:rFonts w:hint="eastAsia"/>
                      <w:color w:val="auto"/>
                      <w:szCs w:val="32"/>
                      <w:lang w:val="en-US" w:eastAsia="zh-CN"/>
                    </w:rPr>
                    <w:t>3.76</w:t>
                  </w:r>
                </w:p>
              </w:tc>
              <w:tc>
                <w:tcPr>
                  <w:tcW w:w="799" w:type="pct"/>
                  <w:tcBorders>
                    <w:tl2br w:val="nil"/>
                    <w:tr2bl w:val="nil"/>
                  </w:tcBorders>
                  <w:noWrap/>
                  <w:vAlign w:val="center"/>
                </w:tcPr>
                <w:p w14:paraId="033C812E">
                  <w:pPr>
                    <w:widowControl/>
                    <w:spacing w:line="240" w:lineRule="atLeast"/>
                    <w:jc w:val="center"/>
                    <w:rPr>
                      <w:rFonts w:hint="default" w:eastAsia="宋体"/>
                      <w:color w:val="auto"/>
                      <w:szCs w:val="32"/>
                      <w:lang w:val="en-US" w:eastAsia="zh-CN"/>
                    </w:rPr>
                  </w:pPr>
                  <w:r>
                    <w:rPr>
                      <w:rFonts w:hint="eastAsia"/>
                      <w:color w:val="auto"/>
                      <w:szCs w:val="32"/>
                      <w:lang w:val="en-US" w:eastAsia="zh-CN"/>
                    </w:rPr>
                    <w:t>10</w:t>
                  </w:r>
                </w:p>
              </w:tc>
              <w:tc>
                <w:tcPr>
                  <w:tcW w:w="926" w:type="pct"/>
                  <w:tcBorders>
                    <w:tl2br w:val="nil"/>
                    <w:tr2bl w:val="nil"/>
                  </w:tcBorders>
                  <w:noWrap/>
                  <w:vAlign w:val="center"/>
                </w:tcPr>
                <w:p w14:paraId="5AC0BED1">
                  <w:pPr>
                    <w:widowControl/>
                    <w:spacing w:line="240" w:lineRule="atLeast"/>
                    <w:jc w:val="center"/>
                    <w:rPr>
                      <w:rFonts w:hint="default" w:eastAsia="宋体"/>
                      <w:color w:val="auto"/>
                      <w:szCs w:val="32"/>
                      <w:lang w:val="en-US" w:eastAsia="zh-CN"/>
                    </w:rPr>
                  </w:pPr>
                  <w:r>
                    <w:rPr>
                      <w:rFonts w:hint="eastAsia"/>
                      <w:color w:val="auto"/>
                      <w:szCs w:val="32"/>
                      <w:lang w:val="en-US" w:eastAsia="zh-CN"/>
                    </w:rPr>
                    <w:t>瓶装</w:t>
                  </w:r>
                </w:p>
              </w:tc>
              <w:tc>
                <w:tcPr>
                  <w:tcW w:w="926" w:type="pct"/>
                  <w:tcBorders>
                    <w:tl2br w:val="nil"/>
                    <w:tr2bl w:val="nil"/>
                  </w:tcBorders>
                  <w:noWrap/>
                  <w:vAlign w:val="center"/>
                </w:tcPr>
                <w:p w14:paraId="013FCAA3">
                  <w:pPr>
                    <w:widowControl/>
                    <w:spacing w:line="240" w:lineRule="atLeast"/>
                    <w:jc w:val="center"/>
                    <w:rPr>
                      <w:rFonts w:hint="default"/>
                      <w:color w:val="auto"/>
                      <w:szCs w:val="32"/>
                      <w:lang w:val="en-US" w:eastAsia="zh-CN"/>
                    </w:rPr>
                  </w:pPr>
                  <w:r>
                    <w:rPr>
                      <w:rFonts w:hint="eastAsia"/>
                      <w:color w:val="auto"/>
                      <w:szCs w:val="32"/>
                      <w:lang w:val="en-US" w:eastAsia="zh-CN"/>
                    </w:rPr>
                    <w:t>生产区、原料区</w:t>
                  </w:r>
                </w:p>
              </w:tc>
            </w:tr>
            <w:tr w14:paraId="394834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1249" w:type="pct"/>
                  <w:tcBorders>
                    <w:tl2br w:val="nil"/>
                    <w:tr2bl w:val="nil"/>
                  </w:tcBorders>
                  <w:noWrap/>
                  <w:vAlign w:val="center"/>
                </w:tcPr>
                <w:p w14:paraId="7874111F">
                  <w:pPr>
                    <w:widowControl/>
                    <w:spacing w:line="240" w:lineRule="atLeast"/>
                    <w:jc w:val="center"/>
                    <w:rPr>
                      <w:rFonts w:hint="default"/>
                      <w:color w:val="auto"/>
                      <w:szCs w:val="32"/>
                      <w:lang w:val="en-US" w:eastAsia="zh-CN"/>
                    </w:rPr>
                  </w:pPr>
                  <w:r>
                    <w:rPr>
                      <w:rFonts w:hint="eastAsia"/>
                      <w:color w:val="auto"/>
                      <w:szCs w:val="32"/>
                      <w:lang w:val="en-US" w:eastAsia="zh-CN"/>
                    </w:rPr>
                    <w:t>丁烷</w:t>
                  </w:r>
                </w:p>
              </w:tc>
              <w:tc>
                <w:tcPr>
                  <w:tcW w:w="1098" w:type="pct"/>
                  <w:tcBorders>
                    <w:tl2br w:val="nil"/>
                    <w:tr2bl w:val="nil"/>
                  </w:tcBorders>
                  <w:noWrap/>
                  <w:vAlign w:val="center"/>
                </w:tcPr>
                <w:p w14:paraId="5BD99F0D">
                  <w:pPr>
                    <w:widowControl/>
                    <w:spacing w:line="240" w:lineRule="atLeast"/>
                    <w:jc w:val="center"/>
                    <w:rPr>
                      <w:rFonts w:hint="default"/>
                      <w:color w:val="auto"/>
                      <w:szCs w:val="32"/>
                      <w:lang w:val="en-US" w:eastAsia="zh-CN"/>
                    </w:rPr>
                  </w:pPr>
                  <w:r>
                    <w:rPr>
                      <w:rFonts w:hint="eastAsia"/>
                      <w:color w:val="auto"/>
                      <w:szCs w:val="32"/>
                      <w:lang w:val="en-US" w:eastAsia="zh-CN"/>
                    </w:rPr>
                    <w:t>0.94</w:t>
                  </w:r>
                </w:p>
              </w:tc>
              <w:tc>
                <w:tcPr>
                  <w:tcW w:w="799" w:type="pct"/>
                  <w:tcBorders>
                    <w:tl2br w:val="nil"/>
                    <w:tr2bl w:val="nil"/>
                  </w:tcBorders>
                  <w:noWrap/>
                  <w:vAlign w:val="center"/>
                </w:tcPr>
                <w:p w14:paraId="6C89D547">
                  <w:pPr>
                    <w:widowControl/>
                    <w:spacing w:line="240" w:lineRule="atLeast"/>
                    <w:jc w:val="center"/>
                    <w:rPr>
                      <w:rFonts w:hint="default"/>
                      <w:color w:val="auto"/>
                      <w:szCs w:val="32"/>
                      <w:lang w:val="en-US" w:eastAsia="zh-CN"/>
                    </w:rPr>
                  </w:pPr>
                  <w:r>
                    <w:rPr>
                      <w:rFonts w:hint="eastAsia"/>
                      <w:color w:val="auto"/>
                      <w:szCs w:val="32"/>
                      <w:lang w:val="en-US" w:eastAsia="zh-CN"/>
                    </w:rPr>
                    <w:t>10</w:t>
                  </w:r>
                </w:p>
              </w:tc>
              <w:tc>
                <w:tcPr>
                  <w:tcW w:w="926" w:type="pct"/>
                  <w:tcBorders>
                    <w:tl2br w:val="nil"/>
                    <w:tr2bl w:val="nil"/>
                  </w:tcBorders>
                  <w:shd w:val="clear" w:color="auto" w:fill="auto"/>
                  <w:noWrap/>
                  <w:vAlign w:val="center"/>
                </w:tcPr>
                <w:p w14:paraId="49180F0F">
                  <w:pPr>
                    <w:widowControl/>
                    <w:spacing w:line="240" w:lineRule="atLeast"/>
                    <w:jc w:val="center"/>
                    <w:rPr>
                      <w:rFonts w:hint="eastAsia" w:ascii="Times New Roman" w:hAnsi="Times New Roman" w:eastAsia="宋体" w:cs="Times New Roman"/>
                      <w:color w:val="auto"/>
                      <w:kern w:val="2"/>
                      <w:sz w:val="21"/>
                      <w:szCs w:val="32"/>
                      <w:lang w:val="en-US" w:eastAsia="zh-CN" w:bidi="ar-SA"/>
                    </w:rPr>
                  </w:pPr>
                  <w:r>
                    <w:rPr>
                      <w:rFonts w:hint="eastAsia"/>
                      <w:color w:val="auto"/>
                      <w:szCs w:val="32"/>
                      <w:lang w:val="en-US" w:eastAsia="zh-CN"/>
                    </w:rPr>
                    <w:t>瓶装</w:t>
                  </w:r>
                </w:p>
              </w:tc>
              <w:tc>
                <w:tcPr>
                  <w:tcW w:w="926" w:type="pct"/>
                  <w:tcBorders>
                    <w:tl2br w:val="nil"/>
                    <w:tr2bl w:val="nil"/>
                  </w:tcBorders>
                  <w:shd w:val="clear" w:color="auto" w:fill="auto"/>
                  <w:noWrap/>
                  <w:vAlign w:val="center"/>
                </w:tcPr>
                <w:p w14:paraId="735E810C">
                  <w:pPr>
                    <w:widowControl/>
                    <w:spacing w:line="240" w:lineRule="atLeast"/>
                    <w:jc w:val="center"/>
                    <w:rPr>
                      <w:rFonts w:hint="eastAsia" w:ascii="Times New Roman" w:hAnsi="Times New Roman" w:eastAsia="宋体" w:cs="Times New Roman"/>
                      <w:color w:val="auto"/>
                      <w:kern w:val="2"/>
                      <w:sz w:val="21"/>
                      <w:szCs w:val="32"/>
                      <w:lang w:val="en-US" w:eastAsia="zh-CN" w:bidi="ar-SA"/>
                    </w:rPr>
                  </w:pPr>
                  <w:r>
                    <w:rPr>
                      <w:rFonts w:hint="eastAsia"/>
                      <w:color w:val="auto"/>
                      <w:szCs w:val="32"/>
                      <w:lang w:val="en-US" w:eastAsia="zh-CN"/>
                    </w:rPr>
                    <w:t>生产区、原料区</w:t>
                  </w:r>
                </w:p>
              </w:tc>
            </w:tr>
            <w:tr w14:paraId="658360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1249" w:type="pct"/>
                  <w:tcBorders>
                    <w:tl2br w:val="nil"/>
                    <w:tr2bl w:val="nil"/>
                  </w:tcBorders>
                  <w:noWrap/>
                  <w:vAlign w:val="center"/>
                </w:tcPr>
                <w:p w14:paraId="26E29243">
                  <w:pPr>
                    <w:widowControl/>
                    <w:spacing w:line="240" w:lineRule="atLeast"/>
                    <w:jc w:val="center"/>
                    <w:rPr>
                      <w:rFonts w:hint="default"/>
                      <w:color w:val="auto"/>
                      <w:szCs w:val="32"/>
                      <w:lang w:val="en-US" w:eastAsia="zh-CN"/>
                    </w:rPr>
                  </w:pPr>
                  <w:r>
                    <w:rPr>
                      <w:rFonts w:hint="eastAsia"/>
                      <w:color w:val="auto"/>
                      <w:szCs w:val="32"/>
                      <w:lang w:val="en-US" w:eastAsia="zh-CN"/>
                    </w:rPr>
                    <w:t>磷酸</w:t>
                  </w:r>
                </w:p>
              </w:tc>
              <w:tc>
                <w:tcPr>
                  <w:tcW w:w="1098" w:type="pct"/>
                  <w:tcBorders>
                    <w:tl2br w:val="nil"/>
                    <w:tr2bl w:val="nil"/>
                  </w:tcBorders>
                  <w:noWrap/>
                  <w:vAlign w:val="center"/>
                </w:tcPr>
                <w:p w14:paraId="34395247">
                  <w:pPr>
                    <w:widowControl/>
                    <w:spacing w:line="240" w:lineRule="atLeast"/>
                    <w:jc w:val="center"/>
                    <w:rPr>
                      <w:rFonts w:hint="default"/>
                      <w:color w:val="auto"/>
                      <w:szCs w:val="32"/>
                      <w:lang w:val="en-US" w:eastAsia="zh-CN"/>
                    </w:rPr>
                  </w:pPr>
                  <w:r>
                    <w:rPr>
                      <w:rFonts w:hint="eastAsia"/>
                      <w:color w:val="auto"/>
                      <w:szCs w:val="32"/>
                      <w:lang w:val="en-US" w:eastAsia="zh-CN"/>
                    </w:rPr>
                    <w:t>0.25</w:t>
                  </w:r>
                </w:p>
              </w:tc>
              <w:tc>
                <w:tcPr>
                  <w:tcW w:w="799" w:type="pct"/>
                  <w:tcBorders>
                    <w:tl2br w:val="nil"/>
                    <w:tr2bl w:val="nil"/>
                  </w:tcBorders>
                  <w:noWrap/>
                  <w:vAlign w:val="center"/>
                </w:tcPr>
                <w:p w14:paraId="6757FBD6">
                  <w:pPr>
                    <w:widowControl/>
                    <w:spacing w:line="240" w:lineRule="atLeast"/>
                    <w:jc w:val="center"/>
                    <w:rPr>
                      <w:rFonts w:hint="default"/>
                      <w:color w:val="auto"/>
                      <w:szCs w:val="32"/>
                      <w:lang w:val="en-US" w:eastAsia="zh-CN"/>
                    </w:rPr>
                  </w:pPr>
                  <w:r>
                    <w:rPr>
                      <w:rFonts w:hint="eastAsia"/>
                      <w:color w:val="auto"/>
                      <w:szCs w:val="32"/>
                      <w:lang w:val="en-US" w:eastAsia="zh-CN"/>
                    </w:rPr>
                    <w:t>10</w:t>
                  </w:r>
                </w:p>
              </w:tc>
              <w:tc>
                <w:tcPr>
                  <w:tcW w:w="926" w:type="pct"/>
                  <w:tcBorders>
                    <w:tl2br w:val="nil"/>
                    <w:tr2bl w:val="nil"/>
                  </w:tcBorders>
                  <w:noWrap/>
                  <w:vAlign w:val="center"/>
                </w:tcPr>
                <w:p w14:paraId="19CDE94E">
                  <w:pPr>
                    <w:widowControl/>
                    <w:spacing w:line="240" w:lineRule="atLeast"/>
                    <w:jc w:val="center"/>
                    <w:rPr>
                      <w:rFonts w:hint="default"/>
                      <w:color w:val="auto"/>
                      <w:szCs w:val="32"/>
                      <w:lang w:val="en-US" w:eastAsia="zh-CN"/>
                    </w:rPr>
                  </w:pPr>
                  <w:r>
                    <w:rPr>
                      <w:rFonts w:hint="eastAsia"/>
                      <w:color w:val="auto"/>
                      <w:szCs w:val="32"/>
                      <w:lang w:val="en-US" w:eastAsia="zh-CN"/>
                    </w:rPr>
                    <w:t>桶装</w:t>
                  </w:r>
                </w:p>
              </w:tc>
              <w:tc>
                <w:tcPr>
                  <w:tcW w:w="926" w:type="pct"/>
                  <w:tcBorders>
                    <w:tl2br w:val="nil"/>
                    <w:tr2bl w:val="nil"/>
                  </w:tcBorders>
                  <w:noWrap/>
                  <w:vAlign w:val="center"/>
                </w:tcPr>
                <w:p w14:paraId="0A9C6D33">
                  <w:pPr>
                    <w:widowControl/>
                    <w:spacing w:line="240" w:lineRule="atLeast"/>
                    <w:jc w:val="center"/>
                    <w:rPr>
                      <w:rFonts w:hint="eastAsia"/>
                      <w:color w:val="auto"/>
                      <w:szCs w:val="32"/>
                      <w:lang w:val="en-US" w:eastAsia="zh-CN"/>
                    </w:rPr>
                  </w:pPr>
                  <w:r>
                    <w:rPr>
                      <w:rFonts w:hint="eastAsia"/>
                      <w:color w:val="auto"/>
                      <w:szCs w:val="32"/>
                      <w:lang w:val="en-US" w:eastAsia="zh-CN"/>
                    </w:rPr>
                    <w:t>生产区、原料区</w:t>
                  </w:r>
                </w:p>
              </w:tc>
            </w:tr>
          </w:tbl>
          <w:p w14:paraId="0A91C0C8">
            <w:pPr>
              <w:spacing w:line="500" w:lineRule="exact"/>
              <w:jc w:val="center"/>
              <w:rPr>
                <w:b/>
                <w:bCs/>
                <w:color w:val="auto"/>
                <w:sz w:val="24"/>
                <w:highlight w:val="none"/>
              </w:rPr>
            </w:pPr>
            <w:r>
              <w:rPr>
                <w:b/>
                <w:bCs/>
                <w:color w:val="auto"/>
                <w:sz w:val="24"/>
                <w:highlight w:val="none"/>
              </w:rPr>
              <w:t>表</w:t>
            </w:r>
            <w:r>
              <w:rPr>
                <w:rFonts w:hint="eastAsia"/>
                <w:b/>
                <w:bCs/>
                <w:color w:val="auto"/>
                <w:sz w:val="24"/>
                <w:highlight w:val="none"/>
              </w:rPr>
              <w:t>4-</w:t>
            </w:r>
            <w:r>
              <w:rPr>
                <w:rFonts w:hint="eastAsia"/>
                <w:b/>
                <w:bCs/>
                <w:color w:val="auto"/>
                <w:sz w:val="24"/>
                <w:highlight w:val="none"/>
                <w:lang w:val="en-US" w:eastAsia="zh-CN"/>
              </w:rPr>
              <w:t xml:space="preserve">25 </w:t>
            </w:r>
            <w:r>
              <w:rPr>
                <w:b/>
                <w:bCs/>
                <w:color w:val="auto"/>
                <w:sz w:val="24"/>
                <w:highlight w:val="none"/>
              </w:rPr>
              <w:t>项目Q值确定表</w:t>
            </w:r>
          </w:p>
          <w:tbl>
            <w:tblPr>
              <w:tblStyle w:val="4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1533"/>
              <w:gridCol w:w="1063"/>
              <w:gridCol w:w="1076"/>
              <w:gridCol w:w="1197"/>
              <w:gridCol w:w="1895"/>
            </w:tblGrid>
            <w:tr w14:paraId="5258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4" w:hRule="atLeast"/>
              </w:trPr>
              <w:tc>
                <w:tcPr>
                  <w:tcW w:w="429" w:type="pct"/>
                  <w:tcBorders>
                    <w:tl2br w:val="nil"/>
                    <w:tr2bl w:val="nil"/>
                  </w:tcBorders>
                  <w:noWrap/>
                  <w:vAlign w:val="center"/>
                </w:tcPr>
                <w:p w14:paraId="0085FAB4">
                  <w:pPr>
                    <w:jc w:val="center"/>
                    <w:rPr>
                      <w:color w:val="auto"/>
                      <w:sz w:val="21"/>
                      <w:szCs w:val="21"/>
                      <w:highlight w:val="none"/>
                    </w:rPr>
                  </w:pPr>
                  <w:r>
                    <w:rPr>
                      <w:color w:val="auto"/>
                      <w:sz w:val="21"/>
                      <w:szCs w:val="21"/>
                      <w:highlight w:val="none"/>
                    </w:rPr>
                    <w:t>序号</w:t>
                  </w:r>
                </w:p>
              </w:tc>
              <w:tc>
                <w:tcPr>
                  <w:tcW w:w="1036" w:type="pct"/>
                  <w:tcBorders>
                    <w:tl2br w:val="nil"/>
                    <w:tr2bl w:val="nil"/>
                  </w:tcBorders>
                  <w:noWrap/>
                  <w:vAlign w:val="center"/>
                </w:tcPr>
                <w:p w14:paraId="5D6D5FA3">
                  <w:pPr>
                    <w:jc w:val="center"/>
                    <w:rPr>
                      <w:color w:val="auto"/>
                      <w:sz w:val="21"/>
                      <w:szCs w:val="21"/>
                      <w:highlight w:val="none"/>
                    </w:rPr>
                  </w:pPr>
                  <w:r>
                    <w:rPr>
                      <w:color w:val="auto"/>
                      <w:sz w:val="21"/>
                      <w:szCs w:val="21"/>
                      <w:highlight w:val="none"/>
                    </w:rPr>
                    <w:t>危险物质名称</w:t>
                  </w:r>
                </w:p>
              </w:tc>
              <w:tc>
                <w:tcPr>
                  <w:tcW w:w="718" w:type="pct"/>
                  <w:tcBorders>
                    <w:tl2br w:val="nil"/>
                    <w:tr2bl w:val="nil"/>
                  </w:tcBorders>
                  <w:noWrap/>
                  <w:vAlign w:val="center"/>
                </w:tcPr>
                <w:p w14:paraId="6ED86837">
                  <w:pPr>
                    <w:jc w:val="center"/>
                    <w:rPr>
                      <w:color w:val="auto"/>
                      <w:sz w:val="21"/>
                      <w:szCs w:val="21"/>
                      <w:highlight w:val="none"/>
                    </w:rPr>
                  </w:pPr>
                  <w:r>
                    <w:rPr>
                      <w:color w:val="auto"/>
                      <w:sz w:val="21"/>
                      <w:szCs w:val="21"/>
                      <w:highlight w:val="none"/>
                    </w:rPr>
                    <w:t>CAS号</w:t>
                  </w:r>
                </w:p>
              </w:tc>
              <w:tc>
                <w:tcPr>
                  <w:tcW w:w="727" w:type="pct"/>
                  <w:tcBorders>
                    <w:tl2br w:val="nil"/>
                    <w:tr2bl w:val="nil"/>
                  </w:tcBorders>
                  <w:noWrap/>
                  <w:vAlign w:val="center"/>
                </w:tcPr>
                <w:p w14:paraId="1528891B">
                  <w:pPr>
                    <w:jc w:val="center"/>
                    <w:rPr>
                      <w:color w:val="auto"/>
                      <w:sz w:val="21"/>
                      <w:szCs w:val="21"/>
                      <w:highlight w:val="none"/>
                    </w:rPr>
                  </w:pPr>
                  <w:r>
                    <w:rPr>
                      <w:color w:val="auto"/>
                      <w:sz w:val="21"/>
                      <w:szCs w:val="21"/>
                      <w:highlight w:val="none"/>
                    </w:rPr>
                    <w:t>最大存</w:t>
                  </w:r>
                </w:p>
                <w:p w14:paraId="46688FD0">
                  <w:pPr>
                    <w:jc w:val="center"/>
                    <w:rPr>
                      <w:color w:val="auto"/>
                      <w:sz w:val="21"/>
                      <w:szCs w:val="21"/>
                      <w:highlight w:val="none"/>
                    </w:rPr>
                  </w:pPr>
                  <w:r>
                    <w:rPr>
                      <w:color w:val="auto"/>
                      <w:sz w:val="21"/>
                      <w:szCs w:val="21"/>
                      <w:highlight w:val="none"/>
                    </w:rPr>
                    <w:t>在总量</w:t>
                  </w:r>
                </w:p>
              </w:tc>
              <w:tc>
                <w:tcPr>
                  <w:tcW w:w="806" w:type="pct"/>
                  <w:tcBorders>
                    <w:tl2br w:val="nil"/>
                    <w:tr2bl w:val="nil"/>
                  </w:tcBorders>
                  <w:noWrap/>
                  <w:vAlign w:val="center"/>
                </w:tcPr>
                <w:p w14:paraId="1398040B">
                  <w:pPr>
                    <w:jc w:val="center"/>
                    <w:rPr>
                      <w:color w:val="auto"/>
                      <w:sz w:val="21"/>
                      <w:szCs w:val="21"/>
                      <w:highlight w:val="none"/>
                    </w:rPr>
                  </w:pPr>
                  <w:r>
                    <w:rPr>
                      <w:color w:val="auto"/>
                      <w:sz w:val="21"/>
                      <w:szCs w:val="21"/>
                      <w:highlight w:val="none"/>
                    </w:rPr>
                    <w:t>临界量</w:t>
                  </w:r>
                </w:p>
              </w:tc>
              <w:tc>
                <w:tcPr>
                  <w:tcW w:w="1280" w:type="pct"/>
                  <w:tcBorders>
                    <w:tl2br w:val="nil"/>
                    <w:tr2bl w:val="nil"/>
                  </w:tcBorders>
                  <w:noWrap/>
                  <w:vAlign w:val="center"/>
                </w:tcPr>
                <w:p w14:paraId="2FD4BE51">
                  <w:pPr>
                    <w:jc w:val="center"/>
                    <w:rPr>
                      <w:color w:val="auto"/>
                      <w:sz w:val="21"/>
                      <w:szCs w:val="21"/>
                      <w:highlight w:val="none"/>
                    </w:rPr>
                  </w:pPr>
                  <w:r>
                    <w:rPr>
                      <w:color w:val="auto"/>
                      <w:sz w:val="21"/>
                      <w:szCs w:val="21"/>
                      <w:highlight w:val="none"/>
                    </w:rPr>
                    <w:t>该种危险物质Q值</w:t>
                  </w:r>
                </w:p>
              </w:tc>
            </w:tr>
            <w:tr w14:paraId="27F40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pct"/>
                  <w:tcBorders>
                    <w:tl2br w:val="nil"/>
                    <w:tr2bl w:val="nil"/>
                  </w:tcBorders>
                  <w:noWrap/>
                  <w:vAlign w:val="center"/>
                </w:tcPr>
                <w:p w14:paraId="6B84E796">
                  <w:pPr>
                    <w:jc w:val="center"/>
                    <w:rPr>
                      <w:color w:val="auto"/>
                      <w:sz w:val="21"/>
                      <w:szCs w:val="21"/>
                      <w:highlight w:val="none"/>
                    </w:rPr>
                  </w:pPr>
                  <w:r>
                    <w:rPr>
                      <w:color w:val="auto"/>
                      <w:sz w:val="21"/>
                      <w:szCs w:val="21"/>
                      <w:highlight w:val="none"/>
                    </w:rPr>
                    <w:t>1</w:t>
                  </w:r>
                </w:p>
              </w:tc>
              <w:tc>
                <w:tcPr>
                  <w:tcW w:w="1036" w:type="pct"/>
                  <w:tcBorders>
                    <w:tl2br w:val="nil"/>
                    <w:tr2bl w:val="nil"/>
                  </w:tcBorders>
                  <w:shd w:val="clear" w:color="auto" w:fill="auto"/>
                  <w:noWrap/>
                  <w:vAlign w:val="center"/>
                </w:tcPr>
                <w:p w14:paraId="5BD94F91">
                  <w:pPr>
                    <w:widowControl/>
                    <w:spacing w:line="240" w:lineRule="atLeast"/>
                    <w:jc w:val="center"/>
                    <w:rPr>
                      <w:rFonts w:hint="eastAsia" w:ascii="Times New Roman" w:hAnsi="Times New Roman" w:eastAsia="宋体" w:cs="Times New Roman"/>
                      <w:color w:val="auto"/>
                      <w:kern w:val="2"/>
                      <w:sz w:val="21"/>
                      <w:szCs w:val="32"/>
                      <w:highlight w:val="none"/>
                      <w:lang w:val="en-US" w:eastAsia="zh-CN" w:bidi="ar-SA"/>
                    </w:rPr>
                  </w:pPr>
                  <w:r>
                    <w:rPr>
                      <w:rFonts w:hint="eastAsia" w:eastAsia="宋体"/>
                      <w:color w:val="auto"/>
                      <w:szCs w:val="32"/>
                      <w:lang w:val="en-US" w:eastAsia="zh-CN"/>
                    </w:rPr>
                    <w:t>矿物油</w:t>
                  </w:r>
                </w:p>
              </w:tc>
              <w:tc>
                <w:tcPr>
                  <w:tcW w:w="718" w:type="pct"/>
                  <w:tcBorders>
                    <w:tl2br w:val="nil"/>
                    <w:tr2bl w:val="nil"/>
                  </w:tcBorders>
                  <w:noWrap/>
                  <w:vAlign w:val="center"/>
                </w:tcPr>
                <w:p w14:paraId="336C41F7">
                  <w:pPr>
                    <w:jc w:val="center"/>
                    <w:rPr>
                      <w:rFonts w:hint="default" w:eastAsia="宋体"/>
                      <w:color w:val="auto"/>
                      <w:sz w:val="21"/>
                      <w:szCs w:val="21"/>
                      <w:highlight w:val="none"/>
                      <w:lang w:val="en-US" w:eastAsia="zh-CN"/>
                    </w:rPr>
                  </w:pPr>
                  <w:r>
                    <w:rPr>
                      <w:rFonts w:hint="eastAsia"/>
                      <w:color w:val="auto"/>
                      <w:szCs w:val="21"/>
                    </w:rPr>
                    <w:t>/</w:t>
                  </w:r>
                </w:p>
              </w:tc>
              <w:tc>
                <w:tcPr>
                  <w:tcW w:w="727" w:type="pct"/>
                  <w:tcBorders>
                    <w:tl2br w:val="nil"/>
                    <w:tr2bl w:val="nil"/>
                  </w:tcBorders>
                  <w:shd w:val="clear" w:color="auto" w:fill="auto"/>
                  <w:noWrap/>
                  <w:vAlign w:val="center"/>
                </w:tcPr>
                <w:p w14:paraId="0A829AA4">
                  <w:pPr>
                    <w:widowControl/>
                    <w:spacing w:line="240" w:lineRule="atLeast"/>
                    <w:jc w:val="center"/>
                    <w:rPr>
                      <w:rFonts w:hint="default" w:ascii="Times New Roman" w:hAnsi="Times New Roman" w:eastAsia="宋体" w:cs="Times New Roman"/>
                      <w:color w:val="auto"/>
                      <w:kern w:val="2"/>
                      <w:sz w:val="21"/>
                      <w:szCs w:val="32"/>
                      <w:highlight w:val="none"/>
                      <w:lang w:val="en-US" w:eastAsia="zh-CN" w:bidi="ar-SA"/>
                    </w:rPr>
                  </w:pPr>
                  <w:r>
                    <w:rPr>
                      <w:rFonts w:hint="eastAsia"/>
                      <w:color w:val="auto"/>
                      <w:szCs w:val="32"/>
                      <w:lang w:val="en-US" w:eastAsia="zh-CN"/>
                    </w:rPr>
                    <w:t>1</w:t>
                  </w:r>
                </w:p>
              </w:tc>
              <w:tc>
                <w:tcPr>
                  <w:tcW w:w="806" w:type="pct"/>
                  <w:tcBorders>
                    <w:tl2br w:val="nil"/>
                    <w:tr2bl w:val="nil"/>
                  </w:tcBorders>
                  <w:shd w:val="clear" w:color="auto" w:fill="auto"/>
                  <w:noWrap/>
                  <w:vAlign w:val="center"/>
                </w:tcPr>
                <w:p w14:paraId="7AFFAE7B">
                  <w:pPr>
                    <w:widowControl/>
                    <w:spacing w:line="240" w:lineRule="atLeast"/>
                    <w:jc w:val="center"/>
                    <w:rPr>
                      <w:rFonts w:hint="default" w:ascii="Times New Roman" w:hAnsi="Times New Roman" w:eastAsia="宋体" w:cs="Times New Roman"/>
                      <w:color w:val="auto"/>
                      <w:kern w:val="2"/>
                      <w:sz w:val="21"/>
                      <w:szCs w:val="32"/>
                      <w:highlight w:val="none"/>
                      <w:lang w:val="en-US" w:eastAsia="zh-CN" w:bidi="ar-SA"/>
                    </w:rPr>
                  </w:pPr>
                  <w:r>
                    <w:rPr>
                      <w:rFonts w:hint="eastAsia"/>
                      <w:color w:val="auto"/>
                      <w:szCs w:val="32"/>
                    </w:rPr>
                    <w:t>2500</w:t>
                  </w:r>
                </w:p>
              </w:tc>
              <w:tc>
                <w:tcPr>
                  <w:tcW w:w="1280" w:type="pct"/>
                  <w:tcBorders>
                    <w:tl2br w:val="nil"/>
                    <w:tr2bl w:val="nil"/>
                  </w:tcBorders>
                  <w:noWrap/>
                  <w:vAlign w:val="center"/>
                </w:tcPr>
                <w:p w14:paraId="65F722B0">
                  <w:pPr>
                    <w:widowControl/>
                    <w:spacing w:line="240" w:lineRule="atLeast"/>
                    <w:jc w:val="center"/>
                    <w:rPr>
                      <w:rFonts w:hint="eastAsia" w:ascii="Times New Roman" w:hAnsi="Times New Roman" w:eastAsia="宋体" w:cs="Times New Roman"/>
                      <w:color w:val="auto"/>
                      <w:kern w:val="2"/>
                      <w:sz w:val="21"/>
                      <w:szCs w:val="32"/>
                      <w:lang w:val="en-US" w:eastAsia="zh-CN" w:bidi="ar-SA"/>
                    </w:rPr>
                  </w:pPr>
                  <w:r>
                    <w:rPr>
                      <w:rFonts w:hint="eastAsia" w:ascii="Times New Roman" w:hAnsi="Times New Roman" w:eastAsia="宋体" w:cs="Times New Roman"/>
                      <w:color w:val="auto"/>
                      <w:kern w:val="2"/>
                      <w:sz w:val="21"/>
                      <w:szCs w:val="32"/>
                      <w:lang w:val="en-US" w:eastAsia="zh-CN" w:bidi="ar-SA"/>
                    </w:rPr>
                    <w:t>0.0004</w:t>
                  </w:r>
                </w:p>
              </w:tc>
            </w:tr>
            <w:tr w14:paraId="446B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pct"/>
                  <w:tcBorders>
                    <w:tl2br w:val="nil"/>
                    <w:tr2bl w:val="nil"/>
                  </w:tcBorders>
                  <w:noWrap/>
                  <w:vAlign w:val="center"/>
                </w:tcPr>
                <w:p w14:paraId="4BA6F081">
                  <w:pPr>
                    <w:jc w:val="center"/>
                    <w:rPr>
                      <w:color w:val="auto"/>
                      <w:sz w:val="21"/>
                      <w:szCs w:val="21"/>
                      <w:highlight w:val="none"/>
                    </w:rPr>
                  </w:pPr>
                </w:p>
              </w:tc>
              <w:tc>
                <w:tcPr>
                  <w:tcW w:w="1036" w:type="pct"/>
                  <w:tcBorders>
                    <w:tl2br w:val="nil"/>
                    <w:tr2bl w:val="nil"/>
                  </w:tcBorders>
                  <w:shd w:val="clear" w:color="auto" w:fill="auto"/>
                  <w:noWrap/>
                  <w:vAlign w:val="center"/>
                </w:tcPr>
                <w:p w14:paraId="602D6D31">
                  <w:pPr>
                    <w:widowControl/>
                    <w:spacing w:line="240" w:lineRule="atLeast"/>
                    <w:jc w:val="center"/>
                    <w:rPr>
                      <w:rFonts w:hint="eastAsia" w:ascii="Times New Roman" w:hAnsi="Times New Roman" w:eastAsia="宋体" w:cs="Times New Roman"/>
                      <w:color w:val="auto"/>
                      <w:kern w:val="2"/>
                      <w:sz w:val="21"/>
                      <w:szCs w:val="32"/>
                      <w:lang w:val="en-US" w:eastAsia="zh-CN" w:bidi="ar-SA"/>
                    </w:rPr>
                  </w:pPr>
                  <w:r>
                    <w:rPr>
                      <w:rFonts w:hint="eastAsia"/>
                      <w:color w:val="auto"/>
                      <w:szCs w:val="32"/>
                      <w:lang w:val="en-US" w:eastAsia="zh-CN"/>
                    </w:rPr>
                    <w:t>丙烷</w:t>
                  </w:r>
                </w:p>
              </w:tc>
              <w:tc>
                <w:tcPr>
                  <w:tcW w:w="718" w:type="pct"/>
                  <w:tcBorders>
                    <w:tl2br w:val="nil"/>
                    <w:tr2bl w:val="nil"/>
                  </w:tcBorders>
                  <w:shd w:val="clear" w:color="auto" w:fill="auto"/>
                  <w:noWrap/>
                  <w:vAlign w:val="center"/>
                </w:tcPr>
                <w:p w14:paraId="6385B9E9">
                  <w:pPr>
                    <w:widowControl/>
                    <w:spacing w:line="240" w:lineRule="atLeast"/>
                    <w:jc w:val="center"/>
                    <w:rPr>
                      <w:rFonts w:hint="eastAsia" w:ascii="Times New Roman" w:hAnsi="Times New Roman" w:eastAsia="宋体" w:cs="Times New Roman"/>
                      <w:color w:val="auto"/>
                      <w:kern w:val="2"/>
                      <w:sz w:val="21"/>
                      <w:szCs w:val="32"/>
                      <w:lang w:val="en-US" w:eastAsia="zh-CN" w:bidi="ar-SA"/>
                    </w:rPr>
                  </w:pPr>
                  <w:r>
                    <w:rPr>
                      <w:rFonts w:hint="eastAsia"/>
                      <w:color w:val="auto"/>
                      <w:szCs w:val="32"/>
                      <w:lang w:val="en-US" w:eastAsia="zh-CN"/>
                    </w:rPr>
                    <w:t>74-98-6</w:t>
                  </w:r>
                </w:p>
              </w:tc>
              <w:tc>
                <w:tcPr>
                  <w:tcW w:w="727" w:type="pct"/>
                  <w:tcBorders>
                    <w:tl2br w:val="nil"/>
                    <w:tr2bl w:val="nil"/>
                  </w:tcBorders>
                  <w:shd w:val="clear" w:color="auto" w:fill="auto"/>
                  <w:noWrap/>
                  <w:vAlign w:val="center"/>
                </w:tcPr>
                <w:p w14:paraId="02854F5B">
                  <w:pPr>
                    <w:widowControl/>
                    <w:spacing w:line="240" w:lineRule="atLeast"/>
                    <w:jc w:val="center"/>
                    <w:rPr>
                      <w:rFonts w:hint="default" w:ascii="Times New Roman" w:hAnsi="Times New Roman" w:eastAsia="宋体" w:cs="Times New Roman"/>
                      <w:color w:val="auto"/>
                      <w:kern w:val="2"/>
                      <w:sz w:val="21"/>
                      <w:szCs w:val="32"/>
                      <w:lang w:val="en-US" w:eastAsia="zh-CN" w:bidi="ar-SA"/>
                    </w:rPr>
                  </w:pPr>
                  <w:r>
                    <w:rPr>
                      <w:rFonts w:hint="eastAsia"/>
                      <w:color w:val="auto"/>
                      <w:szCs w:val="32"/>
                      <w:lang w:val="en-US" w:eastAsia="zh-CN"/>
                    </w:rPr>
                    <w:t>3.76</w:t>
                  </w:r>
                </w:p>
              </w:tc>
              <w:tc>
                <w:tcPr>
                  <w:tcW w:w="806" w:type="pct"/>
                  <w:tcBorders>
                    <w:tl2br w:val="nil"/>
                    <w:tr2bl w:val="nil"/>
                  </w:tcBorders>
                  <w:shd w:val="clear" w:color="auto" w:fill="auto"/>
                  <w:noWrap/>
                  <w:vAlign w:val="center"/>
                </w:tcPr>
                <w:p w14:paraId="6377CD04">
                  <w:pPr>
                    <w:widowControl/>
                    <w:spacing w:line="240" w:lineRule="atLeast"/>
                    <w:jc w:val="center"/>
                    <w:rPr>
                      <w:rFonts w:hint="default" w:ascii="Times New Roman" w:hAnsi="Times New Roman" w:eastAsia="宋体" w:cs="Times New Roman"/>
                      <w:color w:val="auto"/>
                      <w:kern w:val="2"/>
                      <w:sz w:val="21"/>
                      <w:szCs w:val="32"/>
                      <w:lang w:val="en-US" w:eastAsia="zh-CN" w:bidi="ar-SA"/>
                    </w:rPr>
                  </w:pPr>
                  <w:r>
                    <w:rPr>
                      <w:rFonts w:hint="eastAsia"/>
                      <w:color w:val="auto"/>
                      <w:szCs w:val="32"/>
                      <w:lang w:val="en-US" w:eastAsia="zh-CN"/>
                    </w:rPr>
                    <w:t>10</w:t>
                  </w:r>
                </w:p>
              </w:tc>
              <w:tc>
                <w:tcPr>
                  <w:tcW w:w="1280" w:type="pct"/>
                  <w:tcBorders>
                    <w:tl2br w:val="nil"/>
                    <w:tr2bl w:val="nil"/>
                  </w:tcBorders>
                  <w:noWrap/>
                  <w:vAlign w:val="center"/>
                </w:tcPr>
                <w:p w14:paraId="795D4EE7">
                  <w:pPr>
                    <w:widowControl/>
                    <w:spacing w:line="240" w:lineRule="atLeast"/>
                    <w:jc w:val="center"/>
                    <w:rPr>
                      <w:rFonts w:hint="eastAsia" w:ascii="Times New Roman" w:hAnsi="Times New Roman" w:eastAsia="宋体" w:cs="Times New Roman"/>
                      <w:color w:val="auto"/>
                      <w:kern w:val="2"/>
                      <w:sz w:val="21"/>
                      <w:szCs w:val="32"/>
                      <w:lang w:val="en-US" w:eastAsia="zh-CN" w:bidi="ar-SA"/>
                    </w:rPr>
                  </w:pPr>
                  <w:r>
                    <w:rPr>
                      <w:rFonts w:hint="eastAsia" w:ascii="Times New Roman" w:hAnsi="Times New Roman" w:eastAsia="宋体" w:cs="Times New Roman"/>
                      <w:color w:val="auto"/>
                      <w:kern w:val="2"/>
                      <w:sz w:val="21"/>
                      <w:szCs w:val="32"/>
                      <w:lang w:val="en-US" w:eastAsia="zh-CN" w:bidi="ar-SA"/>
                    </w:rPr>
                    <w:t>0.376</w:t>
                  </w:r>
                </w:p>
              </w:tc>
            </w:tr>
            <w:tr w14:paraId="0CBA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pct"/>
                  <w:tcBorders>
                    <w:tl2br w:val="nil"/>
                    <w:tr2bl w:val="nil"/>
                  </w:tcBorders>
                  <w:noWrap/>
                  <w:vAlign w:val="center"/>
                </w:tcPr>
                <w:p w14:paraId="34C2EE2E">
                  <w:pPr>
                    <w:jc w:val="center"/>
                    <w:rPr>
                      <w:color w:val="auto"/>
                      <w:sz w:val="21"/>
                      <w:szCs w:val="21"/>
                      <w:highlight w:val="none"/>
                    </w:rPr>
                  </w:pPr>
                </w:p>
              </w:tc>
              <w:tc>
                <w:tcPr>
                  <w:tcW w:w="1036" w:type="pct"/>
                  <w:tcBorders>
                    <w:tl2br w:val="nil"/>
                    <w:tr2bl w:val="nil"/>
                  </w:tcBorders>
                  <w:shd w:val="clear" w:color="auto" w:fill="auto"/>
                  <w:noWrap/>
                  <w:vAlign w:val="center"/>
                </w:tcPr>
                <w:p w14:paraId="6E6BDCC6">
                  <w:pPr>
                    <w:widowControl/>
                    <w:spacing w:line="240" w:lineRule="atLeast"/>
                    <w:jc w:val="center"/>
                    <w:rPr>
                      <w:rFonts w:hint="eastAsia" w:ascii="Times New Roman" w:hAnsi="Times New Roman" w:eastAsia="宋体" w:cs="Times New Roman"/>
                      <w:color w:val="auto"/>
                      <w:kern w:val="2"/>
                      <w:sz w:val="21"/>
                      <w:szCs w:val="32"/>
                      <w:lang w:val="en-US" w:eastAsia="zh-CN" w:bidi="ar-SA"/>
                    </w:rPr>
                  </w:pPr>
                  <w:r>
                    <w:rPr>
                      <w:rFonts w:hint="eastAsia"/>
                      <w:color w:val="auto"/>
                      <w:szCs w:val="32"/>
                      <w:lang w:val="en-US" w:eastAsia="zh-CN"/>
                    </w:rPr>
                    <w:t>丁烷</w:t>
                  </w:r>
                </w:p>
              </w:tc>
              <w:tc>
                <w:tcPr>
                  <w:tcW w:w="718" w:type="pct"/>
                  <w:tcBorders>
                    <w:tl2br w:val="nil"/>
                    <w:tr2bl w:val="nil"/>
                  </w:tcBorders>
                  <w:shd w:val="clear" w:color="auto" w:fill="auto"/>
                  <w:noWrap/>
                  <w:vAlign w:val="center"/>
                </w:tcPr>
                <w:p w14:paraId="4191BADC">
                  <w:pPr>
                    <w:widowControl/>
                    <w:spacing w:line="240" w:lineRule="atLeast"/>
                    <w:jc w:val="center"/>
                    <w:rPr>
                      <w:rFonts w:hint="eastAsia" w:ascii="Times New Roman" w:hAnsi="Times New Roman" w:eastAsia="宋体" w:cs="Times New Roman"/>
                      <w:color w:val="auto"/>
                      <w:kern w:val="2"/>
                      <w:sz w:val="21"/>
                      <w:szCs w:val="32"/>
                      <w:lang w:val="en-US" w:eastAsia="zh-CN" w:bidi="ar-SA"/>
                    </w:rPr>
                  </w:pPr>
                  <w:r>
                    <w:rPr>
                      <w:rFonts w:hint="eastAsia"/>
                      <w:color w:val="auto"/>
                      <w:szCs w:val="32"/>
                      <w:lang w:val="en-US" w:eastAsia="zh-CN"/>
                    </w:rPr>
                    <w:t>106-97-8</w:t>
                  </w:r>
                </w:p>
              </w:tc>
              <w:tc>
                <w:tcPr>
                  <w:tcW w:w="727" w:type="pct"/>
                  <w:tcBorders>
                    <w:tl2br w:val="nil"/>
                    <w:tr2bl w:val="nil"/>
                  </w:tcBorders>
                  <w:shd w:val="clear" w:color="auto" w:fill="auto"/>
                  <w:noWrap/>
                  <w:vAlign w:val="center"/>
                </w:tcPr>
                <w:p w14:paraId="081C9C51">
                  <w:pPr>
                    <w:widowControl/>
                    <w:spacing w:line="240" w:lineRule="atLeast"/>
                    <w:jc w:val="center"/>
                    <w:rPr>
                      <w:rFonts w:hint="default" w:ascii="Times New Roman" w:hAnsi="Times New Roman" w:eastAsia="宋体" w:cs="Times New Roman"/>
                      <w:color w:val="auto"/>
                      <w:kern w:val="2"/>
                      <w:sz w:val="21"/>
                      <w:szCs w:val="32"/>
                      <w:lang w:val="en-US" w:eastAsia="zh-CN" w:bidi="ar-SA"/>
                    </w:rPr>
                  </w:pPr>
                  <w:r>
                    <w:rPr>
                      <w:rFonts w:hint="eastAsia"/>
                      <w:color w:val="auto"/>
                      <w:szCs w:val="32"/>
                      <w:lang w:val="en-US" w:eastAsia="zh-CN"/>
                    </w:rPr>
                    <w:t>0.94</w:t>
                  </w:r>
                </w:p>
              </w:tc>
              <w:tc>
                <w:tcPr>
                  <w:tcW w:w="806" w:type="pct"/>
                  <w:tcBorders>
                    <w:tl2br w:val="nil"/>
                    <w:tr2bl w:val="nil"/>
                  </w:tcBorders>
                  <w:shd w:val="clear" w:color="auto" w:fill="auto"/>
                  <w:noWrap/>
                  <w:vAlign w:val="center"/>
                </w:tcPr>
                <w:p w14:paraId="61ACB16D">
                  <w:pPr>
                    <w:widowControl/>
                    <w:spacing w:line="240" w:lineRule="atLeast"/>
                    <w:jc w:val="center"/>
                    <w:rPr>
                      <w:rFonts w:hint="default" w:ascii="Times New Roman" w:hAnsi="Times New Roman" w:eastAsia="宋体" w:cs="Times New Roman"/>
                      <w:color w:val="auto"/>
                      <w:kern w:val="2"/>
                      <w:sz w:val="21"/>
                      <w:szCs w:val="32"/>
                      <w:lang w:val="en-US" w:eastAsia="zh-CN" w:bidi="ar-SA"/>
                    </w:rPr>
                  </w:pPr>
                  <w:r>
                    <w:rPr>
                      <w:rFonts w:hint="eastAsia"/>
                      <w:color w:val="auto"/>
                      <w:szCs w:val="32"/>
                      <w:lang w:val="en-US" w:eastAsia="zh-CN"/>
                    </w:rPr>
                    <w:t>10</w:t>
                  </w:r>
                </w:p>
              </w:tc>
              <w:tc>
                <w:tcPr>
                  <w:tcW w:w="1280" w:type="pct"/>
                  <w:tcBorders>
                    <w:tl2br w:val="nil"/>
                    <w:tr2bl w:val="nil"/>
                  </w:tcBorders>
                  <w:noWrap/>
                  <w:vAlign w:val="center"/>
                </w:tcPr>
                <w:p w14:paraId="3FFDB0C6">
                  <w:pPr>
                    <w:widowControl/>
                    <w:spacing w:line="240" w:lineRule="atLeast"/>
                    <w:jc w:val="center"/>
                    <w:rPr>
                      <w:rFonts w:hint="eastAsia" w:ascii="Times New Roman" w:hAnsi="Times New Roman" w:eastAsia="宋体" w:cs="Times New Roman"/>
                      <w:color w:val="auto"/>
                      <w:kern w:val="2"/>
                      <w:sz w:val="21"/>
                      <w:szCs w:val="32"/>
                      <w:lang w:val="en-US" w:eastAsia="zh-CN" w:bidi="ar-SA"/>
                    </w:rPr>
                  </w:pPr>
                  <w:r>
                    <w:rPr>
                      <w:rFonts w:hint="eastAsia" w:ascii="Times New Roman" w:hAnsi="Times New Roman" w:eastAsia="宋体" w:cs="Times New Roman"/>
                      <w:color w:val="auto"/>
                      <w:kern w:val="2"/>
                      <w:sz w:val="21"/>
                      <w:szCs w:val="32"/>
                      <w:lang w:val="en-US" w:eastAsia="zh-CN" w:bidi="ar-SA"/>
                    </w:rPr>
                    <w:t>0.094</w:t>
                  </w:r>
                </w:p>
              </w:tc>
            </w:tr>
            <w:tr w14:paraId="3EBC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pct"/>
                  <w:tcBorders>
                    <w:tl2br w:val="nil"/>
                    <w:tr2bl w:val="nil"/>
                  </w:tcBorders>
                  <w:noWrap/>
                  <w:vAlign w:val="center"/>
                </w:tcPr>
                <w:p w14:paraId="35377BB2">
                  <w:pPr>
                    <w:jc w:val="center"/>
                    <w:rPr>
                      <w:color w:val="auto"/>
                      <w:sz w:val="21"/>
                      <w:szCs w:val="21"/>
                      <w:highlight w:val="none"/>
                    </w:rPr>
                  </w:pPr>
                  <w:r>
                    <w:rPr>
                      <w:rFonts w:hint="eastAsia"/>
                      <w:color w:val="auto"/>
                      <w:sz w:val="21"/>
                      <w:szCs w:val="21"/>
                      <w:highlight w:val="none"/>
                      <w:lang w:val="en-US" w:eastAsia="zh-CN"/>
                    </w:rPr>
                    <w:t>2</w:t>
                  </w:r>
                </w:p>
              </w:tc>
              <w:tc>
                <w:tcPr>
                  <w:tcW w:w="1036" w:type="pct"/>
                  <w:tcBorders>
                    <w:tl2br w:val="nil"/>
                    <w:tr2bl w:val="nil"/>
                  </w:tcBorders>
                  <w:shd w:val="clear" w:color="auto" w:fill="auto"/>
                  <w:noWrap/>
                  <w:vAlign w:val="center"/>
                </w:tcPr>
                <w:p w14:paraId="1D0F333F">
                  <w:pPr>
                    <w:widowControl/>
                    <w:spacing w:line="240" w:lineRule="atLeast"/>
                    <w:jc w:val="center"/>
                    <w:rPr>
                      <w:rFonts w:hint="eastAsia" w:ascii="Times New Roman" w:hAnsi="Times New Roman" w:eastAsia="宋体" w:cs="Times New Roman"/>
                      <w:color w:val="auto"/>
                      <w:kern w:val="2"/>
                      <w:sz w:val="21"/>
                      <w:szCs w:val="32"/>
                      <w:lang w:val="en-US" w:eastAsia="zh-CN" w:bidi="ar-SA"/>
                    </w:rPr>
                  </w:pPr>
                  <w:r>
                    <w:rPr>
                      <w:rFonts w:hint="eastAsia"/>
                      <w:color w:val="auto"/>
                      <w:szCs w:val="32"/>
                      <w:lang w:val="en-US" w:eastAsia="zh-CN"/>
                    </w:rPr>
                    <w:t>磷酸</w:t>
                  </w:r>
                </w:p>
              </w:tc>
              <w:tc>
                <w:tcPr>
                  <w:tcW w:w="718" w:type="pct"/>
                  <w:tcBorders>
                    <w:tl2br w:val="nil"/>
                    <w:tr2bl w:val="nil"/>
                  </w:tcBorders>
                  <w:noWrap/>
                  <w:vAlign w:val="center"/>
                </w:tcPr>
                <w:p w14:paraId="28DC07FE">
                  <w:pPr>
                    <w:jc w:val="center"/>
                    <w:rPr>
                      <w:rFonts w:hint="default" w:eastAsia="宋体"/>
                      <w:color w:val="auto"/>
                      <w:szCs w:val="21"/>
                      <w:lang w:val="en-US" w:eastAsia="zh-CN"/>
                    </w:rPr>
                  </w:pPr>
                  <w:r>
                    <w:rPr>
                      <w:rFonts w:hint="eastAsia"/>
                      <w:color w:val="auto"/>
                      <w:szCs w:val="21"/>
                      <w:lang w:val="en-US" w:eastAsia="zh-CN"/>
                    </w:rPr>
                    <w:t>7664-38-2</w:t>
                  </w:r>
                </w:p>
              </w:tc>
              <w:tc>
                <w:tcPr>
                  <w:tcW w:w="727" w:type="pct"/>
                  <w:tcBorders>
                    <w:tl2br w:val="nil"/>
                    <w:tr2bl w:val="nil"/>
                  </w:tcBorders>
                  <w:shd w:val="clear" w:color="auto" w:fill="auto"/>
                  <w:noWrap/>
                  <w:vAlign w:val="center"/>
                </w:tcPr>
                <w:p w14:paraId="2E5E156D">
                  <w:pPr>
                    <w:widowControl/>
                    <w:spacing w:line="240" w:lineRule="atLeast"/>
                    <w:jc w:val="center"/>
                    <w:rPr>
                      <w:rFonts w:hint="default" w:ascii="Times New Roman" w:hAnsi="Times New Roman" w:eastAsia="宋体" w:cs="Times New Roman"/>
                      <w:color w:val="auto"/>
                      <w:kern w:val="2"/>
                      <w:sz w:val="21"/>
                      <w:szCs w:val="32"/>
                      <w:lang w:val="en-US" w:eastAsia="zh-CN" w:bidi="ar-SA"/>
                    </w:rPr>
                  </w:pPr>
                  <w:r>
                    <w:rPr>
                      <w:rFonts w:hint="eastAsia"/>
                      <w:color w:val="auto"/>
                      <w:szCs w:val="32"/>
                      <w:lang w:val="en-US" w:eastAsia="zh-CN"/>
                    </w:rPr>
                    <w:t>0.25</w:t>
                  </w:r>
                </w:p>
              </w:tc>
              <w:tc>
                <w:tcPr>
                  <w:tcW w:w="806" w:type="pct"/>
                  <w:tcBorders>
                    <w:tl2br w:val="nil"/>
                    <w:tr2bl w:val="nil"/>
                  </w:tcBorders>
                  <w:shd w:val="clear" w:color="auto" w:fill="auto"/>
                  <w:noWrap/>
                  <w:vAlign w:val="center"/>
                </w:tcPr>
                <w:p w14:paraId="64545129">
                  <w:pPr>
                    <w:widowControl/>
                    <w:spacing w:line="240" w:lineRule="atLeast"/>
                    <w:jc w:val="center"/>
                    <w:rPr>
                      <w:rFonts w:hint="default" w:ascii="Times New Roman" w:hAnsi="Times New Roman" w:eastAsia="宋体" w:cs="Times New Roman"/>
                      <w:color w:val="auto"/>
                      <w:kern w:val="2"/>
                      <w:sz w:val="21"/>
                      <w:szCs w:val="32"/>
                      <w:lang w:val="en-US" w:eastAsia="zh-CN" w:bidi="ar-SA"/>
                    </w:rPr>
                  </w:pPr>
                  <w:r>
                    <w:rPr>
                      <w:rFonts w:hint="eastAsia"/>
                      <w:color w:val="auto"/>
                      <w:szCs w:val="32"/>
                      <w:lang w:val="en-US" w:eastAsia="zh-CN"/>
                    </w:rPr>
                    <w:t>10</w:t>
                  </w:r>
                </w:p>
              </w:tc>
              <w:tc>
                <w:tcPr>
                  <w:tcW w:w="1280" w:type="pct"/>
                  <w:tcBorders>
                    <w:tl2br w:val="nil"/>
                    <w:tr2bl w:val="nil"/>
                  </w:tcBorders>
                  <w:noWrap/>
                  <w:vAlign w:val="center"/>
                </w:tcPr>
                <w:p w14:paraId="03174034">
                  <w:pPr>
                    <w:widowControl/>
                    <w:spacing w:line="240" w:lineRule="atLeast"/>
                    <w:jc w:val="center"/>
                    <w:rPr>
                      <w:rFonts w:hint="default" w:ascii="Times New Roman" w:hAnsi="Times New Roman" w:eastAsia="宋体" w:cs="Times New Roman"/>
                      <w:color w:val="auto"/>
                      <w:kern w:val="2"/>
                      <w:sz w:val="21"/>
                      <w:szCs w:val="32"/>
                      <w:lang w:val="en-US" w:eastAsia="zh-CN" w:bidi="ar-SA"/>
                    </w:rPr>
                  </w:pPr>
                  <w:r>
                    <w:rPr>
                      <w:rFonts w:hint="eastAsia" w:ascii="Times New Roman" w:hAnsi="Times New Roman" w:eastAsia="宋体" w:cs="Times New Roman"/>
                      <w:color w:val="auto"/>
                      <w:kern w:val="2"/>
                      <w:sz w:val="21"/>
                      <w:szCs w:val="32"/>
                      <w:lang w:val="en-US" w:eastAsia="zh-CN" w:bidi="ar-SA"/>
                    </w:rPr>
                    <w:t>0.025</w:t>
                  </w:r>
                </w:p>
              </w:tc>
            </w:tr>
            <w:tr w14:paraId="369C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9" w:type="pct"/>
                  <w:gridSpan w:val="5"/>
                  <w:tcBorders>
                    <w:tl2br w:val="nil"/>
                    <w:tr2bl w:val="nil"/>
                  </w:tcBorders>
                  <w:noWrap/>
                  <w:vAlign w:val="center"/>
                </w:tcPr>
                <w:p w14:paraId="5A663EB0">
                  <w:pPr>
                    <w:jc w:val="center"/>
                    <w:rPr>
                      <w:color w:val="auto"/>
                      <w:sz w:val="21"/>
                      <w:szCs w:val="21"/>
                      <w:highlight w:val="none"/>
                      <w:u w:val="single"/>
                    </w:rPr>
                  </w:pPr>
                  <w:r>
                    <w:rPr>
                      <w:color w:val="auto"/>
                      <w:sz w:val="21"/>
                      <w:szCs w:val="21"/>
                      <w:highlight w:val="none"/>
                    </w:rPr>
                    <w:t>项目Q值∑</w:t>
                  </w:r>
                </w:p>
              </w:tc>
              <w:tc>
                <w:tcPr>
                  <w:tcW w:w="1280" w:type="pct"/>
                  <w:tcBorders>
                    <w:tl2br w:val="nil"/>
                    <w:tr2bl w:val="nil"/>
                  </w:tcBorders>
                  <w:shd w:val="clear" w:color="auto" w:fill="auto"/>
                  <w:noWrap/>
                  <w:vAlign w:val="center"/>
                </w:tcPr>
                <w:p w14:paraId="2813393F">
                  <w:pPr>
                    <w:widowControl/>
                    <w:spacing w:line="240" w:lineRule="atLeast"/>
                    <w:jc w:val="center"/>
                    <w:rPr>
                      <w:rFonts w:hint="default" w:ascii="Times New Roman" w:hAnsi="Times New Roman" w:eastAsia="宋体" w:cs="Times New Roman"/>
                      <w:color w:val="auto"/>
                      <w:kern w:val="2"/>
                      <w:sz w:val="21"/>
                      <w:szCs w:val="32"/>
                      <w:lang w:val="en-US" w:eastAsia="zh-CN" w:bidi="ar-SA"/>
                    </w:rPr>
                  </w:pPr>
                  <w:r>
                    <w:rPr>
                      <w:rFonts w:hint="eastAsia" w:ascii="Times New Roman" w:hAnsi="Times New Roman" w:eastAsia="宋体" w:cs="Times New Roman"/>
                      <w:color w:val="auto"/>
                      <w:kern w:val="2"/>
                      <w:sz w:val="21"/>
                      <w:szCs w:val="32"/>
                      <w:lang w:val="en-US" w:eastAsia="zh-CN" w:bidi="ar-SA"/>
                    </w:rPr>
                    <w:t>0.4954</w:t>
                  </w:r>
                </w:p>
              </w:tc>
            </w:tr>
          </w:tbl>
          <w:p w14:paraId="60FC8BC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ascii="Times New Roman" w:hAnsi="Times New Roman" w:eastAsia="宋体"/>
                <w:b/>
                <w:bCs/>
                <w:caps w:val="0"/>
                <w:smallCaps w:val="0"/>
                <w:color w:val="auto"/>
                <w:sz w:val="24"/>
                <w:szCs w:val="24"/>
                <w:highlight w:val="none"/>
                <w:u w:val="none" w:color="auto"/>
              </w:rPr>
            </w:pPr>
            <w:r>
              <w:rPr>
                <w:color w:val="auto"/>
                <w:sz w:val="24"/>
                <w:highlight w:val="none"/>
              </w:rPr>
              <w:t>根据上表可知，项目Q值为</w:t>
            </w:r>
            <w:r>
              <w:rPr>
                <w:rFonts w:hint="eastAsia"/>
                <w:color w:val="auto"/>
                <w:sz w:val="24"/>
                <w:szCs w:val="24"/>
                <w:highlight w:val="none"/>
                <w:lang w:val="en-US" w:eastAsia="zh-CN"/>
              </w:rPr>
              <w:t>0.4954</w:t>
            </w:r>
            <w:r>
              <w:rPr>
                <w:color w:val="auto"/>
                <w:sz w:val="24"/>
                <w:highlight w:val="none"/>
              </w:rPr>
              <w:t>，小于1，则本项目环境风险潜势为I级，环境风险评价等级为简单分析</w:t>
            </w:r>
            <w:r>
              <w:rPr>
                <w:rFonts w:hint="eastAsia"/>
                <w:color w:val="auto"/>
                <w:sz w:val="24"/>
                <w:highlight w:val="none"/>
                <w:lang w:eastAsia="zh-CN"/>
              </w:rPr>
              <w:t>，</w:t>
            </w:r>
            <w:r>
              <w:rPr>
                <w:rFonts w:hint="eastAsia"/>
                <w:color w:val="auto"/>
                <w:sz w:val="24"/>
                <w:highlight w:val="none"/>
                <w:lang w:val="en-US" w:eastAsia="zh-CN"/>
              </w:rPr>
              <w:t>项目不属于设置环境风险专项。</w:t>
            </w:r>
          </w:p>
          <w:p w14:paraId="36F6723F">
            <w:pPr>
              <w:spacing w:line="500" w:lineRule="exact"/>
              <w:ind w:firstLine="480" w:firstLineChars="200"/>
              <w:rPr>
                <w:rFonts w:cs="宋体"/>
                <w:color w:val="auto"/>
                <w:sz w:val="24"/>
                <w:szCs w:val="20"/>
                <w:highlight w:val="none"/>
                <w:lang w:val="zh-CN"/>
              </w:rPr>
            </w:pPr>
            <w:r>
              <w:rPr>
                <w:rFonts w:hint="eastAsia" w:cs="宋体"/>
                <w:color w:val="auto"/>
                <w:sz w:val="24"/>
                <w:szCs w:val="20"/>
                <w:highlight w:val="none"/>
                <w:lang w:val="zh-CN"/>
              </w:rPr>
              <w:t>（</w:t>
            </w:r>
            <w:r>
              <w:rPr>
                <w:rFonts w:hint="eastAsia" w:cs="宋体"/>
                <w:color w:val="auto"/>
                <w:sz w:val="24"/>
                <w:szCs w:val="20"/>
                <w:highlight w:val="none"/>
              </w:rPr>
              <w:t>2</w:t>
            </w:r>
            <w:r>
              <w:rPr>
                <w:rFonts w:hint="eastAsia" w:cs="宋体"/>
                <w:color w:val="auto"/>
                <w:sz w:val="24"/>
                <w:szCs w:val="20"/>
                <w:highlight w:val="none"/>
                <w:lang w:val="zh-CN"/>
              </w:rPr>
              <w:t>）环境风险识别</w:t>
            </w:r>
          </w:p>
          <w:p w14:paraId="2D572DF3">
            <w:pPr>
              <w:adjustRightInd w:val="0"/>
              <w:snapToGrid w:val="0"/>
              <w:spacing w:line="500" w:lineRule="exact"/>
              <w:ind w:left="-19" w:leftChars="-9" w:firstLine="436" w:firstLineChars="182"/>
              <w:rPr>
                <w:rFonts w:hint="eastAsia"/>
                <w:color w:val="auto"/>
                <w:sz w:val="24"/>
                <w:highlight w:val="none"/>
              </w:rPr>
            </w:pPr>
            <w:r>
              <w:rPr>
                <w:rFonts w:hint="eastAsia"/>
                <w:color w:val="auto"/>
                <w:sz w:val="24"/>
                <w:highlight w:val="none"/>
                <w:lang w:val="en-US" w:eastAsia="zh-CN"/>
              </w:rPr>
              <w:t>①</w:t>
            </w:r>
            <w:r>
              <w:rPr>
                <w:rFonts w:hint="eastAsia"/>
                <w:color w:val="auto"/>
                <w:sz w:val="24"/>
                <w:highlight w:val="none"/>
              </w:rPr>
              <w:t>污染大气环境</w:t>
            </w:r>
          </w:p>
          <w:p w14:paraId="5DCD7EAB">
            <w:pPr>
              <w:adjustRightInd w:val="0"/>
              <w:snapToGrid w:val="0"/>
              <w:spacing w:line="500" w:lineRule="exact"/>
              <w:ind w:left="-19" w:leftChars="-9" w:firstLine="436" w:firstLineChars="182"/>
              <w:rPr>
                <w:rFonts w:hint="eastAsia"/>
                <w:color w:val="auto"/>
                <w:sz w:val="24"/>
                <w:highlight w:val="none"/>
              </w:rPr>
            </w:pPr>
            <w:r>
              <w:rPr>
                <w:rFonts w:hint="eastAsia"/>
                <w:color w:val="auto"/>
                <w:sz w:val="24"/>
                <w:highlight w:val="none"/>
              </w:rPr>
              <w:t>项目危废贮存间内的废</w:t>
            </w:r>
            <w:r>
              <w:rPr>
                <w:rFonts w:hint="eastAsia"/>
                <w:color w:val="auto"/>
                <w:sz w:val="24"/>
                <w:highlight w:val="none"/>
                <w:lang w:val="en-US" w:eastAsia="zh-CN"/>
              </w:rPr>
              <w:t>矿物油</w:t>
            </w:r>
            <w:r>
              <w:rPr>
                <w:rFonts w:hint="eastAsia"/>
                <w:color w:val="auto"/>
                <w:sz w:val="24"/>
                <w:highlight w:val="none"/>
              </w:rPr>
              <w:t>、废包装</w:t>
            </w:r>
            <w:r>
              <w:rPr>
                <w:rFonts w:hint="eastAsia"/>
                <w:color w:val="auto"/>
                <w:sz w:val="24"/>
                <w:highlight w:val="none"/>
                <w:lang w:val="en-US" w:eastAsia="zh-CN"/>
              </w:rPr>
              <w:t>物</w:t>
            </w:r>
            <w:r>
              <w:rPr>
                <w:rFonts w:hint="eastAsia"/>
                <w:color w:val="auto"/>
                <w:sz w:val="24"/>
                <w:highlight w:val="none"/>
              </w:rPr>
              <w:t>、废活性炭、废含油棉纱及抹布等属于易燃易爆物质，此外项目部分原料、</w:t>
            </w:r>
            <w:r>
              <w:rPr>
                <w:rFonts w:hint="eastAsia"/>
                <w:color w:val="auto"/>
                <w:sz w:val="24"/>
                <w:highlight w:val="none"/>
                <w:lang w:val="en-US" w:eastAsia="zh-CN"/>
              </w:rPr>
              <w:t>液化石油气</w:t>
            </w:r>
            <w:r>
              <w:rPr>
                <w:rFonts w:hint="eastAsia"/>
                <w:color w:val="auto"/>
                <w:sz w:val="24"/>
                <w:highlight w:val="none"/>
              </w:rPr>
              <w:t>等也属于易燃物质，在储存或使用过程中由于误操作或遇明火等原因发生火灾、爆炸事故时，燃烧产生的CO、烟粉尘等污染物将对空气环境造成影响；厂内废气处理设施故障导致挥发性有机废气、颗粒物、氮氧化物等污染物事故性排放等将对空气环境造成影响。</w:t>
            </w:r>
          </w:p>
          <w:p w14:paraId="7A13F15C">
            <w:pPr>
              <w:adjustRightInd w:val="0"/>
              <w:snapToGrid w:val="0"/>
              <w:spacing w:line="500" w:lineRule="exact"/>
              <w:ind w:left="-19" w:leftChars="-9" w:firstLine="436" w:firstLineChars="182"/>
              <w:rPr>
                <w:rFonts w:hint="eastAsia"/>
                <w:color w:val="auto"/>
                <w:sz w:val="24"/>
                <w:highlight w:val="none"/>
              </w:rPr>
            </w:pPr>
            <w:r>
              <w:rPr>
                <w:rFonts w:hint="eastAsia"/>
                <w:color w:val="auto"/>
                <w:sz w:val="24"/>
                <w:highlight w:val="none"/>
                <w:lang w:val="en-US" w:eastAsia="zh-CN"/>
              </w:rPr>
              <w:t>②</w:t>
            </w:r>
            <w:r>
              <w:rPr>
                <w:rFonts w:hint="eastAsia"/>
                <w:color w:val="auto"/>
                <w:sz w:val="24"/>
                <w:highlight w:val="none"/>
              </w:rPr>
              <w:t>污染水环境</w:t>
            </w:r>
          </w:p>
          <w:p w14:paraId="026362D9">
            <w:pPr>
              <w:adjustRightInd w:val="0"/>
              <w:snapToGrid w:val="0"/>
              <w:spacing w:line="500" w:lineRule="exact"/>
              <w:ind w:left="-19" w:leftChars="-9" w:firstLine="436" w:firstLineChars="182"/>
              <w:rPr>
                <w:rFonts w:hint="eastAsia"/>
                <w:color w:val="auto"/>
                <w:sz w:val="24"/>
                <w:highlight w:val="none"/>
              </w:rPr>
            </w:pPr>
            <w:r>
              <w:rPr>
                <w:rFonts w:hint="eastAsia"/>
                <w:color w:val="auto"/>
                <w:sz w:val="24"/>
                <w:highlight w:val="none"/>
              </w:rPr>
              <w:t>建设项目厂内污水处理设施水池未做好防渗措施时，废水垂直下渗进入环境，污染地下水。或者厂区火灾、爆炸事故发生时灭火产生的消防废水处理不当排入地表水体时，将对周边水体造成影响。</w:t>
            </w:r>
          </w:p>
          <w:p w14:paraId="29EE0FB5">
            <w:pPr>
              <w:adjustRightInd w:val="0"/>
              <w:snapToGrid w:val="0"/>
              <w:spacing w:line="500" w:lineRule="exact"/>
              <w:ind w:left="-19" w:leftChars="-9" w:firstLine="436" w:firstLineChars="182"/>
              <w:rPr>
                <w:rFonts w:hint="eastAsia"/>
                <w:color w:val="auto"/>
                <w:sz w:val="24"/>
                <w:highlight w:val="none"/>
              </w:rPr>
            </w:pPr>
            <w:r>
              <w:rPr>
                <w:rFonts w:hint="eastAsia"/>
                <w:color w:val="auto"/>
                <w:sz w:val="24"/>
                <w:highlight w:val="none"/>
                <w:lang w:val="en-US" w:eastAsia="zh-CN"/>
              </w:rPr>
              <w:t>③</w:t>
            </w:r>
            <w:r>
              <w:rPr>
                <w:rFonts w:hint="eastAsia"/>
                <w:color w:val="auto"/>
                <w:sz w:val="24"/>
                <w:highlight w:val="none"/>
              </w:rPr>
              <w:t>污染地下水和土壤环境</w:t>
            </w:r>
          </w:p>
          <w:p w14:paraId="5C4F2324">
            <w:pPr>
              <w:adjustRightInd w:val="0"/>
              <w:snapToGrid w:val="0"/>
              <w:spacing w:line="500" w:lineRule="exact"/>
              <w:ind w:left="-19" w:leftChars="-9" w:firstLine="436" w:firstLineChars="182"/>
              <w:rPr>
                <w:rFonts w:hint="eastAsia"/>
                <w:bCs/>
                <w:color w:val="auto"/>
                <w:sz w:val="24"/>
                <w:highlight w:val="none"/>
              </w:rPr>
            </w:pPr>
            <w:r>
              <w:rPr>
                <w:rFonts w:hint="eastAsia"/>
                <w:color w:val="auto"/>
                <w:sz w:val="24"/>
                <w:highlight w:val="none"/>
              </w:rPr>
              <w:t>建设项目危险品仓库内暂存的</w:t>
            </w:r>
            <w:r>
              <w:rPr>
                <w:rFonts w:hint="eastAsia"/>
                <w:color w:val="auto"/>
                <w:sz w:val="24"/>
                <w:highlight w:val="none"/>
                <w:lang w:val="en-US" w:eastAsia="zh-CN"/>
              </w:rPr>
              <w:t>润滑油</w:t>
            </w:r>
            <w:r>
              <w:rPr>
                <w:rFonts w:hint="eastAsia"/>
                <w:color w:val="auto"/>
                <w:sz w:val="24"/>
                <w:highlight w:val="none"/>
              </w:rPr>
              <w:t>、脱脂剂、电泳漆等发生泄漏事故时，液体物料泄漏进入环境，污染土壤和地下水</w:t>
            </w:r>
            <w:r>
              <w:rPr>
                <w:rFonts w:hint="eastAsia"/>
                <w:bCs/>
                <w:color w:val="auto"/>
                <w:sz w:val="24"/>
                <w:highlight w:val="none"/>
              </w:rPr>
              <w:t>。</w:t>
            </w:r>
          </w:p>
          <w:p w14:paraId="7CE9B597">
            <w:pPr>
              <w:adjustRightInd w:val="0"/>
              <w:snapToGrid w:val="0"/>
              <w:spacing w:line="500" w:lineRule="exact"/>
              <w:ind w:left="-19" w:leftChars="-9" w:firstLine="436" w:firstLineChars="182"/>
              <w:rPr>
                <w:bCs/>
                <w:color w:val="auto"/>
                <w:sz w:val="24"/>
                <w:highlight w:val="none"/>
              </w:rPr>
            </w:pPr>
            <w:r>
              <w:rPr>
                <w:rFonts w:hint="eastAsia"/>
                <w:bCs/>
                <w:color w:val="auto"/>
                <w:sz w:val="24"/>
                <w:highlight w:val="none"/>
              </w:rPr>
              <w:t>（3）环境风险防范措施</w:t>
            </w:r>
          </w:p>
          <w:p w14:paraId="06468CE8">
            <w:pPr>
              <w:pStyle w:val="111"/>
              <w:spacing w:line="500" w:lineRule="exact"/>
              <w:ind w:firstLine="480"/>
              <w:jc w:val="left"/>
              <w:rPr>
                <w:rFonts w:hint="eastAsia" w:cs="Times New Roman"/>
                <w:color w:val="auto"/>
                <w:highlight w:val="none"/>
              </w:rPr>
            </w:pPr>
            <w:r>
              <w:rPr>
                <w:rFonts w:hint="eastAsia" w:cs="Times New Roman"/>
                <w:color w:val="auto"/>
                <w:highlight w:val="none"/>
              </w:rPr>
              <w:t>A</w:t>
            </w:r>
            <w:r>
              <w:rPr>
                <w:rFonts w:hint="eastAsia" w:cs="Times New Roman"/>
                <w:color w:val="auto"/>
                <w:highlight w:val="none"/>
                <w:lang w:eastAsia="zh-CN"/>
              </w:rPr>
              <w:t>.</w:t>
            </w:r>
            <w:r>
              <w:rPr>
                <w:rFonts w:hint="eastAsia" w:cs="Times New Roman"/>
                <w:color w:val="auto"/>
                <w:highlight w:val="none"/>
              </w:rPr>
              <w:t>加强设备选型，严格按规范要求执行。生产工艺进行充分考虑防火分隔、通风、防泄漏、防爆泄压、消防设施等因素。同时对设备、</w:t>
            </w:r>
            <w:r>
              <w:rPr>
                <w:rFonts w:hint="eastAsia" w:cs="Times New Roman"/>
                <w:color w:val="auto"/>
                <w:highlight w:val="none"/>
                <w:lang w:eastAsia="zh-CN"/>
              </w:rPr>
              <w:t>电器</w:t>
            </w:r>
            <w:r>
              <w:rPr>
                <w:rFonts w:hint="eastAsia" w:cs="Times New Roman"/>
                <w:color w:val="auto"/>
                <w:highlight w:val="none"/>
              </w:rPr>
              <w:t>的防爆要求和</w:t>
            </w:r>
            <w:r>
              <w:rPr>
                <w:rFonts w:hint="eastAsia" w:cs="Times New Roman"/>
                <w:color w:val="auto"/>
                <w:highlight w:val="none"/>
                <w:lang w:eastAsia="zh-CN"/>
              </w:rPr>
              <w:t>电气</w:t>
            </w:r>
            <w:r>
              <w:rPr>
                <w:rFonts w:hint="eastAsia" w:cs="Times New Roman"/>
                <w:color w:val="auto"/>
                <w:highlight w:val="none"/>
              </w:rPr>
              <w:t>线路的防爆处理要严格把关，从而消除先天性火灾隐患。</w:t>
            </w:r>
          </w:p>
          <w:p w14:paraId="7AC9FC6F">
            <w:pPr>
              <w:pStyle w:val="111"/>
              <w:spacing w:line="500" w:lineRule="exact"/>
              <w:ind w:firstLine="480"/>
              <w:jc w:val="left"/>
              <w:rPr>
                <w:rFonts w:hint="eastAsia" w:cs="Times New Roman"/>
                <w:color w:val="auto"/>
                <w:highlight w:val="none"/>
              </w:rPr>
            </w:pPr>
            <w:r>
              <w:rPr>
                <w:rFonts w:hint="eastAsia" w:cs="Times New Roman"/>
                <w:color w:val="auto"/>
                <w:highlight w:val="none"/>
              </w:rPr>
              <w:t>B</w:t>
            </w:r>
            <w:r>
              <w:rPr>
                <w:rFonts w:hint="eastAsia" w:cs="Times New Roman"/>
                <w:color w:val="auto"/>
                <w:highlight w:val="none"/>
                <w:lang w:eastAsia="zh-CN"/>
              </w:rPr>
              <w:t>.</w:t>
            </w:r>
            <w:r>
              <w:rPr>
                <w:rFonts w:hint="eastAsia" w:cs="Times New Roman"/>
                <w:color w:val="auto"/>
                <w:highlight w:val="none"/>
              </w:rPr>
              <w:t>加强企业风险管理。企业的安全生产管理极为重要，必须建立各项安全管理制度并完善安全操作规程，定期进行安全检查和停车检修，及时消除火灾隐患，同时加强对人员的管理，严防违章操作和违反消防安全管理的行为。</w:t>
            </w:r>
          </w:p>
          <w:p w14:paraId="10150B31">
            <w:pPr>
              <w:pStyle w:val="111"/>
              <w:spacing w:line="500" w:lineRule="exact"/>
              <w:ind w:firstLine="480"/>
              <w:jc w:val="left"/>
              <w:rPr>
                <w:rFonts w:hint="eastAsia" w:cs="Times New Roman"/>
                <w:color w:val="auto"/>
                <w:sz w:val="24"/>
                <w:szCs w:val="24"/>
                <w:highlight w:val="none"/>
              </w:rPr>
            </w:pPr>
            <w:r>
              <w:rPr>
                <w:rFonts w:hint="eastAsia" w:cs="Times New Roman"/>
                <w:color w:val="auto"/>
                <w:highlight w:val="none"/>
              </w:rPr>
              <w:t>C</w:t>
            </w:r>
            <w:r>
              <w:rPr>
                <w:rFonts w:hint="eastAsia" w:cs="Times New Roman"/>
                <w:color w:val="auto"/>
                <w:highlight w:val="none"/>
                <w:lang w:eastAsia="zh-CN"/>
              </w:rPr>
              <w:t>.</w:t>
            </w:r>
            <w:r>
              <w:rPr>
                <w:rFonts w:hint="eastAsia" w:cs="Times New Roman"/>
                <w:color w:val="auto"/>
                <w:highlight w:val="none"/>
              </w:rPr>
              <w:t>按要求做好关键环节防静电处理工作。生产的设备均应做好静电接地。接地点应牢固，丝扣连接的部位当电阻值过大时应充分利用跨接，使整个生产过程中的设备和管线的接地电阻值不</w:t>
            </w:r>
            <w:r>
              <w:rPr>
                <w:rFonts w:hint="eastAsia" w:cs="Times New Roman"/>
                <w:color w:val="auto"/>
                <w:sz w:val="24"/>
                <w:szCs w:val="24"/>
                <w:highlight w:val="none"/>
              </w:rPr>
              <w:t>大于规范要求。</w:t>
            </w:r>
          </w:p>
          <w:p w14:paraId="2DACAD99">
            <w:pPr>
              <w:pStyle w:val="111"/>
              <w:spacing w:line="500" w:lineRule="exact"/>
              <w:ind w:firstLine="480"/>
              <w:jc w:val="left"/>
              <w:rPr>
                <w:rFonts w:hint="eastAsia" w:cs="Times New Roman"/>
                <w:color w:val="auto"/>
                <w:sz w:val="24"/>
                <w:szCs w:val="24"/>
                <w:highlight w:val="none"/>
              </w:rPr>
            </w:pPr>
            <w:r>
              <w:rPr>
                <w:rFonts w:hint="eastAsia" w:cs="Times New Roman"/>
                <w:color w:val="auto"/>
                <w:sz w:val="24"/>
                <w:szCs w:val="24"/>
                <w:highlight w:val="none"/>
              </w:rPr>
              <w:t>D</w:t>
            </w:r>
            <w:r>
              <w:rPr>
                <w:rFonts w:hint="eastAsia" w:cs="Times New Roman"/>
                <w:color w:val="auto"/>
                <w:sz w:val="24"/>
                <w:szCs w:val="24"/>
                <w:highlight w:val="none"/>
                <w:lang w:eastAsia="zh-CN"/>
              </w:rPr>
              <w:t>.</w:t>
            </w:r>
            <w:r>
              <w:rPr>
                <w:rFonts w:hint="eastAsia" w:cs="Times New Roman"/>
                <w:color w:val="auto"/>
                <w:sz w:val="24"/>
                <w:szCs w:val="24"/>
                <w:highlight w:val="none"/>
              </w:rPr>
              <w:t>加强员工安全</w:t>
            </w:r>
            <w:r>
              <w:rPr>
                <w:rFonts w:hint="eastAsia" w:cs="Times New Roman"/>
                <w:color w:val="auto"/>
                <w:sz w:val="24"/>
                <w:szCs w:val="24"/>
                <w:highlight w:val="none"/>
                <w:lang w:eastAsia="zh-CN"/>
              </w:rPr>
              <w:t>培训</w:t>
            </w:r>
            <w:r>
              <w:rPr>
                <w:rFonts w:hint="eastAsia" w:cs="Times New Roman"/>
                <w:color w:val="auto"/>
                <w:sz w:val="24"/>
                <w:szCs w:val="24"/>
                <w:highlight w:val="none"/>
              </w:rPr>
              <w:t>。对从业人员要相对稳定，经常进行消防安全教育，使之</w:t>
            </w:r>
            <w:r>
              <w:rPr>
                <w:rFonts w:hint="eastAsia" w:cs="Times New Roman"/>
                <w:color w:val="auto"/>
                <w:sz w:val="24"/>
                <w:szCs w:val="24"/>
                <w:highlight w:val="none"/>
                <w:lang w:eastAsia="zh-CN"/>
              </w:rPr>
              <w:t>熟练掌握</w:t>
            </w:r>
            <w:r>
              <w:rPr>
                <w:rFonts w:hint="eastAsia" w:cs="Times New Roman"/>
                <w:color w:val="auto"/>
                <w:sz w:val="24"/>
                <w:szCs w:val="24"/>
                <w:highlight w:val="none"/>
              </w:rPr>
              <w:t>本行业安全操作规程。同时，经常进行有针对性的灭火演练使他们熟悉本行业火灾扑救和逃生的基本方法，当火灾发生时，能快速有效地扑灭，避免小火酿大灾。</w:t>
            </w:r>
          </w:p>
          <w:p w14:paraId="7A341FC2">
            <w:pPr>
              <w:pStyle w:val="111"/>
              <w:spacing w:line="500" w:lineRule="exact"/>
              <w:ind w:firstLine="480"/>
              <w:jc w:val="left"/>
              <w:rPr>
                <w:rFonts w:hint="eastAsia" w:cs="Times New Roman"/>
                <w:color w:val="auto"/>
                <w:sz w:val="24"/>
                <w:szCs w:val="24"/>
                <w:highlight w:val="none"/>
              </w:rPr>
            </w:pPr>
            <w:r>
              <w:rPr>
                <w:rFonts w:hint="eastAsia" w:cs="Times New Roman"/>
                <w:color w:val="auto"/>
                <w:sz w:val="24"/>
                <w:szCs w:val="24"/>
                <w:highlight w:val="none"/>
              </w:rPr>
              <w:t>E</w:t>
            </w:r>
            <w:r>
              <w:rPr>
                <w:rFonts w:hint="eastAsia" w:cs="Times New Roman"/>
                <w:color w:val="auto"/>
                <w:sz w:val="24"/>
                <w:szCs w:val="24"/>
                <w:highlight w:val="none"/>
                <w:lang w:eastAsia="zh-CN"/>
              </w:rPr>
              <w:t>.</w:t>
            </w:r>
            <w:r>
              <w:rPr>
                <w:rFonts w:hint="eastAsia" w:cs="Times New Roman"/>
                <w:color w:val="auto"/>
                <w:sz w:val="24"/>
                <w:szCs w:val="24"/>
                <w:highlight w:val="none"/>
              </w:rPr>
              <w:t>完善消防设施。完善的消防设备可以在火灾初起时有效地完成预警以及灭火任务，可以在一定程度上避免火灾的发生或减少火灾造成的损失。必须对消防设施加以完善，同时定期进行适用性检修，保持完好状态。</w:t>
            </w:r>
          </w:p>
          <w:p w14:paraId="24D085A9">
            <w:pPr>
              <w:pStyle w:val="111"/>
              <w:spacing w:line="500" w:lineRule="exact"/>
              <w:ind w:firstLine="480"/>
              <w:jc w:val="left"/>
              <w:rPr>
                <w:rFonts w:hint="eastAsia" w:cs="Times New Roman"/>
                <w:color w:val="auto"/>
                <w:sz w:val="24"/>
                <w:szCs w:val="24"/>
                <w:highlight w:val="none"/>
                <w:lang w:eastAsia="zh-CN"/>
              </w:rPr>
            </w:pPr>
            <w:r>
              <w:rPr>
                <w:rFonts w:hint="eastAsia" w:cs="Times New Roman"/>
                <w:color w:val="auto"/>
                <w:sz w:val="24"/>
                <w:szCs w:val="24"/>
                <w:highlight w:val="none"/>
              </w:rPr>
              <w:t>F</w:t>
            </w:r>
            <w:r>
              <w:rPr>
                <w:rFonts w:hint="eastAsia" w:cs="Times New Roman"/>
                <w:color w:val="auto"/>
                <w:sz w:val="24"/>
                <w:szCs w:val="24"/>
                <w:highlight w:val="none"/>
                <w:lang w:eastAsia="zh-CN"/>
              </w:rPr>
              <w:t>.</w:t>
            </w:r>
            <w:r>
              <w:rPr>
                <w:rFonts w:hint="eastAsia" w:cs="Times New Roman"/>
                <w:color w:val="auto"/>
                <w:sz w:val="24"/>
                <w:szCs w:val="24"/>
                <w:highlight w:val="none"/>
              </w:rPr>
              <w:t>加强用火管理制度。应制定严格的动火审批制度，严格用火管理，避免因用火不当引起火灾的发生</w:t>
            </w:r>
            <w:r>
              <w:rPr>
                <w:rFonts w:hint="eastAsia" w:cs="Times New Roman"/>
                <w:color w:val="auto"/>
                <w:sz w:val="24"/>
                <w:szCs w:val="24"/>
                <w:highlight w:val="none"/>
                <w:lang w:eastAsia="zh-CN"/>
              </w:rPr>
              <w:t>。</w:t>
            </w:r>
          </w:p>
          <w:p w14:paraId="55D9AA3F">
            <w:pPr>
              <w:pStyle w:val="111"/>
              <w:spacing w:line="500" w:lineRule="exact"/>
              <w:ind w:firstLine="480"/>
              <w:jc w:val="left"/>
              <w:rPr>
                <w:rFonts w:hint="eastAsia" w:cs="Times New Roman"/>
                <w:color w:val="auto"/>
                <w:sz w:val="24"/>
                <w:szCs w:val="24"/>
                <w:highlight w:val="none"/>
              </w:rPr>
            </w:pPr>
            <w:r>
              <w:rPr>
                <w:rFonts w:hint="eastAsia" w:cs="Times New Roman"/>
                <w:color w:val="auto"/>
                <w:sz w:val="24"/>
                <w:szCs w:val="24"/>
                <w:highlight w:val="none"/>
                <w:lang w:val="en-US" w:eastAsia="zh-CN"/>
              </w:rPr>
              <w:t>G.污水管道、阀门、泵体选用耐腐蚀材质，定期巡检、保养，防止腐蚀破损渗漏，污水处理区域全地面硬化，分区防渗，雨水、污水分流，防止污水混入雨水外排，定期检查池体、管道、接口、密封点，建立巡查制度，及时发现微小渗漏并维修</w:t>
            </w:r>
            <w:r>
              <w:rPr>
                <w:rFonts w:hint="eastAsia" w:cs="Times New Roman"/>
                <w:color w:val="auto"/>
                <w:sz w:val="24"/>
                <w:szCs w:val="24"/>
                <w:highlight w:val="none"/>
              </w:rPr>
              <w:t>。</w:t>
            </w:r>
          </w:p>
          <w:p w14:paraId="2172141B">
            <w:pPr>
              <w:pageBreakBefore w:val="0"/>
              <w:widowControl w:val="0"/>
              <w:kinsoku/>
              <w:wordWrap/>
              <w:overflowPunct/>
              <w:topLinePunct w:val="0"/>
              <w:bidi w:val="0"/>
              <w:adjustRightInd w:val="0"/>
              <w:snapToGrid w:val="0"/>
              <w:spacing w:line="500" w:lineRule="exact"/>
              <w:ind w:leftChars="0" w:firstLine="480" w:firstLineChars="200"/>
              <w:textAlignment w:val="auto"/>
              <w:rPr>
                <w:rFonts w:cs="宋体"/>
                <w:color w:val="auto"/>
                <w:sz w:val="24"/>
                <w:szCs w:val="24"/>
              </w:rPr>
            </w:pPr>
            <w:r>
              <w:rPr>
                <w:rFonts w:hint="eastAsia" w:cs="Times New Roman"/>
                <w:color w:val="auto"/>
                <w:sz w:val="24"/>
                <w:szCs w:val="24"/>
                <w:highlight w:val="none"/>
              </w:rPr>
              <w:t>在采取以上措施后，项目发生</w:t>
            </w:r>
            <w:r>
              <w:rPr>
                <w:rFonts w:hint="eastAsia" w:cs="Times New Roman"/>
                <w:color w:val="auto"/>
                <w:sz w:val="24"/>
                <w:szCs w:val="24"/>
                <w:highlight w:val="none"/>
                <w:lang w:val="en-US" w:eastAsia="zh-CN"/>
              </w:rPr>
              <w:t>环境</w:t>
            </w:r>
            <w:r>
              <w:rPr>
                <w:rFonts w:hint="eastAsia" w:cs="Times New Roman"/>
                <w:color w:val="auto"/>
                <w:sz w:val="24"/>
                <w:szCs w:val="24"/>
                <w:highlight w:val="none"/>
              </w:rPr>
              <w:t>风险的概率将明显降低</w:t>
            </w:r>
            <w:r>
              <w:rPr>
                <w:rFonts w:hint="default" w:ascii="Times New Roman" w:hAnsi="Times New Roman" w:eastAsia="宋体" w:cs="Times New Roman"/>
                <w:b w:val="0"/>
                <w:bCs/>
                <w:color w:val="auto"/>
                <w:sz w:val="24"/>
                <w:szCs w:val="24"/>
                <w:u w:val="none" w:color="auto"/>
                <w:lang w:val="en-US" w:eastAsia="zh-CN"/>
              </w:rPr>
              <w:t>。</w:t>
            </w:r>
          </w:p>
          <w:p w14:paraId="1D4E7D12">
            <w:pPr>
              <w:pStyle w:val="37"/>
              <w:keepNext w:val="0"/>
              <w:keepLines w:val="0"/>
              <w:pageBreakBefore w:val="0"/>
              <w:widowControl w:val="0"/>
              <w:kinsoku/>
              <w:wordWrap/>
              <w:overflowPunct/>
              <w:topLinePunct w:val="0"/>
              <w:autoSpaceDE/>
              <w:autoSpaceDN/>
              <w:bidi w:val="0"/>
              <w:adjustRightInd w:val="0"/>
              <w:snapToGrid w:val="0"/>
              <w:spacing w:after="0" w:line="500" w:lineRule="exact"/>
              <w:ind w:left="0" w:leftChars="0" w:firstLine="482" w:firstLineChars="200"/>
              <w:jc w:val="both"/>
              <w:textAlignment w:val="auto"/>
              <w:rPr>
                <w:rFonts w:hint="eastAsia" w:ascii="Times New Roman" w:hAnsi="Times New Roman" w:eastAsia="宋体" w:cs="Times New Roman"/>
                <w:b/>
                <w:bCs/>
                <w:color w:val="auto"/>
                <w:sz w:val="24"/>
                <w:szCs w:val="24"/>
                <w:highlight w:val="none"/>
                <w:u w:val="none" w:color="auto"/>
                <w:lang w:val="en-US" w:eastAsia="zh-CN"/>
              </w:rPr>
            </w:pPr>
            <w:r>
              <w:rPr>
                <w:rFonts w:hint="eastAsia"/>
                <w:b/>
                <w:bCs/>
                <w:color w:val="auto"/>
                <w:sz w:val="24"/>
                <w:szCs w:val="24"/>
                <w:highlight w:val="none"/>
                <w:lang w:val="en-US" w:eastAsia="zh-CN"/>
              </w:rPr>
              <w:t>七</w:t>
            </w:r>
            <w:r>
              <w:rPr>
                <w:rFonts w:hint="eastAsia" w:ascii="Times New Roman" w:hAnsi="Times New Roman"/>
                <w:b/>
                <w:bCs/>
                <w:color w:val="auto"/>
                <w:sz w:val="24"/>
                <w:szCs w:val="24"/>
                <w:highlight w:val="none"/>
                <w:lang w:val="en-US" w:eastAsia="zh-CN"/>
              </w:rPr>
              <w:t>、</w:t>
            </w:r>
            <w:r>
              <w:rPr>
                <w:rFonts w:hint="eastAsia" w:ascii="Times New Roman" w:hAnsi="Times New Roman" w:eastAsia="宋体" w:cs="Times New Roman"/>
                <w:b/>
                <w:bCs/>
                <w:color w:val="auto"/>
                <w:sz w:val="24"/>
                <w:szCs w:val="24"/>
                <w:highlight w:val="none"/>
                <w:u w:val="none" w:color="auto"/>
                <w:lang w:val="en-US" w:eastAsia="zh-CN"/>
              </w:rPr>
              <w:t>环保投资</w:t>
            </w:r>
          </w:p>
          <w:p w14:paraId="09334B63">
            <w:pPr>
              <w:keepNext w:val="0"/>
              <w:keepLines w:val="0"/>
              <w:pageBreakBefore w:val="0"/>
              <w:widowControl w:val="0"/>
              <w:kinsoku/>
              <w:wordWrap/>
              <w:overflowPunct/>
              <w:topLinePunct w:val="0"/>
              <w:autoSpaceDE/>
              <w:autoSpaceDN/>
              <w:bidi w:val="0"/>
              <w:spacing w:line="500" w:lineRule="exact"/>
              <w:ind w:left="0" w:firstLine="480" w:firstLineChars="200"/>
              <w:jc w:val="both"/>
              <w:textAlignment w:val="auto"/>
              <w:rPr>
                <w:color w:val="auto"/>
                <w:sz w:val="24"/>
                <w:szCs w:val="24"/>
              </w:rPr>
            </w:pPr>
            <w:r>
              <w:rPr>
                <w:rFonts w:hint="eastAsia"/>
                <w:color w:val="auto"/>
                <w:sz w:val="24"/>
                <w:szCs w:val="24"/>
                <w:lang w:eastAsia="zh-CN"/>
              </w:rPr>
              <w:t>项目</w:t>
            </w:r>
            <w:r>
              <w:rPr>
                <w:color w:val="auto"/>
                <w:sz w:val="24"/>
                <w:szCs w:val="24"/>
              </w:rPr>
              <w:t>环保投资总计</w:t>
            </w:r>
            <w:r>
              <w:rPr>
                <w:rFonts w:hint="eastAsia"/>
                <w:color w:val="auto"/>
                <w:sz w:val="24"/>
                <w:szCs w:val="24"/>
                <w:lang w:val="en-US" w:eastAsia="zh-CN"/>
              </w:rPr>
              <w:t>231</w:t>
            </w:r>
            <w:r>
              <w:rPr>
                <w:color w:val="auto"/>
                <w:sz w:val="24"/>
                <w:szCs w:val="24"/>
              </w:rPr>
              <w:t>万元，项目总投资为</w:t>
            </w:r>
            <w:r>
              <w:rPr>
                <w:rFonts w:hint="eastAsia"/>
                <w:color w:val="auto"/>
                <w:sz w:val="24"/>
                <w:szCs w:val="24"/>
                <w:lang w:val="en-US" w:eastAsia="zh-CN"/>
              </w:rPr>
              <w:t>54800</w:t>
            </w:r>
            <w:r>
              <w:rPr>
                <w:rFonts w:hint="eastAsia"/>
                <w:color w:val="auto"/>
                <w:sz w:val="24"/>
                <w:szCs w:val="24"/>
              </w:rPr>
              <w:t>万元</w:t>
            </w:r>
            <w:r>
              <w:rPr>
                <w:color w:val="auto"/>
                <w:sz w:val="24"/>
                <w:szCs w:val="24"/>
              </w:rPr>
              <w:t>，环保投资约占总投资的</w:t>
            </w:r>
            <w:r>
              <w:rPr>
                <w:rFonts w:hint="eastAsia"/>
                <w:color w:val="auto"/>
                <w:sz w:val="24"/>
                <w:szCs w:val="24"/>
                <w:lang w:val="en-US" w:eastAsia="zh-CN"/>
              </w:rPr>
              <w:t>0.42</w:t>
            </w:r>
            <w:r>
              <w:rPr>
                <w:color w:val="auto"/>
                <w:sz w:val="24"/>
                <w:szCs w:val="24"/>
              </w:rPr>
              <w:t>%。</w:t>
            </w:r>
            <w:r>
              <w:rPr>
                <w:rFonts w:hint="eastAsia"/>
                <w:color w:val="auto"/>
                <w:sz w:val="24"/>
                <w:szCs w:val="24"/>
              </w:rPr>
              <w:t>环保投资</w:t>
            </w:r>
            <w:r>
              <w:rPr>
                <w:color w:val="auto"/>
                <w:sz w:val="24"/>
                <w:szCs w:val="24"/>
              </w:rPr>
              <w:t>情况见表</w:t>
            </w:r>
            <w:r>
              <w:rPr>
                <w:rFonts w:hint="eastAsia"/>
                <w:color w:val="auto"/>
                <w:sz w:val="24"/>
                <w:szCs w:val="24"/>
                <w:lang w:val="en-US" w:eastAsia="zh-CN"/>
              </w:rPr>
              <w:t>4-26</w:t>
            </w:r>
            <w:r>
              <w:rPr>
                <w:color w:val="auto"/>
                <w:sz w:val="24"/>
                <w:szCs w:val="24"/>
              </w:rPr>
              <w:t>。</w:t>
            </w:r>
          </w:p>
          <w:p w14:paraId="65AEB1B5">
            <w:pPr>
              <w:keepNext w:val="0"/>
              <w:keepLines w:val="0"/>
              <w:pageBreakBefore w:val="0"/>
              <w:widowControl w:val="0"/>
              <w:kinsoku/>
              <w:wordWrap/>
              <w:overflowPunct/>
              <w:topLinePunct w:val="0"/>
              <w:autoSpaceDE/>
              <w:autoSpaceDN/>
              <w:bidi w:val="0"/>
              <w:spacing w:line="500" w:lineRule="exact"/>
              <w:jc w:val="center"/>
              <w:textAlignment w:val="auto"/>
              <w:rPr>
                <w:rFonts w:hint="eastAsia" w:eastAsia="宋体"/>
                <w:b/>
                <w:color w:val="auto"/>
                <w:kern w:val="0"/>
                <w:sz w:val="24"/>
                <w:szCs w:val="24"/>
                <w:lang w:eastAsia="zh-CN"/>
              </w:rPr>
            </w:pPr>
            <w:r>
              <w:rPr>
                <w:b/>
                <w:color w:val="auto"/>
                <w:kern w:val="0"/>
                <w:sz w:val="24"/>
                <w:szCs w:val="24"/>
              </w:rPr>
              <w:t>表</w:t>
            </w:r>
            <w:r>
              <w:rPr>
                <w:rFonts w:hint="eastAsia"/>
                <w:b/>
                <w:color w:val="auto"/>
                <w:kern w:val="0"/>
                <w:sz w:val="24"/>
                <w:szCs w:val="24"/>
                <w:lang w:val="en-US" w:eastAsia="zh-CN"/>
              </w:rPr>
              <w:t xml:space="preserve">4-25 </w:t>
            </w:r>
            <w:r>
              <w:rPr>
                <w:b/>
                <w:color w:val="auto"/>
                <w:kern w:val="0"/>
                <w:sz w:val="24"/>
                <w:szCs w:val="24"/>
              </w:rPr>
              <w:t>环保</w:t>
            </w:r>
            <w:r>
              <w:rPr>
                <w:rFonts w:hint="eastAsia"/>
                <w:b/>
                <w:color w:val="auto"/>
                <w:kern w:val="0"/>
                <w:sz w:val="24"/>
                <w:szCs w:val="24"/>
                <w:lang w:eastAsia="zh-CN"/>
              </w:rPr>
              <w:t>投资</w:t>
            </w:r>
            <w:r>
              <w:rPr>
                <w:b/>
                <w:color w:val="auto"/>
                <w:kern w:val="0"/>
                <w:sz w:val="24"/>
                <w:szCs w:val="24"/>
              </w:rPr>
              <w:t>情况</w:t>
            </w:r>
            <w:r>
              <w:rPr>
                <w:rFonts w:hint="eastAsia"/>
                <w:b/>
                <w:color w:val="auto"/>
                <w:kern w:val="0"/>
                <w:sz w:val="24"/>
                <w:szCs w:val="24"/>
                <w:lang w:eastAsia="zh-CN"/>
              </w:rPr>
              <w:t>一览表</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
              <w:gridCol w:w="4732"/>
              <w:gridCol w:w="1638"/>
            </w:tblGrid>
            <w:tr w14:paraId="2AADB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696" w:type="pct"/>
                  <w:noWrap w:val="0"/>
                  <w:vAlign w:val="center"/>
                </w:tcPr>
                <w:p w14:paraId="6334A1D4">
                  <w:pPr>
                    <w:pStyle w:val="93"/>
                    <w:spacing w:line="280" w:lineRule="exact"/>
                    <w:rPr>
                      <w:b/>
                      <w:bCs/>
                      <w:color w:val="auto"/>
                      <w:sz w:val="21"/>
                      <w:szCs w:val="21"/>
                      <w:lang w:eastAsia="zh-CN"/>
                    </w:rPr>
                  </w:pPr>
                  <w:r>
                    <w:rPr>
                      <w:rFonts w:hint="eastAsia"/>
                      <w:b/>
                      <w:bCs/>
                      <w:color w:val="auto"/>
                      <w:sz w:val="21"/>
                      <w:szCs w:val="21"/>
                      <w:lang w:eastAsia="zh-CN"/>
                    </w:rPr>
                    <w:t>污染源</w:t>
                  </w:r>
                </w:p>
              </w:tc>
              <w:tc>
                <w:tcPr>
                  <w:tcW w:w="3197" w:type="pct"/>
                  <w:noWrap w:val="0"/>
                  <w:vAlign w:val="center"/>
                </w:tcPr>
                <w:p w14:paraId="2E64CD81">
                  <w:pPr>
                    <w:pStyle w:val="93"/>
                    <w:spacing w:line="280" w:lineRule="exact"/>
                    <w:rPr>
                      <w:b/>
                      <w:bCs/>
                      <w:color w:val="auto"/>
                      <w:sz w:val="21"/>
                      <w:szCs w:val="21"/>
                      <w:lang w:eastAsia="zh-CN"/>
                    </w:rPr>
                  </w:pPr>
                  <w:r>
                    <w:rPr>
                      <w:rFonts w:hint="eastAsia"/>
                      <w:b/>
                      <w:bCs/>
                      <w:color w:val="auto"/>
                      <w:sz w:val="21"/>
                      <w:szCs w:val="21"/>
                      <w:lang w:eastAsia="zh-CN"/>
                    </w:rPr>
                    <w:t>环保项目</w:t>
                  </w:r>
                </w:p>
              </w:tc>
              <w:tc>
                <w:tcPr>
                  <w:tcW w:w="1106" w:type="pct"/>
                  <w:noWrap w:val="0"/>
                  <w:vAlign w:val="center"/>
                </w:tcPr>
                <w:p w14:paraId="5FDDED57">
                  <w:pPr>
                    <w:pStyle w:val="93"/>
                    <w:spacing w:line="280" w:lineRule="exact"/>
                    <w:rPr>
                      <w:b/>
                      <w:bCs/>
                      <w:color w:val="auto"/>
                      <w:sz w:val="21"/>
                      <w:szCs w:val="21"/>
                      <w:lang w:eastAsia="zh-CN"/>
                    </w:rPr>
                  </w:pPr>
                  <w:r>
                    <w:rPr>
                      <w:rFonts w:hint="eastAsia"/>
                      <w:b/>
                      <w:bCs/>
                      <w:color w:val="auto"/>
                      <w:sz w:val="21"/>
                      <w:szCs w:val="21"/>
                      <w:lang w:eastAsia="zh-CN"/>
                    </w:rPr>
                    <w:t>环保投资（万元）</w:t>
                  </w:r>
                </w:p>
              </w:tc>
            </w:tr>
            <w:tr w14:paraId="7F0B7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696" w:type="pct"/>
                  <w:noWrap w:val="0"/>
                  <w:vAlign w:val="center"/>
                </w:tcPr>
                <w:p w14:paraId="7F8F5B9D">
                  <w:pPr>
                    <w:pStyle w:val="93"/>
                    <w:spacing w:line="280" w:lineRule="exact"/>
                    <w:rPr>
                      <w:color w:val="auto"/>
                      <w:sz w:val="21"/>
                      <w:szCs w:val="21"/>
                      <w:lang w:eastAsia="zh-CN"/>
                    </w:rPr>
                  </w:pPr>
                  <w:r>
                    <w:rPr>
                      <w:rFonts w:hint="eastAsia"/>
                      <w:color w:val="auto"/>
                      <w:sz w:val="21"/>
                      <w:szCs w:val="21"/>
                      <w:lang w:eastAsia="zh-CN"/>
                    </w:rPr>
                    <w:t>废气</w:t>
                  </w:r>
                </w:p>
              </w:tc>
              <w:tc>
                <w:tcPr>
                  <w:tcW w:w="3197" w:type="pct"/>
                  <w:noWrap w:val="0"/>
                  <w:vAlign w:val="center"/>
                </w:tcPr>
                <w:p w14:paraId="4ABCE7B5">
                  <w:pPr>
                    <w:pStyle w:val="93"/>
                    <w:spacing w:line="276" w:lineRule="auto"/>
                    <w:jc w:val="both"/>
                    <w:rPr>
                      <w:rFonts w:hint="default" w:eastAsia="宋体"/>
                      <w:color w:val="auto"/>
                      <w:sz w:val="21"/>
                      <w:szCs w:val="21"/>
                      <w:highlight w:val="none"/>
                      <w:lang w:val="en-US" w:eastAsia="zh-CN"/>
                    </w:rPr>
                  </w:pPr>
                  <w:r>
                    <w:rPr>
                      <w:rFonts w:hint="eastAsia"/>
                      <w:color w:val="auto"/>
                      <w:sz w:val="21"/>
                      <w:szCs w:val="21"/>
                      <w:highlight w:val="none"/>
                      <w:lang w:val="en-US" w:eastAsia="zh-CN"/>
                    </w:rPr>
                    <w:t>1套水喷淋+二级活性炭（含干式过滤棉）、2根15m排气筒、</w:t>
                  </w:r>
                  <w:r>
                    <w:rPr>
                      <w:rFonts w:hint="eastAsia"/>
                      <w:color w:val="auto"/>
                      <w:sz w:val="21"/>
                      <w:szCs w:val="21"/>
                      <w:highlight w:val="none"/>
                      <w:lang w:val="en-US" w:eastAsia="zh-CN"/>
                    </w:rPr>
                    <w:t>20个集气罩</w:t>
                  </w:r>
                  <w:r>
                    <w:rPr>
                      <w:rFonts w:hint="eastAsia"/>
                      <w:color w:val="auto"/>
                      <w:sz w:val="21"/>
                      <w:szCs w:val="21"/>
                      <w:highlight w:val="none"/>
                      <w:lang w:val="en-US" w:eastAsia="zh-CN"/>
                    </w:rPr>
                    <w:t>、20套移动式烟气净化器、1套粉料回收装置</w:t>
                  </w:r>
                </w:p>
              </w:tc>
              <w:tc>
                <w:tcPr>
                  <w:tcW w:w="1106" w:type="pct"/>
                  <w:noWrap w:val="0"/>
                  <w:vAlign w:val="center"/>
                </w:tcPr>
                <w:p w14:paraId="2A0ABD28">
                  <w:pPr>
                    <w:pStyle w:val="93"/>
                    <w:spacing w:line="276" w:lineRule="auto"/>
                    <w:rPr>
                      <w:rFonts w:hint="default"/>
                      <w:color w:val="auto"/>
                      <w:sz w:val="21"/>
                      <w:szCs w:val="21"/>
                      <w:highlight w:val="none"/>
                      <w:lang w:val="en-US" w:eastAsia="zh-CN"/>
                    </w:rPr>
                  </w:pPr>
                  <w:r>
                    <w:rPr>
                      <w:rFonts w:hint="eastAsia"/>
                      <w:color w:val="auto"/>
                      <w:sz w:val="21"/>
                      <w:szCs w:val="21"/>
                      <w:highlight w:val="none"/>
                      <w:lang w:val="en-US" w:eastAsia="zh-CN"/>
                    </w:rPr>
                    <w:t>100</w:t>
                  </w:r>
                </w:p>
              </w:tc>
            </w:tr>
            <w:tr w14:paraId="77815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96" w:type="pct"/>
                  <w:noWrap w:val="0"/>
                  <w:vAlign w:val="center"/>
                </w:tcPr>
                <w:p w14:paraId="491890F2">
                  <w:pPr>
                    <w:pStyle w:val="93"/>
                    <w:spacing w:line="280" w:lineRule="exact"/>
                    <w:rPr>
                      <w:color w:val="auto"/>
                      <w:sz w:val="21"/>
                      <w:szCs w:val="21"/>
                    </w:rPr>
                  </w:pPr>
                  <w:r>
                    <w:rPr>
                      <w:rFonts w:hint="eastAsia"/>
                      <w:color w:val="auto"/>
                      <w:sz w:val="21"/>
                      <w:szCs w:val="21"/>
                    </w:rPr>
                    <w:t>废水</w:t>
                  </w:r>
                </w:p>
              </w:tc>
              <w:tc>
                <w:tcPr>
                  <w:tcW w:w="3197" w:type="pct"/>
                  <w:noWrap w:val="0"/>
                  <w:vAlign w:val="center"/>
                </w:tcPr>
                <w:p w14:paraId="2DF8D853">
                  <w:pPr>
                    <w:pStyle w:val="93"/>
                    <w:spacing w:line="280" w:lineRule="exact"/>
                    <w:rPr>
                      <w:rFonts w:hint="default"/>
                      <w:color w:val="auto"/>
                      <w:kern w:val="0"/>
                      <w:sz w:val="21"/>
                      <w:szCs w:val="21"/>
                      <w:highlight w:val="none"/>
                      <w:lang w:val="en-US" w:eastAsia="zh-CN" w:bidi="ar-SA"/>
                    </w:rPr>
                  </w:pPr>
                  <w:r>
                    <w:rPr>
                      <w:rFonts w:hint="eastAsia"/>
                      <w:color w:val="auto"/>
                      <w:sz w:val="21"/>
                      <w:szCs w:val="21"/>
                      <w:highlight w:val="none"/>
                      <w:lang w:val="en-US" w:eastAsia="zh-CN"/>
                    </w:rPr>
                    <w:t>三级</w:t>
                  </w:r>
                  <w:r>
                    <w:rPr>
                      <w:rFonts w:hint="eastAsia"/>
                      <w:color w:val="auto"/>
                      <w:sz w:val="21"/>
                      <w:szCs w:val="21"/>
                      <w:highlight w:val="none"/>
                      <w:lang w:eastAsia="zh-CN"/>
                    </w:rPr>
                    <w:t>化粪池、</w:t>
                  </w:r>
                  <w:r>
                    <w:rPr>
                      <w:rFonts w:hint="eastAsia"/>
                      <w:color w:val="auto"/>
                      <w:sz w:val="21"/>
                      <w:szCs w:val="21"/>
                      <w:highlight w:val="none"/>
                      <w:lang w:val="en-US" w:eastAsia="zh-CN"/>
                    </w:rPr>
                    <w:t>污水处理设备</w:t>
                  </w:r>
                </w:p>
              </w:tc>
              <w:tc>
                <w:tcPr>
                  <w:tcW w:w="1106" w:type="pct"/>
                  <w:noWrap w:val="0"/>
                  <w:vAlign w:val="center"/>
                </w:tcPr>
                <w:p w14:paraId="0D801950">
                  <w:pPr>
                    <w:pStyle w:val="93"/>
                    <w:spacing w:line="280" w:lineRule="exact"/>
                    <w:rPr>
                      <w:rFonts w:hint="default"/>
                      <w:color w:val="auto"/>
                      <w:kern w:val="0"/>
                      <w:sz w:val="21"/>
                      <w:szCs w:val="21"/>
                      <w:highlight w:val="none"/>
                      <w:lang w:val="en-US" w:eastAsia="zh-CN" w:bidi="ar-SA"/>
                    </w:rPr>
                  </w:pPr>
                  <w:r>
                    <w:rPr>
                      <w:rFonts w:hint="eastAsia"/>
                      <w:color w:val="auto"/>
                      <w:kern w:val="0"/>
                      <w:sz w:val="21"/>
                      <w:szCs w:val="21"/>
                      <w:highlight w:val="none"/>
                      <w:lang w:val="en-US" w:eastAsia="zh-CN" w:bidi="ar-SA"/>
                    </w:rPr>
                    <w:t>100</w:t>
                  </w:r>
                </w:p>
              </w:tc>
            </w:tr>
            <w:tr w14:paraId="2C27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96" w:type="pct"/>
                  <w:noWrap w:val="0"/>
                  <w:vAlign w:val="center"/>
                </w:tcPr>
                <w:p w14:paraId="408EE994">
                  <w:pPr>
                    <w:pStyle w:val="93"/>
                    <w:spacing w:line="280" w:lineRule="exact"/>
                    <w:rPr>
                      <w:color w:val="auto"/>
                      <w:sz w:val="21"/>
                      <w:szCs w:val="21"/>
                    </w:rPr>
                  </w:pPr>
                  <w:r>
                    <w:rPr>
                      <w:rFonts w:hint="eastAsia"/>
                      <w:color w:val="auto"/>
                      <w:sz w:val="21"/>
                      <w:szCs w:val="21"/>
                    </w:rPr>
                    <w:t>噪声</w:t>
                  </w:r>
                </w:p>
              </w:tc>
              <w:tc>
                <w:tcPr>
                  <w:tcW w:w="3197" w:type="pct"/>
                  <w:noWrap w:val="0"/>
                  <w:vAlign w:val="center"/>
                </w:tcPr>
                <w:p w14:paraId="7CB7FFC1">
                  <w:pPr>
                    <w:pStyle w:val="93"/>
                    <w:spacing w:line="280" w:lineRule="exact"/>
                    <w:rPr>
                      <w:rFonts w:hint="eastAsia"/>
                      <w:color w:val="auto"/>
                      <w:sz w:val="21"/>
                      <w:szCs w:val="21"/>
                      <w:lang w:eastAsia="zh-CN"/>
                    </w:rPr>
                  </w:pPr>
                  <w:r>
                    <w:rPr>
                      <w:rFonts w:hint="eastAsia"/>
                      <w:color w:val="auto"/>
                      <w:sz w:val="21"/>
                      <w:szCs w:val="21"/>
                      <w:lang w:eastAsia="zh-CN"/>
                    </w:rPr>
                    <w:t>各种减震装置、隔声措施</w:t>
                  </w:r>
                </w:p>
              </w:tc>
              <w:tc>
                <w:tcPr>
                  <w:tcW w:w="1106" w:type="pct"/>
                  <w:noWrap w:val="0"/>
                  <w:vAlign w:val="center"/>
                </w:tcPr>
                <w:p w14:paraId="17040206">
                  <w:pPr>
                    <w:pStyle w:val="93"/>
                    <w:spacing w:line="280" w:lineRule="exact"/>
                    <w:rPr>
                      <w:color w:val="auto"/>
                      <w:sz w:val="21"/>
                      <w:szCs w:val="21"/>
                      <w:lang w:eastAsia="zh-CN"/>
                    </w:rPr>
                  </w:pPr>
                  <w:r>
                    <w:rPr>
                      <w:rFonts w:hint="eastAsia"/>
                      <w:color w:val="auto"/>
                      <w:sz w:val="21"/>
                      <w:szCs w:val="21"/>
                      <w:lang w:val="en-US" w:eastAsia="zh-CN"/>
                    </w:rPr>
                    <w:t>5</w:t>
                  </w:r>
                </w:p>
              </w:tc>
            </w:tr>
            <w:tr w14:paraId="3AF4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96" w:type="pct"/>
                  <w:vMerge w:val="restart"/>
                  <w:noWrap w:val="0"/>
                  <w:vAlign w:val="center"/>
                </w:tcPr>
                <w:p w14:paraId="07F12712">
                  <w:pPr>
                    <w:pStyle w:val="93"/>
                    <w:spacing w:line="280" w:lineRule="exact"/>
                    <w:rPr>
                      <w:rFonts w:hint="eastAsia"/>
                      <w:color w:val="auto"/>
                      <w:sz w:val="21"/>
                      <w:szCs w:val="21"/>
                      <w:lang w:eastAsia="zh-CN"/>
                    </w:rPr>
                  </w:pPr>
                  <w:r>
                    <w:rPr>
                      <w:rFonts w:hint="eastAsia"/>
                      <w:color w:val="auto"/>
                      <w:sz w:val="21"/>
                      <w:szCs w:val="21"/>
                      <w:lang w:eastAsia="zh-CN"/>
                    </w:rPr>
                    <w:t>固废</w:t>
                  </w:r>
                </w:p>
              </w:tc>
              <w:tc>
                <w:tcPr>
                  <w:tcW w:w="3197" w:type="pct"/>
                  <w:noWrap w:val="0"/>
                  <w:vAlign w:val="center"/>
                </w:tcPr>
                <w:p w14:paraId="1B718DEE">
                  <w:pPr>
                    <w:pStyle w:val="93"/>
                    <w:spacing w:line="280" w:lineRule="exact"/>
                    <w:rPr>
                      <w:rFonts w:hint="eastAsia"/>
                      <w:color w:val="auto"/>
                      <w:kern w:val="0"/>
                      <w:sz w:val="21"/>
                      <w:szCs w:val="21"/>
                      <w:highlight w:val="none"/>
                      <w:lang w:val="en-US" w:eastAsia="zh-CN" w:bidi="ar-SA"/>
                    </w:rPr>
                  </w:pPr>
                  <w:r>
                    <w:rPr>
                      <w:rFonts w:hint="eastAsia"/>
                      <w:color w:val="auto"/>
                      <w:sz w:val="21"/>
                      <w:szCs w:val="21"/>
                      <w:highlight w:val="none"/>
                      <w:lang w:eastAsia="zh-CN"/>
                    </w:rPr>
                    <w:t>一般</w:t>
                  </w:r>
                  <w:r>
                    <w:rPr>
                      <w:rFonts w:hint="eastAsia"/>
                      <w:color w:val="auto"/>
                      <w:sz w:val="21"/>
                      <w:szCs w:val="21"/>
                      <w:highlight w:val="none"/>
                      <w:lang w:val="en-US" w:eastAsia="zh-CN"/>
                    </w:rPr>
                    <w:t>工业</w:t>
                  </w:r>
                  <w:r>
                    <w:rPr>
                      <w:rFonts w:hint="eastAsia"/>
                      <w:color w:val="auto"/>
                      <w:sz w:val="21"/>
                      <w:szCs w:val="21"/>
                      <w:highlight w:val="none"/>
                      <w:lang w:eastAsia="zh-CN"/>
                    </w:rPr>
                    <w:t>固废暂存区</w:t>
                  </w:r>
                </w:p>
              </w:tc>
              <w:tc>
                <w:tcPr>
                  <w:tcW w:w="1106" w:type="pct"/>
                  <w:noWrap w:val="0"/>
                  <w:vAlign w:val="center"/>
                </w:tcPr>
                <w:p w14:paraId="4EBD828C">
                  <w:pPr>
                    <w:pStyle w:val="93"/>
                    <w:spacing w:line="280" w:lineRule="exact"/>
                    <w:rPr>
                      <w:rFonts w:hint="default"/>
                      <w:color w:val="auto"/>
                      <w:kern w:val="0"/>
                      <w:sz w:val="21"/>
                      <w:szCs w:val="21"/>
                      <w:highlight w:val="none"/>
                      <w:lang w:val="en-US" w:eastAsia="zh-CN" w:bidi="ar-SA"/>
                    </w:rPr>
                  </w:pPr>
                  <w:r>
                    <w:rPr>
                      <w:rFonts w:hint="eastAsia"/>
                      <w:color w:val="auto"/>
                      <w:kern w:val="0"/>
                      <w:sz w:val="21"/>
                      <w:szCs w:val="21"/>
                      <w:highlight w:val="none"/>
                      <w:lang w:val="en-US" w:eastAsia="zh-CN" w:bidi="ar-SA"/>
                    </w:rPr>
                    <w:t>1</w:t>
                  </w:r>
                </w:p>
              </w:tc>
            </w:tr>
            <w:tr w14:paraId="7AD91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96" w:type="pct"/>
                  <w:vMerge w:val="continue"/>
                  <w:noWrap w:val="0"/>
                  <w:vAlign w:val="center"/>
                </w:tcPr>
                <w:p w14:paraId="3606DDF2">
                  <w:pPr>
                    <w:pStyle w:val="93"/>
                    <w:spacing w:line="280" w:lineRule="exact"/>
                    <w:rPr>
                      <w:rFonts w:hint="eastAsia"/>
                      <w:color w:val="auto"/>
                      <w:sz w:val="21"/>
                      <w:szCs w:val="21"/>
                      <w:lang w:eastAsia="zh-CN"/>
                    </w:rPr>
                  </w:pPr>
                </w:p>
              </w:tc>
              <w:tc>
                <w:tcPr>
                  <w:tcW w:w="3197" w:type="pct"/>
                  <w:noWrap w:val="0"/>
                  <w:vAlign w:val="center"/>
                </w:tcPr>
                <w:p w14:paraId="02749D79">
                  <w:pPr>
                    <w:pStyle w:val="93"/>
                    <w:spacing w:line="280" w:lineRule="exact"/>
                    <w:rPr>
                      <w:rFonts w:hint="eastAsia"/>
                      <w:color w:val="auto"/>
                      <w:sz w:val="21"/>
                      <w:szCs w:val="21"/>
                      <w:highlight w:val="none"/>
                      <w:lang w:eastAsia="zh-CN"/>
                    </w:rPr>
                  </w:pPr>
                  <w:r>
                    <w:rPr>
                      <w:rFonts w:hint="eastAsia"/>
                      <w:color w:val="auto"/>
                      <w:sz w:val="21"/>
                      <w:szCs w:val="21"/>
                      <w:highlight w:val="none"/>
                      <w:lang w:eastAsia="zh-CN"/>
                    </w:rPr>
                    <w:t>危险废物暂存间</w:t>
                  </w:r>
                </w:p>
              </w:tc>
              <w:tc>
                <w:tcPr>
                  <w:tcW w:w="1106" w:type="pct"/>
                  <w:noWrap w:val="0"/>
                  <w:vAlign w:val="center"/>
                </w:tcPr>
                <w:p w14:paraId="6C2D7604">
                  <w:pPr>
                    <w:pStyle w:val="93"/>
                    <w:spacing w:line="280" w:lineRule="exact"/>
                    <w:rPr>
                      <w:rFonts w:hint="default"/>
                      <w:color w:val="auto"/>
                      <w:sz w:val="21"/>
                      <w:szCs w:val="21"/>
                      <w:highlight w:val="none"/>
                      <w:lang w:val="en-US" w:eastAsia="zh-CN"/>
                    </w:rPr>
                  </w:pPr>
                  <w:r>
                    <w:rPr>
                      <w:rFonts w:hint="eastAsia"/>
                      <w:color w:val="auto"/>
                      <w:sz w:val="21"/>
                      <w:szCs w:val="21"/>
                      <w:highlight w:val="none"/>
                      <w:lang w:val="en-US" w:eastAsia="zh-CN"/>
                    </w:rPr>
                    <w:t>5</w:t>
                  </w:r>
                </w:p>
              </w:tc>
            </w:tr>
            <w:tr w14:paraId="39EC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96" w:type="pct"/>
                  <w:noWrap w:val="0"/>
                  <w:vAlign w:val="center"/>
                </w:tcPr>
                <w:p w14:paraId="04B3E610">
                  <w:pPr>
                    <w:pStyle w:val="93"/>
                    <w:spacing w:line="280" w:lineRule="exact"/>
                    <w:rPr>
                      <w:rFonts w:hint="eastAsia"/>
                      <w:color w:val="auto"/>
                      <w:sz w:val="21"/>
                      <w:szCs w:val="21"/>
                      <w:lang w:eastAsia="zh-CN"/>
                    </w:rPr>
                  </w:pPr>
                  <w:r>
                    <w:rPr>
                      <w:rFonts w:hint="eastAsia"/>
                      <w:color w:val="auto"/>
                      <w:sz w:val="21"/>
                      <w:szCs w:val="21"/>
                      <w:lang w:eastAsia="zh-CN"/>
                    </w:rPr>
                    <w:t>其他</w:t>
                  </w:r>
                </w:p>
              </w:tc>
              <w:tc>
                <w:tcPr>
                  <w:tcW w:w="3197" w:type="pct"/>
                  <w:noWrap w:val="0"/>
                  <w:vAlign w:val="center"/>
                </w:tcPr>
                <w:p w14:paraId="7B7C5899">
                  <w:pPr>
                    <w:pStyle w:val="93"/>
                    <w:spacing w:line="280" w:lineRule="exact"/>
                    <w:rPr>
                      <w:rFonts w:hint="default" w:eastAsia="宋体"/>
                      <w:color w:val="auto"/>
                      <w:sz w:val="21"/>
                      <w:szCs w:val="21"/>
                      <w:highlight w:val="none"/>
                      <w:lang w:val="en-US" w:eastAsia="zh-CN"/>
                    </w:rPr>
                  </w:pPr>
                  <w:r>
                    <w:rPr>
                      <w:rFonts w:hint="eastAsia"/>
                      <w:color w:val="auto"/>
                      <w:sz w:val="21"/>
                      <w:szCs w:val="21"/>
                      <w:lang w:val="en-US" w:eastAsia="zh-CN"/>
                    </w:rPr>
                    <w:t>环境影响评价、竣工环保验收费用</w:t>
                  </w:r>
                </w:p>
              </w:tc>
              <w:tc>
                <w:tcPr>
                  <w:tcW w:w="1106" w:type="pct"/>
                  <w:noWrap w:val="0"/>
                  <w:vAlign w:val="center"/>
                </w:tcPr>
                <w:p w14:paraId="4CD49A2D">
                  <w:pPr>
                    <w:pStyle w:val="93"/>
                    <w:spacing w:line="280" w:lineRule="exact"/>
                    <w:rPr>
                      <w:rFonts w:hint="default"/>
                      <w:color w:val="auto"/>
                      <w:sz w:val="21"/>
                      <w:szCs w:val="21"/>
                      <w:highlight w:val="none"/>
                      <w:lang w:val="en-US" w:eastAsia="zh-CN"/>
                    </w:rPr>
                  </w:pPr>
                  <w:r>
                    <w:rPr>
                      <w:rFonts w:hint="eastAsia"/>
                      <w:color w:val="auto"/>
                      <w:sz w:val="21"/>
                      <w:szCs w:val="21"/>
                      <w:highlight w:val="none"/>
                      <w:lang w:val="en-US" w:eastAsia="zh-CN"/>
                    </w:rPr>
                    <w:t>20</w:t>
                  </w:r>
                </w:p>
              </w:tc>
            </w:tr>
            <w:tr w14:paraId="36E2F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3893" w:type="pct"/>
                  <w:gridSpan w:val="2"/>
                  <w:noWrap w:val="0"/>
                  <w:vAlign w:val="center"/>
                </w:tcPr>
                <w:p w14:paraId="5C1FE0A9">
                  <w:pPr>
                    <w:pStyle w:val="93"/>
                    <w:spacing w:line="280" w:lineRule="exact"/>
                    <w:rPr>
                      <w:rFonts w:hint="eastAsia"/>
                      <w:color w:val="auto"/>
                      <w:sz w:val="21"/>
                      <w:szCs w:val="21"/>
                      <w:lang w:eastAsia="zh-CN"/>
                    </w:rPr>
                  </w:pPr>
                  <w:r>
                    <w:rPr>
                      <w:rFonts w:hint="eastAsia"/>
                      <w:color w:val="auto"/>
                      <w:sz w:val="21"/>
                      <w:szCs w:val="21"/>
                      <w:lang w:eastAsia="zh-CN"/>
                    </w:rPr>
                    <w:t>合计</w:t>
                  </w:r>
                </w:p>
              </w:tc>
              <w:tc>
                <w:tcPr>
                  <w:tcW w:w="1106" w:type="pct"/>
                  <w:noWrap w:val="0"/>
                  <w:vAlign w:val="center"/>
                </w:tcPr>
                <w:p w14:paraId="652667C4">
                  <w:pPr>
                    <w:pStyle w:val="93"/>
                    <w:spacing w:line="280" w:lineRule="exact"/>
                    <w:rPr>
                      <w:rFonts w:hint="default"/>
                      <w:color w:val="auto"/>
                      <w:sz w:val="21"/>
                      <w:szCs w:val="21"/>
                      <w:lang w:val="en-US" w:eastAsia="zh-CN"/>
                    </w:rPr>
                  </w:pPr>
                  <w:r>
                    <w:rPr>
                      <w:rFonts w:hint="eastAsia"/>
                      <w:color w:val="auto"/>
                      <w:sz w:val="21"/>
                      <w:szCs w:val="21"/>
                      <w:lang w:val="en-US" w:eastAsia="zh-CN"/>
                    </w:rPr>
                    <w:t>231</w:t>
                  </w:r>
                </w:p>
              </w:tc>
            </w:tr>
          </w:tbl>
          <w:p w14:paraId="6D985B9C">
            <w:pPr>
              <w:keepNext w:val="0"/>
              <w:keepLines w:val="0"/>
              <w:pageBreakBefore w:val="0"/>
              <w:widowControl w:val="0"/>
              <w:kinsoku/>
              <w:wordWrap/>
              <w:overflowPunct/>
              <w:topLinePunct w:val="0"/>
              <w:autoSpaceDE/>
              <w:autoSpaceDN/>
              <w:bidi w:val="0"/>
              <w:spacing w:line="500" w:lineRule="exact"/>
              <w:jc w:val="center"/>
              <w:textAlignment w:val="auto"/>
              <w:rPr>
                <w:b/>
                <w:color w:val="auto"/>
                <w:kern w:val="0"/>
                <w:sz w:val="24"/>
                <w:szCs w:val="24"/>
              </w:rPr>
            </w:pPr>
          </w:p>
          <w:p w14:paraId="5D96A32D">
            <w:pPr>
              <w:adjustRightInd w:val="0"/>
              <w:snapToGrid w:val="0"/>
              <w:spacing w:line="360" w:lineRule="auto"/>
              <w:rPr>
                <w:rFonts w:hint="eastAsia" w:ascii="宋体" w:cs="宋体"/>
                <w:b/>
                <w:color w:val="auto"/>
                <w:kern w:val="0"/>
                <w:sz w:val="28"/>
                <w:szCs w:val="28"/>
                <w:vertAlign w:val="baseline"/>
                <w:lang w:eastAsia="zh-CN"/>
              </w:rPr>
            </w:pPr>
          </w:p>
          <w:p w14:paraId="57CC17E0">
            <w:pPr>
              <w:adjustRightInd w:val="0"/>
              <w:snapToGrid w:val="0"/>
              <w:spacing w:line="360" w:lineRule="auto"/>
              <w:rPr>
                <w:rFonts w:hint="eastAsia" w:ascii="宋体" w:cs="宋体"/>
                <w:b/>
                <w:color w:val="auto"/>
                <w:kern w:val="0"/>
                <w:sz w:val="28"/>
                <w:szCs w:val="28"/>
                <w:vertAlign w:val="baseline"/>
                <w:lang w:eastAsia="zh-CN"/>
              </w:rPr>
            </w:pPr>
          </w:p>
          <w:p w14:paraId="74103A4E">
            <w:pPr>
              <w:adjustRightInd w:val="0"/>
              <w:snapToGrid w:val="0"/>
              <w:spacing w:line="360" w:lineRule="auto"/>
              <w:rPr>
                <w:rFonts w:hint="eastAsia" w:ascii="宋体" w:cs="宋体"/>
                <w:b/>
                <w:color w:val="auto"/>
                <w:kern w:val="0"/>
                <w:sz w:val="28"/>
                <w:szCs w:val="28"/>
                <w:vertAlign w:val="baseline"/>
                <w:lang w:eastAsia="zh-CN"/>
              </w:rPr>
            </w:pPr>
          </w:p>
          <w:p w14:paraId="70AC5A3D">
            <w:pPr>
              <w:adjustRightInd w:val="0"/>
              <w:snapToGrid w:val="0"/>
              <w:spacing w:line="360" w:lineRule="auto"/>
              <w:rPr>
                <w:rFonts w:hint="eastAsia" w:ascii="宋体" w:cs="宋体"/>
                <w:b/>
                <w:color w:val="auto"/>
                <w:kern w:val="0"/>
                <w:sz w:val="28"/>
                <w:szCs w:val="28"/>
                <w:vertAlign w:val="baseline"/>
                <w:lang w:eastAsia="zh-CN"/>
              </w:rPr>
            </w:pPr>
          </w:p>
          <w:p w14:paraId="04742436">
            <w:pPr>
              <w:adjustRightInd w:val="0"/>
              <w:snapToGrid w:val="0"/>
              <w:spacing w:line="360" w:lineRule="auto"/>
              <w:rPr>
                <w:rFonts w:hint="eastAsia" w:ascii="宋体" w:cs="宋体"/>
                <w:b/>
                <w:color w:val="auto"/>
                <w:kern w:val="0"/>
                <w:sz w:val="28"/>
                <w:szCs w:val="28"/>
                <w:vertAlign w:val="baseline"/>
                <w:lang w:eastAsia="zh-CN"/>
              </w:rPr>
            </w:pPr>
          </w:p>
          <w:p w14:paraId="50C302FF">
            <w:pPr>
              <w:adjustRightInd w:val="0"/>
              <w:snapToGrid w:val="0"/>
              <w:spacing w:line="360" w:lineRule="auto"/>
              <w:rPr>
                <w:rFonts w:hint="eastAsia" w:ascii="宋体" w:cs="宋体"/>
                <w:b/>
                <w:color w:val="auto"/>
                <w:kern w:val="0"/>
                <w:sz w:val="28"/>
                <w:szCs w:val="28"/>
                <w:vertAlign w:val="baseline"/>
                <w:lang w:eastAsia="zh-CN"/>
              </w:rPr>
            </w:pPr>
          </w:p>
          <w:p w14:paraId="4D06D21C">
            <w:pPr>
              <w:adjustRightInd w:val="0"/>
              <w:snapToGrid w:val="0"/>
              <w:spacing w:line="360" w:lineRule="auto"/>
              <w:rPr>
                <w:rFonts w:hint="eastAsia" w:ascii="宋体" w:eastAsia="宋体" w:cs="宋体"/>
                <w:b/>
                <w:color w:val="auto"/>
                <w:kern w:val="0"/>
                <w:sz w:val="28"/>
                <w:szCs w:val="28"/>
                <w:vertAlign w:val="baseline"/>
                <w:lang w:eastAsia="zh-CN"/>
              </w:rPr>
            </w:pPr>
          </w:p>
        </w:tc>
      </w:tr>
    </w:tbl>
    <w:p w14:paraId="12D542D9">
      <w:pPr>
        <w:adjustRightInd w:val="0"/>
        <w:snapToGrid w:val="0"/>
        <w:spacing w:line="360" w:lineRule="auto"/>
        <w:rPr>
          <w:rFonts w:hint="eastAsia" w:ascii="宋体" w:cs="宋体"/>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55998899">
      <w:pPr>
        <w:pStyle w:val="34"/>
        <w:jc w:val="center"/>
        <w:outlineLvl w:val="0"/>
        <w:rPr>
          <w:rFonts w:ascii="黑体" w:hAnsi="黑体" w:eastAsia="黑体"/>
          <w:snapToGrid w:val="0"/>
          <w:color w:val="auto"/>
          <w:sz w:val="30"/>
          <w:szCs w:val="30"/>
        </w:rPr>
      </w:pPr>
      <w:bookmarkStart w:id="35" w:name="_Toc980"/>
      <w:r>
        <w:rPr>
          <w:rFonts w:hint="eastAsia" w:ascii="黑体" w:hAnsi="黑体" w:eastAsia="黑体"/>
          <w:snapToGrid w:val="0"/>
          <w:color w:val="auto"/>
          <w:sz w:val="30"/>
          <w:szCs w:val="30"/>
        </w:rPr>
        <w:t>五、</w:t>
      </w:r>
      <w:bookmarkStart w:id="36" w:name="_Hlk54167917"/>
      <w:r>
        <w:rPr>
          <w:rFonts w:hint="eastAsia" w:ascii="黑体" w:hAnsi="黑体" w:eastAsia="黑体"/>
          <w:snapToGrid w:val="0"/>
          <w:color w:val="auto"/>
          <w:sz w:val="30"/>
          <w:szCs w:val="30"/>
        </w:rPr>
        <w:t>环境保护措施监督检查清</w:t>
      </w:r>
      <w:bookmarkEnd w:id="35"/>
      <w:bookmarkEnd w:id="36"/>
      <w:r>
        <w:rPr>
          <w:rFonts w:hint="eastAsia" w:ascii="黑体" w:hAnsi="黑体" w:eastAsia="黑体"/>
          <w:snapToGrid w:val="0"/>
          <w:color w:val="auto"/>
          <w:sz w:val="30"/>
          <w:szCs w:val="30"/>
        </w:rPr>
        <w:t>单</w:t>
      </w:r>
    </w:p>
    <w:tbl>
      <w:tblPr>
        <w:tblStyle w:val="3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94"/>
        <w:gridCol w:w="1575"/>
        <w:gridCol w:w="1527"/>
        <w:gridCol w:w="2160"/>
        <w:gridCol w:w="2144"/>
      </w:tblGrid>
      <w:tr w14:paraId="785853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94" w:type="dxa"/>
            <w:tcBorders>
              <w:tl2br w:val="single" w:color="auto" w:sz="4" w:space="0"/>
            </w:tcBorders>
            <w:noWrap w:val="0"/>
            <w:vAlign w:val="top"/>
          </w:tcPr>
          <w:p w14:paraId="6DE6BB1D">
            <w:pPr>
              <w:adjustRightInd w:val="0"/>
              <w:snapToGrid w:val="0"/>
              <w:ind w:firstLine="480" w:firstLineChars="200"/>
              <w:rPr>
                <w:rFonts w:hint="eastAsia" w:ascii="宋体" w:hAnsi="宋体" w:cs="宋体"/>
                <w:color w:val="auto"/>
                <w:sz w:val="24"/>
                <w:szCs w:val="24"/>
              </w:rPr>
            </w:pPr>
            <w:r>
              <w:rPr>
                <w:rFonts w:hint="eastAsia" w:ascii="宋体" w:hAnsi="宋体" w:cs="宋体"/>
                <w:color w:val="auto"/>
                <w:sz w:val="24"/>
                <w:szCs w:val="24"/>
              </w:rPr>
              <w:t>内容</w:t>
            </w:r>
          </w:p>
          <w:p w14:paraId="27199DD1">
            <w:pPr>
              <w:adjustRightInd w:val="0"/>
              <w:snapToGrid w:val="0"/>
              <w:rPr>
                <w:rFonts w:hint="eastAsia" w:ascii="宋体" w:hAnsi="宋体" w:cs="宋体"/>
                <w:color w:val="auto"/>
                <w:sz w:val="24"/>
                <w:szCs w:val="24"/>
              </w:rPr>
            </w:pPr>
          </w:p>
          <w:p w14:paraId="6F4D8E69">
            <w:pPr>
              <w:adjustRightInd w:val="0"/>
              <w:snapToGrid w:val="0"/>
              <w:rPr>
                <w:rFonts w:hint="eastAsia" w:ascii="宋体" w:hAnsi="宋体" w:cs="宋体"/>
                <w:color w:val="auto"/>
                <w:sz w:val="24"/>
                <w:szCs w:val="24"/>
              </w:rPr>
            </w:pPr>
          </w:p>
          <w:p w14:paraId="3EA84F4B">
            <w:pPr>
              <w:adjustRightInd w:val="0"/>
              <w:snapToGrid w:val="0"/>
              <w:rPr>
                <w:rFonts w:hint="eastAsia" w:ascii="宋体" w:hAnsi="宋体" w:cs="宋体"/>
                <w:color w:val="auto"/>
                <w:sz w:val="24"/>
                <w:szCs w:val="24"/>
              </w:rPr>
            </w:pPr>
            <w:r>
              <w:rPr>
                <w:rFonts w:hint="eastAsia" w:ascii="宋体" w:hAnsi="宋体" w:cs="宋体"/>
                <w:color w:val="auto"/>
                <w:sz w:val="24"/>
                <w:szCs w:val="24"/>
              </w:rPr>
              <w:t>要素</w:t>
            </w:r>
          </w:p>
        </w:tc>
        <w:tc>
          <w:tcPr>
            <w:tcW w:w="1575" w:type="dxa"/>
            <w:noWrap w:val="0"/>
            <w:vAlign w:val="center"/>
          </w:tcPr>
          <w:p w14:paraId="067A1107">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排放口</w:t>
            </w:r>
            <w:r>
              <w:rPr>
                <w:rFonts w:hint="eastAsia" w:ascii="宋体" w:hAnsi="宋体" w:cs="宋体"/>
                <w:color w:val="auto"/>
                <w:sz w:val="24"/>
                <w:szCs w:val="24"/>
                <w:lang w:eastAsia="zh-CN"/>
              </w:rPr>
              <w:t>（</w:t>
            </w:r>
            <w:r>
              <w:rPr>
                <w:rFonts w:hint="eastAsia" w:ascii="宋体" w:hAnsi="宋体" w:cs="宋体"/>
                <w:color w:val="auto"/>
                <w:sz w:val="24"/>
                <w:szCs w:val="24"/>
              </w:rPr>
              <w:t>编号、名称</w:t>
            </w:r>
            <w:r>
              <w:rPr>
                <w:rFonts w:hint="eastAsia" w:ascii="宋体" w:hAnsi="宋体" w:cs="宋体"/>
                <w:color w:val="auto"/>
                <w:sz w:val="24"/>
                <w:szCs w:val="24"/>
                <w:lang w:eastAsia="zh-CN"/>
              </w:rPr>
              <w:t>）</w:t>
            </w:r>
            <w:r>
              <w:rPr>
                <w:rFonts w:hint="eastAsia" w:ascii="宋体" w:hAnsi="宋体" w:cs="宋体"/>
                <w:color w:val="auto"/>
                <w:sz w:val="24"/>
                <w:szCs w:val="24"/>
              </w:rPr>
              <w:t>/污染源</w:t>
            </w:r>
          </w:p>
        </w:tc>
        <w:tc>
          <w:tcPr>
            <w:tcW w:w="1527" w:type="dxa"/>
            <w:noWrap w:val="0"/>
            <w:vAlign w:val="center"/>
          </w:tcPr>
          <w:p w14:paraId="04F5BF27">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污染物项目</w:t>
            </w:r>
          </w:p>
        </w:tc>
        <w:tc>
          <w:tcPr>
            <w:tcW w:w="2160" w:type="dxa"/>
            <w:noWrap w:val="0"/>
            <w:vAlign w:val="center"/>
          </w:tcPr>
          <w:p w14:paraId="4050D1C3">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环境保护措施</w:t>
            </w:r>
          </w:p>
        </w:tc>
        <w:tc>
          <w:tcPr>
            <w:tcW w:w="2144" w:type="dxa"/>
            <w:noWrap w:val="0"/>
            <w:vAlign w:val="center"/>
          </w:tcPr>
          <w:p w14:paraId="026ECBBA">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执行标准</w:t>
            </w:r>
          </w:p>
        </w:tc>
      </w:tr>
      <w:tr w14:paraId="687DC8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94" w:type="dxa"/>
            <w:vMerge w:val="restart"/>
            <w:noWrap w:val="0"/>
            <w:vAlign w:val="center"/>
          </w:tcPr>
          <w:p w14:paraId="2D34DB8D">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大气环境</w:t>
            </w:r>
          </w:p>
        </w:tc>
        <w:tc>
          <w:tcPr>
            <w:tcW w:w="1575" w:type="dxa"/>
            <w:noWrap w:val="0"/>
            <w:vAlign w:val="center"/>
          </w:tcPr>
          <w:p w14:paraId="13564B33">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DA001</w:t>
            </w:r>
            <w:r>
              <w:rPr>
                <w:rFonts w:hint="default" w:ascii="Times New Roman" w:hAnsi="Times New Roman" w:cs="Times New Roman"/>
                <w:color w:val="auto"/>
                <w:sz w:val="24"/>
                <w:szCs w:val="24"/>
                <w:lang w:val="en-US" w:eastAsia="zh-CN"/>
              </w:rPr>
              <w:t>排气筒</w:t>
            </w:r>
          </w:p>
        </w:tc>
        <w:tc>
          <w:tcPr>
            <w:tcW w:w="1527" w:type="dxa"/>
            <w:noWrap w:val="0"/>
            <w:vAlign w:val="center"/>
          </w:tcPr>
          <w:p w14:paraId="4A84213B">
            <w:pPr>
              <w:adjustRightInd w:val="0"/>
              <w:snapToGrid w:val="0"/>
              <w:jc w:val="center"/>
              <w:rPr>
                <w:rFonts w:hint="eastAsia" w:ascii="Times New Roman" w:hAnsi="Times New Roman" w:eastAsia="宋体" w:cs="宋体"/>
                <w:color w:val="auto"/>
                <w:kern w:val="2"/>
                <w:sz w:val="24"/>
                <w:szCs w:val="24"/>
                <w:lang w:val="en-US" w:eastAsia="zh-CN" w:bidi="ar-SA"/>
              </w:rPr>
            </w:pPr>
            <w:r>
              <w:rPr>
                <w:rFonts w:ascii="Times New Roman" w:hAnsi="Times New Roman" w:eastAsia="宋体" w:cs="宋体"/>
                <w:color w:val="auto"/>
                <w:sz w:val="24"/>
                <w:szCs w:val="24"/>
              </w:rPr>
              <w:t>颗粒物</w:t>
            </w:r>
          </w:p>
        </w:tc>
        <w:tc>
          <w:tcPr>
            <w:tcW w:w="2160" w:type="dxa"/>
            <w:noWrap w:val="0"/>
            <w:vAlign w:val="center"/>
          </w:tcPr>
          <w:p w14:paraId="4FDE2192">
            <w:pPr>
              <w:ind w:left="0" w:leftChars="-1" w:right="-48" w:rightChars="-23" w:hanging="2" w:hangingChars="1"/>
              <w:jc w:val="both"/>
              <w:rPr>
                <w:rFonts w:hint="default" w:ascii="Times New Roman" w:hAnsi="Times New Roman" w:eastAsia="宋体" w:cs="宋体"/>
                <w:color w:val="auto"/>
                <w:kern w:val="2"/>
                <w:sz w:val="24"/>
                <w:szCs w:val="24"/>
                <w:lang w:val="en-US" w:eastAsia="zh-CN" w:bidi="ar-SA"/>
              </w:rPr>
            </w:pPr>
            <w:r>
              <w:rPr>
                <w:rFonts w:hint="eastAsia" w:cs="宋体"/>
                <w:color w:val="auto"/>
                <w:kern w:val="2"/>
                <w:sz w:val="24"/>
                <w:szCs w:val="24"/>
                <w:lang w:val="en-US" w:eastAsia="zh-CN" w:bidi="ar-SA"/>
              </w:rPr>
              <w:t>移动烟尘净化器+15m排气筒</w:t>
            </w:r>
          </w:p>
        </w:tc>
        <w:tc>
          <w:tcPr>
            <w:tcW w:w="2144" w:type="dxa"/>
            <w:vMerge w:val="restart"/>
            <w:noWrap w:val="0"/>
            <w:vAlign w:val="center"/>
          </w:tcPr>
          <w:p w14:paraId="3C2F4230">
            <w:pPr>
              <w:adjustRightInd w:val="0"/>
              <w:snapToGrid w:val="0"/>
              <w:jc w:val="both"/>
              <w:rPr>
                <w:rFonts w:hint="eastAsia" w:ascii="宋体" w:hAnsi="宋体" w:eastAsia="宋体" w:cs="宋体"/>
                <w:color w:val="auto"/>
                <w:sz w:val="24"/>
                <w:szCs w:val="24"/>
                <w:lang w:eastAsia="zh-CN"/>
              </w:rPr>
            </w:pPr>
            <w:r>
              <w:rPr>
                <w:rFonts w:ascii="Times New Roman" w:hAnsi="Times New Roman" w:eastAsia="宋体" w:cs="宋体"/>
                <w:color w:val="auto"/>
                <w:sz w:val="24"/>
                <w:szCs w:val="24"/>
              </w:rPr>
              <w:t>《大气污染物综合排放标准》（GB16297-1996）表2中排放监控浓度限值</w:t>
            </w:r>
            <w:r>
              <w:rPr>
                <w:rFonts w:hint="eastAsia" w:cs="宋体"/>
                <w:color w:val="auto"/>
                <w:sz w:val="24"/>
                <w:szCs w:val="24"/>
                <w:lang w:eastAsia="zh-CN"/>
              </w:rPr>
              <w:t>，</w:t>
            </w:r>
            <w:r>
              <w:rPr>
                <w:rFonts w:hint="eastAsia" w:ascii="Times New Roman" w:hAnsi="Times New Roman" w:cs="Times New Roman"/>
                <w:color w:val="auto"/>
                <w:sz w:val="24"/>
                <w:szCs w:val="24"/>
                <w:lang w:eastAsia="zh-CN"/>
              </w:rPr>
              <w:t>同时厂区内需满足《挥发性有机物无组织排放控制标准》（GB37822-2019）</w:t>
            </w:r>
            <w:r>
              <w:rPr>
                <w:rFonts w:hint="eastAsia" w:cs="Times New Roman"/>
                <w:color w:val="auto"/>
                <w:sz w:val="24"/>
                <w:szCs w:val="24"/>
                <w:lang w:eastAsia="zh-CN"/>
              </w:rPr>
              <w:t>；</w:t>
            </w:r>
            <w:r>
              <w:rPr>
                <w:rFonts w:hint="eastAsia" w:cs="Times New Roman"/>
                <w:color w:val="auto"/>
                <w:sz w:val="24"/>
                <w:szCs w:val="24"/>
                <w:lang w:eastAsia="zh-CN"/>
              </w:rPr>
              <w:t>臭气浓度执行《恶臭污染物排放标准》（GB14554-93）表1恶臭污染物厂界标准值（二级）</w:t>
            </w:r>
          </w:p>
        </w:tc>
      </w:tr>
      <w:tr w14:paraId="2454DD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94" w:type="dxa"/>
            <w:vMerge w:val="continue"/>
            <w:noWrap w:val="0"/>
            <w:vAlign w:val="center"/>
          </w:tcPr>
          <w:p w14:paraId="52E573AD">
            <w:pPr>
              <w:adjustRightInd w:val="0"/>
              <w:snapToGrid w:val="0"/>
              <w:jc w:val="center"/>
              <w:rPr>
                <w:rFonts w:hint="eastAsia" w:ascii="宋体" w:hAnsi="宋体" w:cs="宋体"/>
                <w:color w:val="auto"/>
                <w:sz w:val="24"/>
                <w:szCs w:val="24"/>
              </w:rPr>
            </w:pPr>
          </w:p>
        </w:tc>
        <w:tc>
          <w:tcPr>
            <w:tcW w:w="1575" w:type="dxa"/>
            <w:noWrap w:val="0"/>
            <w:vAlign w:val="center"/>
          </w:tcPr>
          <w:p w14:paraId="2197BD23">
            <w:pPr>
              <w:adjustRightInd w:val="0"/>
              <w:snapToGrid w:val="0"/>
              <w:jc w:val="center"/>
              <w:rPr>
                <w:rFonts w:hint="eastAsia" w:cs="Times New Roman"/>
                <w:color w:val="auto"/>
                <w:sz w:val="24"/>
                <w:szCs w:val="24"/>
                <w:lang w:val="en-US" w:eastAsia="zh-CN"/>
              </w:rPr>
            </w:pPr>
            <w:r>
              <w:rPr>
                <w:rFonts w:hint="eastAsia" w:cs="Times New Roman"/>
                <w:color w:val="auto"/>
                <w:sz w:val="24"/>
                <w:szCs w:val="24"/>
                <w:lang w:val="en-US" w:eastAsia="zh-CN"/>
              </w:rPr>
              <w:t>DA002</w:t>
            </w:r>
            <w:r>
              <w:rPr>
                <w:rFonts w:hint="default" w:ascii="Times New Roman" w:hAnsi="Times New Roman" w:cs="Times New Roman"/>
                <w:color w:val="auto"/>
                <w:sz w:val="24"/>
                <w:szCs w:val="24"/>
                <w:lang w:val="en-US" w:eastAsia="zh-CN"/>
              </w:rPr>
              <w:t>排气筒</w:t>
            </w:r>
          </w:p>
        </w:tc>
        <w:tc>
          <w:tcPr>
            <w:tcW w:w="1527" w:type="dxa"/>
            <w:shd w:val="clear" w:color="auto" w:fill="auto"/>
            <w:noWrap w:val="0"/>
            <w:vAlign w:val="center"/>
          </w:tcPr>
          <w:p w14:paraId="2822C5F8">
            <w:pPr>
              <w:adjustRightInd w:val="0"/>
              <w:snapToGrid w:val="0"/>
              <w:jc w:val="center"/>
              <w:rPr>
                <w:rFonts w:hint="eastAsia" w:ascii="Times New Roman" w:hAnsi="Times New Roman" w:eastAsia="宋体" w:cs="宋体"/>
                <w:color w:val="auto"/>
                <w:kern w:val="2"/>
                <w:sz w:val="24"/>
                <w:szCs w:val="24"/>
                <w:lang w:val="en-US" w:eastAsia="zh-CN" w:bidi="ar-SA"/>
              </w:rPr>
            </w:pPr>
            <w:r>
              <w:rPr>
                <w:rFonts w:hint="eastAsia" w:cs="宋体"/>
                <w:color w:val="auto"/>
                <w:sz w:val="24"/>
                <w:szCs w:val="24"/>
                <w:lang w:val="en-US" w:eastAsia="zh-CN"/>
              </w:rPr>
              <w:t>非甲烷总烃、</w:t>
            </w:r>
            <w:r>
              <w:rPr>
                <w:rFonts w:ascii="Times New Roman" w:hAnsi="Times New Roman" w:eastAsia="宋体" w:cs="宋体"/>
                <w:color w:val="auto"/>
                <w:sz w:val="24"/>
                <w:szCs w:val="24"/>
              </w:rPr>
              <w:t>颗粒物、SO</w:t>
            </w:r>
            <w:r>
              <w:rPr>
                <w:rFonts w:ascii="Times New Roman" w:hAnsi="Times New Roman" w:eastAsia="宋体" w:cs="宋体"/>
                <w:color w:val="auto"/>
                <w:sz w:val="24"/>
                <w:szCs w:val="24"/>
                <w:vertAlign w:val="subscript"/>
              </w:rPr>
              <w:t>2</w:t>
            </w:r>
            <w:r>
              <w:rPr>
                <w:rFonts w:ascii="Times New Roman" w:hAnsi="Times New Roman" w:eastAsia="宋体" w:cs="宋体"/>
                <w:color w:val="auto"/>
                <w:sz w:val="24"/>
                <w:szCs w:val="24"/>
              </w:rPr>
              <w:t>、NO</w:t>
            </w:r>
            <w:r>
              <w:rPr>
                <w:rFonts w:ascii="Times New Roman" w:hAnsi="Times New Roman" w:eastAsia="宋体" w:cs="宋体"/>
                <w:color w:val="auto"/>
                <w:sz w:val="24"/>
                <w:szCs w:val="24"/>
                <w:vertAlign w:val="subscript"/>
              </w:rPr>
              <w:t>x</w:t>
            </w:r>
          </w:p>
        </w:tc>
        <w:tc>
          <w:tcPr>
            <w:tcW w:w="2160" w:type="dxa"/>
            <w:shd w:val="clear" w:color="auto" w:fill="auto"/>
            <w:noWrap w:val="0"/>
            <w:vAlign w:val="center"/>
          </w:tcPr>
          <w:p w14:paraId="792ED50A">
            <w:pPr>
              <w:ind w:left="0" w:leftChars="-1" w:right="-48" w:rightChars="-23" w:hanging="2" w:hangingChars="1"/>
              <w:jc w:val="both"/>
              <w:rPr>
                <w:rFonts w:hint="eastAsia" w:ascii="Times New Roman" w:hAnsi="Times New Roman" w:eastAsia="宋体" w:cs="宋体"/>
                <w:color w:val="auto"/>
                <w:kern w:val="2"/>
                <w:sz w:val="24"/>
                <w:szCs w:val="24"/>
                <w:lang w:val="en-US" w:eastAsia="zh-CN" w:bidi="ar-SA"/>
              </w:rPr>
            </w:pPr>
            <w:r>
              <w:rPr>
                <w:rFonts w:hint="eastAsia" w:cs="宋体"/>
                <w:color w:val="auto"/>
                <w:sz w:val="24"/>
                <w:szCs w:val="24"/>
                <w:lang w:val="en-US" w:eastAsia="zh-CN"/>
              </w:rPr>
              <w:t>粉料回收装置、</w:t>
            </w:r>
            <w:r>
              <w:rPr>
                <w:rFonts w:hint="eastAsia" w:cs="宋体"/>
                <w:color w:val="auto"/>
                <w:sz w:val="24"/>
                <w:szCs w:val="24"/>
                <w:lang w:val="en-US" w:eastAsia="zh-CN"/>
              </w:rPr>
              <w:t>水喷淋+二级活性炭</w:t>
            </w:r>
            <w:r>
              <w:rPr>
                <w:rFonts w:hint="eastAsia" w:cs="Times New Roman"/>
                <w:color w:val="auto"/>
                <w:sz w:val="24"/>
                <w:szCs w:val="24"/>
                <w:highlight w:val="none"/>
                <w:lang w:val="en-US" w:eastAsia="zh-CN"/>
              </w:rPr>
              <w:t>（含干式过滤棉）</w:t>
            </w:r>
            <w:r>
              <w:rPr>
                <w:rFonts w:hint="eastAsia" w:cs="宋体"/>
                <w:color w:val="auto"/>
                <w:sz w:val="24"/>
                <w:szCs w:val="24"/>
                <w:lang w:val="en-US" w:eastAsia="zh-CN"/>
              </w:rPr>
              <w:t>、15</w:t>
            </w:r>
            <w:r>
              <w:rPr>
                <w:rFonts w:hint="eastAsia" w:ascii="Times New Roman" w:hAnsi="Times New Roman" w:eastAsia="宋体" w:cs="宋体"/>
                <w:color w:val="auto"/>
                <w:sz w:val="24"/>
                <w:szCs w:val="24"/>
                <w:lang w:val="en-US" w:eastAsia="zh-CN"/>
              </w:rPr>
              <w:t>m排气筒</w:t>
            </w:r>
          </w:p>
        </w:tc>
        <w:tc>
          <w:tcPr>
            <w:tcW w:w="2144" w:type="dxa"/>
            <w:vMerge w:val="continue"/>
            <w:noWrap w:val="0"/>
            <w:vAlign w:val="center"/>
          </w:tcPr>
          <w:p w14:paraId="2F3BE0E5">
            <w:pPr>
              <w:adjustRightInd w:val="0"/>
              <w:snapToGrid w:val="0"/>
              <w:jc w:val="both"/>
              <w:rPr>
                <w:rFonts w:ascii="Times New Roman" w:hAnsi="Times New Roman" w:eastAsia="宋体" w:cs="宋体"/>
                <w:color w:val="auto"/>
                <w:sz w:val="24"/>
                <w:szCs w:val="24"/>
              </w:rPr>
            </w:pPr>
          </w:p>
        </w:tc>
      </w:tr>
      <w:tr w14:paraId="7F78F0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94" w:type="dxa"/>
            <w:vMerge w:val="continue"/>
            <w:noWrap w:val="0"/>
            <w:vAlign w:val="center"/>
          </w:tcPr>
          <w:p w14:paraId="01BFB52D">
            <w:pPr>
              <w:adjustRightInd w:val="0"/>
              <w:snapToGrid w:val="0"/>
              <w:jc w:val="center"/>
              <w:rPr>
                <w:rFonts w:hint="eastAsia" w:ascii="宋体" w:hAnsi="宋体" w:cs="宋体"/>
                <w:color w:val="auto"/>
                <w:sz w:val="24"/>
                <w:szCs w:val="24"/>
              </w:rPr>
            </w:pPr>
          </w:p>
        </w:tc>
        <w:tc>
          <w:tcPr>
            <w:tcW w:w="1575" w:type="dxa"/>
            <w:noWrap w:val="0"/>
            <w:vAlign w:val="center"/>
          </w:tcPr>
          <w:p w14:paraId="6639138C">
            <w:pPr>
              <w:adjustRightInd w:val="0"/>
              <w:snapToGrid w:val="0"/>
              <w:jc w:val="center"/>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车间无组织排放</w:t>
            </w:r>
          </w:p>
        </w:tc>
        <w:tc>
          <w:tcPr>
            <w:tcW w:w="1527" w:type="dxa"/>
            <w:noWrap w:val="0"/>
            <w:vAlign w:val="center"/>
          </w:tcPr>
          <w:p w14:paraId="7C569800">
            <w:pPr>
              <w:adjustRightInd w:val="0"/>
              <w:snapToGrid w:val="0"/>
              <w:jc w:val="center"/>
              <w:rPr>
                <w:rFonts w:hint="default" w:ascii="宋体" w:hAnsi="宋体" w:cs="宋体"/>
                <w:color w:val="auto"/>
                <w:sz w:val="24"/>
                <w:szCs w:val="24"/>
                <w:lang w:val="en-US"/>
              </w:rPr>
            </w:pPr>
            <w:r>
              <w:rPr>
                <w:rFonts w:hint="eastAsia" w:ascii="宋体" w:hAnsi="宋体" w:cs="宋体"/>
                <w:color w:val="auto"/>
                <w:sz w:val="24"/>
                <w:szCs w:val="24"/>
                <w:lang w:eastAsia="zh-CN"/>
              </w:rPr>
              <w:t>颗粒物、非甲烷总烃、</w:t>
            </w:r>
            <w:r>
              <w:rPr>
                <w:rFonts w:hint="eastAsia" w:ascii="宋体" w:hAnsi="宋体" w:cs="宋体"/>
                <w:color w:val="auto"/>
                <w:sz w:val="24"/>
                <w:szCs w:val="24"/>
                <w:lang w:val="en-US" w:eastAsia="zh-CN"/>
              </w:rPr>
              <w:t>臭气浓度</w:t>
            </w:r>
          </w:p>
        </w:tc>
        <w:tc>
          <w:tcPr>
            <w:tcW w:w="2160" w:type="dxa"/>
            <w:noWrap w:val="0"/>
            <w:vAlign w:val="center"/>
          </w:tcPr>
          <w:p w14:paraId="4F92C936">
            <w:pPr>
              <w:adjustRightInd w:val="0"/>
              <w:snapToGrid w:val="0"/>
              <w:jc w:val="both"/>
              <w:rPr>
                <w:rFonts w:hint="default" w:ascii="宋体" w:hAnsi="宋体" w:eastAsia="宋体" w:cs="宋体"/>
                <w:color w:val="auto"/>
                <w:sz w:val="24"/>
                <w:szCs w:val="24"/>
                <w:lang w:val="en-US" w:eastAsia="zh-CN"/>
              </w:rPr>
            </w:pPr>
            <w:r>
              <w:rPr>
                <w:rFonts w:hint="eastAsia" w:cs="宋体"/>
                <w:color w:val="auto"/>
                <w:sz w:val="24"/>
                <w:szCs w:val="24"/>
                <w:lang w:val="en-US" w:eastAsia="zh-CN"/>
              </w:rPr>
              <w:t>机加工废气经移动式烟尘净化器处理无组织排放，其他无组织废气经</w:t>
            </w:r>
            <w:r>
              <w:rPr>
                <w:rFonts w:ascii="Times New Roman" w:hAnsi="Times New Roman" w:eastAsia="宋体" w:cs="宋体"/>
                <w:color w:val="auto"/>
                <w:sz w:val="24"/>
                <w:szCs w:val="24"/>
              </w:rPr>
              <w:t>车间通风</w:t>
            </w:r>
            <w:r>
              <w:rPr>
                <w:rFonts w:hint="eastAsia" w:cs="宋体"/>
                <w:color w:val="auto"/>
                <w:sz w:val="24"/>
                <w:szCs w:val="24"/>
                <w:lang w:val="en-US" w:eastAsia="zh-CN"/>
              </w:rPr>
              <w:t>无组织排放</w:t>
            </w:r>
          </w:p>
        </w:tc>
        <w:tc>
          <w:tcPr>
            <w:tcW w:w="2144" w:type="dxa"/>
            <w:vMerge w:val="continue"/>
            <w:noWrap w:val="0"/>
            <w:vAlign w:val="center"/>
          </w:tcPr>
          <w:p w14:paraId="46BC9806">
            <w:pPr>
              <w:adjustRightInd w:val="0"/>
              <w:snapToGrid w:val="0"/>
              <w:jc w:val="both"/>
              <w:rPr>
                <w:rFonts w:hint="eastAsia" w:ascii="宋体" w:hAnsi="宋体" w:eastAsia="宋体" w:cs="宋体"/>
                <w:color w:val="auto"/>
                <w:sz w:val="24"/>
                <w:szCs w:val="24"/>
                <w:lang w:eastAsia="zh-CN"/>
              </w:rPr>
            </w:pPr>
          </w:p>
        </w:tc>
      </w:tr>
      <w:tr w14:paraId="5DD418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94" w:type="dxa"/>
            <w:vMerge w:val="restart"/>
            <w:noWrap w:val="0"/>
            <w:vAlign w:val="center"/>
          </w:tcPr>
          <w:p w14:paraId="019BDB62">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地表水环境</w:t>
            </w:r>
          </w:p>
        </w:tc>
        <w:tc>
          <w:tcPr>
            <w:tcW w:w="1575" w:type="dxa"/>
            <w:shd w:val="clear" w:color="auto" w:fill="auto"/>
            <w:noWrap w:val="0"/>
            <w:vAlign w:val="center"/>
          </w:tcPr>
          <w:p w14:paraId="1B5BC26C">
            <w:pPr>
              <w:adjustRightInd w:val="0"/>
              <w:snapToGrid w:val="0"/>
              <w:jc w:val="center"/>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生活污水</w:t>
            </w:r>
          </w:p>
        </w:tc>
        <w:tc>
          <w:tcPr>
            <w:tcW w:w="1527" w:type="dxa"/>
            <w:shd w:val="clear" w:color="auto" w:fill="auto"/>
            <w:noWrap w:val="0"/>
            <w:vAlign w:val="center"/>
          </w:tcPr>
          <w:p w14:paraId="12EC02ED">
            <w:pPr>
              <w:adjustRightInd w:val="0"/>
              <w:snapToGrid w:val="0"/>
              <w:jc w:val="center"/>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COD、BOD、</w:t>
            </w:r>
            <w:r>
              <w:rPr>
                <w:rFonts w:hint="eastAsia" w:ascii="Times New Roman" w:hAnsi="Times New Roman" w:cs="Times New Roman"/>
                <w:color w:val="auto"/>
                <w:sz w:val="24"/>
                <w:szCs w:val="24"/>
                <w:highlight w:val="none"/>
                <w:lang w:val="en-US" w:eastAsia="zh-CN"/>
              </w:rPr>
              <w:t>TP、TN</w:t>
            </w:r>
            <w:r>
              <w:rPr>
                <w:rFonts w:hint="default" w:ascii="Times New Roman" w:hAnsi="Times New Roman" w:cs="Times New Roman"/>
                <w:color w:val="auto"/>
                <w:sz w:val="24"/>
                <w:szCs w:val="24"/>
                <w:highlight w:val="none"/>
              </w:rPr>
              <w:t>、NH</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-N</w:t>
            </w:r>
          </w:p>
        </w:tc>
        <w:tc>
          <w:tcPr>
            <w:tcW w:w="2160" w:type="dxa"/>
            <w:noWrap w:val="0"/>
            <w:vAlign w:val="center"/>
          </w:tcPr>
          <w:p w14:paraId="5B2C2AC6">
            <w:pPr>
              <w:adjustRightInd w:val="0"/>
              <w:snapToGrid w:val="0"/>
              <w:jc w:val="center"/>
              <w:rPr>
                <w:rFonts w:hint="default" w:ascii="Times New Roman" w:hAnsi="Times New Roman" w:eastAsia="宋体" w:cs="宋体"/>
                <w:color w:val="auto"/>
                <w:sz w:val="24"/>
                <w:szCs w:val="24"/>
                <w:lang w:val="en-US" w:eastAsia="zh-CN"/>
              </w:rPr>
            </w:pPr>
            <w:r>
              <w:rPr>
                <w:rFonts w:hint="eastAsia" w:cs="宋体"/>
                <w:color w:val="auto"/>
                <w:sz w:val="24"/>
                <w:szCs w:val="24"/>
                <w:lang w:val="en-US" w:eastAsia="zh-CN"/>
              </w:rPr>
              <w:t>化粪池</w:t>
            </w:r>
          </w:p>
        </w:tc>
        <w:tc>
          <w:tcPr>
            <w:tcW w:w="2144" w:type="dxa"/>
            <w:vMerge w:val="restart"/>
            <w:shd w:val="clear" w:color="auto" w:fill="auto"/>
            <w:noWrap w:val="0"/>
            <w:vAlign w:val="center"/>
          </w:tcPr>
          <w:p w14:paraId="5D07A6AB">
            <w:pPr>
              <w:adjustRightInd w:val="0"/>
              <w:snapToGrid w:val="0"/>
              <w:ind w:firstLine="98" w:firstLineChars="41"/>
              <w:jc w:val="center"/>
              <w:rPr>
                <w:rFonts w:hint="default" w:ascii="Times New Roman" w:hAnsi="Times New Roman" w:eastAsia="宋体" w:cs="Times New Roman"/>
                <w:color w:val="auto"/>
                <w:kern w:val="2"/>
                <w:sz w:val="24"/>
                <w:szCs w:val="24"/>
                <w:highlight w:val="none"/>
                <w:shd w:val="clear" w:color="auto" w:fill="auto"/>
                <w:lang w:val="en-US" w:eastAsia="zh-CN" w:bidi="ar-SA"/>
              </w:rPr>
            </w:pPr>
            <w:r>
              <w:rPr>
                <w:rFonts w:hint="eastAsia"/>
                <w:color w:val="auto"/>
                <w:sz w:val="24"/>
                <w:highlight w:val="none"/>
                <w:shd w:val="clear" w:color="auto" w:fill="auto"/>
                <w:lang w:val="en-US" w:eastAsia="zh-CN"/>
              </w:rPr>
              <w:t>《污水综合排放标准》（GB8978-1996）三级标准限值及官塘污水处理厂进水水质要求</w:t>
            </w:r>
          </w:p>
        </w:tc>
      </w:tr>
      <w:tr w14:paraId="1A8CB2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94" w:type="dxa"/>
            <w:vMerge w:val="continue"/>
            <w:noWrap w:val="0"/>
            <w:vAlign w:val="center"/>
          </w:tcPr>
          <w:p w14:paraId="1416A14B">
            <w:pPr>
              <w:adjustRightInd w:val="0"/>
              <w:snapToGrid w:val="0"/>
              <w:jc w:val="center"/>
              <w:rPr>
                <w:rFonts w:hint="eastAsia" w:ascii="宋体" w:hAnsi="宋体" w:cs="宋体"/>
                <w:color w:val="auto"/>
                <w:sz w:val="24"/>
                <w:szCs w:val="24"/>
              </w:rPr>
            </w:pPr>
          </w:p>
        </w:tc>
        <w:tc>
          <w:tcPr>
            <w:tcW w:w="1575" w:type="dxa"/>
            <w:noWrap w:val="0"/>
            <w:vAlign w:val="center"/>
          </w:tcPr>
          <w:p w14:paraId="78AE3269">
            <w:pPr>
              <w:adjustRightInd w:val="0"/>
              <w:snapToGrid w:val="0"/>
              <w:jc w:val="center"/>
              <w:rPr>
                <w:rFonts w:hint="default" w:ascii="Times New Roman" w:hAnsi="Times New Roman" w:eastAsia="宋体" w:cs="宋体"/>
                <w:bCs/>
                <w:color w:val="auto"/>
                <w:sz w:val="24"/>
                <w:szCs w:val="24"/>
                <w:lang w:val="en-US" w:eastAsia="zh-CN"/>
              </w:rPr>
            </w:pPr>
            <w:r>
              <w:rPr>
                <w:rFonts w:hint="eastAsia" w:cs="宋体"/>
                <w:bCs/>
                <w:color w:val="auto"/>
                <w:sz w:val="24"/>
                <w:szCs w:val="24"/>
                <w:lang w:val="en-US" w:eastAsia="zh-CN"/>
              </w:rPr>
              <w:t>生产废水</w:t>
            </w:r>
          </w:p>
        </w:tc>
        <w:tc>
          <w:tcPr>
            <w:tcW w:w="1527" w:type="dxa"/>
            <w:noWrap w:val="0"/>
            <w:vAlign w:val="center"/>
          </w:tcPr>
          <w:p w14:paraId="17FDE977">
            <w:pPr>
              <w:adjustRightInd w:val="0"/>
              <w:snapToGrid w:val="0"/>
              <w:spacing w:line="0" w:lineRule="atLeast"/>
              <w:jc w:val="center"/>
              <w:rPr>
                <w:rFonts w:hint="default" w:ascii="Times New Roman" w:hAnsi="Times New Roman" w:eastAsia="宋体" w:cs="宋体"/>
                <w:color w:val="auto"/>
                <w:sz w:val="24"/>
                <w:szCs w:val="24"/>
                <w:lang w:val="en-US"/>
              </w:rPr>
            </w:pPr>
            <w:r>
              <w:rPr>
                <w:rFonts w:hint="eastAsia" w:ascii="Times New Roman" w:hAnsi="Times New Roman" w:eastAsia="宋体" w:cs="宋体"/>
                <w:color w:val="auto"/>
                <w:sz w:val="24"/>
                <w:szCs w:val="24"/>
                <w:lang w:val="en-US" w:eastAsia="zh-CN"/>
              </w:rPr>
              <w:t>COD、SS、磷酸盐、总锌</w:t>
            </w:r>
            <w:r>
              <w:rPr>
                <w:rFonts w:hint="eastAsia" w:cs="宋体"/>
                <w:color w:val="auto"/>
                <w:sz w:val="24"/>
                <w:szCs w:val="24"/>
                <w:lang w:val="en-US" w:eastAsia="zh-CN"/>
              </w:rPr>
              <w:t>、石油类</w:t>
            </w:r>
          </w:p>
        </w:tc>
        <w:tc>
          <w:tcPr>
            <w:tcW w:w="2160" w:type="dxa"/>
            <w:vMerge w:val="restart"/>
            <w:noWrap w:val="0"/>
            <w:vAlign w:val="center"/>
          </w:tcPr>
          <w:p w14:paraId="3FC75257">
            <w:pPr>
              <w:adjustRightInd w:val="0"/>
              <w:snapToGrid w:val="0"/>
              <w:jc w:val="center"/>
              <w:rPr>
                <w:rFonts w:hint="default" w:ascii="Times New Roman" w:hAnsi="Times New Roman" w:eastAsia="宋体" w:cs="宋体"/>
                <w:color w:val="auto"/>
                <w:sz w:val="24"/>
                <w:szCs w:val="24"/>
                <w:lang w:val="en-US" w:eastAsia="zh-CN"/>
              </w:rPr>
            </w:pPr>
            <w:r>
              <w:rPr>
                <w:rFonts w:hint="eastAsia" w:cs="宋体"/>
                <w:color w:val="auto"/>
                <w:sz w:val="24"/>
                <w:szCs w:val="24"/>
                <w:lang w:val="en-US" w:eastAsia="zh-CN"/>
              </w:rPr>
              <w:t>污水处理站</w:t>
            </w:r>
          </w:p>
        </w:tc>
        <w:tc>
          <w:tcPr>
            <w:tcW w:w="2144" w:type="dxa"/>
            <w:vMerge w:val="continue"/>
            <w:noWrap w:val="0"/>
            <w:vAlign w:val="center"/>
          </w:tcPr>
          <w:p w14:paraId="7957B63E">
            <w:pPr>
              <w:adjustRightInd w:val="0"/>
              <w:snapToGrid w:val="0"/>
              <w:jc w:val="center"/>
              <w:rPr>
                <w:rFonts w:hint="default" w:cs="宋体"/>
                <w:color w:val="auto"/>
                <w:sz w:val="24"/>
                <w:szCs w:val="24"/>
                <w:lang w:val="en-US" w:eastAsia="zh-CN"/>
              </w:rPr>
            </w:pPr>
          </w:p>
        </w:tc>
      </w:tr>
      <w:tr w14:paraId="1ACE69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94" w:type="dxa"/>
            <w:vMerge w:val="continue"/>
            <w:noWrap w:val="0"/>
            <w:vAlign w:val="center"/>
          </w:tcPr>
          <w:p w14:paraId="0A455F96">
            <w:pPr>
              <w:adjustRightInd w:val="0"/>
              <w:snapToGrid w:val="0"/>
              <w:jc w:val="center"/>
              <w:rPr>
                <w:rFonts w:hint="eastAsia" w:ascii="宋体" w:hAnsi="宋体" w:cs="宋体"/>
                <w:color w:val="auto"/>
                <w:sz w:val="24"/>
                <w:szCs w:val="24"/>
              </w:rPr>
            </w:pPr>
          </w:p>
        </w:tc>
        <w:tc>
          <w:tcPr>
            <w:tcW w:w="1575" w:type="dxa"/>
            <w:shd w:val="clear" w:color="auto" w:fill="auto"/>
            <w:noWrap w:val="0"/>
            <w:vAlign w:val="center"/>
          </w:tcPr>
          <w:p w14:paraId="35156E0A">
            <w:pPr>
              <w:adjustRightInd w:val="0"/>
              <w:snapToGrid w:val="0"/>
              <w:jc w:val="center"/>
              <w:rPr>
                <w:rFonts w:hint="eastAsia" w:ascii="Times New Roman" w:hAnsi="Times New Roman" w:eastAsia="宋体" w:cs="宋体"/>
                <w:bCs/>
                <w:color w:val="auto"/>
                <w:kern w:val="2"/>
                <w:sz w:val="24"/>
                <w:szCs w:val="24"/>
                <w:lang w:val="en-US" w:eastAsia="zh-CN" w:bidi="ar-SA"/>
              </w:rPr>
            </w:pPr>
            <w:r>
              <w:rPr>
                <w:rFonts w:hint="eastAsia" w:cs="宋体"/>
                <w:bCs/>
                <w:color w:val="auto"/>
                <w:sz w:val="24"/>
                <w:szCs w:val="24"/>
                <w:lang w:val="en-US" w:eastAsia="zh-CN"/>
              </w:rPr>
              <w:t>废气喷淋废水</w:t>
            </w:r>
          </w:p>
        </w:tc>
        <w:tc>
          <w:tcPr>
            <w:tcW w:w="1527" w:type="dxa"/>
            <w:shd w:val="clear" w:color="auto" w:fill="auto"/>
            <w:noWrap w:val="0"/>
            <w:vAlign w:val="center"/>
          </w:tcPr>
          <w:p w14:paraId="6C1A3EBC">
            <w:pPr>
              <w:adjustRightInd w:val="0"/>
              <w:snapToGrid w:val="0"/>
              <w:spacing w:line="0" w:lineRule="atLeast"/>
              <w:jc w:val="center"/>
              <w:rPr>
                <w:rFonts w:hint="eastAsia" w:ascii="Times New Roman" w:hAnsi="Times New Roman" w:eastAsia="宋体" w:cs="宋体"/>
                <w:color w:val="auto"/>
                <w:kern w:val="2"/>
                <w:sz w:val="24"/>
                <w:szCs w:val="24"/>
                <w:lang w:val="en-US" w:eastAsia="zh-CN" w:bidi="ar-SA"/>
              </w:rPr>
            </w:pPr>
            <w:r>
              <w:rPr>
                <w:rFonts w:hint="eastAsia" w:cs="宋体"/>
                <w:color w:val="auto"/>
                <w:sz w:val="24"/>
                <w:szCs w:val="24"/>
                <w:lang w:val="en-US" w:eastAsia="zh-CN"/>
              </w:rPr>
              <w:t>COD、SS</w:t>
            </w:r>
          </w:p>
        </w:tc>
        <w:tc>
          <w:tcPr>
            <w:tcW w:w="2160" w:type="dxa"/>
            <w:vMerge w:val="continue"/>
            <w:noWrap w:val="0"/>
            <w:vAlign w:val="center"/>
          </w:tcPr>
          <w:p w14:paraId="0E57A400">
            <w:pPr>
              <w:adjustRightInd w:val="0"/>
              <w:snapToGrid w:val="0"/>
              <w:jc w:val="center"/>
              <w:rPr>
                <w:rFonts w:hint="eastAsia" w:cs="宋体"/>
                <w:color w:val="auto"/>
                <w:sz w:val="24"/>
                <w:szCs w:val="24"/>
                <w:lang w:val="en-US" w:eastAsia="zh-CN"/>
              </w:rPr>
            </w:pPr>
          </w:p>
        </w:tc>
        <w:tc>
          <w:tcPr>
            <w:tcW w:w="2144" w:type="dxa"/>
            <w:vMerge w:val="continue"/>
            <w:noWrap w:val="0"/>
            <w:vAlign w:val="center"/>
          </w:tcPr>
          <w:p w14:paraId="5EE0DA98">
            <w:pPr>
              <w:adjustRightInd w:val="0"/>
              <w:snapToGrid w:val="0"/>
              <w:jc w:val="center"/>
              <w:rPr>
                <w:rFonts w:hint="default" w:cs="宋体"/>
                <w:color w:val="auto"/>
                <w:sz w:val="24"/>
                <w:szCs w:val="24"/>
                <w:lang w:val="en-US" w:eastAsia="zh-CN"/>
              </w:rPr>
            </w:pPr>
          </w:p>
        </w:tc>
      </w:tr>
      <w:tr w14:paraId="5D7562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94" w:type="dxa"/>
            <w:vMerge w:val="continue"/>
            <w:noWrap w:val="0"/>
            <w:vAlign w:val="center"/>
          </w:tcPr>
          <w:p w14:paraId="154C957B">
            <w:pPr>
              <w:adjustRightInd w:val="0"/>
              <w:snapToGrid w:val="0"/>
              <w:jc w:val="center"/>
              <w:rPr>
                <w:rFonts w:hint="eastAsia" w:ascii="宋体" w:hAnsi="宋体" w:cs="宋体"/>
                <w:color w:val="auto"/>
                <w:sz w:val="24"/>
                <w:szCs w:val="24"/>
              </w:rPr>
            </w:pPr>
          </w:p>
        </w:tc>
        <w:tc>
          <w:tcPr>
            <w:tcW w:w="1575" w:type="dxa"/>
            <w:noWrap w:val="0"/>
            <w:vAlign w:val="center"/>
          </w:tcPr>
          <w:p w14:paraId="21AE656E">
            <w:pPr>
              <w:adjustRightInd w:val="0"/>
              <w:snapToGrid w:val="0"/>
              <w:jc w:val="center"/>
              <w:rPr>
                <w:rFonts w:hint="default" w:cs="宋体"/>
                <w:bCs/>
                <w:color w:val="auto"/>
                <w:sz w:val="24"/>
                <w:szCs w:val="24"/>
                <w:lang w:val="en-US" w:eastAsia="zh-CN"/>
              </w:rPr>
            </w:pPr>
            <w:r>
              <w:rPr>
                <w:rFonts w:hint="eastAsia" w:cs="宋体"/>
                <w:bCs/>
                <w:color w:val="auto"/>
                <w:sz w:val="24"/>
                <w:szCs w:val="24"/>
                <w:lang w:val="en-US" w:eastAsia="zh-CN"/>
              </w:rPr>
              <w:t>纯水制备废水</w:t>
            </w:r>
          </w:p>
        </w:tc>
        <w:tc>
          <w:tcPr>
            <w:tcW w:w="1527" w:type="dxa"/>
            <w:noWrap w:val="0"/>
            <w:vAlign w:val="center"/>
          </w:tcPr>
          <w:p w14:paraId="419BC4B0">
            <w:pPr>
              <w:adjustRightInd w:val="0"/>
              <w:snapToGrid w:val="0"/>
              <w:spacing w:line="0" w:lineRule="atLeast"/>
              <w:jc w:val="center"/>
              <w:rPr>
                <w:rFonts w:hint="eastAsia" w:ascii="Times New Roman" w:hAnsi="Times New Roman" w:eastAsia="宋体" w:cs="宋体"/>
                <w:color w:val="auto"/>
                <w:sz w:val="24"/>
                <w:szCs w:val="24"/>
                <w:lang w:val="en-US" w:eastAsia="zh-CN"/>
              </w:rPr>
            </w:pPr>
            <w:r>
              <w:rPr>
                <w:rFonts w:hint="eastAsia" w:ascii="Times New Roman" w:hAnsi="Times New Roman" w:eastAsia="宋体" w:cs="宋体"/>
                <w:color w:val="auto"/>
                <w:sz w:val="24"/>
                <w:szCs w:val="24"/>
                <w:lang w:val="en-US" w:eastAsia="zh-CN"/>
              </w:rPr>
              <w:t>COD</w:t>
            </w:r>
          </w:p>
        </w:tc>
        <w:tc>
          <w:tcPr>
            <w:tcW w:w="2160" w:type="dxa"/>
            <w:noWrap w:val="0"/>
            <w:vAlign w:val="center"/>
          </w:tcPr>
          <w:p w14:paraId="61E04453">
            <w:pPr>
              <w:adjustRightInd w:val="0"/>
              <w:snapToGrid w:val="0"/>
              <w:jc w:val="center"/>
              <w:rPr>
                <w:rFonts w:hint="default" w:cs="宋体"/>
                <w:color w:val="auto"/>
                <w:sz w:val="24"/>
                <w:szCs w:val="24"/>
                <w:lang w:val="en-US" w:eastAsia="zh-CN"/>
              </w:rPr>
            </w:pPr>
            <w:r>
              <w:rPr>
                <w:rFonts w:hint="eastAsia" w:cs="宋体"/>
                <w:color w:val="auto"/>
                <w:sz w:val="24"/>
                <w:szCs w:val="24"/>
                <w:lang w:val="en-US" w:eastAsia="zh-CN"/>
              </w:rPr>
              <w:t>/</w:t>
            </w:r>
          </w:p>
        </w:tc>
        <w:tc>
          <w:tcPr>
            <w:tcW w:w="2144" w:type="dxa"/>
            <w:vMerge w:val="continue"/>
            <w:noWrap w:val="0"/>
            <w:vAlign w:val="center"/>
          </w:tcPr>
          <w:p w14:paraId="2B81C8E9">
            <w:pPr>
              <w:adjustRightInd w:val="0"/>
              <w:snapToGrid w:val="0"/>
              <w:jc w:val="center"/>
              <w:rPr>
                <w:rFonts w:hint="default" w:cs="宋体"/>
                <w:color w:val="auto"/>
                <w:sz w:val="24"/>
                <w:szCs w:val="24"/>
                <w:lang w:val="en-US" w:eastAsia="zh-CN"/>
              </w:rPr>
            </w:pPr>
          </w:p>
        </w:tc>
      </w:tr>
      <w:tr w14:paraId="14D011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94" w:type="dxa"/>
            <w:noWrap w:val="0"/>
            <w:vAlign w:val="center"/>
          </w:tcPr>
          <w:p w14:paraId="0C5792D5">
            <w:pPr>
              <w:adjustRightInd w:val="0"/>
              <w:snapToGrid w:val="0"/>
              <w:jc w:val="center"/>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噪声</w:t>
            </w:r>
          </w:p>
        </w:tc>
        <w:tc>
          <w:tcPr>
            <w:tcW w:w="1575" w:type="dxa"/>
            <w:noWrap w:val="0"/>
            <w:vAlign w:val="center"/>
          </w:tcPr>
          <w:p w14:paraId="702AE64C">
            <w:pPr>
              <w:keepNext w:val="0"/>
              <w:keepLines w:val="0"/>
              <w:pageBreakBefore w:val="0"/>
              <w:widowControl w:val="0"/>
              <w:kinsoku/>
              <w:wordWrap/>
              <w:overflowPunct/>
              <w:topLinePunct w:val="0"/>
              <w:autoSpaceDE/>
              <w:bidi w:val="0"/>
              <w:adjustRightInd w:val="0"/>
              <w:snapToGrid w:val="0"/>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eastAsia="zh-CN"/>
              </w:rPr>
              <w:t>生产设备</w:t>
            </w:r>
          </w:p>
        </w:tc>
        <w:tc>
          <w:tcPr>
            <w:tcW w:w="1527" w:type="dxa"/>
            <w:noWrap w:val="0"/>
            <w:vAlign w:val="center"/>
          </w:tcPr>
          <w:p w14:paraId="1DAD41BB">
            <w:pPr>
              <w:keepNext w:val="0"/>
              <w:keepLines w:val="0"/>
              <w:pageBreakBefore w:val="0"/>
              <w:widowControl w:val="0"/>
              <w:kinsoku/>
              <w:wordWrap/>
              <w:overflowPunct/>
              <w:topLinePunct w:val="0"/>
              <w:autoSpaceDE/>
              <w:bidi w:val="0"/>
              <w:adjustRightInd w:val="0"/>
              <w:snapToGrid w:val="0"/>
              <w:spacing w:line="240" w:lineRule="auto"/>
              <w:jc w:val="center"/>
              <w:textAlignment w:val="auto"/>
              <w:rPr>
                <w:rFonts w:hint="eastAsia" w:ascii="宋体" w:hAnsi="宋体" w:eastAsia="宋体" w:cs="宋体"/>
                <w:color w:val="auto"/>
                <w:kern w:val="2"/>
                <w:sz w:val="24"/>
                <w:szCs w:val="24"/>
                <w:lang w:val="en-US" w:eastAsia="zh-CN" w:bidi="ar-SA"/>
              </w:rPr>
            </w:pPr>
            <w:r>
              <w:rPr>
                <w:rFonts w:eastAsia="宋体"/>
                <w:color w:val="auto"/>
                <w:sz w:val="24"/>
                <w:szCs w:val="24"/>
              </w:rPr>
              <w:t>噪声</w:t>
            </w:r>
          </w:p>
        </w:tc>
        <w:tc>
          <w:tcPr>
            <w:tcW w:w="2160" w:type="dxa"/>
            <w:noWrap w:val="0"/>
            <w:vAlign w:val="center"/>
          </w:tcPr>
          <w:p w14:paraId="5C7946F4">
            <w:pPr>
              <w:keepNext w:val="0"/>
              <w:keepLines w:val="0"/>
              <w:pageBreakBefore w:val="0"/>
              <w:widowControl w:val="0"/>
              <w:kinsoku/>
              <w:wordWrap/>
              <w:overflowPunct/>
              <w:topLinePunct w:val="0"/>
              <w:autoSpaceDE/>
              <w:bidi w:val="0"/>
              <w:adjustRightInd w:val="0"/>
              <w:snapToGrid w:val="0"/>
              <w:spacing w:line="240" w:lineRule="auto"/>
              <w:jc w:val="center"/>
              <w:textAlignment w:val="auto"/>
              <w:rPr>
                <w:rFonts w:hint="eastAsia" w:ascii="宋体" w:hAnsi="宋体" w:eastAsia="宋体" w:cs="宋体"/>
                <w:color w:val="auto"/>
                <w:kern w:val="2"/>
                <w:sz w:val="24"/>
                <w:szCs w:val="24"/>
                <w:lang w:val="en-US" w:eastAsia="zh-CN" w:bidi="ar-SA"/>
              </w:rPr>
            </w:pPr>
            <w:r>
              <w:rPr>
                <w:rFonts w:eastAsia="宋体"/>
                <w:color w:val="auto"/>
                <w:sz w:val="24"/>
                <w:szCs w:val="24"/>
              </w:rPr>
              <w:t>隔声降噪、合理布局、加强维护等</w:t>
            </w:r>
          </w:p>
        </w:tc>
        <w:tc>
          <w:tcPr>
            <w:tcW w:w="2144" w:type="dxa"/>
            <w:noWrap w:val="0"/>
            <w:vAlign w:val="center"/>
          </w:tcPr>
          <w:p w14:paraId="44877BA4">
            <w:pPr>
              <w:keepNext w:val="0"/>
              <w:keepLines w:val="0"/>
              <w:pageBreakBefore w:val="0"/>
              <w:widowControl w:val="0"/>
              <w:kinsoku/>
              <w:wordWrap/>
              <w:overflowPunct/>
              <w:topLinePunct w:val="0"/>
              <w:autoSpaceDE/>
              <w:bidi w:val="0"/>
              <w:adjustRightInd w:val="0"/>
              <w:snapToGrid w:val="0"/>
              <w:spacing w:line="240" w:lineRule="auto"/>
              <w:jc w:val="both"/>
              <w:textAlignment w:val="auto"/>
              <w:rPr>
                <w:rFonts w:hint="eastAsia" w:ascii="宋体" w:hAnsi="宋体" w:eastAsia="宋体" w:cs="宋体"/>
                <w:color w:val="auto"/>
                <w:kern w:val="2"/>
                <w:sz w:val="24"/>
                <w:szCs w:val="24"/>
                <w:lang w:val="en-US" w:eastAsia="zh-CN" w:bidi="ar-SA"/>
              </w:rPr>
            </w:pPr>
            <w:r>
              <w:rPr>
                <w:rFonts w:eastAsia="宋体"/>
                <w:color w:val="auto"/>
                <w:sz w:val="24"/>
                <w:szCs w:val="24"/>
              </w:rPr>
              <w:t>《工业企业厂界环境噪声排放标准》（GB12348-2008）</w:t>
            </w:r>
            <w:r>
              <w:rPr>
                <w:rFonts w:hint="eastAsia"/>
                <w:color w:val="auto"/>
                <w:sz w:val="24"/>
                <w:szCs w:val="24"/>
                <w:lang w:val="en-US" w:eastAsia="zh-CN"/>
              </w:rPr>
              <w:t>3</w:t>
            </w:r>
            <w:r>
              <w:rPr>
                <w:rFonts w:eastAsia="宋体"/>
                <w:color w:val="auto"/>
                <w:sz w:val="24"/>
                <w:szCs w:val="24"/>
              </w:rPr>
              <w:t>类</w:t>
            </w:r>
            <w:r>
              <w:rPr>
                <w:rFonts w:ascii="Times New Roman" w:hAnsi="Times New Roman" w:eastAsia="宋体" w:cs="Times New Roman"/>
                <w:color w:val="auto"/>
                <w:sz w:val="24"/>
                <w:szCs w:val="24"/>
              </w:rPr>
              <w:t>标准</w:t>
            </w:r>
          </w:p>
        </w:tc>
      </w:tr>
      <w:tr w14:paraId="390939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94" w:type="dxa"/>
            <w:noWrap w:val="0"/>
            <w:vAlign w:val="center"/>
          </w:tcPr>
          <w:p w14:paraId="3135AB54">
            <w:pPr>
              <w:adjustRightInd w:val="0"/>
              <w:snapToGrid w:val="0"/>
              <w:jc w:val="center"/>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电磁辐射</w:t>
            </w:r>
          </w:p>
        </w:tc>
        <w:tc>
          <w:tcPr>
            <w:tcW w:w="1575" w:type="dxa"/>
            <w:noWrap w:val="0"/>
            <w:vAlign w:val="center"/>
          </w:tcPr>
          <w:p w14:paraId="5F45A670">
            <w:pPr>
              <w:adjustRightInd w:val="0"/>
              <w:snapToGrid w:val="0"/>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527" w:type="dxa"/>
            <w:noWrap w:val="0"/>
            <w:vAlign w:val="center"/>
          </w:tcPr>
          <w:p w14:paraId="588DA23F">
            <w:pPr>
              <w:adjustRightInd w:val="0"/>
              <w:snapToGrid w:val="0"/>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2160" w:type="dxa"/>
            <w:noWrap w:val="0"/>
            <w:vAlign w:val="center"/>
          </w:tcPr>
          <w:p w14:paraId="681C9B2F">
            <w:pPr>
              <w:adjustRightInd w:val="0"/>
              <w:snapToGrid w:val="0"/>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2144" w:type="dxa"/>
            <w:noWrap w:val="0"/>
            <w:vAlign w:val="center"/>
          </w:tcPr>
          <w:p w14:paraId="14809B0A">
            <w:pPr>
              <w:adjustRightInd w:val="0"/>
              <w:snapToGrid w:val="0"/>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r>
      <w:tr w14:paraId="16EFED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394" w:type="dxa"/>
            <w:noWrap w:val="0"/>
            <w:vAlign w:val="center"/>
          </w:tcPr>
          <w:p w14:paraId="5698748E">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固体废物</w:t>
            </w:r>
          </w:p>
        </w:tc>
        <w:tc>
          <w:tcPr>
            <w:tcW w:w="7406" w:type="dxa"/>
            <w:gridSpan w:val="4"/>
            <w:noWrap w:val="0"/>
            <w:vAlign w:val="center"/>
          </w:tcPr>
          <w:p w14:paraId="673753A5">
            <w:pPr>
              <w:pStyle w:val="36"/>
              <w:spacing w:after="0"/>
              <w:ind w:firstLine="0" w:firstLineChars="0"/>
              <w:rPr>
                <w:rFonts w:hint="eastAsia"/>
                <w:color w:val="auto"/>
                <w:sz w:val="24"/>
                <w:szCs w:val="24"/>
              </w:rPr>
            </w:pPr>
            <w:r>
              <w:rPr>
                <w:rFonts w:hint="eastAsia"/>
                <w:color w:val="auto"/>
                <w:sz w:val="24"/>
                <w:szCs w:val="24"/>
              </w:rPr>
              <w:t>一般固废：</w:t>
            </w:r>
          </w:p>
          <w:p w14:paraId="2C8B6EF8">
            <w:pPr>
              <w:pStyle w:val="37"/>
              <w:spacing w:after="0"/>
              <w:ind w:left="0" w:leftChars="0" w:firstLine="0" w:firstLineChars="0"/>
              <w:rPr>
                <w:rFonts w:hint="default" w:eastAsia="宋体"/>
                <w:color w:val="auto"/>
                <w:sz w:val="24"/>
                <w:szCs w:val="24"/>
                <w:lang w:val="en-US" w:eastAsia="zh-CN"/>
              </w:rPr>
            </w:pPr>
            <w:r>
              <w:rPr>
                <w:rFonts w:hint="eastAsia"/>
                <w:color w:val="auto"/>
                <w:sz w:val="24"/>
                <w:szCs w:val="24"/>
                <w:lang w:val="en-US" w:eastAsia="zh-CN"/>
              </w:rPr>
              <w:t>金属碎屑及边角料、一般废包装、焊渣、喷粉废料定期收集外售处理</w:t>
            </w:r>
            <w:r>
              <w:rPr>
                <w:rFonts w:hint="eastAsia"/>
                <w:color w:val="auto"/>
                <w:sz w:val="24"/>
                <w:szCs w:val="24"/>
              </w:rPr>
              <w:t>；</w:t>
            </w:r>
            <w:r>
              <w:rPr>
                <w:rFonts w:hint="eastAsia"/>
                <w:color w:val="auto"/>
                <w:sz w:val="24"/>
                <w:szCs w:val="24"/>
                <w:lang w:val="en-US" w:eastAsia="zh-CN"/>
              </w:rPr>
              <w:t>不合格产品回用于生产线。</w:t>
            </w:r>
          </w:p>
          <w:p w14:paraId="61A56695">
            <w:pPr>
              <w:pStyle w:val="37"/>
              <w:spacing w:after="0"/>
              <w:ind w:left="0" w:leftChars="0" w:firstLine="0" w:firstLineChars="0"/>
              <w:rPr>
                <w:rFonts w:hint="eastAsia"/>
                <w:color w:val="auto"/>
                <w:sz w:val="24"/>
                <w:szCs w:val="24"/>
              </w:rPr>
            </w:pPr>
            <w:r>
              <w:rPr>
                <w:rFonts w:hint="eastAsia"/>
                <w:color w:val="auto"/>
                <w:sz w:val="24"/>
                <w:szCs w:val="24"/>
              </w:rPr>
              <w:t>危险废物：</w:t>
            </w:r>
          </w:p>
          <w:p w14:paraId="0395CE89">
            <w:pPr>
              <w:bidi w:val="0"/>
              <w:rPr>
                <w:rFonts w:hint="eastAsia"/>
                <w:color w:val="auto"/>
                <w:sz w:val="24"/>
                <w:szCs w:val="24"/>
                <w:lang w:eastAsia="zh-CN"/>
              </w:rPr>
            </w:pPr>
            <w:r>
              <w:rPr>
                <w:rFonts w:hint="eastAsia"/>
                <w:color w:val="auto"/>
                <w:sz w:val="24"/>
                <w:szCs w:val="24"/>
              </w:rPr>
              <w:t>危废暂存间建筑面积30m</w:t>
            </w:r>
            <w:r>
              <w:rPr>
                <w:rFonts w:hint="eastAsia"/>
                <w:color w:val="auto"/>
                <w:sz w:val="24"/>
                <w:szCs w:val="24"/>
                <w:vertAlign w:val="superscript"/>
              </w:rPr>
              <w:t>2</w:t>
            </w:r>
            <w:r>
              <w:rPr>
                <w:rFonts w:hint="eastAsia"/>
                <w:color w:val="auto"/>
                <w:sz w:val="24"/>
                <w:szCs w:val="24"/>
              </w:rPr>
              <w:t>，用于</w:t>
            </w:r>
            <w:r>
              <w:rPr>
                <w:rFonts w:hint="eastAsia"/>
                <w:color w:val="auto"/>
                <w:sz w:val="24"/>
                <w:szCs w:val="24"/>
                <w:lang w:val="en-US" w:eastAsia="zh-CN"/>
              </w:rPr>
              <w:t>暂存项目</w:t>
            </w:r>
            <w:r>
              <w:rPr>
                <w:rFonts w:hint="eastAsia"/>
                <w:color w:val="auto"/>
                <w:sz w:val="24"/>
                <w:szCs w:val="24"/>
              </w:rPr>
              <w:t>危险废物；废含油棉纱及抹布</w:t>
            </w:r>
            <w:r>
              <w:rPr>
                <w:rFonts w:hint="eastAsia"/>
                <w:color w:val="auto"/>
                <w:sz w:val="24"/>
                <w:szCs w:val="24"/>
                <w:lang w:eastAsia="zh-CN"/>
              </w:rPr>
              <w:t>、废活性炭、废矿物油、</w:t>
            </w:r>
            <w:r>
              <w:rPr>
                <w:rFonts w:hint="eastAsia"/>
                <w:color w:val="auto"/>
                <w:sz w:val="24"/>
                <w:szCs w:val="24"/>
                <w:lang w:val="en-US" w:eastAsia="zh-CN"/>
              </w:rPr>
              <w:t>超滤膜、表面处理水槽沉渣、电泳槽渣、废过滤棉、废化学品包装物</w:t>
            </w:r>
            <w:r>
              <w:rPr>
                <w:rFonts w:hint="eastAsia"/>
                <w:color w:val="auto"/>
                <w:sz w:val="24"/>
                <w:szCs w:val="24"/>
              </w:rPr>
              <w:t>暂存危废暂存间，</w:t>
            </w:r>
            <w:r>
              <w:rPr>
                <w:rFonts w:hint="eastAsia"/>
                <w:color w:val="auto"/>
                <w:sz w:val="24"/>
                <w:szCs w:val="24"/>
                <w:lang w:val="en-US" w:eastAsia="zh-CN"/>
              </w:rPr>
              <w:t>定期交</w:t>
            </w:r>
            <w:r>
              <w:rPr>
                <w:rFonts w:hint="eastAsia"/>
                <w:color w:val="auto"/>
                <w:sz w:val="24"/>
                <w:szCs w:val="24"/>
                <w:highlight w:val="none"/>
                <w:lang w:val="en-US" w:eastAsia="zh-CN"/>
              </w:rPr>
              <w:t>由</w:t>
            </w:r>
            <w:r>
              <w:rPr>
                <w:rFonts w:hint="eastAsia" w:ascii="Times New Roman" w:hAnsi="Times New Roman" w:eastAsia="宋体"/>
                <w:color w:val="auto"/>
                <w:sz w:val="24"/>
                <w:szCs w:val="24"/>
                <w:highlight w:val="none"/>
                <w:lang w:val="en-US" w:eastAsia="zh-CN"/>
              </w:rPr>
              <w:t>柳州金太阳工业废物处置有限公司</w:t>
            </w:r>
            <w:r>
              <w:rPr>
                <w:rFonts w:hint="eastAsia"/>
                <w:color w:val="auto"/>
                <w:sz w:val="24"/>
                <w:szCs w:val="24"/>
              </w:rPr>
              <w:t>处理</w:t>
            </w:r>
            <w:r>
              <w:rPr>
                <w:rFonts w:hint="eastAsia"/>
                <w:color w:val="auto"/>
                <w:sz w:val="24"/>
                <w:szCs w:val="24"/>
                <w:lang w:eastAsia="zh-CN"/>
              </w:rPr>
              <w:t>，</w:t>
            </w:r>
            <w:r>
              <w:rPr>
                <w:rFonts w:hint="eastAsia"/>
                <w:color w:val="auto"/>
                <w:sz w:val="24"/>
                <w:szCs w:val="24"/>
                <w:lang w:val="en-US" w:eastAsia="zh-CN"/>
              </w:rPr>
              <w:t>污泥定期由</w:t>
            </w:r>
            <w:r>
              <w:rPr>
                <w:rFonts w:hint="eastAsia" w:ascii="Times New Roman" w:hAnsi="Times New Roman" w:eastAsia="宋体"/>
                <w:color w:val="auto"/>
                <w:sz w:val="24"/>
                <w:szCs w:val="24"/>
                <w:highlight w:val="none"/>
                <w:lang w:val="en-US" w:eastAsia="zh-CN"/>
              </w:rPr>
              <w:t>柳州金太阳工业废物处置有限公司</w:t>
            </w:r>
            <w:r>
              <w:rPr>
                <w:rFonts w:hint="eastAsia"/>
                <w:color w:val="auto"/>
                <w:sz w:val="24"/>
                <w:szCs w:val="24"/>
                <w:lang w:val="en-US" w:eastAsia="zh-CN"/>
              </w:rPr>
              <w:t>清掏</w:t>
            </w:r>
            <w:r>
              <w:rPr>
                <w:rFonts w:hint="eastAsia"/>
                <w:color w:val="auto"/>
                <w:sz w:val="24"/>
                <w:szCs w:val="24"/>
              </w:rPr>
              <w:t>处理</w:t>
            </w:r>
            <w:r>
              <w:rPr>
                <w:rFonts w:hint="eastAsia"/>
                <w:color w:val="auto"/>
                <w:sz w:val="24"/>
                <w:szCs w:val="24"/>
                <w:lang w:eastAsia="zh-CN"/>
              </w:rPr>
              <w:t>。</w:t>
            </w:r>
          </w:p>
          <w:p w14:paraId="0EDD9EF6">
            <w:pPr>
              <w:bidi w:val="0"/>
              <w:rPr>
                <w:rFonts w:hint="eastAsia"/>
                <w:color w:val="auto"/>
                <w:sz w:val="24"/>
                <w:szCs w:val="24"/>
              </w:rPr>
            </w:pPr>
            <w:r>
              <w:rPr>
                <w:rFonts w:hint="eastAsia"/>
                <w:color w:val="auto"/>
                <w:sz w:val="24"/>
                <w:szCs w:val="24"/>
              </w:rPr>
              <w:t>生活垃圾：</w:t>
            </w:r>
          </w:p>
          <w:p w14:paraId="4421D559">
            <w:pPr>
              <w:bidi w:val="0"/>
              <w:rPr>
                <w:rFonts w:hint="eastAsia" w:eastAsia="宋体"/>
                <w:color w:val="auto"/>
                <w:sz w:val="24"/>
                <w:szCs w:val="24"/>
                <w:lang w:val="en-US" w:eastAsia="zh-CN"/>
              </w:rPr>
            </w:pPr>
            <w:r>
              <w:rPr>
                <w:rFonts w:hint="eastAsia"/>
                <w:color w:val="auto"/>
                <w:sz w:val="24"/>
                <w:szCs w:val="24"/>
              </w:rPr>
              <w:t>生活垃圾送至指定地点，由当地环卫部门统一清运。</w:t>
            </w:r>
          </w:p>
        </w:tc>
      </w:tr>
      <w:tr w14:paraId="0D9BC8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394" w:type="dxa"/>
            <w:noWrap w:val="0"/>
            <w:vAlign w:val="center"/>
          </w:tcPr>
          <w:p w14:paraId="05797A67">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土壤及地下水污染防治措施</w:t>
            </w:r>
          </w:p>
        </w:tc>
        <w:tc>
          <w:tcPr>
            <w:tcW w:w="7406" w:type="dxa"/>
            <w:gridSpan w:val="4"/>
            <w:noWrap w:val="0"/>
            <w:vAlign w:val="center"/>
          </w:tcPr>
          <w:p w14:paraId="226436E4">
            <w:pPr>
              <w:adjustRightInd w:val="0"/>
              <w:snapToGrid w:val="0"/>
              <w:jc w:val="both"/>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厂区地面硬化，分区防渗。</w:t>
            </w:r>
          </w:p>
        </w:tc>
      </w:tr>
      <w:tr w14:paraId="3BB17D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394" w:type="dxa"/>
            <w:noWrap w:val="0"/>
            <w:vAlign w:val="center"/>
          </w:tcPr>
          <w:p w14:paraId="32F8C519">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生态保护</w:t>
            </w:r>
          </w:p>
          <w:p w14:paraId="42EF6D30">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措施</w:t>
            </w:r>
          </w:p>
        </w:tc>
        <w:tc>
          <w:tcPr>
            <w:tcW w:w="7406" w:type="dxa"/>
            <w:gridSpan w:val="4"/>
            <w:noWrap w:val="0"/>
            <w:vAlign w:val="center"/>
          </w:tcPr>
          <w:p w14:paraId="26F508A5">
            <w:pPr>
              <w:adjustRightInd w:val="0"/>
              <w:snapToGrid w:val="0"/>
              <w:jc w:val="both"/>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无</w:t>
            </w:r>
          </w:p>
        </w:tc>
      </w:tr>
      <w:tr w14:paraId="4E84B1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394" w:type="dxa"/>
            <w:noWrap w:val="0"/>
            <w:vAlign w:val="center"/>
          </w:tcPr>
          <w:p w14:paraId="5DA4DFAC">
            <w:pPr>
              <w:adjustRightInd w:val="0"/>
              <w:snapToGrid w:val="0"/>
              <w:jc w:val="center"/>
              <w:rPr>
                <w:rFonts w:ascii="宋体" w:hAnsi="宋体" w:cs="宋体"/>
                <w:color w:val="auto"/>
                <w:spacing w:val="-8"/>
                <w:sz w:val="24"/>
                <w:szCs w:val="24"/>
              </w:rPr>
            </w:pPr>
            <w:r>
              <w:rPr>
                <w:rFonts w:hint="eastAsia" w:ascii="宋体" w:hAnsi="宋体" w:cs="宋体"/>
                <w:color w:val="auto"/>
                <w:spacing w:val="-8"/>
                <w:sz w:val="24"/>
                <w:szCs w:val="24"/>
              </w:rPr>
              <w:t>环境风险</w:t>
            </w:r>
          </w:p>
          <w:p w14:paraId="162B2FE3">
            <w:pPr>
              <w:adjustRightInd w:val="0"/>
              <w:snapToGrid w:val="0"/>
              <w:jc w:val="center"/>
              <w:rPr>
                <w:rFonts w:hint="eastAsia" w:ascii="宋体" w:hAnsi="宋体" w:cs="宋体"/>
                <w:color w:val="auto"/>
                <w:spacing w:val="-8"/>
                <w:sz w:val="24"/>
                <w:szCs w:val="24"/>
              </w:rPr>
            </w:pPr>
            <w:r>
              <w:rPr>
                <w:rFonts w:hint="eastAsia" w:ascii="宋体" w:hAnsi="宋体" w:cs="宋体"/>
                <w:color w:val="auto"/>
                <w:spacing w:val="-8"/>
                <w:sz w:val="24"/>
                <w:szCs w:val="24"/>
              </w:rPr>
              <w:t>防范措施</w:t>
            </w:r>
          </w:p>
        </w:tc>
        <w:tc>
          <w:tcPr>
            <w:tcW w:w="7406" w:type="dxa"/>
            <w:gridSpan w:val="4"/>
            <w:noWrap w:val="0"/>
            <w:vAlign w:val="center"/>
          </w:tcPr>
          <w:p w14:paraId="6B2B356C">
            <w:pPr>
              <w:adjustRightInd w:val="0"/>
              <w:snapToGrid w:val="0"/>
              <w:jc w:val="left"/>
              <w:rPr>
                <w:rFonts w:hint="eastAsia"/>
                <w:color w:val="auto"/>
                <w:sz w:val="24"/>
                <w:szCs w:val="24"/>
                <w:lang w:eastAsia="zh-CN"/>
              </w:rPr>
            </w:pPr>
            <w:r>
              <w:rPr>
                <w:rFonts w:hint="eastAsia"/>
                <w:color w:val="auto"/>
                <w:sz w:val="24"/>
                <w:szCs w:val="24"/>
                <w:lang w:eastAsia="zh-CN"/>
              </w:rPr>
              <w:t>①定期对各设备及废气收集排放系统进行检修维护。</w:t>
            </w:r>
          </w:p>
          <w:p w14:paraId="040E16D1">
            <w:pPr>
              <w:adjustRightInd w:val="0"/>
              <w:snapToGrid w:val="0"/>
              <w:jc w:val="left"/>
              <w:rPr>
                <w:rFonts w:hint="eastAsia"/>
                <w:color w:val="auto"/>
                <w:sz w:val="24"/>
                <w:szCs w:val="24"/>
                <w:lang w:eastAsia="zh-CN"/>
              </w:rPr>
            </w:pPr>
            <w:r>
              <w:rPr>
                <w:rFonts w:hint="eastAsia"/>
                <w:color w:val="auto"/>
                <w:sz w:val="24"/>
                <w:szCs w:val="24"/>
                <w:lang w:eastAsia="zh-CN"/>
              </w:rPr>
              <w:t>②定期对废气、废水处理系统进行检修。</w:t>
            </w:r>
          </w:p>
          <w:p w14:paraId="713EEF0E">
            <w:pPr>
              <w:adjustRightInd w:val="0"/>
              <w:snapToGrid w:val="0"/>
              <w:jc w:val="left"/>
              <w:rPr>
                <w:rFonts w:hint="eastAsia"/>
                <w:color w:val="auto"/>
                <w:sz w:val="24"/>
                <w:szCs w:val="24"/>
                <w:lang w:eastAsia="zh-CN"/>
              </w:rPr>
            </w:pPr>
            <w:r>
              <w:rPr>
                <w:rFonts w:hint="eastAsia"/>
                <w:color w:val="auto"/>
                <w:sz w:val="24"/>
                <w:szCs w:val="24"/>
                <w:lang w:eastAsia="zh-CN"/>
              </w:rPr>
              <w:t>③加强对危险废物暂存间的管理，危险废物暂存间应严格按照《危险废物贮存污染控制标准》（GB18597-2023）进行建设，并应设置围堰，暂存间应防风防雨防渗。</w:t>
            </w:r>
          </w:p>
          <w:p w14:paraId="6690CFF2">
            <w:pPr>
              <w:adjustRightInd w:val="0"/>
              <w:snapToGrid w:val="0"/>
              <w:jc w:val="left"/>
              <w:rPr>
                <w:rFonts w:hint="eastAsia" w:ascii="宋体" w:hAnsi="宋体" w:eastAsia="宋体" w:cs="宋体"/>
                <w:color w:val="auto"/>
                <w:sz w:val="24"/>
                <w:szCs w:val="24"/>
                <w:lang w:eastAsia="zh-CN"/>
              </w:rPr>
            </w:pPr>
            <w:r>
              <w:rPr>
                <w:rFonts w:hint="eastAsia"/>
                <w:color w:val="auto"/>
                <w:sz w:val="24"/>
                <w:szCs w:val="24"/>
                <w:lang w:eastAsia="zh-CN"/>
              </w:rPr>
              <w:t>④加强员工的岗前培训，强化安全意识，制定操作规程，定期组织应急演练。</w:t>
            </w:r>
          </w:p>
        </w:tc>
      </w:tr>
      <w:tr w14:paraId="65B052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394" w:type="dxa"/>
            <w:noWrap w:val="0"/>
            <w:vAlign w:val="center"/>
          </w:tcPr>
          <w:p w14:paraId="1C63F463">
            <w:pPr>
              <w:adjustRightInd w:val="0"/>
              <w:snapToGrid w:val="0"/>
              <w:jc w:val="center"/>
              <w:rPr>
                <w:rFonts w:ascii="宋体" w:hAnsi="宋体" w:cs="宋体"/>
                <w:color w:val="auto"/>
                <w:spacing w:val="-8"/>
                <w:sz w:val="24"/>
                <w:szCs w:val="24"/>
              </w:rPr>
            </w:pPr>
            <w:r>
              <w:rPr>
                <w:rFonts w:hint="eastAsia" w:ascii="宋体" w:hAnsi="宋体" w:cs="宋体"/>
                <w:color w:val="auto"/>
                <w:spacing w:val="-8"/>
                <w:sz w:val="24"/>
                <w:szCs w:val="24"/>
              </w:rPr>
              <w:t>其他环境</w:t>
            </w:r>
          </w:p>
          <w:p w14:paraId="5E83AFF8">
            <w:pPr>
              <w:adjustRightInd w:val="0"/>
              <w:snapToGrid w:val="0"/>
              <w:jc w:val="center"/>
              <w:rPr>
                <w:rFonts w:hint="eastAsia" w:ascii="宋体" w:hAnsi="宋体" w:cs="宋体"/>
                <w:color w:val="auto"/>
                <w:spacing w:val="-8"/>
                <w:sz w:val="24"/>
                <w:szCs w:val="24"/>
              </w:rPr>
            </w:pPr>
            <w:r>
              <w:rPr>
                <w:rFonts w:hint="eastAsia" w:ascii="宋体" w:hAnsi="宋体" w:cs="宋体"/>
                <w:color w:val="auto"/>
                <w:spacing w:val="-8"/>
                <w:sz w:val="24"/>
                <w:szCs w:val="24"/>
              </w:rPr>
              <w:t>管理要求</w:t>
            </w:r>
          </w:p>
        </w:tc>
        <w:tc>
          <w:tcPr>
            <w:tcW w:w="7406" w:type="dxa"/>
            <w:gridSpan w:val="4"/>
            <w:noWrap w:val="0"/>
            <w:vAlign w:val="center"/>
          </w:tcPr>
          <w:p w14:paraId="0EF69EC8">
            <w:pPr>
              <w:keepNext w:val="0"/>
              <w:keepLines w:val="0"/>
              <w:pageBreakBefore w:val="0"/>
              <w:widowControl w:val="0"/>
              <w:tabs>
                <w:tab w:val="left" w:pos="624"/>
              </w:tabs>
              <w:kinsoku/>
              <w:wordWrap/>
              <w:overflowPunct/>
              <w:topLinePunct w:val="0"/>
              <w:autoSpaceDE/>
              <w:autoSpaceDN/>
              <w:bidi w:val="0"/>
              <w:spacing w:line="500" w:lineRule="exact"/>
              <w:ind w:firstLine="482" w:firstLineChars="200"/>
              <w:textAlignment w:val="auto"/>
              <w:rPr>
                <w:b/>
                <w:color w:val="auto"/>
                <w:sz w:val="24"/>
                <w:szCs w:val="24"/>
                <w:highlight w:val="none"/>
              </w:rPr>
            </w:pPr>
            <w:r>
              <w:rPr>
                <w:rFonts w:hint="eastAsia"/>
                <w:b/>
                <w:color w:val="auto"/>
                <w:sz w:val="24"/>
                <w:szCs w:val="24"/>
                <w:highlight w:val="none"/>
                <w:lang w:eastAsia="zh-CN"/>
              </w:rPr>
              <w:t>1.</w:t>
            </w:r>
            <w:r>
              <w:rPr>
                <w:b/>
                <w:color w:val="auto"/>
                <w:sz w:val="24"/>
                <w:szCs w:val="24"/>
                <w:highlight w:val="none"/>
              </w:rPr>
              <w:t>排污许可证申请</w:t>
            </w:r>
          </w:p>
          <w:p w14:paraId="0300E35D">
            <w:pPr>
              <w:keepNext w:val="0"/>
              <w:keepLines w:val="0"/>
              <w:pageBreakBefore w:val="0"/>
              <w:widowControl w:val="0"/>
              <w:kinsoku/>
              <w:wordWrap/>
              <w:overflowPunct/>
              <w:topLinePunct w:val="0"/>
              <w:autoSpaceDE/>
              <w:autoSpaceDN/>
              <w:bidi w:val="0"/>
              <w:spacing w:line="500" w:lineRule="exact"/>
              <w:ind w:firstLine="480" w:firstLineChars="200"/>
              <w:textAlignment w:val="auto"/>
              <w:rPr>
                <w:color w:val="auto"/>
                <w:sz w:val="24"/>
                <w:szCs w:val="24"/>
                <w:highlight w:val="none"/>
              </w:rPr>
            </w:pPr>
            <w:r>
              <w:rPr>
                <w:rFonts w:hint="eastAsia"/>
                <w:color w:val="auto"/>
                <w:sz w:val="24"/>
                <w:szCs w:val="24"/>
                <w:highlight w:val="none"/>
              </w:rPr>
              <w:t>本项目是新建项目，</w:t>
            </w:r>
            <w:r>
              <w:rPr>
                <w:color w:val="auto"/>
                <w:sz w:val="24"/>
                <w:szCs w:val="24"/>
                <w:highlight w:val="none"/>
              </w:rPr>
              <w:t>根据《固定污染源排污许可分类管理名录》（2019 年）</w:t>
            </w:r>
            <w:r>
              <w:rPr>
                <w:rFonts w:hint="eastAsia"/>
                <w:color w:val="auto"/>
                <w:sz w:val="24"/>
                <w:szCs w:val="24"/>
                <w:highlight w:val="none"/>
              </w:rPr>
              <w:t>，本项目属于</w:t>
            </w:r>
            <w:r>
              <w:rPr>
                <w:color w:val="auto"/>
                <w:sz w:val="24"/>
                <w:szCs w:val="24"/>
                <w:highlight w:val="none"/>
              </w:rPr>
              <w:t>“</w:t>
            </w:r>
            <w:r>
              <w:rPr>
                <w:rFonts w:hint="eastAsia"/>
                <w:color w:val="auto"/>
                <w:sz w:val="24"/>
                <w:szCs w:val="24"/>
                <w:highlight w:val="none"/>
              </w:rPr>
              <w:t>三十二、铁路、船舶、航空航天和其他运输设备制造</w:t>
            </w:r>
            <w:r>
              <w:rPr>
                <w:color w:val="auto"/>
                <w:sz w:val="24"/>
                <w:szCs w:val="24"/>
                <w:highlight w:val="none"/>
              </w:rPr>
              <w:t>-</w:t>
            </w:r>
            <w:r>
              <w:rPr>
                <w:rFonts w:hint="eastAsia"/>
                <w:color w:val="auto"/>
                <w:sz w:val="24"/>
                <w:szCs w:val="24"/>
                <w:highlight w:val="none"/>
                <w:lang w:val="en-US" w:eastAsia="zh-CN"/>
              </w:rPr>
              <w:t>86</w:t>
            </w:r>
            <w:r>
              <w:rPr>
                <w:color w:val="auto"/>
                <w:sz w:val="24"/>
                <w:szCs w:val="24"/>
                <w:highlight w:val="none"/>
              </w:rPr>
              <w:t>、</w:t>
            </w:r>
            <w:r>
              <w:rPr>
                <w:rFonts w:hint="eastAsia"/>
                <w:color w:val="auto"/>
                <w:sz w:val="24"/>
                <w:szCs w:val="24"/>
                <w:highlight w:val="none"/>
                <w:lang w:val="en-US" w:eastAsia="zh-CN"/>
              </w:rPr>
              <w:t>其他</w:t>
            </w:r>
            <w:r>
              <w:rPr>
                <w:color w:val="auto"/>
                <w:sz w:val="24"/>
                <w:szCs w:val="24"/>
                <w:highlight w:val="none"/>
              </w:rPr>
              <w:t>，排污许可行业类别为“登记管理”。实行登记管理的排污单位，不需要申请取得排污许可证，应当在全国排污许可证管理信息平台填报排污登记表，登记基本信息、污染物排放去向、执行的污染物排放标准以及采取的污染防治措施等信息。</w:t>
            </w:r>
          </w:p>
          <w:p w14:paraId="42067E49">
            <w:pPr>
              <w:keepNext w:val="0"/>
              <w:keepLines w:val="0"/>
              <w:pageBreakBefore w:val="0"/>
              <w:widowControl w:val="0"/>
              <w:tabs>
                <w:tab w:val="left" w:pos="624"/>
              </w:tabs>
              <w:kinsoku/>
              <w:wordWrap/>
              <w:overflowPunct/>
              <w:topLinePunct w:val="0"/>
              <w:autoSpaceDE/>
              <w:autoSpaceDN/>
              <w:bidi w:val="0"/>
              <w:spacing w:line="500" w:lineRule="exact"/>
              <w:ind w:firstLine="482" w:firstLineChars="200"/>
              <w:textAlignment w:val="auto"/>
              <w:rPr>
                <w:b/>
                <w:color w:val="auto"/>
                <w:sz w:val="24"/>
                <w:szCs w:val="24"/>
                <w:highlight w:val="none"/>
              </w:rPr>
            </w:pPr>
            <w:r>
              <w:rPr>
                <w:rFonts w:hint="eastAsia"/>
                <w:b/>
                <w:color w:val="auto"/>
                <w:sz w:val="24"/>
                <w:szCs w:val="24"/>
                <w:highlight w:val="none"/>
                <w:lang w:eastAsia="zh-CN"/>
              </w:rPr>
              <w:t>2.</w:t>
            </w:r>
            <w:r>
              <w:rPr>
                <w:b/>
                <w:color w:val="auto"/>
                <w:sz w:val="24"/>
                <w:szCs w:val="24"/>
                <w:highlight w:val="none"/>
              </w:rPr>
              <w:t>竣工环境保护验收</w:t>
            </w:r>
          </w:p>
          <w:p w14:paraId="189BC18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auto"/>
                <w:sz w:val="24"/>
                <w:szCs w:val="24"/>
                <w:highlight w:val="none"/>
                <w:lang w:eastAsia="zh-CN"/>
              </w:rPr>
            </w:pPr>
            <w:r>
              <w:rPr>
                <w:color w:val="auto"/>
                <w:sz w:val="24"/>
                <w:szCs w:val="24"/>
                <w:highlight w:val="none"/>
              </w:rPr>
              <w:t>建设项目竣工后，建设单位应当如实查验、监测、记载建设项目环境保护设施的建设和调试情况，编制验收监测（调查）报告。具体验收内容或方法参照《建设项目竣工环境保护验收暂行办法》有关文件要求执行</w:t>
            </w:r>
            <w:r>
              <w:rPr>
                <w:rFonts w:hint="eastAsia"/>
                <w:color w:val="auto"/>
                <w:sz w:val="24"/>
                <w:szCs w:val="24"/>
                <w:highlight w:val="none"/>
                <w:lang w:eastAsia="zh-CN"/>
              </w:rPr>
              <w:t>。</w:t>
            </w:r>
          </w:p>
          <w:p w14:paraId="44583BF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auto"/>
                <w:sz w:val="24"/>
                <w:szCs w:val="24"/>
                <w:highlight w:val="none"/>
                <w:lang w:eastAsia="zh-CN"/>
              </w:rPr>
            </w:pPr>
          </w:p>
          <w:p w14:paraId="078DD1D1">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sz w:val="24"/>
                <w:szCs w:val="24"/>
                <w:lang w:eastAsia="zh-CN"/>
              </w:rPr>
            </w:pPr>
          </w:p>
        </w:tc>
      </w:tr>
    </w:tbl>
    <w:p w14:paraId="7E569A9A">
      <w:pPr>
        <w:pStyle w:val="34"/>
        <w:jc w:val="center"/>
        <w:outlineLvl w:val="0"/>
        <w:rPr>
          <w:rFonts w:ascii="黑体" w:hAnsi="黑体" w:eastAsia="黑体"/>
          <w:snapToGrid w:val="0"/>
          <w:color w:val="auto"/>
          <w:sz w:val="30"/>
          <w:szCs w:val="30"/>
        </w:rPr>
      </w:pPr>
      <w:r>
        <w:rPr>
          <w:snapToGrid w:val="0"/>
          <w:color w:val="auto"/>
        </w:rPr>
        <w:br w:type="page"/>
      </w:r>
      <w:bookmarkStart w:id="37" w:name="_Toc18151"/>
      <w:r>
        <w:rPr>
          <w:rFonts w:hint="eastAsia" w:ascii="黑体" w:hAnsi="黑体" w:eastAsia="黑体"/>
          <w:snapToGrid w:val="0"/>
          <w:color w:val="auto"/>
          <w:sz w:val="30"/>
          <w:szCs w:val="30"/>
        </w:rPr>
        <w:t>六、结论</w:t>
      </w:r>
      <w:bookmarkEnd w:id="37"/>
    </w:p>
    <w:tbl>
      <w:tblPr>
        <w:tblStyle w:val="3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46B86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00AC081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宋体" w:cs="宋体"/>
                <w:color w:val="auto"/>
                <w:sz w:val="24"/>
              </w:rPr>
            </w:pPr>
            <w:r>
              <w:rPr>
                <w:rFonts w:hint="eastAsia"/>
                <w:color w:val="auto"/>
                <w:sz w:val="24"/>
                <w:lang w:eastAsia="zh-CN"/>
              </w:rPr>
              <w:t>首驱助动车制造377项目</w:t>
            </w:r>
            <w:r>
              <w:rPr>
                <w:color w:val="auto"/>
                <w:sz w:val="24"/>
                <w:highlight w:val="none"/>
                <w:shd w:val="clear" w:color="auto" w:fill="auto"/>
              </w:rPr>
              <w:t>为</w:t>
            </w:r>
            <w:r>
              <w:rPr>
                <w:rFonts w:hint="eastAsia"/>
                <w:color w:val="auto"/>
                <w:sz w:val="24"/>
                <w:highlight w:val="none"/>
                <w:shd w:val="clear" w:color="auto" w:fill="auto"/>
                <w:lang w:val="en-US" w:eastAsia="zh-CN"/>
              </w:rPr>
              <w:t>新建项目</w:t>
            </w:r>
            <w:r>
              <w:rPr>
                <w:color w:val="auto"/>
                <w:sz w:val="24"/>
                <w:highlight w:val="none"/>
                <w:shd w:val="clear" w:color="auto" w:fill="auto"/>
              </w:rPr>
              <w:t>，项目位于</w:t>
            </w:r>
            <w:r>
              <w:rPr>
                <w:rFonts w:hint="eastAsia" w:ascii="Times New Roman" w:hAnsi="Times New Roman" w:eastAsia="宋体" w:cs="Times New Roman"/>
                <w:color w:val="auto"/>
                <w:kern w:val="2"/>
                <w:sz w:val="24"/>
                <w:szCs w:val="24"/>
                <w:highlight w:val="none"/>
                <w:shd w:val="clear" w:color="auto" w:fill="auto"/>
                <w:lang w:val="en-US" w:eastAsia="zh-CN" w:bidi="ar-SA"/>
              </w:rPr>
              <w:t>广西壮族自治区柳州市雒容镇秀水二路一号三号厂房1层及二号厂房1层东3跨部分、东4跨部分的厂房</w:t>
            </w:r>
            <w:r>
              <w:rPr>
                <w:color w:val="auto"/>
                <w:sz w:val="24"/>
                <w:highlight w:val="none"/>
                <w:shd w:val="clear" w:color="auto" w:fill="auto"/>
              </w:rPr>
              <w:t>，</w:t>
            </w:r>
            <w:r>
              <w:rPr>
                <w:rFonts w:hint="eastAsia"/>
                <w:color w:val="auto"/>
                <w:sz w:val="24"/>
                <w:highlight w:val="none"/>
                <w:shd w:val="clear" w:color="auto" w:fill="auto"/>
                <w:lang w:val="en-US" w:eastAsia="zh-CN"/>
              </w:rPr>
              <w:t>建成后达到建成年产50万台电动助动车的生产规模</w:t>
            </w:r>
            <w:r>
              <w:rPr>
                <w:rFonts w:hint="eastAsia"/>
                <w:color w:val="auto"/>
                <w:sz w:val="24"/>
                <w:highlight w:val="none"/>
                <w:shd w:val="clear" w:color="auto" w:fill="auto"/>
                <w:lang w:eastAsia="zh-CN"/>
              </w:rPr>
              <w:t>。</w:t>
            </w:r>
            <w:r>
              <w:rPr>
                <w:rFonts w:hint="eastAsia"/>
                <w:color w:val="auto"/>
                <w:sz w:val="24"/>
                <w:szCs w:val="24"/>
              </w:rPr>
              <w:t>项目符合园区规划产业定位，符合区域生态环境分区管控要求，选址合理，</w:t>
            </w:r>
            <w:r>
              <w:rPr>
                <w:color w:val="auto"/>
                <w:sz w:val="24"/>
                <w:highlight w:val="none"/>
                <w:shd w:val="clear" w:color="auto" w:fill="auto"/>
              </w:rPr>
              <w:t>项目运营过程中对环境造成一定影响，建设单位按本报告的污染治理措施进行各项污染治理，切实保证治理资金落实，保证污染治理工程与主体工程的“三同时”，且加强污染治理措施和设备的运行管理，则本项目的建设对周围环境的影响在可接受的范围内，从满足环境质量目标角度分析，本项目建设具有环境可行性。</w:t>
            </w:r>
          </w:p>
        </w:tc>
      </w:tr>
    </w:tbl>
    <w:p w14:paraId="102F6617">
      <w:pPr>
        <w:rPr>
          <w:rFonts w:ascii="宋体"/>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453CE85E">
      <w:pPr>
        <w:pStyle w:val="34"/>
        <w:adjustRightInd w:val="0"/>
        <w:snapToGrid w:val="0"/>
        <w:spacing w:before="0" w:beforeAutospacing="0" w:after="0" w:afterAutospacing="0" w:line="240" w:lineRule="auto"/>
        <w:jc w:val="center"/>
        <w:outlineLvl w:val="0"/>
        <w:rPr>
          <w:rFonts w:hint="eastAsia" w:ascii="Times New Roman" w:hAnsi="Times New Roman" w:eastAsia="宋体" w:cs="宋体"/>
          <w:snapToGrid w:val="0"/>
          <w:color w:val="auto"/>
          <w:sz w:val="32"/>
          <w:szCs w:val="32"/>
          <w:lang w:eastAsia="zh-CN"/>
        </w:rPr>
      </w:pPr>
      <w:bookmarkStart w:id="38" w:name="_Toc3776"/>
      <w:bookmarkStart w:id="39" w:name="_Toc25761"/>
      <w:r>
        <w:rPr>
          <w:rFonts w:hint="eastAsia" w:ascii="Times New Roman" w:hAnsi="Times New Roman" w:eastAsia="宋体" w:cs="宋体"/>
          <w:snapToGrid w:val="0"/>
          <w:color w:val="auto"/>
          <w:sz w:val="32"/>
          <w:szCs w:val="32"/>
        </w:rPr>
        <w:t>建设项目污染物排放量汇总表</w:t>
      </w:r>
      <w:bookmarkEnd w:id="38"/>
      <w:bookmarkEnd w:id="39"/>
    </w:p>
    <w:tbl>
      <w:tblPr>
        <w:tblStyle w:val="39"/>
        <w:tblW w:w="14215" w:type="dxa"/>
        <w:tblInd w:w="-28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3"/>
        <w:gridCol w:w="2795"/>
        <w:gridCol w:w="1604"/>
        <w:gridCol w:w="1094"/>
        <w:gridCol w:w="1480"/>
        <w:gridCol w:w="1642"/>
        <w:gridCol w:w="1315"/>
        <w:gridCol w:w="1873"/>
        <w:gridCol w:w="1029"/>
      </w:tblGrid>
      <w:tr w14:paraId="11D2EA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83" w:type="dxa"/>
            <w:tcBorders>
              <w:tl2br w:val="single" w:color="auto" w:sz="4" w:space="0"/>
            </w:tcBorders>
            <w:noWrap w:val="0"/>
            <w:tcMar>
              <w:left w:w="28" w:type="dxa"/>
              <w:right w:w="28" w:type="dxa"/>
            </w:tcMar>
            <w:vAlign w:val="center"/>
          </w:tcPr>
          <w:p w14:paraId="2FB85AB7">
            <w:pPr>
              <w:pStyle w:val="57"/>
              <w:spacing w:beforeLines="0" w:afterLines="0" w:line="240" w:lineRule="auto"/>
              <w:jc w:val="right"/>
              <w:rPr>
                <w:rFonts w:ascii="Times New Roman" w:hAnsi="Times New Roman" w:eastAsia="宋体" w:cs="宋体"/>
                <w:snapToGrid w:val="0"/>
                <w:color w:val="auto"/>
                <w:spacing w:val="-6"/>
                <w:kern w:val="21"/>
                <w:sz w:val="21"/>
                <w:szCs w:val="21"/>
                <w:lang w:val="en-US" w:eastAsia="zh-CN"/>
              </w:rPr>
            </w:pPr>
            <w:r>
              <w:rPr>
                <w:rFonts w:ascii="Times New Roman" w:hAnsi="Times New Roman" w:eastAsia="宋体" w:cs="宋体"/>
                <w:snapToGrid w:val="0"/>
                <w:color w:val="auto"/>
                <w:spacing w:val="-6"/>
                <w:kern w:val="21"/>
                <w:sz w:val="21"/>
                <w:szCs w:val="21"/>
                <w:lang w:val="en-US" w:eastAsia="zh-CN"/>
              </w:rPr>
              <w:t>项目</w:t>
            </w:r>
          </w:p>
          <w:p w14:paraId="5FA71764">
            <w:pPr>
              <w:pStyle w:val="57"/>
              <w:spacing w:beforeLines="0" w:afterLines="0" w:line="240" w:lineRule="auto"/>
              <w:jc w:val="left"/>
              <w:rPr>
                <w:rFonts w:ascii="Times New Roman" w:hAnsi="Times New Roman" w:eastAsia="宋体" w:cs="宋体"/>
                <w:snapToGrid w:val="0"/>
                <w:color w:val="auto"/>
                <w:spacing w:val="-6"/>
                <w:kern w:val="21"/>
                <w:sz w:val="21"/>
                <w:szCs w:val="21"/>
                <w:lang w:val="en-US" w:eastAsia="zh-CN"/>
              </w:rPr>
            </w:pPr>
            <w:r>
              <w:rPr>
                <w:rFonts w:ascii="Times New Roman" w:hAnsi="Times New Roman" w:eastAsia="宋体" w:cs="宋体"/>
                <w:snapToGrid w:val="0"/>
                <w:color w:val="auto"/>
                <w:spacing w:val="-6"/>
                <w:kern w:val="21"/>
                <w:sz w:val="21"/>
                <w:szCs w:val="21"/>
                <w:lang w:val="en-US" w:eastAsia="zh-CN"/>
              </w:rPr>
              <w:t>分类</w:t>
            </w:r>
          </w:p>
        </w:tc>
        <w:tc>
          <w:tcPr>
            <w:tcW w:w="2795" w:type="dxa"/>
            <w:noWrap w:val="0"/>
            <w:tcMar>
              <w:left w:w="28" w:type="dxa"/>
              <w:right w:w="28" w:type="dxa"/>
            </w:tcMar>
            <w:vAlign w:val="center"/>
          </w:tcPr>
          <w:p w14:paraId="25BD57F1">
            <w:pPr>
              <w:pStyle w:val="57"/>
              <w:spacing w:beforeLines="0" w:afterLines="0" w:line="240" w:lineRule="auto"/>
              <w:rPr>
                <w:rFonts w:ascii="Times New Roman" w:hAnsi="Times New Roman" w:eastAsia="宋体" w:cs="宋体"/>
                <w:snapToGrid w:val="0"/>
                <w:color w:val="auto"/>
                <w:spacing w:val="-6"/>
                <w:kern w:val="21"/>
                <w:sz w:val="21"/>
                <w:szCs w:val="21"/>
                <w:lang w:val="en-US" w:eastAsia="zh-CN"/>
              </w:rPr>
            </w:pPr>
            <w:r>
              <w:rPr>
                <w:rFonts w:ascii="Times New Roman" w:hAnsi="Times New Roman" w:eastAsia="宋体" w:cs="宋体"/>
                <w:snapToGrid w:val="0"/>
                <w:color w:val="auto"/>
                <w:spacing w:val="-6"/>
                <w:kern w:val="21"/>
                <w:sz w:val="21"/>
                <w:szCs w:val="21"/>
                <w:lang w:val="en-US" w:eastAsia="zh-CN"/>
              </w:rPr>
              <w:t>污染物名称</w:t>
            </w:r>
          </w:p>
        </w:tc>
        <w:tc>
          <w:tcPr>
            <w:tcW w:w="1604" w:type="dxa"/>
            <w:noWrap w:val="0"/>
            <w:tcMar>
              <w:left w:w="28" w:type="dxa"/>
              <w:right w:w="28" w:type="dxa"/>
            </w:tcMar>
            <w:vAlign w:val="center"/>
          </w:tcPr>
          <w:p w14:paraId="52A80997">
            <w:pPr>
              <w:pStyle w:val="57"/>
              <w:spacing w:beforeLines="0" w:afterLines="0" w:line="240" w:lineRule="auto"/>
              <w:rPr>
                <w:rFonts w:ascii="Times New Roman" w:hAnsi="Times New Roman" w:eastAsia="宋体" w:cs="宋体"/>
                <w:snapToGrid w:val="0"/>
                <w:color w:val="auto"/>
                <w:spacing w:val="-6"/>
                <w:kern w:val="21"/>
                <w:sz w:val="21"/>
                <w:szCs w:val="21"/>
                <w:lang w:val="en-US" w:eastAsia="zh-CN"/>
              </w:rPr>
            </w:pPr>
            <w:r>
              <w:rPr>
                <w:rFonts w:ascii="Times New Roman" w:hAnsi="Times New Roman" w:eastAsia="宋体" w:cs="宋体"/>
                <w:snapToGrid w:val="0"/>
                <w:color w:val="auto"/>
                <w:spacing w:val="-6"/>
                <w:kern w:val="21"/>
                <w:sz w:val="21"/>
                <w:szCs w:val="21"/>
                <w:lang w:val="en-US" w:eastAsia="zh-CN"/>
              </w:rPr>
              <w:t>现有工程排放量（固体废物产生量）</w:t>
            </w:r>
            <w:r>
              <w:rPr>
                <w:rFonts w:ascii="Times New Roman" w:hAnsi="Times New Roman" w:eastAsia="宋体" w:cs="宋体"/>
                <w:snapToGrid w:val="0"/>
                <w:color w:val="auto"/>
                <w:spacing w:val="-6"/>
                <w:kern w:val="21"/>
                <w:sz w:val="21"/>
                <w:szCs w:val="21"/>
                <w:lang w:val="en-US" w:eastAsia="zh-CN"/>
              </w:rPr>
              <w:fldChar w:fldCharType="begin"/>
            </w:r>
            <w:r>
              <w:rPr>
                <w:rFonts w:ascii="Times New Roman" w:hAnsi="Times New Roman" w:eastAsia="宋体" w:cs="宋体"/>
                <w:snapToGrid w:val="0"/>
                <w:color w:val="auto"/>
                <w:spacing w:val="-6"/>
                <w:kern w:val="21"/>
                <w:sz w:val="21"/>
                <w:szCs w:val="21"/>
                <w:lang w:val="en-US" w:eastAsia="zh-CN"/>
              </w:rPr>
              <w:instrText xml:space="preserve"> = 1 \* GB3 \* MERGEFORMAT </w:instrText>
            </w:r>
            <w:r>
              <w:rPr>
                <w:rFonts w:ascii="Times New Roman" w:hAnsi="Times New Roman" w:eastAsia="宋体" w:cs="宋体"/>
                <w:snapToGrid w:val="0"/>
                <w:color w:val="auto"/>
                <w:spacing w:val="-6"/>
                <w:kern w:val="21"/>
                <w:sz w:val="21"/>
                <w:szCs w:val="21"/>
                <w:lang w:val="en-US" w:eastAsia="zh-CN"/>
              </w:rPr>
              <w:fldChar w:fldCharType="separate"/>
            </w:r>
            <w:r>
              <w:rPr>
                <w:rFonts w:ascii="Times New Roman" w:hAnsi="Times New Roman" w:eastAsia="宋体" w:cs="宋体"/>
                <w:color w:val="auto"/>
                <w:kern w:val="2"/>
                <w:sz w:val="21"/>
                <w:szCs w:val="21"/>
                <w:lang w:val="en-US" w:eastAsia="zh-CN"/>
              </w:rPr>
              <w:t>①</w:t>
            </w:r>
            <w:r>
              <w:rPr>
                <w:rFonts w:ascii="Times New Roman" w:hAnsi="Times New Roman" w:eastAsia="宋体" w:cs="宋体"/>
                <w:snapToGrid w:val="0"/>
                <w:color w:val="auto"/>
                <w:spacing w:val="-6"/>
                <w:kern w:val="21"/>
                <w:sz w:val="21"/>
                <w:szCs w:val="21"/>
                <w:lang w:val="en-US" w:eastAsia="zh-CN"/>
              </w:rPr>
              <w:fldChar w:fldCharType="end"/>
            </w:r>
          </w:p>
        </w:tc>
        <w:tc>
          <w:tcPr>
            <w:tcW w:w="1094" w:type="dxa"/>
            <w:noWrap w:val="0"/>
            <w:tcMar>
              <w:left w:w="28" w:type="dxa"/>
              <w:right w:w="28" w:type="dxa"/>
            </w:tcMar>
            <w:vAlign w:val="center"/>
          </w:tcPr>
          <w:p w14:paraId="6A3C3D68">
            <w:pPr>
              <w:pStyle w:val="57"/>
              <w:spacing w:beforeLines="0" w:afterLines="0" w:line="240" w:lineRule="auto"/>
              <w:rPr>
                <w:rFonts w:ascii="Times New Roman" w:hAnsi="Times New Roman" w:eastAsia="宋体" w:cs="宋体"/>
                <w:snapToGrid w:val="0"/>
                <w:color w:val="auto"/>
                <w:spacing w:val="-6"/>
                <w:kern w:val="21"/>
                <w:sz w:val="21"/>
                <w:szCs w:val="21"/>
                <w:lang w:val="en-US" w:eastAsia="zh-CN"/>
              </w:rPr>
            </w:pPr>
            <w:r>
              <w:rPr>
                <w:rFonts w:ascii="Times New Roman" w:hAnsi="Times New Roman" w:eastAsia="宋体" w:cs="宋体"/>
                <w:snapToGrid w:val="0"/>
                <w:color w:val="auto"/>
                <w:spacing w:val="-6"/>
                <w:kern w:val="21"/>
                <w:sz w:val="21"/>
                <w:szCs w:val="21"/>
                <w:lang w:val="en-US" w:eastAsia="zh-CN"/>
              </w:rPr>
              <w:t>现有工程</w:t>
            </w:r>
          </w:p>
          <w:p w14:paraId="65484585">
            <w:pPr>
              <w:pStyle w:val="57"/>
              <w:spacing w:beforeLines="0" w:afterLines="0" w:line="240" w:lineRule="auto"/>
              <w:rPr>
                <w:rFonts w:ascii="Times New Roman" w:hAnsi="Times New Roman" w:eastAsia="宋体" w:cs="宋体"/>
                <w:snapToGrid w:val="0"/>
                <w:color w:val="auto"/>
                <w:spacing w:val="-6"/>
                <w:kern w:val="21"/>
                <w:sz w:val="21"/>
                <w:szCs w:val="21"/>
                <w:lang w:val="en-US" w:eastAsia="zh-CN"/>
              </w:rPr>
            </w:pPr>
            <w:r>
              <w:rPr>
                <w:rFonts w:ascii="Times New Roman" w:hAnsi="Times New Roman" w:eastAsia="宋体" w:cs="宋体"/>
                <w:snapToGrid w:val="0"/>
                <w:color w:val="auto"/>
                <w:spacing w:val="-6"/>
                <w:kern w:val="21"/>
                <w:sz w:val="21"/>
                <w:szCs w:val="21"/>
                <w:lang w:val="en-US" w:eastAsia="zh-CN"/>
              </w:rPr>
              <w:t>许可排放量</w:t>
            </w:r>
          </w:p>
          <w:p w14:paraId="3225B2C6">
            <w:pPr>
              <w:pStyle w:val="57"/>
              <w:spacing w:beforeLines="0" w:afterLines="0"/>
              <w:rPr>
                <w:rFonts w:ascii="Times New Roman" w:hAnsi="Times New Roman" w:eastAsia="宋体" w:cs="宋体"/>
                <w:snapToGrid w:val="0"/>
                <w:color w:val="auto"/>
                <w:spacing w:val="-6"/>
                <w:kern w:val="21"/>
                <w:sz w:val="21"/>
                <w:szCs w:val="21"/>
                <w:lang w:val="en-US" w:eastAsia="zh-CN"/>
              </w:rPr>
            </w:pPr>
            <w:r>
              <w:rPr>
                <w:rFonts w:ascii="Times New Roman" w:hAnsi="Times New Roman" w:eastAsia="宋体" w:cs="宋体"/>
                <w:snapToGrid w:val="0"/>
                <w:color w:val="auto"/>
                <w:spacing w:val="-6"/>
                <w:kern w:val="21"/>
                <w:sz w:val="21"/>
                <w:szCs w:val="21"/>
                <w:lang w:val="en-US" w:eastAsia="zh-CN"/>
              </w:rPr>
              <w:fldChar w:fldCharType="begin"/>
            </w:r>
            <w:r>
              <w:rPr>
                <w:rFonts w:ascii="Times New Roman" w:hAnsi="Times New Roman" w:eastAsia="宋体" w:cs="宋体"/>
                <w:snapToGrid w:val="0"/>
                <w:color w:val="auto"/>
                <w:spacing w:val="-6"/>
                <w:kern w:val="21"/>
                <w:sz w:val="21"/>
                <w:szCs w:val="21"/>
                <w:lang w:val="en-US" w:eastAsia="zh-CN"/>
              </w:rPr>
              <w:instrText xml:space="preserve"> = 2 \* GB3 \* MERGEFORMAT </w:instrText>
            </w:r>
            <w:r>
              <w:rPr>
                <w:rFonts w:ascii="Times New Roman" w:hAnsi="Times New Roman" w:eastAsia="宋体" w:cs="宋体"/>
                <w:snapToGrid w:val="0"/>
                <w:color w:val="auto"/>
                <w:spacing w:val="-6"/>
                <w:kern w:val="21"/>
                <w:sz w:val="21"/>
                <w:szCs w:val="21"/>
                <w:lang w:val="en-US" w:eastAsia="zh-CN"/>
              </w:rPr>
              <w:fldChar w:fldCharType="separate"/>
            </w:r>
            <w:r>
              <w:rPr>
                <w:rFonts w:ascii="Times New Roman" w:hAnsi="Times New Roman" w:eastAsia="宋体" w:cs="宋体"/>
                <w:snapToGrid w:val="0"/>
                <w:color w:val="auto"/>
                <w:spacing w:val="-6"/>
                <w:kern w:val="21"/>
                <w:sz w:val="21"/>
                <w:szCs w:val="21"/>
                <w:lang w:val="en-US" w:eastAsia="zh-CN"/>
              </w:rPr>
              <w:t>②</w:t>
            </w:r>
            <w:r>
              <w:rPr>
                <w:rFonts w:ascii="Times New Roman" w:hAnsi="Times New Roman" w:eastAsia="宋体" w:cs="宋体"/>
                <w:snapToGrid w:val="0"/>
                <w:color w:val="auto"/>
                <w:spacing w:val="-6"/>
                <w:kern w:val="21"/>
                <w:sz w:val="21"/>
                <w:szCs w:val="21"/>
                <w:lang w:val="en-US" w:eastAsia="zh-CN"/>
              </w:rPr>
              <w:fldChar w:fldCharType="end"/>
            </w:r>
          </w:p>
        </w:tc>
        <w:tc>
          <w:tcPr>
            <w:tcW w:w="1480" w:type="dxa"/>
            <w:noWrap w:val="0"/>
            <w:tcMar>
              <w:left w:w="28" w:type="dxa"/>
              <w:right w:w="28" w:type="dxa"/>
            </w:tcMar>
            <w:vAlign w:val="center"/>
          </w:tcPr>
          <w:p w14:paraId="5B6F2D41">
            <w:pPr>
              <w:pStyle w:val="57"/>
              <w:spacing w:beforeLines="0" w:afterLines="0" w:line="240" w:lineRule="auto"/>
              <w:rPr>
                <w:rFonts w:ascii="Times New Roman" w:hAnsi="Times New Roman" w:eastAsia="宋体" w:cs="宋体"/>
                <w:snapToGrid w:val="0"/>
                <w:color w:val="auto"/>
                <w:spacing w:val="-6"/>
                <w:kern w:val="21"/>
                <w:sz w:val="21"/>
                <w:szCs w:val="21"/>
                <w:lang w:val="en-US" w:eastAsia="zh-CN"/>
              </w:rPr>
            </w:pPr>
            <w:r>
              <w:rPr>
                <w:rFonts w:ascii="Times New Roman" w:hAnsi="Times New Roman" w:eastAsia="宋体" w:cs="宋体"/>
                <w:snapToGrid w:val="0"/>
                <w:color w:val="auto"/>
                <w:spacing w:val="-6"/>
                <w:kern w:val="21"/>
                <w:sz w:val="21"/>
                <w:szCs w:val="21"/>
                <w:lang w:val="en-US" w:eastAsia="zh-CN"/>
              </w:rPr>
              <w:t>在建工程</w:t>
            </w:r>
          </w:p>
          <w:p w14:paraId="5309C483">
            <w:pPr>
              <w:pStyle w:val="57"/>
              <w:spacing w:beforeLines="0" w:afterLines="0" w:line="240" w:lineRule="auto"/>
              <w:rPr>
                <w:rFonts w:ascii="Times New Roman" w:hAnsi="Times New Roman" w:eastAsia="宋体" w:cs="宋体"/>
                <w:snapToGrid w:val="0"/>
                <w:color w:val="auto"/>
                <w:spacing w:val="-6"/>
                <w:kern w:val="21"/>
                <w:sz w:val="21"/>
                <w:szCs w:val="21"/>
                <w:lang w:val="en-US" w:eastAsia="zh-CN"/>
              </w:rPr>
            </w:pPr>
            <w:r>
              <w:rPr>
                <w:rFonts w:ascii="Times New Roman" w:hAnsi="Times New Roman" w:eastAsia="宋体" w:cs="宋体"/>
                <w:snapToGrid w:val="0"/>
                <w:color w:val="auto"/>
                <w:spacing w:val="-6"/>
                <w:kern w:val="21"/>
                <w:sz w:val="21"/>
                <w:szCs w:val="21"/>
                <w:lang w:val="en-US" w:eastAsia="zh-CN"/>
              </w:rPr>
              <w:t>排放量（固体废物产生量）</w:t>
            </w:r>
            <w:r>
              <w:rPr>
                <w:rFonts w:ascii="Times New Roman" w:hAnsi="Times New Roman" w:eastAsia="宋体" w:cs="宋体"/>
                <w:snapToGrid w:val="0"/>
                <w:color w:val="auto"/>
                <w:spacing w:val="-6"/>
                <w:kern w:val="21"/>
                <w:sz w:val="21"/>
                <w:szCs w:val="21"/>
                <w:lang w:val="en-US" w:eastAsia="zh-CN"/>
              </w:rPr>
              <w:fldChar w:fldCharType="begin"/>
            </w:r>
            <w:r>
              <w:rPr>
                <w:rFonts w:ascii="Times New Roman" w:hAnsi="Times New Roman" w:eastAsia="宋体" w:cs="宋体"/>
                <w:snapToGrid w:val="0"/>
                <w:color w:val="auto"/>
                <w:spacing w:val="-6"/>
                <w:kern w:val="21"/>
                <w:sz w:val="21"/>
                <w:szCs w:val="21"/>
                <w:lang w:val="en-US" w:eastAsia="zh-CN"/>
              </w:rPr>
              <w:instrText xml:space="preserve"> = 3 \* GB3 \* MERGEFORMAT </w:instrText>
            </w:r>
            <w:r>
              <w:rPr>
                <w:rFonts w:ascii="Times New Roman" w:hAnsi="Times New Roman" w:eastAsia="宋体" w:cs="宋体"/>
                <w:snapToGrid w:val="0"/>
                <w:color w:val="auto"/>
                <w:spacing w:val="-6"/>
                <w:kern w:val="21"/>
                <w:sz w:val="21"/>
                <w:szCs w:val="21"/>
                <w:lang w:val="en-US" w:eastAsia="zh-CN"/>
              </w:rPr>
              <w:fldChar w:fldCharType="separate"/>
            </w:r>
            <w:r>
              <w:rPr>
                <w:rFonts w:ascii="Times New Roman" w:hAnsi="Times New Roman" w:eastAsia="宋体" w:cs="宋体"/>
                <w:color w:val="auto"/>
                <w:kern w:val="2"/>
                <w:sz w:val="21"/>
                <w:szCs w:val="21"/>
                <w:lang w:val="en-US" w:eastAsia="zh-CN"/>
              </w:rPr>
              <w:t>③</w:t>
            </w:r>
            <w:r>
              <w:rPr>
                <w:rFonts w:ascii="Times New Roman" w:hAnsi="Times New Roman" w:eastAsia="宋体" w:cs="宋体"/>
                <w:snapToGrid w:val="0"/>
                <w:color w:val="auto"/>
                <w:spacing w:val="-6"/>
                <w:kern w:val="21"/>
                <w:sz w:val="21"/>
                <w:szCs w:val="21"/>
                <w:lang w:val="en-US" w:eastAsia="zh-CN"/>
              </w:rPr>
              <w:fldChar w:fldCharType="end"/>
            </w:r>
          </w:p>
        </w:tc>
        <w:tc>
          <w:tcPr>
            <w:tcW w:w="1642" w:type="dxa"/>
            <w:noWrap w:val="0"/>
            <w:tcMar>
              <w:left w:w="28" w:type="dxa"/>
              <w:right w:w="28" w:type="dxa"/>
            </w:tcMar>
            <w:vAlign w:val="center"/>
          </w:tcPr>
          <w:p w14:paraId="2B2660C4">
            <w:pPr>
              <w:pStyle w:val="57"/>
              <w:spacing w:beforeLines="0" w:afterLines="0" w:line="240" w:lineRule="auto"/>
              <w:rPr>
                <w:rFonts w:ascii="Times New Roman" w:hAnsi="Times New Roman" w:eastAsia="宋体" w:cs="宋体"/>
                <w:snapToGrid w:val="0"/>
                <w:color w:val="auto"/>
                <w:spacing w:val="-6"/>
                <w:kern w:val="21"/>
                <w:sz w:val="21"/>
                <w:szCs w:val="21"/>
                <w:lang w:val="en-US" w:eastAsia="zh-CN"/>
              </w:rPr>
            </w:pPr>
            <w:r>
              <w:rPr>
                <w:rFonts w:ascii="Times New Roman" w:hAnsi="Times New Roman" w:eastAsia="宋体" w:cs="宋体"/>
                <w:snapToGrid w:val="0"/>
                <w:color w:val="auto"/>
                <w:spacing w:val="-6"/>
                <w:kern w:val="21"/>
                <w:sz w:val="21"/>
                <w:szCs w:val="21"/>
                <w:lang w:val="en-US" w:eastAsia="zh-CN"/>
              </w:rPr>
              <w:t>本项目</w:t>
            </w:r>
          </w:p>
          <w:p w14:paraId="14E8E9CF">
            <w:pPr>
              <w:pStyle w:val="57"/>
              <w:spacing w:beforeLines="0" w:afterLines="0" w:line="240" w:lineRule="auto"/>
              <w:rPr>
                <w:rFonts w:ascii="Times New Roman" w:hAnsi="Times New Roman" w:eastAsia="宋体" w:cs="宋体"/>
                <w:snapToGrid w:val="0"/>
                <w:color w:val="auto"/>
                <w:spacing w:val="-6"/>
                <w:kern w:val="21"/>
                <w:sz w:val="21"/>
                <w:szCs w:val="21"/>
                <w:lang w:val="en-US" w:eastAsia="zh-CN"/>
              </w:rPr>
            </w:pPr>
            <w:r>
              <w:rPr>
                <w:rFonts w:ascii="Times New Roman" w:hAnsi="Times New Roman" w:eastAsia="宋体" w:cs="宋体"/>
                <w:snapToGrid w:val="0"/>
                <w:color w:val="auto"/>
                <w:spacing w:val="-6"/>
                <w:kern w:val="21"/>
                <w:sz w:val="21"/>
                <w:szCs w:val="21"/>
                <w:lang w:val="en-US" w:eastAsia="zh-CN"/>
              </w:rPr>
              <w:t>排放量（固体废物产生量）</w:t>
            </w:r>
            <w:r>
              <w:rPr>
                <w:rFonts w:ascii="Times New Roman" w:hAnsi="Times New Roman" w:eastAsia="宋体" w:cs="宋体"/>
                <w:snapToGrid w:val="0"/>
                <w:color w:val="auto"/>
                <w:spacing w:val="-6"/>
                <w:kern w:val="21"/>
                <w:sz w:val="21"/>
                <w:szCs w:val="21"/>
                <w:lang w:val="en-US" w:eastAsia="zh-CN"/>
              </w:rPr>
              <w:fldChar w:fldCharType="begin"/>
            </w:r>
            <w:r>
              <w:rPr>
                <w:rFonts w:ascii="Times New Roman" w:hAnsi="Times New Roman" w:eastAsia="宋体" w:cs="宋体"/>
                <w:snapToGrid w:val="0"/>
                <w:color w:val="auto"/>
                <w:spacing w:val="-6"/>
                <w:kern w:val="21"/>
                <w:sz w:val="21"/>
                <w:szCs w:val="21"/>
                <w:lang w:val="en-US" w:eastAsia="zh-CN"/>
              </w:rPr>
              <w:instrText xml:space="preserve"> = 4 \* GB3 \* MERGEFORMAT </w:instrText>
            </w:r>
            <w:r>
              <w:rPr>
                <w:rFonts w:ascii="Times New Roman" w:hAnsi="Times New Roman" w:eastAsia="宋体" w:cs="宋体"/>
                <w:snapToGrid w:val="0"/>
                <w:color w:val="auto"/>
                <w:spacing w:val="-6"/>
                <w:kern w:val="21"/>
                <w:sz w:val="21"/>
                <w:szCs w:val="21"/>
                <w:lang w:val="en-US" w:eastAsia="zh-CN"/>
              </w:rPr>
              <w:fldChar w:fldCharType="separate"/>
            </w:r>
            <w:r>
              <w:rPr>
                <w:rFonts w:ascii="Times New Roman" w:hAnsi="Times New Roman" w:eastAsia="宋体" w:cs="宋体"/>
                <w:color w:val="auto"/>
                <w:kern w:val="2"/>
                <w:sz w:val="21"/>
                <w:szCs w:val="21"/>
                <w:lang w:val="en-US" w:eastAsia="zh-CN"/>
              </w:rPr>
              <w:t>④</w:t>
            </w:r>
            <w:r>
              <w:rPr>
                <w:rFonts w:ascii="Times New Roman" w:hAnsi="Times New Roman" w:eastAsia="宋体" w:cs="宋体"/>
                <w:snapToGrid w:val="0"/>
                <w:color w:val="auto"/>
                <w:spacing w:val="-6"/>
                <w:kern w:val="21"/>
                <w:sz w:val="21"/>
                <w:szCs w:val="21"/>
                <w:lang w:val="en-US" w:eastAsia="zh-CN"/>
              </w:rPr>
              <w:fldChar w:fldCharType="end"/>
            </w:r>
          </w:p>
        </w:tc>
        <w:tc>
          <w:tcPr>
            <w:tcW w:w="1315" w:type="dxa"/>
            <w:noWrap w:val="0"/>
            <w:tcMar>
              <w:left w:w="28" w:type="dxa"/>
              <w:right w:w="28" w:type="dxa"/>
            </w:tcMar>
            <w:vAlign w:val="center"/>
          </w:tcPr>
          <w:p w14:paraId="05470CF7">
            <w:pPr>
              <w:pStyle w:val="57"/>
              <w:spacing w:beforeLines="0" w:afterLines="0" w:line="240" w:lineRule="auto"/>
              <w:rPr>
                <w:rFonts w:ascii="Times New Roman" w:hAnsi="Times New Roman" w:eastAsia="宋体" w:cs="宋体"/>
                <w:snapToGrid w:val="0"/>
                <w:color w:val="auto"/>
                <w:spacing w:val="-16"/>
                <w:kern w:val="21"/>
                <w:sz w:val="21"/>
                <w:szCs w:val="21"/>
                <w:lang w:val="en-US" w:eastAsia="zh-CN"/>
              </w:rPr>
            </w:pPr>
            <w:r>
              <w:rPr>
                <w:rFonts w:ascii="Times New Roman" w:hAnsi="Times New Roman" w:eastAsia="宋体" w:cs="宋体"/>
                <w:snapToGrid w:val="0"/>
                <w:color w:val="auto"/>
                <w:spacing w:val="-16"/>
                <w:kern w:val="21"/>
                <w:sz w:val="21"/>
                <w:szCs w:val="21"/>
                <w:lang w:val="en-US" w:eastAsia="zh-CN"/>
              </w:rPr>
              <w:t>以新带老削减量</w:t>
            </w:r>
          </w:p>
          <w:p w14:paraId="0AFE4493">
            <w:pPr>
              <w:pStyle w:val="57"/>
              <w:spacing w:beforeLines="0" w:afterLines="0" w:line="240" w:lineRule="auto"/>
              <w:rPr>
                <w:rFonts w:ascii="Times New Roman" w:hAnsi="Times New Roman" w:eastAsia="宋体" w:cs="宋体"/>
                <w:snapToGrid w:val="0"/>
                <w:color w:val="auto"/>
                <w:spacing w:val="-16"/>
                <w:kern w:val="21"/>
                <w:sz w:val="21"/>
                <w:szCs w:val="21"/>
                <w:lang w:val="en-US" w:eastAsia="zh-CN"/>
              </w:rPr>
            </w:pPr>
            <w:r>
              <w:rPr>
                <w:rFonts w:ascii="Times New Roman" w:hAnsi="Times New Roman" w:eastAsia="宋体" w:cs="宋体"/>
                <w:snapToGrid w:val="0"/>
                <w:color w:val="auto"/>
                <w:spacing w:val="-16"/>
                <w:kern w:val="21"/>
                <w:sz w:val="21"/>
                <w:szCs w:val="21"/>
                <w:lang w:val="en-US" w:eastAsia="zh-CN"/>
              </w:rPr>
              <w:t>（新建项目不填）</w:t>
            </w:r>
            <w:r>
              <w:rPr>
                <w:rFonts w:ascii="Times New Roman" w:hAnsi="Times New Roman" w:eastAsia="宋体" w:cs="宋体"/>
                <w:snapToGrid w:val="0"/>
                <w:color w:val="auto"/>
                <w:spacing w:val="-16"/>
                <w:kern w:val="21"/>
                <w:sz w:val="21"/>
                <w:szCs w:val="21"/>
                <w:lang w:val="en-US" w:eastAsia="zh-CN"/>
              </w:rPr>
              <w:fldChar w:fldCharType="begin"/>
            </w:r>
            <w:r>
              <w:rPr>
                <w:rFonts w:ascii="Times New Roman" w:hAnsi="Times New Roman" w:eastAsia="宋体" w:cs="宋体"/>
                <w:snapToGrid w:val="0"/>
                <w:color w:val="auto"/>
                <w:spacing w:val="-16"/>
                <w:kern w:val="21"/>
                <w:sz w:val="21"/>
                <w:szCs w:val="21"/>
                <w:lang w:val="en-US" w:eastAsia="zh-CN"/>
              </w:rPr>
              <w:instrText xml:space="preserve"> = 5 \* GB3 \* MERGEFORMAT </w:instrText>
            </w:r>
            <w:r>
              <w:rPr>
                <w:rFonts w:ascii="Times New Roman" w:hAnsi="Times New Roman" w:eastAsia="宋体" w:cs="宋体"/>
                <w:snapToGrid w:val="0"/>
                <w:color w:val="auto"/>
                <w:spacing w:val="-16"/>
                <w:kern w:val="21"/>
                <w:sz w:val="21"/>
                <w:szCs w:val="21"/>
                <w:lang w:val="en-US" w:eastAsia="zh-CN"/>
              </w:rPr>
              <w:fldChar w:fldCharType="separate"/>
            </w:r>
            <w:r>
              <w:rPr>
                <w:rFonts w:ascii="Times New Roman" w:hAnsi="Times New Roman" w:eastAsia="宋体" w:cs="宋体"/>
                <w:color w:val="auto"/>
                <w:kern w:val="2"/>
                <w:sz w:val="21"/>
                <w:szCs w:val="21"/>
                <w:lang w:val="en-US" w:eastAsia="zh-CN"/>
              </w:rPr>
              <w:t>⑤</w:t>
            </w:r>
            <w:r>
              <w:rPr>
                <w:rFonts w:ascii="Times New Roman" w:hAnsi="Times New Roman" w:eastAsia="宋体" w:cs="宋体"/>
                <w:snapToGrid w:val="0"/>
                <w:color w:val="auto"/>
                <w:spacing w:val="-16"/>
                <w:kern w:val="21"/>
                <w:sz w:val="21"/>
                <w:szCs w:val="21"/>
                <w:lang w:val="en-US" w:eastAsia="zh-CN"/>
              </w:rPr>
              <w:fldChar w:fldCharType="end"/>
            </w:r>
          </w:p>
        </w:tc>
        <w:tc>
          <w:tcPr>
            <w:tcW w:w="1873" w:type="dxa"/>
            <w:noWrap w:val="0"/>
            <w:tcMar>
              <w:left w:w="28" w:type="dxa"/>
              <w:right w:w="28" w:type="dxa"/>
            </w:tcMar>
            <w:vAlign w:val="center"/>
          </w:tcPr>
          <w:p w14:paraId="3F4DC82B">
            <w:pPr>
              <w:pStyle w:val="57"/>
              <w:spacing w:beforeLines="0" w:afterLines="0" w:line="240" w:lineRule="auto"/>
              <w:rPr>
                <w:rFonts w:ascii="Times New Roman" w:hAnsi="Times New Roman" w:eastAsia="宋体" w:cs="宋体"/>
                <w:snapToGrid w:val="0"/>
                <w:color w:val="auto"/>
                <w:spacing w:val="-16"/>
                <w:kern w:val="21"/>
                <w:sz w:val="21"/>
                <w:szCs w:val="21"/>
                <w:lang w:val="en-US" w:eastAsia="zh-CN"/>
              </w:rPr>
            </w:pPr>
            <w:r>
              <w:rPr>
                <w:rFonts w:ascii="Times New Roman" w:hAnsi="Times New Roman" w:eastAsia="宋体" w:cs="宋体"/>
                <w:snapToGrid w:val="0"/>
                <w:color w:val="auto"/>
                <w:spacing w:val="-16"/>
                <w:kern w:val="21"/>
                <w:sz w:val="21"/>
                <w:szCs w:val="21"/>
                <w:lang w:val="en-US" w:eastAsia="zh-CN"/>
              </w:rPr>
              <w:t>本项目建成后</w:t>
            </w:r>
          </w:p>
          <w:p w14:paraId="2F547DEF">
            <w:pPr>
              <w:pStyle w:val="57"/>
              <w:spacing w:beforeLines="0" w:afterLines="0" w:line="240" w:lineRule="auto"/>
              <w:rPr>
                <w:rFonts w:ascii="Times New Roman" w:hAnsi="Times New Roman" w:eastAsia="宋体" w:cs="宋体"/>
                <w:snapToGrid w:val="0"/>
                <w:color w:val="auto"/>
                <w:spacing w:val="-16"/>
                <w:kern w:val="21"/>
                <w:sz w:val="21"/>
                <w:szCs w:val="21"/>
                <w:lang w:val="en-US" w:eastAsia="zh-CN"/>
              </w:rPr>
            </w:pPr>
            <w:r>
              <w:rPr>
                <w:rFonts w:ascii="Times New Roman" w:hAnsi="Times New Roman" w:eastAsia="宋体" w:cs="宋体"/>
                <w:snapToGrid w:val="0"/>
                <w:color w:val="auto"/>
                <w:spacing w:val="-16"/>
                <w:kern w:val="21"/>
                <w:sz w:val="21"/>
                <w:szCs w:val="21"/>
                <w:lang w:val="en-US" w:eastAsia="zh-CN"/>
              </w:rPr>
              <w:t>全厂排放量（固体废物产生量）</w:t>
            </w:r>
            <w:r>
              <w:rPr>
                <w:rFonts w:ascii="Times New Roman" w:hAnsi="Times New Roman" w:eastAsia="宋体" w:cs="宋体"/>
                <w:snapToGrid w:val="0"/>
                <w:color w:val="auto"/>
                <w:spacing w:val="-16"/>
                <w:kern w:val="21"/>
                <w:sz w:val="21"/>
                <w:szCs w:val="21"/>
                <w:lang w:val="en-US" w:eastAsia="zh-CN"/>
              </w:rPr>
              <w:fldChar w:fldCharType="begin"/>
            </w:r>
            <w:r>
              <w:rPr>
                <w:rFonts w:ascii="Times New Roman" w:hAnsi="Times New Roman" w:eastAsia="宋体" w:cs="宋体"/>
                <w:snapToGrid w:val="0"/>
                <w:color w:val="auto"/>
                <w:spacing w:val="-16"/>
                <w:kern w:val="21"/>
                <w:sz w:val="21"/>
                <w:szCs w:val="21"/>
                <w:lang w:val="en-US" w:eastAsia="zh-CN"/>
              </w:rPr>
              <w:instrText xml:space="preserve"> = 6 \* GB3 \* MERGEFORMAT </w:instrText>
            </w:r>
            <w:r>
              <w:rPr>
                <w:rFonts w:ascii="Times New Roman" w:hAnsi="Times New Roman" w:eastAsia="宋体" w:cs="宋体"/>
                <w:snapToGrid w:val="0"/>
                <w:color w:val="auto"/>
                <w:spacing w:val="-16"/>
                <w:kern w:val="21"/>
                <w:sz w:val="21"/>
                <w:szCs w:val="21"/>
                <w:lang w:val="en-US" w:eastAsia="zh-CN"/>
              </w:rPr>
              <w:fldChar w:fldCharType="separate"/>
            </w:r>
            <w:r>
              <w:rPr>
                <w:rFonts w:ascii="Times New Roman" w:hAnsi="Times New Roman" w:eastAsia="宋体" w:cs="宋体"/>
                <w:color w:val="auto"/>
                <w:kern w:val="2"/>
                <w:sz w:val="21"/>
                <w:szCs w:val="21"/>
                <w:lang w:val="en-US" w:eastAsia="zh-CN"/>
              </w:rPr>
              <w:t>⑥</w:t>
            </w:r>
            <w:r>
              <w:rPr>
                <w:rFonts w:ascii="Times New Roman" w:hAnsi="Times New Roman" w:eastAsia="宋体" w:cs="宋体"/>
                <w:snapToGrid w:val="0"/>
                <w:color w:val="auto"/>
                <w:spacing w:val="-16"/>
                <w:kern w:val="21"/>
                <w:sz w:val="21"/>
                <w:szCs w:val="21"/>
                <w:lang w:val="en-US" w:eastAsia="zh-CN"/>
              </w:rPr>
              <w:fldChar w:fldCharType="end"/>
            </w:r>
          </w:p>
        </w:tc>
        <w:tc>
          <w:tcPr>
            <w:tcW w:w="1029" w:type="dxa"/>
            <w:noWrap w:val="0"/>
            <w:tcMar>
              <w:left w:w="28" w:type="dxa"/>
              <w:right w:w="28" w:type="dxa"/>
            </w:tcMar>
            <w:vAlign w:val="center"/>
          </w:tcPr>
          <w:p w14:paraId="12255039">
            <w:pPr>
              <w:pStyle w:val="57"/>
              <w:spacing w:beforeLines="0" w:afterLines="0" w:line="240" w:lineRule="auto"/>
              <w:rPr>
                <w:rFonts w:ascii="Times New Roman" w:hAnsi="Times New Roman" w:eastAsia="宋体" w:cs="宋体"/>
                <w:snapToGrid w:val="0"/>
                <w:color w:val="auto"/>
                <w:spacing w:val="-6"/>
                <w:kern w:val="21"/>
                <w:sz w:val="21"/>
                <w:szCs w:val="21"/>
                <w:lang w:val="en-US" w:eastAsia="zh-CN"/>
              </w:rPr>
            </w:pPr>
            <w:r>
              <w:rPr>
                <w:rFonts w:ascii="Times New Roman" w:hAnsi="Times New Roman" w:eastAsia="宋体" w:cs="宋体"/>
                <w:snapToGrid w:val="0"/>
                <w:color w:val="auto"/>
                <w:spacing w:val="-6"/>
                <w:kern w:val="21"/>
                <w:sz w:val="21"/>
                <w:szCs w:val="21"/>
                <w:lang w:val="en-US" w:eastAsia="zh-CN"/>
              </w:rPr>
              <w:t>变化量</w:t>
            </w:r>
          </w:p>
          <w:p w14:paraId="308A0566">
            <w:pPr>
              <w:pStyle w:val="57"/>
              <w:spacing w:beforeLines="0" w:afterLines="0" w:line="240" w:lineRule="auto"/>
              <w:rPr>
                <w:rFonts w:ascii="Times New Roman" w:hAnsi="Times New Roman" w:eastAsia="宋体" w:cs="宋体"/>
                <w:snapToGrid w:val="0"/>
                <w:color w:val="auto"/>
                <w:spacing w:val="-6"/>
                <w:kern w:val="21"/>
                <w:sz w:val="21"/>
                <w:szCs w:val="21"/>
                <w:lang w:val="en-US" w:eastAsia="zh-CN"/>
              </w:rPr>
            </w:pPr>
            <w:r>
              <w:rPr>
                <w:rFonts w:ascii="Times New Roman" w:hAnsi="Times New Roman" w:eastAsia="宋体" w:cs="宋体"/>
                <w:snapToGrid w:val="0"/>
                <w:color w:val="auto"/>
                <w:spacing w:val="-6"/>
                <w:kern w:val="21"/>
                <w:sz w:val="21"/>
                <w:szCs w:val="21"/>
                <w:lang w:val="en-US" w:eastAsia="zh-CN"/>
              </w:rPr>
              <w:fldChar w:fldCharType="begin"/>
            </w:r>
            <w:r>
              <w:rPr>
                <w:rFonts w:ascii="Times New Roman" w:hAnsi="Times New Roman" w:eastAsia="宋体" w:cs="宋体"/>
                <w:snapToGrid w:val="0"/>
                <w:color w:val="auto"/>
                <w:spacing w:val="-6"/>
                <w:kern w:val="21"/>
                <w:sz w:val="21"/>
                <w:szCs w:val="21"/>
                <w:lang w:val="en-US" w:eastAsia="zh-CN"/>
              </w:rPr>
              <w:instrText xml:space="preserve"> = 7 \* GB3 \* MERGEFORMAT </w:instrText>
            </w:r>
            <w:r>
              <w:rPr>
                <w:rFonts w:ascii="Times New Roman" w:hAnsi="Times New Roman" w:eastAsia="宋体" w:cs="宋体"/>
                <w:snapToGrid w:val="0"/>
                <w:color w:val="auto"/>
                <w:spacing w:val="-6"/>
                <w:kern w:val="21"/>
                <w:sz w:val="21"/>
                <w:szCs w:val="21"/>
                <w:lang w:val="en-US" w:eastAsia="zh-CN"/>
              </w:rPr>
              <w:fldChar w:fldCharType="separate"/>
            </w:r>
            <w:r>
              <w:rPr>
                <w:rFonts w:ascii="Times New Roman" w:hAnsi="Times New Roman" w:eastAsia="宋体" w:cs="宋体"/>
                <w:color w:val="auto"/>
                <w:kern w:val="2"/>
                <w:sz w:val="21"/>
                <w:szCs w:val="21"/>
                <w:lang w:val="en-US" w:eastAsia="zh-CN"/>
              </w:rPr>
              <w:t>⑦</w:t>
            </w:r>
            <w:r>
              <w:rPr>
                <w:rFonts w:ascii="Times New Roman" w:hAnsi="Times New Roman" w:eastAsia="宋体" w:cs="宋体"/>
                <w:snapToGrid w:val="0"/>
                <w:color w:val="auto"/>
                <w:spacing w:val="-6"/>
                <w:kern w:val="21"/>
                <w:sz w:val="21"/>
                <w:szCs w:val="21"/>
                <w:lang w:val="en-US" w:eastAsia="zh-CN"/>
              </w:rPr>
              <w:fldChar w:fldCharType="end"/>
            </w:r>
          </w:p>
        </w:tc>
      </w:tr>
      <w:tr w14:paraId="064F97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83" w:type="dxa"/>
            <w:vMerge w:val="restart"/>
            <w:noWrap w:val="0"/>
            <w:vAlign w:val="center"/>
          </w:tcPr>
          <w:p w14:paraId="7A5BE53E">
            <w:pPr>
              <w:pStyle w:val="57"/>
              <w:spacing w:beforeLines="0" w:afterLines="0" w:line="240" w:lineRule="auto"/>
              <w:rPr>
                <w:rFonts w:ascii="Times New Roman" w:hAnsi="Times New Roman" w:eastAsia="宋体" w:cs="宋体"/>
                <w:snapToGrid w:val="0"/>
                <w:color w:val="auto"/>
                <w:kern w:val="21"/>
                <w:sz w:val="21"/>
                <w:szCs w:val="21"/>
                <w:lang w:val="en-US" w:eastAsia="zh-CN"/>
              </w:rPr>
            </w:pPr>
            <w:r>
              <w:rPr>
                <w:rFonts w:ascii="Times New Roman" w:hAnsi="Times New Roman" w:eastAsia="宋体" w:cs="宋体"/>
                <w:snapToGrid w:val="0"/>
                <w:color w:val="auto"/>
                <w:kern w:val="21"/>
                <w:sz w:val="21"/>
                <w:szCs w:val="21"/>
                <w:lang w:val="en-US" w:eastAsia="zh-CN"/>
              </w:rPr>
              <w:t>废气</w:t>
            </w:r>
          </w:p>
        </w:tc>
        <w:tc>
          <w:tcPr>
            <w:tcW w:w="2795" w:type="dxa"/>
            <w:noWrap w:val="0"/>
            <w:vAlign w:val="center"/>
          </w:tcPr>
          <w:p w14:paraId="0A302193">
            <w:pPr>
              <w:pStyle w:val="57"/>
              <w:spacing w:beforeLines="0" w:afterLines="0" w:line="240" w:lineRule="auto"/>
              <w:rPr>
                <w:rFonts w:hint="default" w:ascii="Times New Roman" w:hAnsi="Times New Roman" w:eastAsia="宋体" w:cs="宋体"/>
                <w:snapToGrid w:val="0"/>
                <w:color w:val="auto"/>
                <w:kern w:val="21"/>
                <w:sz w:val="21"/>
                <w:szCs w:val="21"/>
                <w:lang w:val="en-US" w:eastAsia="zh-CN"/>
              </w:rPr>
            </w:pPr>
            <w:r>
              <w:rPr>
                <w:rFonts w:hint="eastAsia" w:ascii="Times New Roman" w:cs="宋体"/>
                <w:snapToGrid w:val="0"/>
                <w:color w:val="auto"/>
                <w:kern w:val="21"/>
                <w:sz w:val="21"/>
                <w:szCs w:val="21"/>
                <w:lang w:val="en-US" w:eastAsia="zh-CN"/>
              </w:rPr>
              <w:t>废气量（万m</w:t>
            </w:r>
            <w:r>
              <w:rPr>
                <w:rFonts w:hint="eastAsia" w:ascii="Times New Roman" w:cs="宋体"/>
                <w:snapToGrid w:val="0"/>
                <w:color w:val="auto"/>
                <w:kern w:val="21"/>
                <w:sz w:val="21"/>
                <w:szCs w:val="21"/>
                <w:vertAlign w:val="superscript"/>
                <w:lang w:val="en-US" w:eastAsia="zh-CN"/>
              </w:rPr>
              <w:t>3</w:t>
            </w:r>
            <w:r>
              <w:rPr>
                <w:rFonts w:hint="eastAsia" w:ascii="Times New Roman" w:cs="宋体"/>
                <w:snapToGrid w:val="0"/>
                <w:color w:val="auto"/>
                <w:kern w:val="21"/>
                <w:sz w:val="21"/>
                <w:szCs w:val="21"/>
                <w:lang w:val="en-US" w:eastAsia="zh-CN"/>
              </w:rPr>
              <w:t>/年）</w:t>
            </w:r>
          </w:p>
        </w:tc>
        <w:tc>
          <w:tcPr>
            <w:tcW w:w="1604" w:type="dxa"/>
            <w:noWrap w:val="0"/>
            <w:vAlign w:val="center"/>
          </w:tcPr>
          <w:p w14:paraId="2F506553">
            <w:pPr>
              <w:keepNext w:val="0"/>
              <w:keepLines w:val="0"/>
              <w:widowControl/>
              <w:suppressLineNumbers w:val="0"/>
              <w:jc w:val="center"/>
              <w:textAlignment w:val="center"/>
              <w:rPr>
                <w:rFonts w:hint="eastAsia" w:ascii="Times New Roman" w:hAnsi="Times New Roman" w:eastAsia="宋体" w:cs="宋体"/>
                <w:snapToGrid w:val="0"/>
                <w:color w:val="auto"/>
                <w:kern w:val="21"/>
                <w:sz w:val="21"/>
                <w:szCs w:val="21"/>
                <w:lang w:val="en-US" w:eastAsia="zh-CN"/>
              </w:rPr>
            </w:pPr>
          </w:p>
        </w:tc>
        <w:tc>
          <w:tcPr>
            <w:tcW w:w="1094" w:type="dxa"/>
            <w:noWrap w:val="0"/>
            <w:vAlign w:val="center"/>
          </w:tcPr>
          <w:p w14:paraId="485B9A22">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480" w:type="dxa"/>
            <w:noWrap w:val="0"/>
            <w:vAlign w:val="center"/>
          </w:tcPr>
          <w:p w14:paraId="160CD2DE">
            <w:pPr>
              <w:pStyle w:val="37"/>
              <w:adjustRightInd w:val="0"/>
              <w:snapToGrid w:val="0"/>
              <w:spacing w:after="0"/>
              <w:ind w:left="0" w:leftChars="0" w:firstLine="0" w:firstLineChars="0"/>
              <w:jc w:val="center"/>
              <w:rPr>
                <w:rFonts w:ascii="Times New Roman" w:hAnsi="Times New Roman" w:eastAsia="宋体" w:cs="宋体"/>
                <w:snapToGrid w:val="0"/>
                <w:color w:val="auto"/>
                <w:kern w:val="21"/>
                <w:sz w:val="21"/>
                <w:szCs w:val="21"/>
                <w:lang w:val="en-US" w:eastAsia="zh-CN"/>
              </w:rPr>
            </w:pPr>
          </w:p>
        </w:tc>
        <w:tc>
          <w:tcPr>
            <w:tcW w:w="1642" w:type="dxa"/>
            <w:noWrap w:val="0"/>
            <w:vAlign w:val="center"/>
          </w:tcPr>
          <w:p w14:paraId="1E643172">
            <w:pPr>
              <w:keepNext w:val="0"/>
              <w:keepLines w:val="0"/>
              <w:widowControl/>
              <w:suppressLineNumbers w:val="0"/>
              <w:jc w:val="center"/>
              <w:textAlignment w:val="center"/>
              <w:rPr>
                <w:rFonts w:hint="default" w:ascii="Times New Roman" w:hAnsi="Times New Roman" w:eastAsia="宋体" w:cs="宋体"/>
                <w:snapToGrid w:val="0"/>
                <w:color w:val="auto"/>
                <w:kern w:val="21"/>
                <w:sz w:val="21"/>
                <w:szCs w:val="21"/>
                <w:lang w:val="en-US" w:eastAsia="zh-CN"/>
              </w:rPr>
            </w:pPr>
            <w:r>
              <w:rPr>
                <w:rFonts w:hint="eastAsia" w:cs="宋体"/>
                <w:snapToGrid w:val="0"/>
                <w:color w:val="auto"/>
                <w:kern w:val="21"/>
                <w:sz w:val="21"/>
                <w:szCs w:val="21"/>
                <w:lang w:val="en-US" w:eastAsia="zh-CN"/>
              </w:rPr>
              <w:t>3934.08</w:t>
            </w:r>
          </w:p>
        </w:tc>
        <w:tc>
          <w:tcPr>
            <w:tcW w:w="1315" w:type="dxa"/>
            <w:noWrap w:val="0"/>
            <w:vAlign w:val="center"/>
          </w:tcPr>
          <w:p w14:paraId="5D7B1595">
            <w:pPr>
              <w:keepNext w:val="0"/>
              <w:keepLines w:val="0"/>
              <w:widowControl/>
              <w:suppressLineNumbers w:val="0"/>
              <w:jc w:val="center"/>
              <w:textAlignment w:val="center"/>
              <w:rPr>
                <w:rFonts w:ascii="Times New Roman" w:hAnsi="Times New Roman" w:eastAsia="宋体" w:cs="宋体"/>
                <w:snapToGrid w:val="0"/>
                <w:color w:val="auto"/>
                <w:kern w:val="21"/>
                <w:sz w:val="21"/>
                <w:szCs w:val="21"/>
                <w:lang w:val="en-US" w:eastAsia="zh-CN"/>
              </w:rPr>
            </w:pPr>
          </w:p>
        </w:tc>
        <w:tc>
          <w:tcPr>
            <w:tcW w:w="1873" w:type="dxa"/>
            <w:noWrap w:val="0"/>
            <w:vAlign w:val="center"/>
          </w:tcPr>
          <w:p w14:paraId="17F1C0D1">
            <w:pPr>
              <w:keepNext w:val="0"/>
              <w:keepLines w:val="0"/>
              <w:widowControl/>
              <w:suppressLineNumbers w:val="0"/>
              <w:jc w:val="center"/>
              <w:textAlignment w:val="center"/>
              <w:rPr>
                <w:rFonts w:hint="default" w:ascii="Times New Roman" w:hAnsi="Times New Roman" w:eastAsia="宋体" w:cs="宋体"/>
                <w:snapToGrid w:val="0"/>
                <w:color w:val="auto"/>
                <w:kern w:val="21"/>
                <w:sz w:val="21"/>
                <w:szCs w:val="21"/>
                <w:lang w:val="en-US" w:eastAsia="zh-CN" w:bidi="ar-SA"/>
              </w:rPr>
            </w:pPr>
            <w:r>
              <w:rPr>
                <w:rFonts w:hint="eastAsia" w:cs="宋体"/>
                <w:snapToGrid w:val="0"/>
                <w:color w:val="auto"/>
                <w:kern w:val="21"/>
                <w:sz w:val="21"/>
                <w:szCs w:val="21"/>
                <w:lang w:val="en-US" w:eastAsia="zh-CN"/>
              </w:rPr>
              <w:t>3934.08</w:t>
            </w:r>
          </w:p>
        </w:tc>
        <w:tc>
          <w:tcPr>
            <w:tcW w:w="1029" w:type="dxa"/>
            <w:noWrap w:val="0"/>
            <w:vAlign w:val="center"/>
          </w:tcPr>
          <w:p w14:paraId="46A4ECD2">
            <w:pPr>
              <w:keepNext w:val="0"/>
              <w:keepLines w:val="0"/>
              <w:widowControl/>
              <w:suppressLineNumbers w:val="0"/>
              <w:jc w:val="center"/>
              <w:textAlignment w:val="center"/>
              <w:rPr>
                <w:rFonts w:hint="default" w:ascii="Times New Roman" w:hAnsi="Times New Roman" w:eastAsia="宋体" w:cs="宋体"/>
                <w:snapToGrid w:val="0"/>
                <w:color w:val="auto"/>
                <w:kern w:val="21"/>
                <w:sz w:val="21"/>
                <w:szCs w:val="21"/>
                <w:lang w:val="en-US" w:eastAsia="zh-CN" w:bidi="ar-SA"/>
              </w:rPr>
            </w:pPr>
            <w:r>
              <w:rPr>
                <w:rFonts w:hint="eastAsia" w:cs="宋体"/>
                <w:snapToGrid w:val="0"/>
                <w:color w:val="auto"/>
                <w:kern w:val="21"/>
                <w:sz w:val="21"/>
                <w:szCs w:val="21"/>
                <w:lang w:val="en-US" w:eastAsia="zh-CN"/>
              </w:rPr>
              <w:t>+3934.08</w:t>
            </w:r>
          </w:p>
        </w:tc>
      </w:tr>
      <w:tr w14:paraId="1701D7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83" w:type="dxa"/>
            <w:vMerge w:val="continue"/>
            <w:noWrap w:val="0"/>
            <w:vAlign w:val="center"/>
          </w:tcPr>
          <w:p w14:paraId="42ACA808">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shd w:val="clear" w:color="auto" w:fill="auto"/>
            <w:noWrap w:val="0"/>
            <w:vAlign w:val="center"/>
          </w:tcPr>
          <w:p w14:paraId="297CD513">
            <w:pPr>
              <w:pStyle w:val="57"/>
              <w:spacing w:beforeLines="0" w:afterLines="0" w:line="240" w:lineRule="auto"/>
              <w:ind w:left="0" w:leftChars="0" w:right="0" w:rightChars="0"/>
              <w:rPr>
                <w:rFonts w:hint="eastAsia" w:ascii="Times New Roman" w:hAnsi="Times New Roman" w:eastAsia="宋体" w:cs="宋体"/>
                <w:snapToGrid w:val="0"/>
                <w:color w:val="auto"/>
                <w:kern w:val="21"/>
                <w:sz w:val="21"/>
                <w:szCs w:val="21"/>
                <w:lang w:val="en-US" w:eastAsia="zh-CN" w:bidi="ar"/>
              </w:rPr>
            </w:pPr>
            <w:r>
              <w:rPr>
                <w:rFonts w:hint="eastAsia" w:ascii="Times New Roman" w:hAnsi="Times New Roman" w:eastAsia="宋体" w:cs="宋体"/>
                <w:snapToGrid w:val="0"/>
                <w:color w:val="auto"/>
                <w:kern w:val="21"/>
                <w:sz w:val="21"/>
                <w:szCs w:val="21"/>
                <w:lang w:val="en-US" w:eastAsia="zh-CN"/>
              </w:rPr>
              <w:t>颗粒物</w:t>
            </w:r>
            <w:r>
              <w:rPr>
                <w:rFonts w:ascii="Times New Roman" w:hAnsi="Times New Roman" w:eastAsia="宋体" w:cs="宋体"/>
                <w:snapToGrid w:val="0"/>
                <w:color w:val="auto"/>
                <w:kern w:val="21"/>
                <w:sz w:val="21"/>
                <w:szCs w:val="21"/>
                <w:lang w:val="en-US" w:eastAsia="zh-CN"/>
              </w:rPr>
              <w:t>（吨/年）</w:t>
            </w:r>
          </w:p>
        </w:tc>
        <w:tc>
          <w:tcPr>
            <w:tcW w:w="1604" w:type="dxa"/>
            <w:shd w:val="clear" w:color="auto" w:fill="auto"/>
            <w:noWrap w:val="0"/>
            <w:vAlign w:val="center"/>
          </w:tcPr>
          <w:p w14:paraId="3D1FF77E">
            <w:pPr>
              <w:keepNext w:val="0"/>
              <w:keepLines w:val="0"/>
              <w:widowControl/>
              <w:suppressLineNumbers w:val="0"/>
              <w:jc w:val="center"/>
              <w:textAlignment w:val="center"/>
              <w:rPr>
                <w:rFonts w:hint="eastAsia" w:ascii="Times New Roman" w:hAnsi="Times New Roman" w:eastAsia="宋体" w:cs="宋体"/>
                <w:snapToGrid w:val="0"/>
                <w:color w:val="auto"/>
                <w:kern w:val="21"/>
                <w:sz w:val="21"/>
                <w:szCs w:val="21"/>
                <w:lang w:val="en-US" w:eastAsia="zh-CN" w:bidi="ar-SA"/>
              </w:rPr>
            </w:pPr>
          </w:p>
        </w:tc>
        <w:tc>
          <w:tcPr>
            <w:tcW w:w="1094" w:type="dxa"/>
            <w:shd w:val="clear" w:color="auto" w:fill="auto"/>
            <w:noWrap w:val="0"/>
            <w:vAlign w:val="center"/>
          </w:tcPr>
          <w:p w14:paraId="10F268CB">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480" w:type="dxa"/>
            <w:shd w:val="clear" w:color="auto" w:fill="auto"/>
            <w:noWrap w:val="0"/>
            <w:vAlign w:val="center"/>
          </w:tcPr>
          <w:p w14:paraId="1561914C">
            <w:pPr>
              <w:pStyle w:val="37"/>
              <w:adjustRightInd w:val="0"/>
              <w:snapToGrid w:val="0"/>
              <w:spacing w:after="0"/>
              <w:ind w:left="0" w:leftChars="0" w:right="113" w:rightChars="0" w:firstLine="0" w:firstLineChars="0"/>
              <w:jc w:val="center"/>
              <w:rPr>
                <w:rFonts w:ascii="Times New Roman" w:hAnsi="Times New Roman" w:eastAsia="宋体" w:cs="宋体"/>
                <w:snapToGrid w:val="0"/>
                <w:color w:val="auto"/>
                <w:kern w:val="21"/>
                <w:sz w:val="21"/>
                <w:szCs w:val="21"/>
                <w:lang w:val="en-US" w:eastAsia="zh-CN" w:bidi="ar-SA"/>
              </w:rPr>
            </w:pPr>
          </w:p>
        </w:tc>
        <w:tc>
          <w:tcPr>
            <w:tcW w:w="1642" w:type="dxa"/>
            <w:shd w:val="clear" w:color="auto" w:fill="auto"/>
            <w:noWrap w:val="0"/>
            <w:vAlign w:val="center"/>
          </w:tcPr>
          <w:p w14:paraId="50314A07">
            <w:pPr>
              <w:keepNext w:val="0"/>
              <w:keepLines w:val="0"/>
              <w:widowControl/>
              <w:suppressLineNumbers w:val="0"/>
              <w:jc w:val="center"/>
              <w:textAlignment w:val="center"/>
              <w:rPr>
                <w:rFonts w:hint="default" w:ascii="Times New Roman" w:hAnsi="Times New Roman" w:eastAsia="宋体" w:cs="宋体"/>
                <w:snapToGrid w:val="0"/>
                <w:color w:val="auto"/>
                <w:kern w:val="21"/>
                <w:sz w:val="21"/>
                <w:szCs w:val="21"/>
                <w:lang w:val="en-US" w:eastAsia="zh-CN" w:bidi="ar-SA"/>
              </w:rPr>
            </w:pPr>
            <w:r>
              <w:rPr>
                <w:rFonts w:hint="default" w:ascii="Times New Roman" w:hAnsi="Times New Roman" w:eastAsia="宋体" w:cs="宋体"/>
                <w:snapToGrid w:val="0"/>
                <w:color w:val="auto"/>
                <w:kern w:val="21"/>
                <w:sz w:val="21"/>
                <w:szCs w:val="21"/>
                <w:lang w:val="en-US" w:eastAsia="zh-CN"/>
              </w:rPr>
              <w:t>9.31</w:t>
            </w:r>
          </w:p>
        </w:tc>
        <w:tc>
          <w:tcPr>
            <w:tcW w:w="1315" w:type="dxa"/>
            <w:shd w:val="clear" w:color="auto" w:fill="auto"/>
            <w:noWrap w:val="0"/>
            <w:vAlign w:val="center"/>
          </w:tcPr>
          <w:p w14:paraId="230CED66">
            <w:pPr>
              <w:keepNext w:val="0"/>
              <w:keepLines w:val="0"/>
              <w:widowControl/>
              <w:suppressLineNumbers w:val="0"/>
              <w:jc w:val="center"/>
              <w:textAlignment w:val="center"/>
              <w:rPr>
                <w:rFonts w:ascii="Times New Roman" w:hAnsi="Times New Roman" w:eastAsia="宋体" w:cs="宋体"/>
                <w:snapToGrid w:val="0"/>
                <w:color w:val="auto"/>
                <w:kern w:val="21"/>
                <w:sz w:val="21"/>
                <w:szCs w:val="21"/>
                <w:lang w:val="en-US" w:eastAsia="zh-CN" w:bidi="ar-SA"/>
              </w:rPr>
            </w:pPr>
          </w:p>
        </w:tc>
        <w:tc>
          <w:tcPr>
            <w:tcW w:w="1873" w:type="dxa"/>
            <w:shd w:val="clear" w:color="auto" w:fill="auto"/>
            <w:noWrap w:val="0"/>
            <w:vAlign w:val="center"/>
          </w:tcPr>
          <w:p w14:paraId="11E77D4E">
            <w:pPr>
              <w:keepNext w:val="0"/>
              <w:keepLines w:val="0"/>
              <w:widowControl/>
              <w:suppressLineNumbers w:val="0"/>
              <w:jc w:val="center"/>
              <w:textAlignment w:val="center"/>
              <w:rPr>
                <w:rFonts w:hint="eastAsia" w:ascii="Times New Roman" w:hAnsi="Times New Roman" w:eastAsia="宋体" w:cs="宋体"/>
                <w:snapToGrid w:val="0"/>
                <w:color w:val="auto"/>
                <w:kern w:val="21"/>
                <w:sz w:val="21"/>
                <w:szCs w:val="21"/>
                <w:lang w:val="en-US" w:eastAsia="zh-CN" w:bidi="ar-SA"/>
              </w:rPr>
            </w:pPr>
            <w:r>
              <w:rPr>
                <w:rFonts w:hint="default" w:ascii="Times New Roman" w:hAnsi="Times New Roman" w:eastAsia="宋体" w:cs="宋体"/>
                <w:snapToGrid w:val="0"/>
                <w:color w:val="auto"/>
                <w:kern w:val="21"/>
                <w:sz w:val="21"/>
                <w:szCs w:val="21"/>
                <w:lang w:val="en-US" w:eastAsia="zh-CN"/>
              </w:rPr>
              <w:t>9.31</w:t>
            </w:r>
          </w:p>
        </w:tc>
        <w:tc>
          <w:tcPr>
            <w:tcW w:w="1029" w:type="dxa"/>
            <w:shd w:val="clear" w:color="auto" w:fill="auto"/>
            <w:noWrap w:val="0"/>
            <w:vAlign w:val="center"/>
          </w:tcPr>
          <w:p w14:paraId="00443C77">
            <w:pPr>
              <w:keepNext w:val="0"/>
              <w:keepLines w:val="0"/>
              <w:widowControl/>
              <w:suppressLineNumbers w:val="0"/>
              <w:jc w:val="center"/>
              <w:textAlignment w:val="center"/>
              <w:rPr>
                <w:rFonts w:hint="eastAsia" w:ascii="Times New Roman" w:hAnsi="Times New Roman" w:eastAsia="宋体" w:cs="宋体"/>
                <w:snapToGrid w:val="0"/>
                <w:color w:val="auto"/>
                <w:kern w:val="21"/>
                <w:sz w:val="21"/>
                <w:szCs w:val="21"/>
                <w:lang w:val="en-US" w:eastAsia="zh-CN" w:bidi="ar-SA"/>
              </w:rPr>
            </w:pPr>
            <w:r>
              <w:rPr>
                <w:rFonts w:hint="eastAsia" w:cs="宋体"/>
                <w:snapToGrid w:val="0"/>
                <w:color w:val="auto"/>
                <w:kern w:val="21"/>
                <w:sz w:val="21"/>
                <w:szCs w:val="21"/>
                <w:lang w:val="en-US" w:eastAsia="zh-CN"/>
              </w:rPr>
              <w:t>+</w:t>
            </w:r>
            <w:r>
              <w:rPr>
                <w:rFonts w:hint="default" w:ascii="Times New Roman" w:hAnsi="Times New Roman" w:eastAsia="宋体" w:cs="宋体"/>
                <w:snapToGrid w:val="0"/>
                <w:color w:val="auto"/>
                <w:kern w:val="21"/>
                <w:sz w:val="21"/>
                <w:szCs w:val="21"/>
                <w:lang w:val="en-US" w:eastAsia="zh-CN"/>
              </w:rPr>
              <w:t>9.31</w:t>
            </w:r>
          </w:p>
        </w:tc>
      </w:tr>
      <w:tr w14:paraId="2E0CE8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3" w:type="dxa"/>
            <w:vMerge w:val="continue"/>
            <w:noWrap w:val="0"/>
            <w:vAlign w:val="center"/>
          </w:tcPr>
          <w:p w14:paraId="7A8057D7">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noWrap w:val="0"/>
            <w:vAlign w:val="center"/>
          </w:tcPr>
          <w:p w14:paraId="5B29203F">
            <w:pPr>
              <w:pStyle w:val="57"/>
              <w:spacing w:beforeLines="0" w:afterLines="0" w:line="240" w:lineRule="auto"/>
              <w:rPr>
                <w:rFonts w:ascii="Times New Roman" w:hAnsi="Times New Roman" w:eastAsia="宋体" w:cs="宋体"/>
                <w:snapToGrid w:val="0"/>
                <w:color w:val="auto"/>
                <w:kern w:val="21"/>
                <w:sz w:val="21"/>
                <w:szCs w:val="21"/>
                <w:lang w:val="en-US" w:eastAsia="zh-CN"/>
              </w:rPr>
            </w:pPr>
            <w:r>
              <w:rPr>
                <w:rFonts w:hint="eastAsia" w:ascii="Times New Roman" w:hAnsi="Times New Roman" w:eastAsia="宋体" w:cs="宋体"/>
                <w:snapToGrid w:val="0"/>
                <w:color w:val="auto"/>
                <w:kern w:val="21"/>
                <w:sz w:val="21"/>
                <w:szCs w:val="21"/>
                <w:lang w:val="en-US" w:eastAsia="zh-CN"/>
              </w:rPr>
              <w:t>SO</w:t>
            </w:r>
            <w:r>
              <w:rPr>
                <w:rFonts w:hint="eastAsia" w:ascii="Times New Roman" w:hAnsi="Times New Roman" w:eastAsia="宋体" w:cs="宋体"/>
                <w:snapToGrid w:val="0"/>
                <w:color w:val="auto"/>
                <w:kern w:val="21"/>
                <w:sz w:val="21"/>
                <w:szCs w:val="21"/>
                <w:vertAlign w:val="subscript"/>
                <w:lang w:val="en-US" w:eastAsia="zh-CN"/>
              </w:rPr>
              <w:t>2</w:t>
            </w:r>
            <w:r>
              <w:rPr>
                <w:rFonts w:ascii="Times New Roman" w:hAnsi="Times New Roman" w:eastAsia="宋体" w:cs="宋体"/>
                <w:snapToGrid w:val="0"/>
                <w:color w:val="auto"/>
                <w:kern w:val="21"/>
                <w:sz w:val="21"/>
                <w:szCs w:val="21"/>
                <w:lang w:val="en-US" w:eastAsia="zh-CN"/>
              </w:rPr>
              <w:t>（吨/年）</w:t>
            </w:r>
          </w:p>
        </w:tc>
        <w:tc>
          <w:tcPr>
            <w:tcW w:w="1604" w:type="dxa"/>
            <w:noWrap w:val="0"/>
            <w:vAlign w:val="center"/>
          </w:tcPr>
          <w:p w14:paraId="7E18F0B6">
            <w:pPr>
              <w:keepNext w:val="0"/>
              <w:keepLines w:val="0"/>
              <w:widowControl/>
              <w:suppressLineNumbers w:val="0"/>
              <w:jc w:val="center"/>
              <w:textAlignment w:val="center"/>
              <w:rPr>
                <w:rFonts w:ascii="Times New Roman" w:hAnsi="Times New Roman" w:eastAsia="宋体" w:cs="宋体"/>
                <w:snapToGrid w:val="0"/>
                <w:color w:val="auto"/>
                <w:kern w:val="21"/>
                <w:sz w:val="21"/>
                <w:szCs w:val="21"/>
              </w:rPr>
            </w:pPr>
          </w:p>
        </w:tc>
        <w:tc>
          <w:tcPr>
            <w:tcW w:w="1094" w:type="dxa"/>
            <w:noWrap w:val="0"/>
            <w:vAlign w:val="center"/>
          </w:tcPr>
          <w:p w14:paraId="23AE7B18">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480" w:type="dxa"/>
            <w:noWrap w:val="0"/>
            <w:vAlign w:val="center"/>
          </w:tcPr>
          <w:p w14:paraId="5EC01D6C">
            <w:pPr>
              <w:pStyle w:val="37"/>
              <w:adjustRightInd w:val="0"/>
              <w:snapToGrid w:val="0"/>
              <w:spacing w:after="0"/>
              <w:ind w:left="0" w:leftChars="0" w:firstLine="0" w:firstLineChars="0"/>
              <w:jc w:val="center"/>
              <w:rPr>
                <w:rFonts w:ascii="Times New Roman" w:hAnsi="Times New Roman" w:eastAsia="宋体" w:cs="宋体"/>
                <w:snapToGrid w:val="0"/>
                <w:color w:val="auto"/>
                <w:kern w:val="21"/>
                <w:sz w:val="21"/>
                <w:szCs w:val="21"/>
                <w:lang w:val="en-US" w:eastAsia="zh-CN"/>
              </w:rPr>
            </w:pPr>
          </w:p>
        </w:tc>
        <w:tc>
          <w:tcPr>
            <w:tcW w:w="1642" w:type="dxa"/>
            <w:shd w:val="clear" w:color="auto" w:fill="auto"/>
            <w:noWrap w:val="0"/>
            <w:vAlign w:val="center"/>
          </w:tcPr>
          <w:p w14:paraId="0A52EA0A">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0.02</w:t>
            </w:r>
          </w:p>
        </w:tc>
        <w:tc>
          <w:tcPr>
            <w:tcW w:w="1315" w:type="dxa"/>
            <w:noWrap w:val="0"/>
            <w:vAlign w:val="center"/>
          </w:tcPr>
          <w:p w14:paraId="5DC2A465">
            <w:pPr>
              <w:keepNext w:val="0"/>
              <w:keepLines w:val="0"/>
              <w:widowControl/>
              <w:suppressLineNumbers w:val="0"/>
              <w:jc w:val="center"/>
              <w:textAlignment w:val="center"/>
              <w:rPr>
                <w:rFonts w:ascii="Times New Roman" w:hAnsi="Times New Roman" w:eastAsia="宋体" w:cs="宋体"/>
                <w:snapToGrid w:val="0"/>
                <w:color w:val="auto"/>
                <w:kern w:val="21"/>
                <w:sz w:val="21"/>
                <w:szCs w:val="21"/>
                <w:lang w:val="en-US" w:eastAsia="zh-CN"/>
              </w:rPr>
            </w:pPr>
          </w:p>
        </w:tc>
        <w:tc>
          <w:tcPr>
            <w:tcW w:w="1873" w:type="dxa"/>
            <w:noWrap w:val="0"/>
            <w:vAlign w:val="center"/>
          </w:tcPr>
          <w:p w14:paraId="3F371857">
            <w:pPr>
              <w:widowControl/>
              <w:snapToGrid w:val="0"/>
              <w:jc w:val="center"/>
              <w:textAlignment w:val="center"/>
              <w:rPr>
                <w:rFonts w:hint="default" w:ascii="Times New Roman" w:hAnsi="Times New Roman" w:eastAsia="宋体" w:cs="宋体"/>
                <w:snapToGrid w:val="0"/>
                <w:color w:val="auto"/>
                <w:kern w:val="21"/>
                <w:sz w:val="21"/>
                <w:szCs w:val="21"/>
                <w:lang w:val="en-US" w:eastAsia="zh-CN" w:bidi="ar-SA"/>
              </w:rPr>
            </w:pPr>
            <w:r>
              <w:rPr>
                <w:rFonts w:hint="eastAsia" w:cs="Times New Roman"/>
                <w:color w:val="auto"/>
                <w:kern w:val="2"/>
                <w:sz w:val="21"/>
                <w:szCs w:val="21"/>
                <w:highlight w:val="none"/>
                <w:lang w:val="en-US" w:eastAsia="zh-CN" w:bidi="ar-SA"/>
              </w:rPr>
              <w:t>0.02</w:t>
            </w:r>
          </w:p>
        </w:tc>
        <w:tc>
          <w:tcPr>
            <w:tcW w:w="1029" w:type="dxa"/>
            <w:noWrap w:val="0"/>
            <w:vAlign w:val="center"/>
          </w:tcPr>
          <w:p w14:paraId="43681C30">
            <w:pPr>
              <w:widowControl/>
              <w:snapToGrid w:val="0"/>
              <w:jc w:val="center"/>
              <w:textAlignment w:val="center"/>
              <w:rPr>
                <w:rFonts w:hint="default" w:ascii="Times New Roman" w:hAnsi="Times New Roman" w:eastAsia="宋体" w:cs="宋体"/>
                <w:snapToGrid w:val="0"/>
                <w:color w:val="auto"/>
                <w:kern w:val="21"/>
                <w:sz w:val="21"/>
                <w:szCs w:val="21"/>
                <w:lang w:val="en-US" w:eastAsia="zh-CN" w:bidi="ar-SA"/>
              </w:rPr>
            </w:pPr>
            <w:r>
              <w:rPr>
                <w:rFonts w:hint="eastAsia" w:cs="Times New Roman"/>
                <w:color w:val="auto"/>
                <w:kern w:val="2"/>
                <w:sz w:val="21"/>
                <w:szCs w:val="21"/>
                <w:highlight w:val="none"/>
                <w:lang w:val="en-US" w:eastAsia="zh-CN" w:bidi="ar-SA"/>
              </w:rPr>
              <w:t>+0.02</w:t>
            </w:r>
          </w:p>
        </w:tc>
      </w:tr>
      <w:tr w14:paraId="20685A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83" w:type="dxa"/>
            <w:vMerge w:val="continue"/>
            <w:noWrap w:val="0"/>
            <w:vAlign w:val="center"/>
          </w:tcPr>
          <w:p w14:paraId="43CAE923">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noWrap w:val="0"/>
            <w:vAlign w:val="center"/>
          </w:tcPr>
          <w:p w14:paraId="4EE508B7">
            <w:pPr>
              <w:pStyle w:val="57"/>
              <w:spacing w:beforeLines="0" w:afterLines="0" w:line="240" w:lineRule="auto"/>
              <w:rPr>
                <w:rFonts w:ascii="Times New Roman" w:hAnsi="Times New Roman" w:eastAsia="宋体" w:cs="宋体"/>
                <w:color w:val="auto"/>
                <w:sz w:val="21"/>
                <w:szCs w:val="21"/>
                <w:lang w:val="en-US" w:eastAsia="zh-CN"/>
              </w:rPr>
            </w:pPr>
            <w:r>
              <w:rPr>
                <w:rFonts w:hint="eastAsia" w:ascii="Times New Roman" w:hAnsi="Times New Roman" w:eastAsia="宋体" w:cs="宋体"/>
                <w:color w:val="auto"/>
                <w:sz w:val="21"/>
                <w:szCs w:val="21"/>
                <w:lang w:val="en-US" w:eastAsia="zh-CN"/>
              </w:rPr>
              <w:t>NO</w:t>
            </w:r>
            <w:r>
              <w:rPr>
                <w:rFonts w:hint="eastAsia" w:ascii="Times New Roman" w:hAnsi="Times New Roman" w:eastAsia="宋体" w:cs="宋体"/>
                <w:color w:val="auto"/>
                <w:sz w:val="21"/>
                <w:szCs w:val="21"/>
                <w:vertAlign w:val="subscript"/>
                <w:lang w:val="en-US" w:eastAsia="zh-CN"/>
              </w:rPr>
              <w:t>x</w:t>
            </w:r>
            <w:r>
              <w:rPr>
                <w:rFonts w:ascii="Times New Roman" w:hAnsi="Times New Roman" w:eastAsia="宋体" w:cs="宋体"/>
                <w:snapToGrid w:val="0"/>
                <w:color w:val="auto"/>
                <w:kern w:val="21"/>
                <w:sz w:val="21"/>
                <w:szCs w:val="21"/>
                <w:lang w:val="en-US" w:eastAsia="zh-CN"/>
              </w:rPr>
              <w:t>（吨/年）</w:t>
            </w:r>
          </w:p>
        </w:tc>
        <w:tc>
          <w:tcPr>
            <w:tcW w:w="1604" w:type="dxa"/>
            <w:noWrap w:val="0"/>
            <w:vAlign w:val="center"/>
          </w:tcPr>
          <w:p w14:paraId="54BE56B7">
            <w:pPr>
              <w:keepNext w:val="0"/>
              <w:keepLines w:val="0"/>
              <w:widowControl/>
              <w:suppressLineNumbers w:val="0"/>
              <w:jc w:val="center"/>
              <w:textAlignment w:val="center"/>
              <w:rPr>
                <w:rFonts w:hint="eastAsia" w:ascii="Times New Roman" w:hAnsi="Times New Roman" w:eastAsia="宋体" w:cs="宋体"/>
                <w:snapToGrid w:val="0"/>
                <w:color w:val="auto"/>
                <w:kern w:val="21"/>
                <w:sz w:val="21"/>
                <w:szCs w:val="21"/>
              </w:rPr>
            </w:pPr>
          </w:p>
        </w:tc>
        <w:tc>
          <w:tcPr>
            <w:tcW w:w="1094" w:type="dxa"/>
            <w:noWrap w:val="0"/>
            <w:vAlign w:val="center"/>
          </w:tcPr>
          <w:p w14:paraId="41091B8F">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480" w:type="dxa"/>
            <w:noWrap w:val="0"/>
            <w:vAlign w:val="center"/>
          </w:tcPr>
          <w:p w14:paraId="5317383A">
            <w:pPr>
              <w:pStyle w:val="37"/>
              <w:adjustRightInd w:val="0"/>
              <w:snapToGrid w:val="0"/>
              <w:spacing w:after="0"/>
              <w:ind w:left="0" w:leftChars="0" w:firstLine="0" w:firstLineChars="0"/>
              <w:jc w:val="center"/>
              <w:rPr>
                <w:rFonts w:ascii="Times New Roman" w:hAnsi="Times New Roman" w:eastAsia="宋体" w:cs="宋体"/>
                <w:snapToGrid w:val="0"/>
                <w:color w:val="auto"/>
                <w:kern w:val="21"/>
                <w:sz w:val="21"/>
                <w:szCs w:val="21"/>
                <w:lang w:val="en-US" w:eastAsia="zh-CN"/>
              </w:rPr>
            </w:pPr>
          </w:p>
        </w:tc>
        <w:tc>
          <w:tcPr>
            <w:tcW w:w="1642" w:type="dxa"/>
            <w:shd w:val="clear" w:color="auto" w:fill="auto"/>
            <w:noWrap w:val="0"/>
            <w:vAlign w:val="center"/>
          </w:tcPr>
          <w:p w14:paraId="2545FCDD">
            <w:pPr>
              <w:widowControl/>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0.6</w:t>
            </w:r>
          </w:p>
        </w:tc>
        <w:tc>
          <w:tcPr>
            <w:tcW w:w="1315" w:type="dxa"/>
            <w:noWrap w:val="0"/>
            <w:vAlign w:val="center"/>
          </w:tcPr>
          <w:p w14:paraId="504189D6">
            <w:pPr>
              <w:keepNext w:val="0"/>
              <w:keepLines w:val="0"/>
              <w:widowControl/>
              <w:suppressLineNumbers w:val="0"/>
              <w:jc w:val="center"/>
              <w:textAlignment w:val="center"/>
              <w:rPr>
                <w:rFonts w:ascii="Times New Roman" w:hAnsi="Times New Roman" w:eastAsia="宋体" w:cs="宋体"/>
                <w:snapToGrid w:val="0"/>
                <w:color w:val="auto"/>
                <w:kern w:val="21"/>
                <w:sz w:val="21"/>
                <w:szCs w:val="21"/>
                <w:lang w:val="en-US" w:eastAsia="zh-CN"/>
              </w:rPr>
            </w:pPr>
          </w:p>
        </w:tc>
        <w:tc>
          <w:tcPr>
            <w:tcW w:w="1873" w:type="dxa"/>
            <w:noWrap w:val="0"/>
            <w:vAlign w:val="center"/>
          </w:tcPr>
          <w:p w14:paraId="20391D57">
            <w:pPr>
              <w:widowControl/>
              <w:snapToGrid w:val="0"/>
              <w:jc w:val="center"/>
              <w:textAlignment w:val="center"/>
              <w:rPr>
                <w:rFonts w:hint="default" w:ascii="Times New Roman" w:hAnsi="Times New Roman" w:eastAsia="宋体" w:cs="宋体"/>
                <w:color w:val="auto"/>
                <w:kern w:val="2"/>
                <w:sz w:val="21"/>
                <w:szCs w:val="21"/>
                <w:lang w:val="en-US" w:eastAsia="zh-CN" w:bidi="ar-SA"/>
              </w:rPr>
            </w:pPr>
            <w:r>
              <w:rPr>
                <w:rFonts w:hint="eastAsia" w:cs="Times New Roman"/>
                <w:color w:val="auto"/>
                <w:kern w:val="2"/>
                <w:sz w:val="21"/>
                <w:szCs w:val="21"/>
                <w:highlight w:val="none"/>
                <w:lang w:val="en-US" w:eastAsia="zh-CN" w:bidi="ar-SA"/>
              </w:rPr>
              <w:t>0.6</w:t>
            </w:r>
          </w:p>
        </w:tc>
        <w:tc>
          <w:tcPr>
            <w:tcW w:w="1029" w:type="dxa"/>
            <w:noWrap w:val="0"/>
            <w:vAlign w:val="center"/>
          </w:tcPr>
          <w:p w14:paraId="51E27B6F">
            <w:pPr>
              <w:widowControl/>
              <w:snapToGrid w:val="0"/>
              <w:jc w:val="center"/>
              <w:textAlignment w:val="center"/>
              <w:rPr>
                <w:rFonts w:hint="default" w:ascii="Times New Roman" w:hAnsi="Times New Roman" w:eastAsia="宋体" w:cs="宋体"/>
                <w:color w:val="auto"/>
                <w:kern w:val="2"/>
                <w:sz w:val="21"/>
                <w:szCs w:val="21"/>
                <w:lang w:val="en-US" w:eastAsia="zh-CN" w:bidi="ar-SA"/>
              </w:rPr>
            </w:pPr>
            <w:r>
              <w:rPr>
                <w:rFonts w:hint="eastAsia" w:cs="Times New Roman"/>
                <w:color w:val="auto"/>
                <w:kern w:val="2"/>
                <w:sz w:val="21"/>
                <w:szCs w:val="21"/>
                <w:highlight w:val="none"/>
                <w:lang w:val="en-US" w:eastAsia="zh-CN" w:bidi="ar-SA"/>
              </w:rPr>
              <w:t>+0.6</w:t>
            </w:r>
          </w:p>
        </w:tc>
      </w:tr>
      <w:tr w14:paraId="3C7167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1383" w:type="dxa"/>
            <w:vMerge w:val="continue"/>
            <w:noWrap w:val="0"/>
            <w:vAlign w:val="center"/>
          </w:tcPr>
          <w:p w14:paraId="243BC434">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noWrap w:val="0"/>
            <w:vAlign w:val="center"/>
          </w:tcPr>
          <w:p w14:paraId="6806A3F1">
            <w:pPr>
              <w:pStyle w:val="57"/>
              <w:spacing w:beforeLines="0" w:afterLines="0" w:line="240" w:lineRule="auto"/>
              <w:rPr>
                <w:rFonts w:hint="eastAsia" w:ascii="Times New Roman" w:hAnsi="Times New Roman" w:eastAsia="宋体" w:cs="宋体"/>
                <w:color w:val="auto"/>
                <w:sz w:val="21"/>
                <w:szCs w:val="21"/>
                <w:lang w:val="en-US" w:eastAsia="zh-CN"/>
              </w:rPr>
            </w:pPr>
            <w:r>
              <w:rPr>
                <w:rFonts w:hint="eastAsia" w:ascii="Times New Roman" w:hAnsi="Times New Roman" w:eastAsia="宋体" w:cs="宋体"/>
                <w:color w:val="auto"/>
                <w:sz w:val="21"/>
                <w:szCs w:val="21"/>
                <w:lang w:val="en-US" w:eastAsia="zh-CN"/>
              </w:rPr>
              <w:t>非甲烷总烃</w:t>
            </w:r>
            <w:r>
              <w:rPr>
                <w:rFonts w:ascii="Times New Roman" w:hAnsi="Times New Roman" w:eastAsia="宋体" w:cs="宋体"/>
                <w:snapToGrid w:val="0"/>
                <w:color w:val="auto"/>
                <w:kern w:val="21"/>
                <w:sz w:val="21"/>
                <w:szCs w:val="21"/>
                <w:lang w:val="en-US" w:eastAsia="zh-CN"/>
              </w:rPr>
              <w:t>（吨/年）</w:t>
            </w:r>
          </w:p>
        </w:tc>
        <w:tc>
          <w:tcPr>
            <w:tcW w:w="1604" w:type="dxa"/>
            <w:noWrap w:val="0"/>
            <w:vAlign w:val="center"/>
          </w:tcPr>
          <w:p w14:paraId="75651925">
            <w:pPr>
              <w:jc w:val="center"/>
              <w:rPr>
                <w:rFonts w:hint="eastAsia" w:ascii="Times New Roman" w:hAnsi="Times New Roman" w:eastAsia="宋体" w:cs="宋体"/>
                <w:snapToGrid w:val="0"/>
                <w:color w:val="auto"/>
                <w:kern w:val="21"/>
                <w:sz w:val="21"/>
                <w:szCs w:val="21"/>
                <w:lang w:val="en-US" w:eastAsia="zh-CN"/>
              </w:rPr>
            </w:pPr>
          </w:p>
        </w:tc>
        <w:tc>
          <w:tcPr>
            <w:tcW w:w="1094" w:type="dxa"/>
            <w:noWrap w:val="0"/>
            <w:vAlign w:val="center"/>
          </w:tcPr>
          <w:p w14:paraId="716A9FC5">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480" w:type="dxa"/>
            <w:noWrap w:val="0"/>
            <w:vAlign w:val="center"/>
          </w:tcPr>
          <w:p w14:paraId="416BB901">
            <w:pPr>
              <w:pStyle w:val="37"/>
              <w:adjustRightInd w:val="0"/>
              <w:snapToGrid w:val="0"/>
              <w:spacing w:after="0"/>
              <w:ind w:left="0" w:leftChars="0" w:firstLine="0" w:firstLineChars="0"/>
              <w:jc w:val="center"/>
              <w:rPr>
                <w:rFonts w:ascii="Times New Roman" w:hAnsi="Times New Roman" w:eastAsia="宋体" w:cs="宋体"/>
                <w:snapToGrid w:val="0"/>
                <w:color w:val="auto"/>
                <w:kern w:val="21"/>
                <w:sz w:val="21"/>
                <w:szCs w:val="21"/>
                <w:lang w:val="en-US" w:eastAsia="zh-CN"/>
              </w:rPr>
            </w:pPr>
          </w:p>
        </w:tc>
        <w:tc>
          <w:tcPr>
            <w:tcW w:w="1642" w:type="dxa"/>
            <w:noWrap w:val="0"/>
            <w:vAlign w:val="center"/>
          </w:tcPr>
          <w:p w14:paraId="257414C1">
            <w:pPr>
              <w:adjustRightInd w:val="0"/>
              <w:snapToGrid w:val="0"/>
              <w:jc w:val="center"/>
              <w:rPr>
                <w:rFonts w:hint="default" w:ascii="Times New Roman" w:hAnsi="Times New Roman" w:eastAsia="宋体" w:cs="宋体"/>
                <w:color w:val="auto"/>
                <w:sz w:val="21"/>
                <w:szCs w:val="21"/>
                <w:lang w:val="en-US" w:eastAsia="zh-CN"/>
              </w:rPr>
            </w:pPr>
            <w:r>
              <w:rPr>
                <w:rFonts w:hint="default" w:ascii="Times New Roman" w:hAnsi="Times New Roman" w:eastAsia="宋体" w:cs="宋体"/>
                <w:snapToGrid w:val="0"/>
                <w:color w:val="auto"/>
                <w:kern w:val="21"/>
                <w:sz w:val="21"/>
                <w:szCs w:val="21"/>
                <w:lang w:val="en-US" w:eastAsia="zh-CN"/>
              </w:rPr>
              <w:t>4.1</w:t>
            </w:r>
          </w:p>
        </w:tc>
        <w:tc>
          <w:tcPr>
            <w:tcW w:w="1315" w:type="dxa"/>
            <w:noWrap w:val="0"/>
            <w:vAlign w:val="center"/>
          </w:tcPr>
          <w:p w14:paraId="03261A2F">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873" w:type="dxa"/>
            <w:noWrap w:val="0"/>
            <w:vAlign w:val="center"/>
          </w:tcPr>
          <w:p w14:paraId="3B4D2B16">
            <w:pPr>
              <w:adjustRightInd w:val="0"/>
              <w:snapToGrid w:val="0"/>
              <w:jc w:val="center"/>
              <w:rPr>
                <w:rFonts w:hint="default" w:ascii="Times New Roman" w:hAnsi="Times New Roman" w:eastAsia="宋体" w:cs="宋体"/>
                <w:color w:val="auto"/>
                <w:kern w:val="2"/>
                <w:sz w:val="21"/>
                <w:szCs w:val="21"/>
                <w:lang w:val="en-US" w:eastAsia="zh-CN" w:bidi="ar-SA"/>
              </w:rPr>
            </w:pPr>
            <w:r>
              <w:rPr>
                <w:rFonts w:hint="default" w:ascii="Times New Roman" w:hAnsi="Times New Roman" w:eastAsia="宋体" w:cs="宋体"/>
                <w:snapToGrid w:val="0"/>
                <w:color w:val="auto"/>
                <w:kern w:val="21"/>
                <w:sz w:val="21"/>
                <w:szCs w:val="21"/>
                <w:lang w:val="en-US" w:eastAsia="zh-CN"/>
              </w:rPr>
              <w:t>4.1</w:t>
            </w:r>
          </w:p>
        </w:tc>
        <w:tc>
          <w:tcPr>
            <w:tcW w:w="1029" w:type="dxa"/>
            <w:noWrap w:val="0"/>
            <w:vAlign w:val="center"/>
          </w:tcPr>
          <w:p w14:paraId="52BD74A8">
            <w:pPr>
              <w:adjustRightInd w:val="0"/>
              <w:snapToGrid w:val="0"/>
              <w:jc w:val="center"/>
              <w:rPr>
                <w:rFonts w:hint="default" w:ascii="Times New Roman" w:hAnsi="Times New Roman" w:eastAsia="宋体" w:cs="宋体"/>
                <w:color w:val="auto"/>
                <w:kern w:val="2"/>
                <w:sz w:val="21"/>
                <w:szCs w:val="21"/>
                <w:lang w:val="en-US" w:eastAsia="zh-CN" w:bidi="ar-SA"/>
              </w:rPr>
            </w:pPr>
            <w:r>
              <w:rPr>
                <w:rFonts w:hint="eastAsia" w:cs="宋体"/>
                <w:snapToGrid w:val="0"/>
                <w:color w:val="auto"/>
                <w:kern w:val="21"/>
                <w:sz w:val="21"/>
                <w:szCs w:val="21"/>
                <w:lang w:val="en-US" w:eastAsia="zh-CN"/>
              </w:rPr>
              <w:t>+</w:t>
            </w:r>
            <w:r>
              <w:rPr>
                <w:rFonts w:hint="default" w:ascii="Times New Roman" w:hAnsi="Times New Roman" w:eastAsia="宋体" w:cs="宋体"/>
                <w:snapToGrid w:val="0"/>
                <w:color w:val="auto"/>
                <w:kern w:val="21"/>
                <w:sz w:val="21"/>
                <w:szCs w:val="21"/>
                <w:lang w:val="en-US" w:eastAsia="zh-CN"/>
              </w:rPr>
              <w:t>4.1</w:t>
            </w:r>
          </w:p>
        </w:tc>
      </w:tr>
      <w:tr w14:paraId="30A83D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83" w:type="dxa"/>
            <w:vMerge w:val="restart"/>
            <w:noWrap w:val="0"/>
            <w:vAlign w:val="center"/>
          </w:tcPr>
          <w:p w14:paraId="4D58C9D0">
            <w:pPr>
              <w:pStyle w:val="57"/>
              <w:spacing w:beforeLines="0" w:afterLines="0" w:line="240" w:lineRule="auto"/>
              <w:rPr>
                <w:rFonts w:ascii="Times New Roman" w:hAnsi="Times New Roman" w:eastAsia="宋体" w:cs="宋体"/>
                <w:snapToGrid w:val="0"/>
                <w:color w:val="auto"/>
                <w:kern w:val="21"/>
                <w:sz w:val="21"/>
                <w:szCs w:val="21"/>
                <w:lang w:val="en-US" w:eastAsia="zh-CN"/>
              </w:rPr>
            </w:pPr>
            <w:r>
              <w:rPr>
                <w:rFonts w:ascii="Times New Roman" w:hAnsi="Times New Roman" w:eastAsia="宋体" w:cs="宋体"/>
                <w:snapToGrid w:val="0"/>
                <w:color w:val="auto"/>
                <w:kern w:val="21"/>
                <w:sz w:val="21"/>
                <w:szCs w:val="21"/>
                <w:lang w:val="en-US" w:eastAsia="zh-CN"/>
              </w:rPr>
              <w:t>废水</w:t>
            </w:r>
          </w:p>
        </w:tc>
        <w:tc>
          <w:tcPr>
            <w:tcW w:w="2795" w:type="dxa"/>
            <w:shd w:val="clear" w:color="auto" w:fill="auto"/>
            <w:noWrap w:val="0"/>
            <w:vAlign w:val="center"/>
          </w:tcPr>
          <w:p w14:paraId="4FFB7B82">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黑体" w:cs="宋体"/>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废水量</w:t>
            </w:r>
            <w:r>
              <w:rPr>
                <w:rFonts w:hint="default" w:ascii="Times New Roman" w:hAnsi="Times New Roman" w:eastAsia="宋体" w:cs="Times New Roman"/>
                <w:snapToGrid w:val="0"/>
                <w:color w:val="auto"/>
                <w:kern w:val="21"/>
                <w:sz w:val="21"/>
                <w:szCs w:val="21"/>
                <w:lang w:val="en-US" w:eastAsia="zh-CN"/>
              </w:rPr>
              <w:t>（万m</w:t>
            </w:r>
            <w:r>
              <w:rPr>
                <w:rFonts w:hint="default" w:ascii="Times New Roman" w:hAnsi="Times New Roman" w:eastAsia="宋体" w:cs="Times New Roman"/>
                <w:snapToGrid w:val="0"/>
                <w:color w:val="auto"/>
                <w:kern w:val="21"/>
                <w:sz w:val="21"/>
                <w:szCs w:val="21"/>
                <w:vertAlign w:val="superscript"/>
                <w:lang w:val="en-US" w:eastAsia="zh-CN"/>
              </w:rPr>
              <w:t>3</w:t>
            </w:r>
            <w:r>
              <w:rPr>
                <w:rFonts w:hint="default" w:ascii="Times New Roman" w:hAnsi="Times New Roman" w:eastAsia="宋体" w:cs="Times New Roman"/>
                <w:snapToGrid w:val="0"/>
                <w:color w:val="auto"/>
                <w:kern w:val="21"/>
                <w:sz w:val="21"/>
                <w:szCs w:val="21"/>
                <w:lang w:val="en-US" w:eastAsia="zh-CN"/>
              </w:rPr>
              <w:t>/年）</w:t>
            </w:r>
          </w:p>
        </w:tc>
        <w:tc>
          <w:tcPr>
            <w:tcW w:w="1604" w:type="dxa"/>
            <w:noWrap w:val="0"/>
            <w:vAlign w:val="center"/>
          </w:tcPr>
          <w:p w14:paraId="234D4068">
            <w:pPr>
              <w:jc w:val="center"/>
              <w:rPr>
                <w:rFonts w:hint="default" w:ascii="Times New Roman" w:hAnsi="Times New Roman" w:eastAsia="宋体" w:cs="宋体"/>
                <w:snapToGrid w:val="0"/>
                <w:color w:val="auto"/>
                <w:kern w:val="21"/>
                <w:sz w:val="21"/>
                <w:szCs w:val="21"/>
                <w:lang w:val="en-US" w:eastAsia="zh-CN"/>
              </w:rPr>
            </w:pPr>
          </w:p>
        </w:tc>
        <w:tc>
          <w:tcPr>
            <w:tcW w:w="1094" w:type="dxa"/>
            <w:noWrap w:val="0"/>
            <w:vAlign w:val="center"/>
          </w:tcPr>
          <w:p w14:paraId="6F920D1C">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480" w:type="dxa"/>
            <w:noWrap w:val="0"/>
            <w:vAlign w:val="center"/>
          </w:tcPr>
          <w:p w14:paraId="2569D5D1">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642" w:type="dxa"/>
            <w:noWrap w:val="0"/>
            <w:vAlign w:val="center"/>
          </w:tcPr>
          <w:p w14:paraId="52F0AD54">
            <w:pPr>
              <w:pStyle w:val="57"/>
              <w:spacing w:beforeLines="0" w:afterLines="0" w:line="240" w:lineRule="auto"/>
              <w:rPr>
                <w:rFonts w:hint="default" w:ascii="Times New Roman" w:hAnsi="Times New Roman" w:eastAsia="宋体" w:cs="宋体"/>
                <w:snapToGrid w:val="0"/>
                <w:color w:val="auto"/>
                <w:kern w:val="21"/>
                <w:sz w:val="21"/>
                <w:szCs w:val="21"/>
                <w:lang w:val="en-US" w:eastAsia="zh-CN"/>
              </w:rPr>
            </w:pPr>
            <w:r>
              <w:rPr>
                <w:rFonts w:hint="eastAsia" w:ascii="Times New Roman" w:cs="宋体"/>
                <w:snapToGrid w:val="0"/>
                <w:color w:val="auto"/>
                <w:kern w:val="21"/>
                <w:sz w:val="21"/>
                <w:szCs w:val="21"/>
                <w:lang w:val="en-US" w:eastAsia="zh-CN"/>
              </w:rPr>
              <w:t>0.77</w:t>
            </w:r>
          </w:p>
        </w:tc>
        <w:tc>
          <w:tcPr>
            <w:tcW w:w="1315" w:type="dxa"/>
            <w:noWrap w:val="0"/>
            <w:vAlign w:val="center"/>
          </w:tcPr>
          <w:p w14:paraId="7D3C4A0C">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873" w:type="dxa"/>
            <w:noWrap w:val="0"/>
            <w:vAlign w:val="center"/>
          </w:tcPr>
          <w:p w14:paraId="1FB428D3">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SA"/>
              </w:rPr>
            </w:pPr>
            <w:r>
              <w:rPr>
                <w:rFonts w:hint="eastAsia" w:ascii="Times New Roman" w:cs="宋体"/>
                <w:snapToGrid w:val="0"/>
                <w:color w:val="auto"/>
                <w:kern w:val="21"/>
                <w:sz w:val="21"/>
                <w:szCs w:val="21"/>
                <w:lang w:val="en-US" w:eastAsia="zh-CN"/>
              </w:rPr>
              <w:t>0.77</w:t>
            </w:r>
          </w:p>
        </w:tc>
        <w:tc>
          <w:tcPr>
            <w:tcW w:w="1029" w:type="dxa"/>
            <w:noWrap w:val="0"/>
            <w:vAlign w:val="center"/>
          </w:tcPr>
          <w:p w14:paraId="5D294E0B">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SA"/>
              </w:rPr>
            </w:pPr>
            <w:r>
              <w:rPr>
                <w:rFonts w:hint="eastAsia" w:ascii="Times New Roman" w:cs="宋体"/>
                <w:snapToGrid w:val="0"/>
                <w:color w:val="auto"/>
                <w:kern w:val="21"/>
                <w:sz w:val="21"/>
                <w:szCs w:val="21"/>
                <w:lang w:val="en-US" w:eastAsia="zh-CN"/>
              </w:rPr>
              <w:t>+0.77</w:t>
            </w:r>
          </w:p>
        </w:tc>
      </w:tr>
      <w:tr w14:paraId="37DCAF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83" w:type="dxa"/>
            <w:vMerge w:val="continue"/>
            <w:noWrap w:val="0"/>
            <w:vAlign w:val="center"/>
          </w:tcPr>
          <w:p w14:paraId="0446DFA3">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shd w:val="clear" w:color="auto" w:fill="auto"/>
            <w:noWrap w:val="0"/>
            <w:vAlign w:val="center"/>
          </w:tcPr>
          <w:p w14:paraId="11513A77">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黑体" w:cs="宋体"/>
                <w:color w:val="auto"/>
                <w:kern w:val="2"/>
                <w:sz w:val="21"/>
                <w:szCs w:val="21"/>
                <w:lang w:val="en-US" w:eastAsia="zh-CN" w:bidi="ar-SA"/>
              </w:rPr>
            </w:pPr>
            <w:r>
              <w:rPr>
                <w:rFonts w:hint="default" w:ascii="Times New Roman" w:hAnsi="Times New Roman" w:eastAsia="宋体" w:cs="Times New Roman"/>
                <w:b w:val="0"/>
                <w:bCs/>
                <w:color w:val="auto"/>
                <w:sz w:val="21"/>
                <w:szCs w:val="21"/>
              </w:rPr>
              <w:t>COD</w:t>
            </w:r>
            <w:r>
              <w:rPr>
                <w:rFonts w:hint="eastAsia" w:eastAsia="宋体" w:cs="Times New Roman"/>
                <w:b w:val="0"/>
                <w:bCs/>
                <w:color w:val="auto"/>
                <w:sz w:val="21"/>
                <w:szCs w:val="21"/>
                <w:vertAlign w:val="subscript"/>
                <w:lang w:val="en-US" w:eastAsia="zh-CN"/>
              </w:rPr>
              <w:t>Cr</w:t>
            </w:r>
            <w:r>
              <w:rPr>
                <w:rFonts w:ascii="Times New Roman" w:hAnsi="Times New Roman" w:eastAsia="宋体" w:cs="宋体"/>
                <w:snapToGrid w:val="0"/>
                <w:color w:val="auto"/>
                <w:kern w:val="21"/>
                <w:sz w:val="21"/>
                <w:szCs w:val="21"/>
                <w:lang w:val="en-US" w:eastAsia="zh-CN"/>
              </w:rPr>
              <w:t>（吨/年）</w:t>
            </w:r>
          </w:p>
        </w:tc>
        <w:tc>
          <w:tcPr>
            <w:tcW w:w="1604" w:type="dxa"/>
            <w:shd w:val="clear" w:color="auto" w:fill="auto"/>
            <w:noWrap w:val="0"/>
            <w:vAlign w:val="center"/>
          </w:tcPr>
          <w:p w14:paraId="6FDEF70B">
            <w:pPr>
              <w:jc w:val="center"/>
              <w:rPr>
                <w:rFonts w:hint="default" w:ascii="Times New Roman" w:hAnsi="Times New Roman" w:eastAsia="宋体" w:cs="宋体"/>
                <w:snapToGrid w:val="0"/>
                <w:color w:val="auto"/>
                <w:kern w:val="21"/>
                <w:sz w:val="21"/>
                <w:szCs w:val="21"/>
                <w:lang w:val="en-US" w:eastAsia="zh-CN" w:bidi="ar-SA"/>
              </w:rPr>
            </w:pPr>
          </w:p>
        </w:tc>
        <w:tc>
          <w:tcPr>
            <w:tcW w:w="1094" w:type="dxa"/>
            <w:shd w:val="clear" w:color="auto" w:fill="auto"/>
            <w:noWrap w:val="0"/>
            <w:vAlign w:val="center"/>
          </w:tcPr>
          <w:p w14:paraId="2F700D48">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480" w:type="dxa"/>
            <w:shd w:val="clear" w:color="auto" w:fill="auto"/>
            <w:noWrap w:val="0"/>
            <w:vAlign w:val="center"/>
          </w:tcPr>
          <w:p w14:paraId="65483D30">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642" w:type="dxa"/>
            <w:shd w:val="clear" w:color="auto" w:fill="auto"/>
            <w:noWrap w:val="0"/>
            <w:vAlign w:val="center"/>
          </w:tcPr>
          <w:p w14:paraId="7880F59C">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r>
              <w:rPr>
                <w:rFonts w:hint="eastAsia" w:ascii="Times New Roman" w:cs="宋体"/>
                <w:snapToGrid w:val="0"/>
                <w:color w:val="auto"/>
                <w:kern w:val="21"/>
                <w:sz w:val="21"/>
                <w:szCs w:val="21"/>
                <w:lang w:val="en-US" w:eastAsia="zh-CN" w:bidi="ar"/>
              </w:rPr>
              <w:t>1.5</w:t>
            </w:r>
          </w:p>
        </w:tc>
        <w:tc>
          <w:tcPr>
            <w:tcW w:w="1315" w:type="dxa"/>
            <w:shd w:val="clear" w:color="auto" w:fill="auto"/>
            <w:noWrap w:val="0"/>
            <w:vAlign w:val="center"/>
          </w:tcPr>
          <w:p w14:paraId="63804A08">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873" w:type="dxa"/>
            <w:shd w:val="clear" w:color="auto" w:fill="auto"/>
            <w:noWrap w:val="0"/>
            <w:vAlign w:val="center"/>
          </w:tcPr>
          <w:p w14:paraId="36F97C54">
            <w:pPr>
              <w:pStyle w:val="57"/>
              <w:spacing w:beforeLines="0" w:afterLines="0" w:line="240" w:lineRule="auto"/>
              <w:ind w:left="0" w:leftChars="0" w:right="0" w:rightChars="0"/>
              <w:rPr>
                <w:rFonts w:hint="eastAsia" w:ascii="Times New Roman" w:hAnsi="Times New Roman" w:eastAsia="宋体" w:cs="宋体"/>
                <w:snapToGrid w:val="0"/>
                <w:color w:val="auto"/>
                <w:kern w:val="21"/>
                <w:sz w:val="21"/>
                <w:szCs w:val="21"/>
                <w:lang w:val="en-US" w:eastAsia="zh-CN" w:bidi="ar-SA"/>
              </w:rPr>
            </w:pPr>
            <w:r>
              <w:rPr>
                <w:rFonts w:hint="eastAsia" w:ascii="Times New Roman" w:cs="宋体"/>
                <w:snapToGrid w:val="0"/>
                <w:color w:val="auto"/>
                <w:kern w:val="21"/>
                <w:sz w:val="21"/>
                <w:szCs w:val="21"/>
                <w:lang w:val="en-US" w:eastAsia="zh-CN" w:bidi="ar"/>
              </w:rPr>
              <w:t>1.5</w:t>
            </w:r>
          </w:p>
        </w:tc>
        <w:tc>
          <w:tcPr>
            <w:tcW w:w="1029" w:type="dxa"/>
            <w:shd w:val="clear" w:color="auto" w:fill="auto"/>
            <w:noWrap w:val="0"/>
            <w:vAlign w:val="center"/>
          </w:tcPr>
          <w:p w14:paraId="7E5CDFD3">
            <w:pPr>
              <w:pStyle w:val="57"/>
              <w:spacing w:beforeLines="0" w:afterLines="0" w:line="240" w:lineRule="auto"/>
              <w:ind w:left="0" w:leftChars="0" w:right="0" w:rightChars="0"/>
              <w:rPr>
                <w:rFonts w:hint="eastAsia" w:ascii="Times New Roman" w:hAnsi="Times New Roman" w:eastAsia="宋体" w:cs="宋体"/>
                <w:snapToGrid w:val="0"/>
                <w:color w:val="auto"/>
                <w:kern w:val="21"/>
                <w:sz w:val="21"/>
                <w:szCs w:val="21"/>
                <w:lang w:val="en-US" w:eastAsia="zh-CN" w:bidi="ar-SA"/>
              </w:rPr>
            </w:pPr>
            <w:r>
              <w:rPr>
                <w:rFonts w:hint="eastAsia" w:ascii="Times New Roman" w:cs="宋体"/>
                <w:snapToGrid w:val="0"/>
                <w:color w:val="auto"/>
                <w:kern w:val="21"/>
                <w:sz w:val="21"/>
                <w:szCs w:val="21"/>
                <w:lang w:val="en-US" w:eastAsia="zh-CN" w:bidi="ar"/>
              </w:rPr>
              <w:t>+1.5</w:t>
            </w:r>
          </w:p>
        </w:tc>
      </w:tr>
      <w:tr w14:paraId="5AA8BF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83" w:type="dxa"/>
            <w:vMerge w:val="continue"/>
            <w:noWrap w:val="0"/>
            <w:vAlign w:val="center"/>
          </w:tcPr>
          <w:p w14:paraId="01CA846E">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shd w:val="clear" w:color="auto" w:fill="auto"/>
            <w:noWrap w:val="0"/>
            <w:vAlign w:val="center"/>
          </w:tcPr>
          <w:p w14:paraId="4D01F7F0">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sz w:val="21"/>
                <w:szCs w:val="21"/>
              </w:rPr>
              <w:t>BOD</w:t>
            </w:r>
            <w:r>
              <w:rPr>
                <w:rFonts w:hint="default" w:ascii="Times New Roman" w:hAnsi="Times New Roman" w:eastAsia="宋体" w:cs="Times New Roman"/>
                <w:b w:val="0"/>
                <w:bCs/>
                <w:color w:val="auto"/>
                <w:sz w:val="21"/>
                <w:szCs w:val="21"/>
                <w:vertAlign w:val="subscript"/>
              </w:rPr>
              <w:t>5</w:t>
            </w:r>
            <w:r>
              <w:rPr>
                <w:rFonts w:ascii="Times New Roman" w:hAnsi="Times New Roman" w:eastAsia="宋体" w:cs="宋体"/>
                <w:snapToGrid w:val="0"/>
                <w:color w:val="auto"/>
                <w:kern w:val="21"/>
                <w:sz w:val="21"/>
                <w:szCs w:val="21"/>
                <w:lang w:val="en-US" w:eastAsia="zh-CN"/>
              </w:rPr>
              <w:t>（吨/年）</w:t>
            </w:r>
          </w:p>
        </w:tc>
        <w:tc>
          <w:tcPr>
            <w:tcW w:w="1604" w:type="dxa"/>
            <w:noWrap w:val="0"/>
            <w:vAlign w:val="center"/>
          </w:tcPr>
          <w:p w14:paraId="54D9B513">
            <w:pPr>
              <w:pStyle w:val="57"/>
              <w:spacing w:beforeLines="0" w:afterLines="0" w:line="240" w:lineRule="auto"/>
              <w:rPr>
                <w:rFonts w:ascii="Times New Roman" w:hAnsi="Times New Roman" w:eastAsia="宋体" w:cs="宋体"/>
                <w:snapToGrid w:val="0"/>
                <w:color w:val="auto"/>
                <w:kern w:val="21"/>
                <w:sz w:val="21"/>
                <w:szCs w:val="21"/>
              </w:rPr>
            </w:pPr>
          </w:p>
        </w:tc>
        <w:tc>
          <w:tcPr>
            <w:tcW w:w="1094" w:type="dxa"/>
            <w:noWrap w:val="0"/>
            <w:vAlign w:val="center"/>
          </w:tcPr>
          <w:p w14:paraId="678CE34F">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480" w:type="dxa"/>
            <w:noWrap w:val="0"/>
            <w:vAlign w:val="center"/>
          </w:tcPr>
          <w:p w14:paraId="1EDA736C">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642" w:type="dxa"/>
            <w:noWrap w:val="0"/>
            <w:vAlign w:val="center"/>
          </w:tcPr>
          <w:p w14:paraId="6337A62E">
            <w:pPr>
              <w:pStyle w:val="57"/>
              <w:spacing w:beforeLines="0" w:afterLines="0" w:line="240" w:lineRule="auto"/>
              <w:rPr>
                <w:rFonts w:hint="default" w:ascii="Times New Roman" w:hAnsi="Times New Roman" w:eastAsia="宋体" w:cs="宋体"/>
                <w:snapToGrid w:val="0"/>
                <w:color w:val="auto"/>
                <w:kern w:val="21"/>
                <w:sz w:val="21"/>
                <w:szCs w:val="21"/>
                <w:lang w:val="en-US" w:eastAsia="zh-CN"/>
              </w:rPr>
            </w:pPr>
            <w:r>
              <w:rPr>
                <w:rFonts w:hint="eastAsia" w:ascii="Times New Roman" w:cs="宋体"/>
                <w:snapToGrid w:val="0"/>
                <w:color w:val="auto"/>
                <w:kern w:val="21"/>
                <w:sz w:val="21"/>
                <w:szCs w:val="21"/>
                <w:lang w:val="en-US" w:eastAsia="zh-CN"/>
              </w:rPr>
              <w:t>1.07</w:t>
            </w:r>
          </w:p>
        </w:tc>
        <w:tc>
          <w:tcPr>
            <w:tcW w:w="1315" w:type="dxa"/>
            <w:noWrap w:val="0"/>
            <w:vAlign w:val="center"/>
          </w:tcPr>
          <w:p w14:paraId="2EE726CD">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873" w:type="dxa"/>
            <w:noWrap w:val="0"/>
            <w:vAlign w:val="center"/>
          </w:tcPr>
          <w:p w14:paraId="23F2E319">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SA"/>
              </w:rPr>
            </w:pPr>
            <w:r>
              <w:rPr>
                <w:rFonts w:hint="eastAsia" w:ascii="Times New Roman" w:cs="宋体"/>
                <w:snapToGrid w:val="0"/>
                <w:color w:val="auto"/>
                <w:kern w:val="21"/>
                <w:sz w:val="21"/>
                <w:szCs w:val="21"/>
                <w:lang w:val="en-US" w:eastAsia="zh-CN"/>
              </w:rPr>
              <w:t>1.07</w:t>
            </w:r>
          </w:p>
        </w:tc>
        <w:tc>
          <w:tcPr>
            <w:tcW w:w="1029" w:type="dxa"/>
            <w:noWrap w:val="0"/>
            <w:vAlign w:val="center"/>
          </w:tcPr>
          <w:p w14:paraId="3C3E46DD">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SA"/>
              </w:rPr>
            </w:pPr>
            <w:r>
              <w:rPr>
                <w:rFonts w:hint="eastAsia" w:ascii="Times New Roman" w:cs="宋体"/>
                <w:snapToGrid w:val="0"/>
                <w:color w:val="auto"/>
                <w:kern w:val="21"/>
                <w:sz w:val="21"/>
                <w:szCs w:val="21"/>
                <w:lang w:val="en-US" w:eastAsia="zh-CN"/>
              </w:rPr>
              <w:t>+1.07</w:t>
            </w:r>
          </w:p>
        </w:tc>
      </w:tr>
      <w:tr w14:paraId="79D2AB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83" w:type="dxa"/>
            <w:vMerge w:val="continue"/>
            <w:noWrap w:val="0"/>
            <w:vAlign w:val="center"/>
          </w:tcPr>
          <w:p w14:paraId="2AE2C913">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shd w:val="clear" w:color="auto" w:fill="auto"/>
            <w:noWrap w:val="0"/>
            <w:vAlign w:val="center"/>
          </w:tcPr>
          <w:p w14:paraId="3ACBAD40">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SS</w:t>
            </w:r>
            <w:r>
              <w:rPr>
                <w:rFonts w:ascii="Times New Roman" w:hAnsi="Times New Roman" w:eastAsia="宋体" w:cs="宋体"/>
                <w:snapToGrid w:val="0"/>
                <w:color w:val="auto"/>
                <w:kern w:val="21"/>
                <w:sz w:val="21"/>
                <w:szCs w:val="21"/>
                <w:lang w:val="en-US" w:eastAsia="zh-CN"/>
              </w:rPr>
              <w:t>（吨/年）</w:t>
            </w:r>
          </w:p>
        </w:tc>
        <w:tc>
          <w:tcPr>
            <w:tcW w:w="1604" w:type="dxa"/>
            <w:noWrap w:val="0"/>
            <w:vAlign w:val="center"/>
          </w:tcPr>
          <w:p w14:paraId="20D77B87">
            <w:pPr>
              <w:pStyle w:val="57"/>
              <w:spacing w:beforeLines="0" w:afterLines="0" w:line="240" w:lineRule="auto"/>
              <w:rPr>
                <w:rFonts w:ascii="Times New Roman" w:hAnsi="Times New Roman" w:eastAsia="宋体" w:cs="宋体"/>
                <w:snapToGrid w:val="0"/>
                <w:color w:val="auto"/>
                <w:kern w:val="21"/>
                <w:sz w:val="21"/>
                <w:szCs w:val="21"/>
              </w:rPr>
            </w:pPr>
          </w:p>
        </w:tc>
        <w:tc>
          <w:tcPr>
            <w:tcW w:w="1094" w:type="dxa"/>
            <w:noWrap w:val="0"/>
            <w:vAlign w:val="center"/>
          </w:tcPr>
          <w:p w14:paraId="353DD22D">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480" w:type="dxa"/>
            <w:noWrap w:val="0"/>
            <w:vAlign w:val="center"/>
          </w:tcPr>
          <w:p w14:paraId="38BD3D74">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642" w:type="dxa"/>
            <w:noWrap w:val="0"/>
            <w:vAlign w:val="center"/>
          </w:tcPr>
          <w:p w14:paraId="695F042B">
            <w:pPr>
              <w:pStyle w:val="57"/>
              <w:spacing w:beforeLines="0" w:afterLines="0" w:line="240" w:lineRule="auto"/>
              <w:rPr>
                <w:rFonts w:hint="default" w:ascii="Times New Roman" w:hAnsi="Times New Roman" w:eastAsia="宋体" w:cs="宋体"/>
                <w:snapToGrid w:val="0"/>
                <w:color w:val="auto"/>
                <w:kern w:val="21"/>
                <w:sz w:val="21"/>
                <w:szCs w:val="21"/>
                <w:lang w:val="en-US" w:eastAsia="zh-CN"/>
              </w:rPr>
            </w:pPr>
            <w:r>
              <w:rPr>
                <w:rFonts w:hint="eastAsia" w:ascii="Times New Roman" w:cs="宋体"/>
                <w:snapToGrid w:val="0"/>
                <w:color w:val="auto"/>
                <w:kern w:val="21"/>
                <w:sz w:val="21"/>
                <w:szCs w:val="21"/>
                <w:lang w:val="en-US" w:eastAsia="zh-CN"/>
              </w:rPr>
              <w:t>0.65</w:t>
            </w:r>
          </w:p>
        </w:tc>
        <w:tc>
          <w:tcPr>
            <w:tcW w:w="1315" w:type="dxa"/>
            <w:noWrap w:val="0"/>
            <w:vAlign w:val="center"/>
          </w:tcPr>
          <w:p w14:paraId="09FF36F0">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873" w:type="dxa"/>
            <w:noWrap w:val="0"/>
            <w:vAlign w:val="center"/>
          </w:tcPr>
          <w:p w14:paraId="29A24A89">
            <w:pPr>
              <w:pStyle w:val="57"/>
              <w:spacing w:beforeLines="0" w:afterLines="0" w:line="240" w:lineRule="auto"/>
              <w:ind w:left="0" w:leftChars="0" w:right="0" w:rightChars="0"/>
              <w:rPr>
                <w:rFonts w:hint="eastAsia" w:ascii="Times New Roman" w:cs="宋体"/>
                <w:snapToGrid w:val="0"/>
                <w:color w:val="auto"/>
                <w:kern w:val="21"/>
                <w:sz w:val="21"/>
                <w:szCs w:val="21"/>
                <w:lang w:val="en-US" w:eastAsia="zh-CN"/>
              </w:rPr>
            </w:pPr>
            <w:r>
              <w:rPr>
                <w:rFonts w:hint="eastAsia" w:ascii="Times New Roman" w:cs="宋体"/>
                <w:snapToGrid w:val="0"/>
                <w:color w:val="auto"/>
                <w:kern w:val="21"/>
                <w:sz w:val="21"/>
                <w:szCs w:val="21"/>
                <w:lang w:val="en-US" w:eastAsia="zh-CN"/>
              </w:rPr>
              <w:t>0.65</w:t>
            </w:r>
          </w:p>
        </w:tc>
        <w:tc>
          <w:tcPr>
            <w:tcW w:w="1029" w:type="dxa"/>
            <w:noWrap w:val="0"/>
            <w:vAlign w:val="center"/>
          </w:tcPr>
          <w:p w14:paraId="15F0AAF9">
            <w:pPr>
              <w:pStyle w:val="57"/>
              <w:spacing w:beforeLines="0" w:afterLines="0" w:line="240" w:lineRule="auto"/>
              <w:ind w:left="0" w:leftChars="0" w:right="0" w:rightChars="0"/>
              <w:rPr>
                <w:rFonts w:hint="eastAsia" w:ascii="Times New Roman" w:cs="宋体"/>
                <w:snapToGrid w:val="0"/>
                <w:color w:val="auto"/>
                <w:kern w:val="21"/>
                <w:sz w:val="21"/>
                <w:szCs w:val="21"/>
                <w:lang w:val="en-US" w:eastAsia="zh-CN"/>
              </w:rPr>
            </w:pPr>
            <w:r>
              <w:rPr>
                <w:rFonts w:hint="eastAsia" w:ascii="Times New Roman" w:cs="宋体"/>
                <w:snapToGrid w:val="0"/>
                <w:color w:val="auto"/>
                <w:kern w:val="21"/>
                <w:sz w:val="21"/>
                <w:szCs w:val="21"/>
                <w:lang w:val="en-US" w:eastAsia="zh-CN"/>
              </w:rPr>
              <w:t>+0.65</w:t>
            </w:r>
          </w:p>
        </w:tc>
      </w:tr>
      <w:tr w14:paraId="59D55A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83" w:type="dxa"/>
            <w:vMerge w:val="continue"/>
            <w:noWrap w:val="0"/>
            <w:vAlign w:val="center"/>
          </w:tcPr>
          <w:p w14:paraId="3E8897C6">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shd w:val="clear" w:color="auto" w:fill="auto"/>
            <w:noWrap w:val="0"/>
            <w:vAlign w:val="center"/>
          </w:tcPr>
          <w:p w14:paraId="3F1E0160">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sz w:val="21"/>
                <w:szCs w:val="21"/>
              </w:rPr>
              <w:t>NH</w:t>
            </w:r>
            <w:r>
              <w:rPr>
                <w:rFonts w:hint="default" w:ascii="Times New Roman" w:hAnsi="Times New Roman" w:eastAsia="宋体" w:cs="Times New Roman"/>
                <w:b w:val="0"/>
                <w:bCs/>
                <w:color w:val="auto"/>
                <w:sz w:val="21"/>
                <w:szCs w:val="21"/>
                <w:vertAlign w:val="subscript"/>
              </w:rPr>
              <w:t>3</w:t>
            </w:r>
            <w:r>
              <w:rPr>
                <w:rFonts w:hint="default" w:ascii="Times New Roman" w:hAnsi="Times New Roman" w:eastAsia="宋体" w:cs="Times New Roman"/>
                <w:b w:val="0"/>
                <w:bCs/>
                <w:color w:val="auto"/>
                <w:sz w:val="21"/>
                <w:szCs w:val="21"/>
              </w:rPr>
              <w:t>-N</w:t>
            </w:r>
            <w:r>
              <w:rPr>
                <w:rFonts w:ascii="Times New Roman" w:hAnsi="Times New Roman" w:eastAsia="宋体" w:cs="宋体"/>
                <w:snapToGrid w:val="0"/>
                <w:color w:val="auto"/>
                <w:kern w:val="21"/>
                <w:sz w:val="21"/>
                <w:szCs w:val="21"/>
                <w:lang w:val="en-US" w:eastAsia="zh-CN"/>
              </w:rPr>
              <w:t>（吨/年）</w:t>
            </w:r>
          </w:p>
        </w:tc>
        <w:tc>
          <w:tcPr>
            <w:tcW w:w="1604" w:type="dxa"/>
            <w:noWrap w:val="0"/>
            <w:vAlign w:val="center"/>
          </w:tcPr>
          <w:p w14:paraId="5574D121">
            <w:pPr>
              <w:pStyle w:val="57"/>
              <w:spacing w:beforeLines="0" w:afterLines="0" w:line="240" w:lineRule="auto"/>
              <w:rPr>
                <w:rFonts w:ascii="Times New Roman" w:hAnsi="Times New Roman" w:eastAsia="宋体" w:cs="宋体"/>
                <w:snapToGrid w:val="0"/>
                <w:color w:val="auto"/>
                <w:kern w:val="21"/>
                <w:sz w:val="21"/>
                <w:szCs w:val="21"/>
              </w:rPr>
            </w:pPr>
          </w:p>
        </w:tc>
        <w:tc>
          <w:tcPr>
            <w:tcW w:w="1094" w:type="dxa"/>
            <w:noWrap w:val="0"/>
            <w:vAlign w:val="center"/>
          </w:tcPr>
          <w:p w14:paraId="53DEF92F">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480" w:type="dxa"/>
            <w:noWrap w:val="0"/>
            <w:vAlign w:val="center"/>
          </w:tcPr>
          <w:p w14:paraId="3BB6E395">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642" w:type="dxa"/>
            <w:noWrap w:val="0"/>
            <w:vAlign w:val="center"/>
          </w:tcPr>
          <w:p w14:paraId="482D3B30">
            <w:pPr>
              <w:pStyle w:val="57"/>
              <w:spacing w:beforeLines="0" w:afterLines="0" w:line="240" w:lineRule="auto"/>
              <w:rPr>
                <w:rFonts w:hint="default" w:ascii="Times New Roman" w:hAnsi="Times New Roman" w:eastAsia="宋体" w:cs="宋体"/>
                <w:snapToGrid w:val="0"/>
                <w:color w:val="auto"/>
                <w:kern w:val="21"/>
                <w:sz w:val="21"/>
                <w:szCs w:val="21"/>
                <w:lang w:val="en-US" w:eastAsia="zh-CN"/>
              </w:rPr>
            </w:pPr>
            <w:r>
              <w:rPr>
                <w:rFonts w:hint="eastAsia" w:ascii="Times New Roman" w:cs="宋体"/>
                <w:snapToGrid w:val="0"/>
                <w:color w:val="auto"/>
                <w:kern w:val="21"/>
                <w:sz w:val="21"/>
                <w:szCs w:val="21"/>
                <w:lang w:val="en-US" w:eastAsia="zh-CN"/>
              </w:rPr>
              <w:t>0.21</w:t>
            </w:r>
          </w:p>
        </w:tc>
        <w:tc>
          <w:tcPr>
            <w:tcW w:w="1315" w:type="dxa"/>
            <w:noWrap w:val="0"/>
            <w:vAlign w:val="center"/>
          </w:tcPr>
          <w:p w14:paraId="0B6396F3">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873" w:type="dxa"/>
            <w:noWrap w:val="0"/>
            <w:vAlign w:val="center"/>
          </w:tcPr>
          <w:p w14:paraId="0661AC23">
            <w:pPr>
              <w:pStyle w:val="57"/>
              <w:spacing w:beforeLines="0" w:afterLines="0" w:line="240" w:lineRule="auto"/>
              <w:ind w:left="0" w:leftChars="0" w:right="0" w:rightChars="0"/>
              <w:rPr>
                <w:rFonts w:hint="eastAsia" w:ascii="Times New Roman" w:cs="宋体"/>
                <w:snapToGrid w:val="0"/>
                <w:color w:val="auto"/>
                <w:kern w:val="21"/>
                <w:sz w:val="21"/>
                <w:szCs w:val="21"/>
                <w:lang w:val="en-US" w:eastAsia="zh-CN" w:bidi="ar-SA"/>
              </w:rPr>
            </w:pPr>
            <w:r>
              <w:rPr>
                <w:rFonts w:hint="eastAsia" w:ascii="Times New Roman" w:cs="宋体"/>
                <w:snapToGrid w:val="0"/>
                <w:color w:val="auto"/>
                <w:kern w:val="21"/>
                <w:sz w:val="21"/>
                <w:szCs w:val="21"/>
                <w:lang w:val="en-US" w:eastAsia="zh-CN"/>
              </w:rPr>
              <w:t>0.21</w:t>
            </w:r>
          </w:p>
        </w:tc>
        <w:tc>
          <w:tcPr>
            <w:tcW w:w="1029" w:type="dxa"/>
            <w:noWrap w:val="0"/>
            <w:vAlign w:val="center"/>
          </w:tcPr>
          <w:p w14:paraId="7A403255">
            <w:pPr>
              <w:pStyle w:val="57"/>
              <w:spacing w:beforeLines="0" w:afterLines="0" w:line="240" w:lineRule="auto"/>
              <w:ind w:left="0" w:leftChars="0" w:right="0" w:rightChars="0"/>
              <w:rPr>
                <w:rFonts w:hint="eastAsia" w:ascii="Times New Roman" w:cs="宋体"/>
                <w:snapToGrid w:val="0"/>
                <w:color w:val="auto"/>
                <w:kern w:val="21"/>
                <w:sz w:val="21"/>
                <w:szCs w:val="21"/>
                <w:lang w:val="en-US" w:eastAsia="zh-CN" w:bidi="ar-SA"/>
              </w:rPr>
            </w:pPr>
            <w:r>
              <w:rPr>
                <w:rFonts w:hint="eastAsia" w:ascii="Times New Roman" w:cs="宋体"/>
                <w:snapToGrid w:val="0"/>
                <w:color w:val="auto"/>
                <w:kern w:val="21"/>
                <w:sz w:val="21"/>
                <w:szCs w:val="21"/>
                <w:lang w:val="en-US" w:eastAsia="zh-CN"/>
              </w:rPr>
              <w:t>+0.21</w:t>
            </w:r>
          </w:p>
        </w:tc>
      </w:tr>
      <w:tr w14:paraId="3C7D46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83" w:type="dxa"/>
            <w:vMerge w:val="continue"/>
            <w:noWrap w:val="0"/>
            <w:vAlign w:val="center"/>
          </w:tcPr>
          <w:p w14:paraId="2546918F">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shd w:val="clear" w:color="auto" w:fill="auto"/>
            <w:noWrap w:val="0"/>
            <w:vAlign w:val="center"/>
          </w:tcPr>
          <w:p w14:paraId="468B5F4D">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eastAsia"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磷酸盐</w:t>
            </w:r>
            <w:r>
              <w:rPr>
                <w:rFonts w:ascii="Times New Roman" w:hAnsi="Times New Roman" w:eastAsia="宋体" w:cs="宋体"/>
                <w:snapToGrid w:val="0"/>
                <w:color w:val="auto"/>
                <w:kern w:val="21"/>
                <w:sz w:val="21"/>
                <w:szCs w:val="21"/>
                <w:lang w:val="en-US" w:eastAsia="zh-CN"/>
              </w:rPr>
              <w:t>（吨/年）</w:t>
            </w:r>
          </w:p>
        </w:tc>
        <w:tc>
          <w:tcPr>
            <w:tcW w:w="1604" w:type="dxa"/>
            <w:noWrap w:val="0"/>
            <w:vAlign w:val="center"/>
          </w:tcPr>
          <w:p w14:paraId="47382071">
            <w:pPr>
              <w:pStyle w:val="57"/>
              <w:spacing w:beforeLines="0" w:afterLines="0" w:line="240" w:lineRule="auto"/>
              <w:rPr>
                <w:rFonts w:ascii="Times New Roman" w:hAnsi="Times New Roman" w:eastAsia="宋体" w:cs="宋体"/>
                <w:snapToGrid w:val="0"/>
                <w:color w:val="auto"/>
                <w:kern w:val="21"/>
                <w:sz w:val="21"/>
                <w:szCs w:val="21"/>
              </w:rPr>
            </w:pPr>
          </w:p>
        </w:tc>
        <w:tc>
          <w:tcPr>
            <w:tcW w:w="1094" w:type="dxa"/>
            <w:noWrap w:val="0"/>
            <w:vAlign w:val="center"/>
          </w:tcPr>
          <w:p w14:paraId="799FFCFF">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480" w:type="dxa"/>
            <w:noWrap w:val="0"/>
            <w:vAlign w:val="center"/>
          </w:tcPr>
          <w:p w14:paraId="636C4186">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642" w:type="dxa"/>
            <w:noWrap w:val="0"/>
            <w:vAlign w:val="center"/>
          </w:tcPr>
          <w:p w14:paraId="1FCD61F7">
            <w:pPr>
              <w:pStyle w:val="57"/>
              <w:spacing w:beforeLines="0" w:afterLines="0" w:line="240" w:lineRule="auto"/>
              <w:rPr>
                <w:rFonts w:hint="default" w:ascii="Times New Roman" w:hAnsi="Times New Roman" w:eastAsia="宋体" w:cs="宋体"/>
                <w:snapToGrid w:val="0"/>
                <w:color w:val="auto"/>
                <w:kern w:val="21"/>
                <w:sz w:val="21"/>
                <w:szCs w:val="21"/>
                <w:lang w:val="en-US" w:eastAsia="zh-CN"/>
              </w:rPr>
            </w:pPr>
            <w:r>
              <w:rPr>
                <w:rFonts w:hint="eastAsia" w:ascii="Times New Roman" w:cs="宋体"/>
                <w:snapToGrid w:val="0"/>
                <w:color w:val="auto"/>
                <w:kern w:val="21"/>
                <w:sz w:val="21"/>
                <w:szCs w:val="21"/>
                <w:lang w:val="en-US" w:eastAsia="zh-CN"/>
              </w:rPr>
              <w:t>0.0021</w:t>
            </w:r>
          </w:p>
        </w:tc>
        <w:tc>
          <w:tcPr>
            <w:tcW w:w="1315" w:type="dxa"/>
            <w:noWrap w:val="0"/>
            <w:vAlign w:val="center"/>
          </w:tcPr>
          <w:p w14:paraId="5C5012A9">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873" w:type="dxa"/>
            <w:noWrap w:val="0"/>
            <w:vAlign w:val="center"/>
          </w:tcPr>
          <w:p w14:paraId="3D242068">
            <w:pPr>
              <w:pStyle w:val="57"/>
              <w:spacing w:beforeLines="0" w:afterLines="0" w:line="240" w:lineRule="auto"/>
              <w:ind w:left="0" w:leftChars="0" w:right="0" w:rightChars="0"/>
              <w:rPr>
                <w:rFonts w:hint="eastAsia" w:ascii="Times New Roman" w:cs="宋体"/>
                <w:snapToGrid w:val="0"/>
                <w:color w:val="auto"/>
                <w:kern w:val="21"/>
                <w:sz w:val="21"/>
                <w:szCs w:val="21"/>
                <w:lang w:val="en-US" w:eastAsia="zh-CN"/>
              </w:rPr>
            </w:pPr>
            <w:r>
              <w:rPr>
                <w:rFonts w:hint="eastAsia" w:ascii="Times New Roman" w:cs="宋体"/>
                <w:snapToGrid w:val="0"/>
                <w:color w:val="auto"/>
                <w:kern w:val="21"/>
                <w:sz w:val="21"/>
                <w:szCs w:val="21"/>
                <w:lang w:val="en-US" w:eastAsia="zh-CN"/>
              </w:rPr>
              <w:t>0.0021</w:t>
            </w:r>
          </w:p>
        </w:tc>
        <w:tc>
          <w:tcPr>
            <w:tcW w:w="1029" w:type="dxa"/>
            <w:noWrap w:val="0"/>
            <w:vAlign w:val="center"/>
          </w:tcPr>
          <w:p w14:paraId="1BA30605">
            <w:pPr>
              <w:pStyle w:val="57"/>
              <w:spacing w:beforeLines="0" w:afterLines="0" w:line="240" w:lineRule="auto"/>
              <w:ind w:left="0" w:leftChars="0" w:right="0" w:rightChars="0"/>
              <w:rPr>
                <w:rFonts w:hint="eastAsia" w:ascii="Times New Roman" w:cs="宋体"/>
                <w:snapToGrid w:val="0"/>
                <w:color w:val="auto"/>
                <w:kern w:val="21"/>
                <w:sz w:val="21"/>
                <w:szCs w:val="21"/>
                <w:lang w:val="en-US" w:eastAsia="zh-CN"/>
              </w:rPr>
            </w:pPr>
            <w:r>
              <w:rPr>
                <w:rFonts w:hint="eastAsia" w:ascii="Times New Roman" w:cs="宋体"/>
                <w:snapToGrid w:val="0"/>
                <w:color w:val="auto"/>
                <w:kern w:val="21"/>
                <w:sz w:val="21"/>
                <w:szCs w:val="21"/>
                <w:lang w:val="en-US" w:eastAsia="zh-CN"/>
              </w:rPr>
              <w:t>+0.0021</w:t>
            </w:r>
          </w:p>
        </w:tc>
      </w:tr>
      <w:tr w14:paraId="60833C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83" w:type="dxa"/>
            <w:vMerge w:val="continue"/>
            <w:noWrap w:val="0"/>
            <w:vAlign w:val="center"/>
          </w:tcPr>
          <w:p w14:paraId="5976E7DD">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shd w:val="clear" w:color="auto" w:fill="auto"/>
            <w:noWrap w:val="0"/>
            <w:vAlign w:val="center"/>
          </w:tcPr>
          <w:p w14:paraId="0AC0785A">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eastAsia" w:ascii="Times New Roman" w:hAnsi="Times New Roman" w:eastAsia="宋体" w:cs="Times New Roman"/>
                <w:b w:val="0"/>
                <w:bCs/>
                <w:color w:val="auto"/>
                <w:sz w:val="21"/>
                <w:szCs w:val="21"/>
                <w:lang w:val="en-US" w:eastAsia="zh-CN"/>
              </w:rPr>
            </w:pPr>
            <w:r>
              <w:rPr>
                <w:rFonts w:hint="eastAsia" w:eastAsia="宋体" w:cs="Times New Roman"/>
                <w:b w:val="0"/>
                <w:bCs/>
                <w:color w:val="auto"/>
                <w:sz w:val="21"/>
                <w:szCs w:val="21"/>
                <w:lang w:val="en-US" w:eastAsia="zh-CN"/>
              </w:rPr>
              <w:t>总锌</w:t>
            </w:r>
            <w:r>
              <w:rPr>
                <w:rFonts w:ascii="Times New Roman" w:hAnsi="Times New Roman" w:eastAsia="宋体" w:cs="宋体"/>
                <w:snapToGrid w:val="0"/>
                <w:color w:val="auto"/>
                <w:kern w:val="21"/>
                <w:sz w:val="21"/>
                <w:szCs w:val="21"/>
                <w:lang w:val="en-US" w:eastAsia="zh-CN"/>
              </w:rPr>
              <w:t>（吨/年）</w:t>
            </w:r>
          </w:p>
        </w:tc>
        <w:tc>
          <w:tcPr>
            <w:tcW w:w="1604" w:type="dxa"/>
            <w:noWrap w:val="0"/>
            <w:vAlign w:val="center"/>
          </w:tcPr>
          <w:p w14:paraId="2024ED1A">
            <w:pPr>
              <w:pStyle w:val="57"/>
              <w:spacing w:beforeLines="0" w:afterLines="0" w:line="240" w:lineRule="auto"/>
              <w:rPr>
                <w:rFonts w:ascii="Times New Roman" w:hAnsi="Times New Roman" w:eastAsia="宋体" w:cs="宋体"/>
                <w:snapToGrid w:val="0"/>
                <w:color w:val="auto"/>
                <w:kern w:val="21"/>
                <w:sz w:val="21"/>
                <w:szCs w:val="21"/>
              </w:rPr>
            </w:pPr>
          </w:p>
        </w:tc>
        <w:tc>
          <w:tcPr>
            <w:tcW w:w="1094" w:type="dxa"/>
            <w:noWrap w:val="0"/>
            <w:vAlign w:val="center"/>
          </w:tcPr>
          <w:p w14:paraId="3DD3A1E6">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480" w:type="dxa"/>
            <w:noWrap w:val="0"/>
            <w:vAlign w:val="center"/>
          </w:tcPr>
          <w:p w14:paraId="618A8069">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642" w:type="dxa"/>
            <w:noWrap w:val="0"/>
            <w:vAlign w:val="center"/>
          </w:tcPr>
          <w:p w14:paraId="312CF543">
            <w:pPr>
              <w:pStyle w:val="57"/>
              <w:spacing w:beforeLines="0" w:afterLines="0" w:line="240" w:lineRule="auto"/>
              <w:rPr>
                <w:rFonts w:hint="default" w:ascii="Times New Roman" w:hAnsi="Times New Roman" w:eastAsia="宋体" w:cs="宋体"/>
                <w:snapToGrid w:val="0"/>
                <w:color w:val="auto"/>
                <w:kern w:val="21"/>
                <w:sz w:val="21"/>
                <w:szCs w:val="21"/>
                <w:lang w:val="en-US" w:eastAsia="zh-CN"/>
              </w:rPr>
            </w:pPr>
            <w:r>
              <w:rPr>
                <w:rFonts w:hint="eastAsia" w:ascii="Times New Roman" w:cs="宋体"/>
                <w:snapToGrid w:val="0"/>
                <w:color w:val="auto"/>
                <w:kern w:val="21"/>
                <w:sz w:val="21"/>
                <w:szCs w:val="21"/>
                <w:lang w:val="en-US" w:eastAsia="zh-CN"/>
              </w:rPr>
              <w:t>0.0012</w:t>
            </w:r>
          </w:p>
        </w:tc>
        <w:tc>
          <w:tcPr>
            <w:tcW w:w="1315" w:type="dxa"/>
            <w:noWrap w:val="0"/>
            <w:vAlign w:val="center"/>
          </w:tcPr>
          <w:p w14:paraId="3133FF51">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873" w:type="dxa"/>
            <w:noWrap w:val="0"/>
            <w:vAlign w:val="center"/>
          </w:tcPr>
          <w:p w14:paraId="622B0744">
            <w:pPr>
              <w:pStyle w:val="57"/>
              <w:spacing w:beforeLines="0" w:afterLines="0" w:line="240" w:lineRule="auto"/>
              <w:ind w:left="0" w:leftChars="0" w:right="0" w:rightChars="0"/>
              <w:rPr>
                <w:rFonts w:hint="eastAsia" w:ascii="Times New Roman" w:cs="宋体"/>
                <w:snapToGrid w:val="0"/>
                <w:color w:val="auto"/>
                <w:kern w:val="21"/>
                <w:sz w:val="21"/>
                <w:szCs w:val="21"/>
                <w:lang w:val="en-US" w:eastAsia="zh-CN"/>
              </w:rPr>
            </w:pPr>
            <w:r>
              <w:rPr>
                <w:rFonts w:hint="eastAsia" w:ascii="Times New Roman" w:cs="宋体"/>
                <w:snapToGrid w:val="0"/>
                <w:color w:val="auto"/>
                <w:kern w:val="21"/>
                <w:sz w:val="21"/>
                <w:szCs w:val="21"/>
                <w:lang w:val="en-US" w:eastAsia="zh-CN"/>
              </w:rPr>
              <w:t>0.0012</w:t>
            </w:r>
          </w:p>
        </w:tc>
        <w:tc>
          <w:tcPr>
            <w:tcW w:w="1029" w:type="dxa"/>
            <w:noWrap w:val="0"/>
            <w:vAlign w:val="center"/>
          </w:tcPr>
          <w:p w14:paraId="46B37B15">
            <w:pPr>
              <w:pStyle w:val="57"/>
              <w:spacing w:beforeLines="0" w:afterLines="0" w:line="240" w:lineRule="auto"/>
              <w:ind w:left="0" w:leftChars="0" w:right="0" w:rightChars="0"/>
              <w:rPr>
                <w:rFonts w:hint="eastAsia" w:ascii="Times New Roman" w:cs="宋体"/>
                <w:snapToGrid w:val="0"/>
                <w:color w:val="auto"/>
                <w:kern w:val="21"/>
                <w:sz w:val="21"/>
                <w:szCs w:val="21"/>
                <w:lang w:val="en-US" w:eastAsia="zh-CN"/>
              </w:rPr>
            </w:pPr>
            <w:r>
              <w:rPr>
                <w:rFonts w:hint="eastAsia" w:ascii="Times New Roman" w:cs="宋体"/>
                <w:snapToGrid w:val="0"/>
                <w:color w:val="auto"/>
                <w:kern w:val="21"/>
                <w:sz w:val="21"/>
                <w:szCs w:val="21"/>
                <w:lang w:val="en-US" w:eastAsia="zh-CN"/>
              </w:rPr>
              <w:t>+0.0012</w:t>
            </w:r>
          </w:p>
        </w:tc>
      </w:tr>
      <w:tr w14:paraId="5E6DD0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83" w:type="dxa"/>
            <w:vMerge w:val="continue"/>
            <w:noWrap w:val="0"/>
            <w:vAlign w:val="center"/>
          </w:tcPr>
          <w:p w14:paraId="6DA1461B">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shd w:val="clear" w:color="auto" w:fill="auto"/>
            <w:noWrap w:val="0"/>
            <w:vAlign w:val="center"/>
          </w:tcPr>
          <w:p w14:paraId="3CC40101">
            <w:pPr>
              <w:pStyle w:val="107"/>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eastAsia="宋体" w:cs="宋体"/>
                <w:snapToGrid w:val="0"/>
                <w:color w:val="auto"/>
                <w:kern w:val="21"/>
                <w:sz w:val="21"/>
                <w:szCs w:val="21"/>
                <w:lang w:val="en-US" w:eastAsia="zh-CN"/>
              </w:rPr>
              <w:t>石油类</w:t>
            </w:r>
            <w:r>
              <w:rPr>
                <w:rFonts w:ascii="Times New Roman" w:hAnsi="Times New Roman" w:eastAsia="宋体" w:cs="宋体"/>
                <w:snapToGrid w:val="0"/>
                <w:color w:val="auto"/>
                <w:kern w:val="21"/>
                <w:sz w:val="21"/>
                <w:szCs w:val="21"/>
                <w:lang w:val="en-US" w:eastAsia="zh-CN"/>
              </w:rPr>
              <w:t>（吨/年）</w:t>
            </w:r>
          </w:p>
        </w:tc>
        <w:tc>
          <w:tcPr>
            <w:tcW w:w="1604" w:type="dxa"/>
            <w:noWrap w:val="0"/>
            <w:vAlign w:val="center"/>
          </w:tcPr>
          <w:p w14:paraId="04FFFEA5">
            <w:pPr>
              <w:pStyle w:val="57"/>
              <w:spacing w:beforeLines="0" w:afterLines="0" w:line="240" w:lineRule="auto"/>
              <w:rPr>
                <w:rFonts w:ascii="Times New Roman" w:hAnsi="Times New Roman" w:eastAsia="宋体" w:cs="宋体"/>
                <w:snapToGrid w:val="0"/>
                <w:color w:val="auto"/>
                <w:kern w:val="21"/>
                <w:sz w:val="21"/>
                <w:szCs w:val="21"/>
              </w:rPr>
            </w:pPr>
          </w:p>
        </w:tc>
        <w:tc>
          <w:tcPr>
            <w:tcW w:w="1094" w:type="dxa"/>
            <w:noWrap w:val="0"/>
            <w:vAlign w:val="center"/>
          </w:tcPr>
          <w:p w14:paraId="310CAA36">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480" w:type="dxa"/>
            <w:noWrap w:val="0"/>
            <w:vAlign w:val="center"/>
          </w:tcPr>
          <w:p w14:paraId="1D4B7812">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642" w:type="dxa"/>
            <w:noWrap w:val="0"/>
            <w:vAlign w:val="center"/>
          </w:tcPr>
          <w:p w14:paraId="0EEF164B">
            <w:pPr>
              <w:pStyle w:val="57"/>
              <w:spacing w:beforeLines="0" w:afterLines="0" w:line="240" w:lineRule="auto"/>
              <w:rPr>
                <w:rFonts w:hint="default" w:ascii="Times New Roman" w:hAnsi="Times New Roman" w:eastAsia="宋体" w:cs="宋体"/>
                <w:snapToGrid w:val="0"/>
                <w:color w:val="auto"/>
                <w:kern w:val="21"/>
                <w:sz w:val="21"/>
                <w:szCs w:val="21"/>
                <w:lang w:val="en-US" w:eastAsia="zh-CN"/>
              </w:rPr>
            </w:pPr>
            <w:r>
              <w:rPr>
                <w:rFonts w:hint="eastAsia" w:ascii="Times New Roman" w:cs="宋体"/>
                <w:snapToGrid w:val="0"/>
                <w:color w:val="auto"/>
                <w:kern w:val="21"/>
                <w:sz w:val="21"/>
                <w:szCs w:val="21"/>
                <w:lang w:val="en-US" w:eastAsia="zh-CN"/>
              </w:rPr>
              <w:t>0.0022</w:t>
            </w:r>
          </w:p>
        </w:tc>
        <w:tc>
          <w:tcPr>
            <w:tcW w:w="1315" w:type="dxa"/>
            <w:noWrap w:val="0"/>
            <w:vAlign w:val="center"/>
          </w:tcPr>
          <w:p w14:paraId="353838D0">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873" w:type="dxa"/>
            <w:noWrap w:val="0"/>
            <w:vAlign w:val="center"/>
          </w:tcPr>
          <w:p w14:paraId="09993EEA">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SA"/>
              </w:rPr>
            </w:pPr>
            <w:r>
              <w:rPr>
                <w:rFonts w:hint="eastAsia" w:ascii="Times New Roman" w:cs="宋体"/>
                <w:snapToGrid w:val="0"/>
                <w:color w:val="auto"/>
                <w:kern w:val="21"/>
                <w:sz w:val="21"/>
                <w:szCs w:val="21"/>
                <w:lang w:val="en-US" w:eastAsia="zh-CN"/>
              </w:rPr>
              <w:t>0.0022</w:t>
            </w:r>
          </w:p>
        </w:tc>
        <w:tc>
          <w:tcPr>
            <w:tcW w:w="1029" w:type="dxa"/>
            <w:noWrap w:val="0"/>
            <w:vAlign w:val="center"/>
          </w:tcPr>
          <w:p w14:paraId="101D9DCC">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SA"/>
              </w:rPr>
            </w:pPr>
            <w:r>
              <w:rPr>
                <w:rFonts w:hint="eastAsia" w:ascii="Times New Roman" w:cs="宋体"/>
                <w:snapToGrid w:val="0"/>
                <w:color w:val="auto"/>
                <w:kern w:val="21"/>
                <w:sz w:val="21"/>
                <w:szCs w:val="21"/>
                <w:lang w:val="en-US" w:eastAsia="zh-CN"/>
              </w:rPr>
              <w:t>+0.0022</w:t>
            </w:r>
          </w:p>
        </w:tc>
      </w:tr>
      <w:tr w14:paraId="592678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383" w:type="dxa"/>
            <w:vMerge w:val="restart"/>
            <w:noWrap w:val="0"/>
            <w:vAlign w:val="center"/>
          </w:tcPr>
          <w:p w14:paraId="7A479CA7">
            <w:pPr>
              <w:pStyle w:val="57"/>
              <w:spacing w:beforeLines="0" w:afterLines="0" w:line="240" w:lineRule="auto"/>
              <w:rPr>
                <w:rFonts w:ascii="Times New Roman" w:hAnsi="Times New Roman" w:eastAsia="宋体" w:cs="宋体"/>
                <w:snapToGrid w:val="0"/>
                <w:color w:val="auto"/>
                <w:kern w:val="21"/>
                <w:sz w:val="21"/>
                <w:szCs w:val="21"/>
                <w:lang w:val="en-US" w:eastAsia="zh-CN"/>
              </w:rPr>
            </w:pPr>
            <w:r>
              <w:rPr>
                <w:rFonts w:ascii="Times New Roman" w:hAnsi="Times New Roman" w:eastAsia="宋体" w:cs="宋体"/>
                <w:snapToGrid w:val="0"/>
                <w:color w:val="auto"/>
                <w:kern w:val="21"/>
                <w:sz w:val="21"/>
                <w:szCs w:val="21"/>
                <w:lang w:val="en-US" w:eastAsia="zh-CN"/>
              </w:rPr>
              <w:t>一般工业</w:t>
            </w:r>
          </w:p>
          <w:p w14:paraId="659A5D29">
            <w:pPr>
              <w:pStyle w:val="57"/>
              <w:spacing w:beforeLines="0" w:afterLines="0" w:line="240" w:lineRule="auto"/>
              <w:rPr>
                <w:rFonts w:ascii="Times New Roman" w:hAnsi="Times New Roman" w:eastAsia="宋体" w:cs="宋体"/>
                <w:snapToGrid w:val="0"/>
                <w:color w:val="auto"/>
                <w:kern w:val="21"/>
                <w:sz w:val="21"/>
                <w:szCs w:val="21"/>
                <w:lang w:val="en-US" w:eastAsia="zh-CN"/>
              </w:rPr>
            </w:pPr>
            <w:r>
              <w:rPr>
                <w:rFonts w:ascii="Times New Roman" w:hAnsi="Times New Roman" w:eastAsia="宋体" w:cs="宋体"/>
                <w:snapToGrid w:val="0"/>
                <w:color w:val="auto"/>
                <w:kern w:val="21"/>
                <w:sz w:val="21"/>
                <w:szCs w:val="21"/>
                <w:lang w:val="en-US" w:eastAsia="zh-CN"/>
              </w:rPr>
              <w:t>固体废物</w:t>
            </w:r>
          </w:p>
        </w:tc>
        <w:tc>
          <w:tcPr>
            <w:tcW w:w="2795" w:type="dxa"/>
            <w:shd w:val="clear" w:color="auto" w:fill="auto"/>
            <w:noWrap w:val="0"/>
            <w:vAlign w:val="center"/>
          </w:tcPr>
          <w:p w14:paraId="39D7AB70">
            <w:pPr>
              <w:adjustRightInd w:val="0"/>
              <w:snapToGrid w:val="0"/>
              <w:jc w:val="center"/>
              <w:rPr>
                <w:rFonts w:ascii="Times New Roman" w:hAnsi="Times New Roman" w:eastAsia="宋体" w:cs="宋体"/>
                <w:color w:val="auto"/>
                <w:kern w:val="2"/>
                <w:sz w:val="21"/>
                <w:szCs w:val="21"/>
                <w:lang w:val="en-US" w:eastAsia="zh-CN" w:bidi="ar-SA"/>
              </w:rPr>
            </w:pPr>
            <w:r>
              <w:rPr>
                <w:rFonts w:hint="eastAsia" w:cs="宋体"/>
                <w:snapToGrid w:val="0"/>
                <w:color w:val="auto"/>
                <w:kern w:val="21"/>
                <w:sz w:val="21"/>
                <w:szCs w:val="21"/>
                <w:lang w:val="en-US" w:eastAsia="zh-CN"/>
              </w:rPr>
              <w:t>金属碎屑及边角料</w:t>
            </w:r>
            <w:r>
              <w:rPr>
                <w:rFonts w:ascii="Times New Roman" w:hAnsi="Times New Roman" w:eastAsia="宋体" w:cs="宋体"/>
                <w:snapToGrid w:val="0"/>
                <w:color w:val="auto"/>
                <w:kern w:val="21"/>
                <w:sz w:val="21"/>
                <w:szCs w:val="21"/>
              </w:rPr>
              <w:t>（吨/年）</w:t>
            </w:r>
          </w:p>
        </w:tc>
        <w:tc>
          <w:tcPr>
            <w:tcW w:w="1604" w:type="dxa"/>
            <w:shd w:val="clear" w:color="auto" w:fill="auto"/>
            <w:noWrap w:val="0"/>
            <w:vAlign w:val="center"/>
          </w:tcPr>
          <w:p w14:paraId="400B7BA6">
            <w:pPr>
              <w:adjustRightInd w:val="0"/>
              <w:snapToGrid w:val="0"/>
              <w:jc w:val="center"/>
              <w:rPr>
                <w:rFonts w:ascii="Times New Roman" w:hAnsi="Times New Roman" w:eastAsia="宋体" w:cs="宋体"/>
                <w:snapToGrid w:val="0"/>
                <w:color w:val="auto"/>
                <w:kern w:val="21"/>
                <w:sz w:val="21"/>
                <w:szCs w:val="21"/>
                <w:lang w:val="en-US" w:eastAsia="zh-CN" w:bidi="ar-SA"/>
              </w:rPr>
            </w:pPr>
          </w:p>
        </w:tc>
        <w:tc>
          <w:tcPr>
            <w:tcW w:w="1094" w:type="dxa"/>
            <w:shd w:val="clear" w:color="auto" w:fill="auto"/>
            <w:noWrap w:val="0"/>
            <w:vAlign w:val="center"/>
          </w:tcPr>
          <w:p w14:paraId="4C3B5BC7">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480" w:type="dxa"/>
            <w:shd w:val="clear" w:color="auto" w:fill="auto"/>
            <w:noWrap w:val="0"/>
            <w:vAlign w:val="center"/>
          </w:tcPr>
          <w:p w14:paraId="06D00254">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642" w:type="dxa"/>
            <w:shd w:val="clear" w:color="auto" w:fill="auto"/>
            <w:noWrap w:val="0"/>
            <w:vAlign w:val="center"/>
          </w:tcPr>
          <w:p w14:paraId="5754A0F3">
            <w:pPr>
              <w:adjustRightInd w:val="0"/>
              <w:snapToGrid w:val="0"/>
              <w:jc w:val="center"/>
              <w:rPr>
                <w:rFonts w:hint="default" w:ascii="Times New Roman" w:hAnsi="Times New Roman" w:eastAsia="宋体" w:cs="宋体"/>
                <w:color w:val="auto"/>
                <w:kern w:val="2"/>
                <w:sz w:val="21"/>
                <w:szCs w:val="21"/>
                <w:lang w:val="en-US" w:eastAsia="zh-CN" w:bidi="ar-SA"/>
              </w:rPr>
            </w:pPr>
            <w:r>
              <w:rPr>
                <w:rFonts w:hint="eastAsia" w:cs="宋体"/>
                <w:color w:val="auto"/>
                <w:kern w:val="2"/>
                <w:sz w:val="21"/>
                <w:szCs w:val="21"/>
                <w:lang w:val="en-US" w:eastAsia="zh-CN" w:bidi="ar-SA"/>
              </w:rPr>
              <w:t>70</w:t>
            </w:r>
          </w:p>
        </w:tc>
        <w:tc>
          <w:tcPr>
            <w:tcW w:w="1315" w:type="dxa"/>
            <w:shd w:val="clear" w:color="auto" w:fill="auto"/>
            <w:noWrap w:val="0"/>
            <w:vAlign w:val="center"/>
          </w:tcPr>
          <w:p w14:paraId="4C602603">
            <w:pPr>
              <w:spacing w:beforeLines="0" w:afterLines="0" w:line="240" w:lineRule="auto"/>
              <w:rPr>
                <w:rFonts w:hint="eastAsia" w:ascii="Times New Roman" w:hAnsi="Times New Roman" w:eastAsia="宋体" w:cs="宋体"/>
                <w:snapToGrid w:val="0"/>
                <w:color w:val="auto"/>
                <w:kern w:val="21"/>
                <w:sz w:val="21"/>
                <w:szCs w:val="21"/>
                <w:lang w:val="en-US" w:eastAsia="zh-CN" w:bidi="ar-SA"/>
              </w:rPr>
            </w:pPr>
          </w:p>
        </w:tc>
        <w:tc>
          <w:tcPr>
            <w:tcW w:w="1873" w:type="dxa"/>
            <w:shd w:val="clear" w:color="auto" w:fill="auto"/>
            <w:noWrap w:val="0"/>
            <w:vAlign w:val="center"/>
          </w:tcPr>
          <w:p w14:paraId="2641F2BE">
            <w:pPr>
              <w:adjustRightInd w:val="0"/>
              <w:snapToGrid w:val="0"/>
              <w:jc w:val="center"/>
              <w:rPr>
                <w:rFonts w:hint="default" w:ascii="Times New Roman" w:hAnsi="Times New Roman" w:eastAsia="宋体" w:cs="宋体"/>
                <w:color w:val="auto"/>
                <w:kern w:val="2"/>
                <w:sz w:val="21"/>
                <w:szCs w:val="21"/>
                <w:lang w:val="en-US" w:eastAsia="zh-CN" w:bidi="ar-SA"/>
              </w:rPr>
            </w:pPr>
            <w:r>
              <w:rPr>
                <w:rFonts w:hint="eastAsia" w:cs="宋体"/>
                <w:color w:val="auto"/>
                <w:kern w:val="2"/>
                <w:sz w:val="21"/>
                <w:szCs w:val="21"/>
                <w:lang w:val="en-US" w:eastAsia="zh-CN" w:bidi="ar-SA"/>
              </w:rPr>
              <w:t>70</w:t>
            </w:r>
          </w:p>
        </w:tc>
        <w:tc>
          <w:tcPr>
            <w:tcW w:w="1029" w:type="dxa"/>
            <w:shd w:val="clear" w:color="auto" w:fill="auto"/>
            <w:noWrap w:val="0"/>
            <w:vAlign w:val="center"/>
          </w:tcPr>
          <w:p w14:paraId="789B7FA3">
            <w:pPr>
              <w:adjustRightInd w:val="0"/>
              <w:snapToGrid w:val="0"/>
              <w:jc w:val="center"/>
              <w:rPr>
                <w:rFonts w:hint="default" w:ascii="Times New Roman" w:hAnsi="Times New Roman" w:eastAsia="宋体" w:cs="宋体"/>
                <w:color w:val="auto"/>
                <w:kern w:val="2"/>
                <w:sz w:val="21"/>
                <w:szCs w:val="21"/>
                <w:lang w:val="en-US" w:eastAsia="zh-CN" w:bidi="ar-SA"/>
              </w:rPr>
            </w:pPr>
            <w:r>
              <w:rPr>
                <w:rFonts w:hint="eastAsia" w:cs="宋体"/>
                <w:color w:val="auto"/>
                <w:kern w:val="2"/>
                <w:sz w:val="21"/>
                <w:szCs w:val="21"/>
                <w:lang w:val="en-US" w:eastAsia="zh-CN" w:bidi="ar-SA"/>
              </w:rPr>
              <w:t>+70</w:t>
            </w:r>
          </w:p>
        </w:tc>
      </w:tr>
      <w:tr w14:paraId="5A254C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383" w:type="dxa"/>
            <w:vMerge w:val="continue"/>
            <w:noWrap w:val="0"/>
            <w:vAlign w:val="center"/>
          </w:tcPr>
          <w:p w14:paraId="189261D7">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shd w:val="clear" w:color="auto" w:fill="auto"/>
            <w:noWrap w:val="0"/>
            <w:vAlign w:val="center"/>
          </w:tcPr>
          <w:p w14:paraId="76DA435D">
            <w:pPr>
              <w:adjustRightInd w:val="0"/>
              <w:snapToGrid w:val="0"/>
              <w:jc w:val="center"/>
              <w:rPr>
                <w:rFonts w:hint="default" w:cs="宋体"/>
                <w:snapToGrid w:val="0"/>
                <w:color w:val="auto"/>
                <w:kern w:val="21"/>
                <w:sz w:val="21"/>
                <w:szCs w:val="21"/>
                <w:lang w:val="en-US" w:eastAsia="zh-CN"/>
              </w:rPr>
            </w:pPr>
            <w:r>
              <w:rPr>
                <w:rFonts w:hint="eastAsia" w:cs="宋体"/>
                <w:snapToGrid w:val="0"/>
                <w:color w:val="auto"/>
                <w:kern w:val="21"/>
                <w:sz w:val="21"/>
                <w:szCs w:val="21"/>
                <w:lang w:val="en-US" w:eastAsia="zh-CN"/>
              </w:rPr>
              <w:t>一般废包装（</w:t>
            </w:r>
            <w:r>
              <w:rPr>
                <w:rFonts w:ascii="Times New Roman" w:hAnsi="Times New Roman" w:eastAsia="宋体" w:cs="宋体"/>
                <w:snapToGrid w:val="0"/>
                <w:color w:val="auto"/>
                <w:kern w:val="21"/>
                <w:sz w:val="21"/>
                <w:szCs w:val="21"/>
              </w:rPr>
              <w:t>吨/年</w:t>
            </w:r>
            <w:r>
              <w:rPr>
                <w:rFonts w:hint="eastAsia" w:cs="宋体"/>
                <w:snapToGrid w:val="0"/>
                <w:color w:val="auto"/>
                <w:kern w:val="21"/>
                <w:sz w:val="21"/>
                <w:szCs w:val="21"/>
                <w:lang w:val="en-US" w:eastAsia="zh-CN"/>
              </w:rPr>
              <w:t>）</w:t>
            </w:r>
          </w:p>
        </w:tc>
        <w:tc>
          <w:tcPr>
            <w:tcW w:w="1604" w:type="dxa"/>
            <w:shd w:val="clear" w:color="auto" w:fill="auto"/>
            <w:noWrap w:val="0"/>
            <w:vAlign w:val="center"/>
          </w:tcPr>
          <w:p w14:paraId="3C424F7E">
            <w:pPr>
              <w:adjustRightInd w:val="0"/>
              <w:snapToGrid w:val="0"/>
              <w:jc w:val="center"/>
              <w:rPr>
                <w:rFonts w:ascii="Times New Roman" w:hAnsi="Times New Roman" w:eastAsia="宋体" w:cs="宋体"/>
                <w:snapToGrid w:val="0"/>
                <w:color w:val="auto"/>
                <w:kern w:val="21"/>
                <w:sz w:val="21"/>
                <w:szCs w:val="21"/>
                <w:lang w:val="en-US" w:eastAsia="zh-CN" w:bidi="ar-SA"/>
              </w:rPr>
            </w:pPr>
          </w:p>
        </w:tc>
        <w:tc>
          <w:tcPr>
            <w:tcW w:w="1094" w:type="dxa"/>
            <w:shd w:val="clear" w:color="auto" w:fill="auto"/>
            <w:noWrap w:val="0"/>
            <w:vAlign w:val="center"/>
          </w:tcPr>
          <w:p w14:paraId="36718049">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480" w:type="dxa"/>
            <w:shd w:val="clear" w:color="auto" w:fill="auto"/>
            <w:noWrap w:val="0"/>
            <w:vAlign w:val="center"/>
          </w:tcPr>
          <w:p w14:paraId="5D21DF60">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642" w:type="dxa"/>
            <w:shd w:val="clear" w:color="auto" w:fill="auto"/>
            <w:noWrap w:val="0"/>
            <w:vAlign w:val="center"/>
          </w:tcPr>
          <w:p w14:paraId="2324DE9E">
            <w:pPr>
              <w:adjustRightInd w:val="0"/>
              <w:snapToGrid w:val="0"/>
              <w:jc w:val="center"/>
              <w:rPr>
                <w:rFonts w:hint="default" w:cs="宋体"/>
                <w:color w:val="auto"/>
                <w:kern w:val="2"/>
                <w:sz w:val="21"/>
                <w:szCs w:val="21"/>
                <w:lang w:val="en-US" w:eastAsia="zh-CN" w:bidi="ar-SA"/>
              </w:rPr>
            </w:pPr>
            <w:r>
              <w:rPr>
                <w:rFonts w:hint="eastAsia" w:cs="宋体"/>
                <w:color w:val="auto"/>
                <w:kern w:val="2"/>
                <w:sz w:val="21"/>
                <w:szCs w:val="21"/>
                <w:lang w:val="en-US" w:eastAsia="zh-CN" w:bidi="ar-SA"/>
              </w:rPr>
              <w:t>4</w:t>
            </w:r>
          </w:p>
        </w:tc>
        <w:tc>
          <w:tcPr>
            <w:tcW w:w="1315" w:type="dxa"/>
            <w:shd w:val="clear" w:color="auto" w:fill="auto"/>
            <w:noWrap w:val="0"/>
            <w:vAlign w:val="center"/>
          </w:tcPr>
          <w:p w14:paraId="6E5C2AD2">
            <w:pPr>
              <w:spacing w:beforeLines="0" w:afterLines="0" w:line="240" w:lineRule="auto"/>
              <w:rPr>
                <w:rFonts w:hint="eastAsia" w:ascii="Times New Roman" w:hAnsi="Times New Roman" w:eastAsia="宋体" w:cs="宋体"/>
                <w:snapToGrid w:val="0"/>
                <w:color w:val="auto"/>
                <w:kern w:val="21"/>
                <w:sz w:val="21"/>
                <w:szCs w:val="21"/>
                <w:lang w:val="en-US" w:eastAsia="zh-CN" w:bidi="ar-SA"/>
              </w:rPr>
            </w:pPr>
          </w:p>
        </w:tc>
        <w:tc>
          <w:tcPr>
            <w:tcW w:w="1873" w:type="dxa"/>
            <w:shd w:val="clear" w:color="auto" w:fill="auto"/>
            <w:noWrap w:val="0"/>
            <w:vAlign w:val="center"/>
          </w:tcPr>
          <w:p w14:paraId="2F5185B6">
            <w:pPr>
              <w:adjustRightInd w:val="0"/>
              <w:snapToGrid w:val="0"/>
              <w:jc w:val="center"/>
              <w:rPr>
                <w:rFonts w:hint="eastAsia" w:cs="宋体"/>
                <w:color w:val="auto"/>
                <w:kern w:val="2"/>
                <w:sz w:val="21"/>
                <w:szCs w:val="21"/>
                <w:lang w:val="en-US" w:eastAsia="zh-CN" w:bidi="ar-SA"/>
              </w:rPr>
            </w:pPr>
            <w:r>
              <w:rPr>
                <w:rFonts w:hint="eastAsia" w:cs="宋体"/>
                <w:color w:val="auto"/>
                <w:kern w:val="2"/>
                <w:sz w:val="21"/>
                <w:szCs w:val="21"/>
                <w:lang w:val="en-US" w:eastAsia="zh-CN" w:bidi="ar-SA"/>
              </w:rPr>
              <w:t>4</w:t>
            </w:r>
          </w:p>
        </w:tc>
        <w:tc>
          <w:tcPr>
            <w:tcW w:w="1029" w:type="dxa"/>
            <w:shd w:val="clear" w:color="auto" w:fill="auto"/>
            <w:noWrap w:val="0"/>
            <w:vAlign w:val="center"/>
          </w:tcPr>
          <w:p w14:paraId="7AABB665">
            <w:pPr>
              <w:adjustRightInd w:val="0"/>
              <w:snapToGrid w:val="0"/>
              <w:jc w:val="center"/>
              <w:rPr>
                <w:rFonts w:hint="eastAsia" w:cs="宋体"/>
                <w:color w:val="auto"/>
                <w:kern w:val="2"/>
                <w:sz w:val="21"/>
                <w:szCs w:val="21"/>
                <w:lang w:val="en-US" w:eastAsia="zh-CN" w:bidi="ar-SA"/>
              </w:rPr>
            </w:pPr>
            <w:r>
              <w:rPr>
                <w:rFonts w:hint="eastAsia" w:cs="宋体"/>
                <w:color w:val="auto"/>
                <w:kern w:val="2"/>
                <w:sz w:val="21"/>
                <w:szCs w:val="21"/>
                <w:lang w:val="en-US" w:eastAsia="zh-CN" w:bidi="ar-SA"/>
              </w:rPr>
              <w:t>+4</w:t>
            </w:r>
          </w:p>
        </w:tc>
      </w:tr>
      <w:tr w14:paraId="6125AD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383" w:type="dxa"/>
            <w:vMerge w:val="continue"/>
            <w:noWrap w:val="0"/>
            <w:vAlign w:val="center"/>
          </w:tcPr>
          <w:p w14:paraId="51707364">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shd w:val="clear" w:color="auto" w:fill="auto"/>
            <w:noWrap w:val="0"/>
            <w:vAlign w:val="center"/>
          </w:tcPr>
          <w:p w14:paraId="1ECE4033">
            <w:pPr>
              <w:adjustRightInd w:val="0"/>
              <w:snapToGrid w:val="0"/>
              <w:jc w:val="center"/>
              <w:rPr>
                <w:rFonts w:hint="default" w:cs="宋体"/>
                <w:snapToGrid w:val="0"/>
                <w:color w:val="auto"/>
                <w:kern w:val="21"/>
                <w:sz w:val="21"/>
                <w:szCs w:val="21"/>
                <w:lang w:val="en-US" w:eastAsia="zh-CN"/>
              </w:rPr>
            </w:pPr>
            <w:r>
              <w:rPr>
                <w:rFonts w:hint="eastAsia" w:cs="宋体"/>
                <w:snapToGrid w:val="0"/>
                <w:color w:val="auto"/>
                <w:kern w:val="21"/>
                <w:sz w:val="21"/>
                <w:szCs w:val="21"/>
                <w:lang w:val="en-US" w:eastAsia="zh-CN"/>
              </w:rPr>
              <w:t>喷粉废料（</w:t>
            </w:r>
            <w:r>
              <w:rPr>
                <w:rFonts w:ascii="Times New Roman" w:hAnsi="Times New Roman" w:eastAsia="宋体" w:cs="宋体"/>
                <w:snapToGrid w:val="0"/>
                <w:color w:val="auto"/>
                <w:kern w:val="21"/>
                <w:sz w:val="21"/>
                <w:szCs w:val="21"/>
              </w:rPr>
              <w:t>吨/年</w:t>
            </w:r>
            <w:r>
              <w:rPr>
                <w:rFonts w:hint="eastAsia" w:cs="宋体"/>
                <w:snapToGrid w:val="0"/>
                <w:color w:val="auto"/>
                <w:kern w:val="21"/>
                <w:sz w:val="21"/>
                <w:szCs w:val="21"/>
                <w:lang w:val="en-US" w:eastAsia="zh-CN"/>
              </w:rPr>
              <w:t>）</w:t>
            </w:r>
          </w:p>
        </w:tc>
        <w:tc>
          <w:tcPr>
            <w:tcW w:w="1604" w:type="dxa"/>
            <w:shd w:val="clear" w:color="auto" w:fill="auto"/>
            <w:noWrap w:val="0"/>
            <w:vAlign w:val="center"/>
          </w:tcPr>
          <w:p w14:paraId="4977DE50">
            <w:pPr>
              <w:adjustRightInd w:val="0"/>
              <w:snapToGrid w:val="0"/>
              <w:jc w:val="center"/>
              <w:rPr>
                <w:rFonts w:ascii="Times New Roman" w:hAnsi="Times New Roman" w:eastAsia="宋体" w:cs="宋体"/>
                <w:snapToGrid w:val="0"/>
                <w:color w:val="auto"/>
                <w:kern w:val="21"/>
                <w:sz w:val="21"/>
                <w:szCs w:val="21"/>
                <w:lang w:val="en-US" w:eastAsia="zh-CN" w:bidi="ar-SA"/>
              </w:rPr>
            </w:pPr>
          </w:p>
        </w:tc>
        <w:tc>
          <w:tcPr>
            <w:tcW w:w="1094" w:type="dxa"/>
            <w:shd w:val="clear" w:color="auto" w:fill="auto"/>
            <w:noWrap w:val="0"/>
            <w:vAlign w:val="center"/>
          </w:tcPr>
          <w:p w14:paraId="30E69331">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480" w:type="dxa"/>
            <w:shd w:val="clear" w:color="auto" w:fill="auto"/>
            <w:noWrap w:val="0"/>
            <w:vAlign w:val="center"/>
          </w:tcPr>
          <w:p w14:paraId="5DD3E305">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642" w:type="dxa"/>
            <w:shd w:val="clear" w:color="auto" w:fill="auto"/>
            <w:noWrap w:val="0"/>
            <w:vAlign w:val="center"/>
          </w:tcPr>
          <w:p w14:paraId="5B2211F8">
            <w:pPr>
              <w:adjustRightInd w:val="0"/>
              <w:snapToGrid w:val="0"/>
              <w:jc w:val="center"/>
              <w:rPr>
                <w:rFonts w:hint="default" w:cs="宋体"/>
                <w:color w:val="auto"/>
                <w:kern w:val="2"/>
                <w:sz w:val="21"/>
                <w:szCs w:val="21"/>
                <w:lang w:val="en-US" w:eastAsia="zh-CN" w:bidi="ar-SA"/>
              </w:rPr>
            </w:pPr>
            <w:r>
              <w:rPr>
                <w:rFonts w:hint="eastAsia" w:cs="宋体"/>
                <w:color w:val="auto"/>
                <w:kern w:val="2"/>
                <w:sz w:val="21"/>
                <w:szCs w:val="21"/>
                <w:lang w:val="en-US" w:eastAsia="zh-CN" w:bidi="ar-SA"/>
              </w:rPr>
              <w:t>0.63</w:t>
            </w:r>
          </w:p>
        </w:tc>
        <w:tc>
          <w:tcPr>
            <w:tcW w:w="1315" w:type="dxa"/>
            <w:shd w:val="clear" w:color="auto" w:fill="auto"/>
            <w:noWrap w:val="0"/>
            <w:vAlign w:val="center"/>
          </w:tcPr>
          <w:p w14:paraId="2622061E">
            <w:pPr>
              <w:spacing w:beforeLines="0" w:afterLines="0" w:line="240" w:lineRule="auto"/>
              <w:rPr>
                <w:rFonts w:hint="eastAsia" w:ascii="Times New Roman" w:hAnsi="Times New Roman" w:eastAsia="宋体" w:cs="宋体"/>
                <w:snapToGrid w:val="0"/>
                <w:color w:val="auto"/>
                <w:kern w:val="21"/>
                <w:sz w:val="21"/>
                <w:szCs w:val="21"/>
                <w:lang w:val="en-US" w:eastAsia="zh-CN" w:bidi="ar-SA"/>
              </w:rPr>
            </w:pPr>
          </w:p>
        </w:tc>
        <w:tc>
          <w:tcPr>
            <w:tcW w:w="1873" w:type="dxa"/>
            <w:shd w:val="clear" w:color="auto" w:fill="auto"/>
            <w:noWrap w:val="0"/>
            <w:vAlign w:val="center"/>
          </w:tcPr>
          <w:p w14:paraId="5F496F22">
            <w:pPr>
              <w:adjustRightInd w:val="0"/>
              <w:snapToGrid w:val="0"/>
              <w:jc w:val="center"/>
              <w:rPr>
                <w:rFonts w:hint="eastAsia" w:cs="宋体"/>
                <w:color w:val="auto"/>
                <w:kern w:val="2"/>
                <w:sz w:val="21"/>
                <w:szCs w:val="21"/>
                <w:lang w:val="en-US" w:eastAsia="zh-CN" w:bidi="ar-SA"/>
              </w:rPr>
            </w:pPr>
            <w:r>
              <w:rPr>
                <w:rFonts w:hint="eastAsia" w:cs="宋体"/>
                <w:color w:val="auto"/>
                <w:kern w:val="2"/>
                <w:sz w:val="21"/>
                <w:szCs w:val="21"/>
                <w:lang w:val="en-US" w:eastAsia="zh-CN" w:bidi="ar-SA"/>
              </w:rPr>
              <w:t>0.63</w:t>
            </w:r>
          </w:p>
        </w:tc>
        <w:tc>
          <w:tcPr>
            <w:tcW w:w="1029" w:type="dxa"/>
            <w:shd w:val="clear" w:color="auto" w:fill="auto"/>
            <w:noWrap w:val="0"/>
            <w:vAlign w:val="center"/>
          </w:tcPr>
          <w:p w14:paraId="2C30226E">
            <w:pPr>
              <w:adjustRightInd w:val="0"/>
              <w:snapToGrid w:val="0"/>
              <w:jc w:val="center"/>
              <w:rPr>
                <w:rFonts w:hint="eastAsia" w:cs="宋体"/>
                <w:color w:val="auto"/>
                <w:kern w:val="2"/>
                <w:sz w:val="21"/>
                <w:szCs w:val="21"/>
                <w:lang w:val="en-US" w:eastAsia="zh-CN" w:bidi="ar-SA"/>
              </w:rPr>
            </w:pPr>
            <w:r>
              <w:rPr>
                <w:rFonts w:hint="eastAsia" w:cs="宋体"/>
                <w:color w:val="auto"/>
                <w:kern w:val="2"/>
                <w:sz w:val="21"/>
                <w:szCs w:val="21"/>
                <w:lang w:val="en-US" w:eastAsia="zh-CN" w:bidi="ar-SA"/>
              </w:rPr>
              <w:t>+0.63</w:t>
            </w:r>
          </w:p>
        </w:tc>
      </w:tr>
      <w:tr w14:paraId="0A6140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3" w:type="dxa"/>
            <w:vMerge w:val="continue"/>
            <w:noWrap w:val="0"/>
            <w:vAlign w:val="center"/>
          </w:tcPr>
          <w:p w14:paraId="082D553F">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shd w:val="clear" w:color="auto" w:fill="auto"/>
            <w:noWrap w:val="0"/>
            <w:vAlign w:val="center"/>
          </w:tcPr>
          <w:p w14:paraId="4439C91D">
            <w:pPr>
              <w:adjustRightInd w:val="0"/>
              <w:snapToGrid w:val="0"/>
              <w:jc w:val="center"/>
              <w:rPr>
                <w:rFonts w:hint="eastAsia" w:ascii="Times New Roman" w:hAnsi="Times New Roman" w:eastAsia="宋体" w:cs="宋体"/>
                <w:color w:val="auto"/>
                <w:sz w:val="21"/>
                <w:szCs w:val="21"/>
                <w:lang w:val="en-US" w:eastAsia="zh-CN"/>
              </w:rPr>
            </w:pPr>
            <w:r>
              <w:rPr>
                <w:rFonts w:hint="eastAsia" w:cs="宋体"/>
                <w:snapToGrid w:val="0"/>
                <w:color w:val="auto"/>
                <w:kern w:val="21"/>
                <w:sz w:val="21"/>
                <w:szCs w:val="21"/>
                <w:lang w:val="en-US" w:eastAsia="zh-CN"/>
              </w:rPr>
              <w:t>焊渣</w:t>
            </w:r>
            <w:r>
              <w:rPr>
                <w:rFonts w:ascii="Times New Roman" w:hAnsi="Times New Roman" w:eastAsia="宋体" w:cs="宋体"/>
                <w:snapToGrid w:val="0"/>
                <w:color w:val="auto"/>
                <w:kern w:val="21"/>
                <w:sz w:val="21"/>
                <w:szCs w:val="21"/>
              </w:rPr>
              <w:t>（吨/年）</w:t>
            </w:r>
          </w:p>
        </w:tc>
        <w:tc>
          <w:tcPr>
            <w:tcW w:w="1604" w:type="dxa"/>
            <w:shd w:val="clear" w:color="auto" w:fill="auto"/>
            <w:noWrap w:val="0"/>
            <w:vAlign w:val="center"/>
          </w:tcPr>
          <w:p w14:paraId="649DAA61">
            <w:pPr>
              <w:adjustRightInd w:val="0"/>
              <w:snapToGrid w:val="0"/>
              <w:jc w:val="center"/>
              <w:rPr>
                <w:rFonts w:ascii="Times New Roman" w:hAnsi="Times New Roman" w:eastAsia="宋体" w:cs="宋体"/>
                <w:snapToGrid w:val="0"/>
                <w:color w:val="auto"/>
                <w:kern w:val="21"/>
                <w:sz w:val="21"/>
                <w:szCs w:val="21"/>
                <w:lang w:val="en-US" w:eastAsia="zh-CN" w:bidi="ar-SA"/>
              </w:rPr>
            </w:pPr>
          </w:p>
        </w:tc>
        <w:tc>
          <w:tcPr>
            <w:tcW w:w="1094" w:type="dxa"/>
            <w:shd w:val="clear" w:color="auto" w:fill="auto"/>
            <w:noWrap w:val="0"/>
            <w:vAlign w:val="center"/>
          </w:tcPr>
          <w:p w14:paraId="7D7D0789">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480" w:type="dxa"/>
            <w:shd w:val="clear" w:color="auto" w:fill="auto"/>
            <w:noWrap w:val="0"/>
            <w:vAlign w:val="center"/>
          </w:tcPr>
          <w:p w14:paraId="656F3A46">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642" w:type="dxa"/>
            <w:shd w:val="clear" w:color="auto" w:fill="auto"/>
            <w:noWrap w:val="0"/>
            <w:vAlign w:val="center"/>
          </w:tcPr>
          <w:p w14:paraId="79A794AE">
            <w:pPr>
              <w:adjustRightInd w:val="0"/>
              <w:snapToGrid w:val="0"/>
              <w:jc w:val="center"/>
              <w:rPr>
                <w:rFonts w:hint="eastAsia" w:eastAsia="宋体"/>
                <w:color w:val="auto"/>
                <w:lang w:val="en-US" w:eastAsia="zh-CN"/>
              </w:rPr>
            </w:pPr>
            <w:r>
              <w:rPr>
                <w:rFonts w:hint="eastAsia"/>
                <w:color w:val="auto"/>
                <w:lang w:val="en-US" w:eastAsia="zh-CN"/>
              </w:rPr>
              <w:t>2</w:t>
            </w:r>
          </w:p>
        </w:tc>
        <w:tc>
          <w:tcPr>
            <w:tcW w:w="1315" w:type="dxa"/>
            <w:shd w:val="clear" w:color="auto" w:fill="auto"/>
            <w:noWrap w:val="0"/>
            <w:vAlign w:val="center"/>
          </w:tcPr>
          <w:p w14:paraId="43C443B2">
            <w:pPr>
              <w:tabs>
                <w:tab w:val="center" w:pos="774"/>
              </w:tabs>
              <w:spacing w:beforeLines="0" w:afterLines="0" w:line="240" w:lineRule="auto"/>
              <w:rPr>
                <w:rFonts w:hint="eastAsia" w:ascii="Times New Roman" w:hAnsi="Times New Roman" w:eastAsia="宋体" w:cs="宋体"/>
                <w:snapToGrid w:val="0"/>
                <w:color w:val="auto"/>
                <w:kern w:val="21"/>
                <w:sz w:val="21"/>
                <w:szCs w:val="21"/>
                <w:lang w:val="en-US" w:eastAsia="zh-CN" w:bidi="ar-SA"/>
              </w:rPr>
            </w:pPr>
          </w:p>
        </w:tc>
        <w:tc>
          <w:tcPr>
            <w:tcW w:w="1873" w:type="dxa"/>
            <w:shd w:val="clear" w:color="auto" w:fill="auto"/>
            <w:noWrap w:val="0"/>
            <w:vAlign w:val="center"/>
          </w:tcPr>
          <w:p w14:paraId="7BBBCE2D">
            <w:pPr>
              <w:adjustRightInd w:val="0"/>
              <w:snapToGrid w:val="0"/>
              <w:jc w:val="center"/>
              <w:rPr>
                <w:rFonts w:hint="eastAsia"/>
                <w:color w:val="auto"/>
              </w:rPr>
            </w:pPr>
            <w:r>
              <w:rPr>
                <w:rFonts w:hint="eastAsia"/>
                <w:color w:val="auto"/>
                <w:lang w:val="en-US" w:eastAsia="zh-CN"/>
              </w:rPr>
              <w:t>2</w:t>
            </w:r>
          </w:p>
        </w:tc>
        <w:tc>
          <w:tcPr>
            <w:tcW w:w="1029" w:type="dxa"/>
            <w:shd w:val="clear" w:color="auto" w:fill="auto"/>
            <w:noWrap w:val="0"/>
            <w:vAlign w:val="center"/>
          </w:tcPr>
          <w:p w14:paraId="24C81200">
            <w:pPr>
              <w:adjustRightInd w:val="0"/>
              <w:snapToGrid w:val="0"/>
              <w:jc w:val="center"/>
              <w:rPr>
                <w:rFonts w:hint="eastAsia"/>
                <w:color w:val="auto"/>
                <w:lang w:val="en-US" w:eastAsia="zh-CN"/>
              </w:rPr>
            </w:pPr>
            <w:r>
              <w:rPr>
                <w:rFonts w:hint="eastAsia"/>
                <w:color w:val="auto"/>
                <w:lang w:val="en-US" w:eastAsia="zh-CN"/>
              </w:rPr>
              <w:t>+2</w:t>
            </w:r>
          </w:p>
        </w:tc>
      </w:tr>
      <w:tr w14:paraId="073272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83" w:type="dxa"/>
            <w:vMerge w:val="restart"/>
            <w:noWrap w:val="0"/>
            <w:vAlign w:val="center"/>
          </w:tcPr>
          <w:p w14:paraId="73C659C1">
            <w:pPr>
              <w:pStyle w:val="57"/>
              <w:spacing w:beforeLines="0" w:afterLines="0" w:line="240" w:lineRule="auto"/>
              <w:rPr>
                <w:rFonts w:ascii="Times New Roman" w:hAnsi="Times New Roman" w:eastAsia="宋体" w:cs="宋体"/>
                <w:snapToGrid w:val="0"/>
                <w:color w:val="auto"/>
                <w:kern w:val="21"/>
                <w:sz w:val="21"/>
                <w:szCs w:val="21"/>
                <w:lang w:val="en-US" w:eastAsia="zh-CN"/>
              </w:rPr>
            </w:pPr>
            <w:r>
              <w:rPr>
                <w:rFonts w:ascii="Times New Roman" w:hAnsi="Times New Roman" w:eastAsia="宋体" w:cs="宋体"/>
                <w:snapToGrid w:val="0"/>
                <w:color w:val="auto"/>
                <w:kern w:val="21"/>
                <w:sz w:val="21"/>
                <w:szCs w:val="21"/>
                <w:lang w:val="en-US" w:eastAsia="zh-CN"/>
              </w:rPr>
              <w:t>危险废物</w:t>
            </w:r>
          </w:p>
        </w:tc>
        <w:tc>
          <w:tcPr>
            <w:tcW w:w="2795" w:type="dxa"/>
            <w:noWrap w:val="0"/>
            <w:vAlign w:val="center"/>
          </w:tcPr>
          <w:p w14:paraId="0BDA3C39">
            <w:pPr>
              <w:adjustRightInd w:val="0"/>
              <w:snapToGrid w:val="0"/>
              <w:jc w:val="center"/>
              <w:rPr>
                <w:rFonts w:ascii="Times New Roman" w:hAnsi="Times New Roman" w:eastAsia="宋体" w:cs="宋体"/>
                <w:snapToGrid w:val="0"/>
                <w:color w:val="auto"/>
                <w:kern w:val="21"/>
                <w:sz w:val="21"/>
                <w:szCs w:val="21"/>
              </w:rPr>
            </w:pPr>
            <w:r>
              <w:rPr>
                <w:rFonts w:hint="eastAsia" w:ascii="Times New Roman" w:hAnsi="Times New Roman" w:eastAsia="宋体" w:cs="宋体"/>
                <w:color w:val="auto"/>
                <w:sz w:val="21"/>
                <w:szCs w:val="21"/>
              </w:rPr>
              <w:t>废</w:t>
            </w:r>
            <w:r>
              <w:rPr>
                <w:rFonts w:hint="eastAsia" w:cs="宋体"/>
                <w:color w:val="auto"/>
                <w:sz w:val="21"/>
                <w:szCs w:val="21"/>
                <w:lang w:val="en-US" w:eastAsia="zh-CN"/>
              </w:rPr>
              <w:t>化学品</w:t>
            </w:r>
            <w:r>
              <w:rPr>
                <w:rFonts w:hint="eastAsia" w:ascii="Times New Roman" w:hAnsi="Times New Roman" w:eastAsia="宋体" w:cs="宋体"/>
                <w:color w:val="auto"/>
                <w:sz w:val="21"/>
                <w:szCs w:val="21"/>
              </w:rPr>
              <w:t>包装物</w:t>
            </w:r>
            <w:r>
              <w:rPr>
                <w:rFonts w:ascii="Times New Roman" w:hAnsi="Times New Roman" w:eastAsia="宋体" w:cs="宋体"/>
                <w:snapToGrid w:val="0"/>
                <w:color w:val="auto"/>
                <w:kern w:val="21"/>
                <w:sz w:val="21"/>
                <w:szCs w:val="21"/>
              </w:rPr>
              <w:t>（吨/年）</w:t>
            </w:r>
          </w:p>
        </w:tc>
        <w:tc>
          <w:tcPr>
            <w:tcW w:w="1604" w:type="dxa"/>
            <w:noWrap w:val="0"/>
            <w:vAlign w:val="center"/>
          </w:tcPr>
          <w:p w14:paraId="0FB5067E">
            <w:pPr>
              <w:jc w:val="center"/>
              <w:rPr>
                <w:rFonts w:hint="default" w:ascii="Times New Roman" w:hAnsi="Times New Roman" w:eastAsia="宋体" w:cs="宋体"/>
                <w:snapToGrid w:val="0"/>
                <w:color w:val="auto"/>
                <w:kern w:val="21"/>
                <w:sz w:val="21"/>
                <w:szCs w:val="21"/>
                <w:lang w:val="en-US" w:eastAsia="zh-CN"/>
              </w:rPr>
            </w:pPr>
          </w:p>
        </w:tc>
        <w:tc>
          <w:tcPr>
            <w:tcW w:w="1094" w:type="dxa"/>
            <w:noWrap w:val="0"/>
            <w:vAlign w:val="center"/>
          </w:tcPr>
          <w:p w14:paraId="3F91A08E">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480" w:type="dxa"/>
            <w:noWrap w:val="0"/>
            <w:vAlign w:val="center"/>
          </w:tcPr>
          <w:p w14:paraId="2ED7176C">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642" w:type="dxa"/>
            <w:noWrap w:val="0"/>
            <w:vAlign w:val="center"/>
          </w:tcPr>
          <w:p w14:paraId="403A8C25">
            <w:pPr>
              <w:adjustRightInd w:val="0"/>
              <w:snapToGrid w:val="0"/>
              <w:jc w:val="center"/>
              <w:rPr>
                <w:rFonts w:hint="default" w:ascii="Times New Roman" w:hAnsi="Times New Roman" w:eastAsia="宋体" w:cs="宋体"/>
                <w:snapToGrid w:val="0"/>
                <w:color w:val="auto"/>
                <w:kern w:val="21"/>
                <w:sz w:val="21"/>
                <w:szCs w:val="21"/>
                <w:lang w:val="en-US" w:eastAsia="zh-CN"/>
              </w:rPr>
            </w:pPr>
            <w:r>
              <w:rPr>
                <w:rFonts w:hint="eastAsia" w:cs="宋体"/>
                <w:snapToGrid w:val="0"/>
                <w:color w:val="auto"/>
                <w:kern w:val="21"/>
                <w:sz w:val="21"/>
                <w:szCs w:val="21"/>
                <w:lang w:val="en-US" w:eastAsia="zh-CN"/>
              </w:rPr>
              <w:t>2</w:t>
            </w:r>
          </w:p>
        </w:tc>
        <w:tc>
          <w:tcPr>
            <w:tcW w:w="1315" w:type="dxa"/>
            <w:noWrap w:val="0"/>
            <w:vAlign w:val="center"/>
          </w:tcPr>
          <w:p w14:paraId="01F72928">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873" w:type="dxa"/>
            <w:noWrap w:val="0"/>
            <w:vAlign w:val="center"/>
          </w:tcPr>
          <w:p w14:paraId="53D6160E">
            <w:pPr>
              <w:adjustRightInd w:val="0"/>
              <w:snapToGrid w:val="0"/>
              <w:jc w:val="center"/>
              <w:rPr>
                <w:rFonts w:hint="default" w:ascii="Times New Roman" w:hAnsi="Times New Roman" w:eastAsia="宋体" w:cs="宋体"/>
                <w:snapToGrid w:val="0"/>
                <w:color w:val="auto"/>
                <w:kern w:val="21"/>
                <w:sz w:val="21"/>
                <w:szCs w:val="21"/>
                <w:lang w:val="en-US" w:eastAsia="zh-CN" w:bidi="ar-SA"/>
              </w:rPr>
            </w:pPr>
            <w:r>
              <w:rPr>
                <w:rFonts w:hint="eastAsia" w:cs="宋体"/>
                <w:snapToGrid w:val="0"/>
                <w:color w:val="auto"/>
                <w:kern w:val="21"/>
                <w:sz w:val="21"/>
                <w:szCs w:val="21"/>
                <w:lang w:val="en-US" w:eastAsia="zh-CN"/>
              </w:rPr>
              <w:t>2</w:t>
            </w:r>
          </w:p>
        </w:tc>
        <w:tc>
          <w:tcPr>
            <w:tcW w:w="1029" w:type="dxa"/>
            <w:noWrap w:val="0"/>
            <w:vAlign w:val="center"/>
          </w:tcPr>
          <w:p w14:paraId="13C63DE2">
            <w:pPr>
              <w:adjustRightInd w:val="0"/>
              <w:snapToGrid w:val="0"/>
              <w:jc w:val="center"/>
              <w:rPr>
                <w:rFonts w:hint="default" w:ascii="Times New Roman" w:hAnsi="Times New Roman" w:eastAsia="宋体" w:cs="宋体"/>
                <w:snapToGrid w:val="0"/>
                <w:color w:val="auto"/>
                <w:kern w:val="21"/>
                <w:sz w:val="21"/>
                <w:szCs w:val="21"/>
                <w:lang w:val="en-US" w:eastAsia="zh-CN" w:bidi="ar-SA"/>
              </w:rPr>
            </w:pPr>
            <w:r>
              <w:rPr>
                <w:rFonts w:hint="eastAsia" w:cs="宋体"/>
                <w:snapToGrid w:val="0"/>
                <w:color w:val="auto"/>
                <w:kern w:val="21"/>
                <w:sz w:val="21"/>
                <w:szCs w:val="21"/>
                <w:lang w:val="en-US" w:eastAsia="zh-CN"/>
              </w:rPr>
              <w:t>+2</w:t>
            </w:r>
          </w:p>
        </w:tc>
      </w:tr>
      <w:tr w14:paraId="009E26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3" w:type="dxa"/>
            <w:vMerge w:val="continue"/>
            <w:noWrap w:val="0"/>
            <w:vAlign w:val="center"/>
          </w:tcPr>
          <w:p w14:paraId="158A9FB9">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noWrap w:val="0"/>
            <w:vAlign w:val="center"/>
          </w:tcPr>
          <w:p w14:paraId="60FF07D1">
            <w:pPr>
              <w:adjustRightInd w:val="0"/>
              <w:snapToGrid w:val="0"/>
              <w:jc w:val="center"/>
              <w:rPr>
                <w:rFonts w:ascii="Times New Roman" w:hAnsi="Times New Roman" w:eastAsia="宋体" w:cs="宋体"/>
                <w:snapToGrid w:val="0"/>
                <w:color w:val="auto"/>
                <w:kern w:val="21"/>
                <w:sz w:val="21"/>
                <w:szCs w:val="21"/>
              </w:rPr>
            </w:pPr>
            <w:r>
              <w:rPr>
                <w:rFonts w:hint="eastAsia" w:ascii="Times New Roman" w:hAnsi="Times New Roman" w:eastAsia="宋体" w:cs="宋体"/>
                <w:color w:val="auto"/>
                <w:sz w:val="21"/>
                <w:szCs w:val="21"/>
              </w:rPr>
              <w:t>表面处理水槽沉渣</w:t>
            </w:r>
            <w:r>
              <w:rPr>
                <w:rFonts w:ascii="Times New Roman" w:hAnsi="Times New Roman" w:eastAsia="宋体" w:cs="宋体"/>
                <w:snapToGrid w:val="0"/>
                <w:color w:val="auto"/>
                <w:kern w:val="21"/>
                <w:sz w:val="21"/>
                <w:szCs w:val="21"/>
              </w:rPr>
              <w:t>（吨/年）</w:t>
            </w:r>
          </w:p>
        </w:tc>
        <w:tc>
          <w:tcPr>
            <w:tcW w:w="1604" w:type="dxa"/>
            <w:noWrap w:val="0"/>
            <w:vAlign w:val="center"/>
          </w:tcPr>
          <w:p w14:paraId="57EEB47F">
            <w:pPr>
              <w:jc w:val="center"/>
              <w:rPr>
                <w:rFonts w:hint="default" w:ascii="Times New Roman" w:hAnsi="Times New Roman" w:eastAsia="宋体" w:cs="宋体"/>
                <w:snapToGrid w:val="0"/>
                <w:color w:val="auto"/>
                <w:kern w:val="21"/>
                <w:sz w:val="21"/>
                <w:szCs w:val="21"/>
                <w:lang w:val="en-US" w:eastAsia="zh-CN"/>
              </w:rPr>
            </w:pPr>
          </w:p>
        </w:tc>
        <w:tc>
          <w:tcPr>
            <w:tcW w:w="1094" w:type="dxa"/>
            <w:noWrap w:val="0"/>
            <w:vAlign w:val="center"/>
          </w:tcPr>
          <w:p w14:paraId="3A486911">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480" w:type="dxa"/>
            <w:noWrap w:val="0"/>
            <w:vAlign w:val="center"/>
          </w:tcPr>
          <w:p w14:paraId="459DAC3B">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642" w:type="dxa"/>
            <w:noWrap w:val="0"/>
            <w:vAlign w:val="center"/>
          </w:tcPr>
          <w:p w14:paraId="653CB58B">
            <w:pPr>
              <w:adjustRightInd w:val="0"/>
              <w:snapToGrid w:val="0"/>
              <w:jc w:val="center"/>
              <w:rPr>
                <w:rFonts w:hint="default" w:ascii="Times New Roman" w:hAnsi="Times New Roman" w:eastAsia="宋体" w:cs="宋体"/>
                <w:snapToGrid w:val="0"/>
                <w:color w:val="auto"/>
                <w:kern w:val="21"/>
                <w:sz w:val="21"/>
                <w:szCs w:val="21"/>
                <w:lang w:val="en-US" w:eastAsia="zh-CN"/>
              </w:rPr>
            </w:pPr>
            <w:r>
              <w:rPr>
                <w:rFonts w:hint="eastAsia" w:cs="宋体"/>
                <w:snapToGrid w:val="0"/>
                <w:color w:val="auto"/>
                <w:kern w:val="21"/>
                <w:sz w:val="21"/>
                <w:szCs w:val="21"/>
                <w:lang w:val="en-US" w:eastAsia="zh-CN"/>
              </w:rPr>
              <w:t>1</w:t>
            </w:r>
          </w:p>
        </w:tc>
        <w:tc>
          <w:tcPr>
            <w:tcW w:w="1315" w:type="dxa"/>
            <w:noWrap w:val="0"/>
            <w:vAlign w:val="center"/>
          </w:tcPr>
          <w:p w14:paraId="33578C5C">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873" w:type="dxa"/>
            <w:noWrap w:val="0"/>
            <w:vAlign w:val="center"/>
          </w:tcPr>
          <w:p w14:paraId="44C2FDCA">
            <w:pPr>
              <w:adjustRightInd w:val="0"/>
              <w:snapToGrid w:val="0"/>
              <w:jc w:val="center"/>
              <w:rPr>
                <w:rFonts w:hint="default" w:ascii="Times New Roman" w:hAnsi="Times New Roman" w:eastAsia="宋体" w:cs="宋体"/>
                <w:snapToGrid w:val="0"/>
                <w:color w:val="auto"/>
                <w:kern w:val="21"/>
                <w:sz w:val="21"/>
                <w:szCs w:val="21"/>
                <w:lang w:val="en-US" w:eastAsia="zh-CN" w:bidi="ar-SA"/>
              </w:rPr>
            </w:pPr>
            <w:r>
              <w:rPr>
                <w:rFonts w:hint="eastAsia" w:cs="宋体"/>
                <w:snapToGrid w:val="0"/>
                <w:color w:val="auto"/>
                <w:kern w:val="21"/>
                <w:sz w:val="21"/>
                <w:szCs w:val="21"/>
                <w:lang w:val="en-US" w:eastAsia="zh-CN"/>
              </w:rPr>
              <w:t>1</w:t>
            </w:r>
          </w:p>
        </w:tc>
        <w:tc>
          <w:tcPr>
            <w:tcW w:w="1029" w:type="dxa"/>
            <w:noWrap w:val="0"/>
            <w:vAlign w:val="center"/>
          </w:tcPr>
          <w:p w14:paraId="3A05BA93">
            <w:pPr>
              <w:adjustRightInd w:val="0"/>
              <w:snapToGrid w:val="0"/>
              <w:jc w:val="center"/>
              <w:rPr>
                <w:rFonts w:hint="default" w:ascii="Times New Roman" w:hAnsi="Times New Roman" w:eastAsia="宋体" w:cs="宋体"/>
                <w:snapToGrid w:val="0"/>
                <w:color w:val="auto"/>
                <w:kern w:val="21"/>
                <w:sz w:val="21"/>
                <w:szCs w:val="21"/>
                <w:lang w:val="en-US" w:eastAsia="zh-CN" w:bidi="ar-SA"/>
              </w:rPr>
            </w:pPr>
            <w:r>
              <w:rPr>
                <w:rFonts w:hint="eastAsia" w:cs="宋体"/>
                <w:snapToGrid w:val="0"/>
                <w:color w:val="auto"/>
                <w:kern w:val="21"/>
                <w:sz w:val="21"/>
                <w:szCs w:val="21"/>
                <w:lang w:val="en-US" w:eastAsia="zh-CN"/>
              </w:rPr>
              <w:t>+1</w:t>
            </w:r>
          </w:p>
        </w:tc>
      </w:tr>
      <w:tr w14:paraId="2F0AE1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3" w:type="dxa"/>
            <w:vMerge w:val="continue"/>
            <w:noWrap w:val="0"/>
            <w:vAlign w:val="center"/>
          </w:tcPr>
          <w:p w14:paraId="5FFA6C34">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noWrap w:val="0"/>
            <w:vAlign w:val="center"/>
          </w:tcPr>
          <w:p w14:paraId="7CD9D3C0">
            <w:pPr>
              <w:adjustRightInd w:val="0"/>
              <w:snapToGrid w:val="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电泳槽渣</w:t>
            </w:r>
            <w:r>
              <w:rPr>
                <w:rFonts w:ascii="Times New Roman" w:hAnsi="Times New Roman" w:eastAsia="宋体" w:cs="宋体"/>
                <w:snapToGrid w:val="0"/>
                <w:color w:val="auto"/>
                <w:kern w:val="21"/>
                <w:sz w:val="21"/>
                <w:szCs w:val="21"/>
              </w:rPr>
              <w:t>（吨/年）</w:t>
            </w:r>
          </w:p>
        </w:tc>
        <w:tc>
          <w:tcPr>
            <w:tcW w:w="1604" w:type="dxa"/>
            <w:noWrap w:val="0"/>
            <w:vAlign w:val="center"/>
          </w:tcPr>
          <w:p w14:paraId="766BA8EE">
            <w:pPr>
              <w:jc w:val="center"/>
              <w:rPr>
                <w:rFonts w:hint="default" w:ascii="Times New Roman" w:hAnsi="Times New Roman" w:eastAsia="宋体" w:cs="宋体"/>
                <w:snapToGrid w:val="0"/>
                <w:color w:val="auto"/>
                <w:kern w:val="21"/>
                <w:sz w:val="21"/>
                <w:szCs w:val="21"/>
                <w:lang w:val="en-US" w:eastAsia="zh-CN"/>
              </w:rPr>
            </w:pPr>
          </w:p>
        </w:tc>
        <w:tc>
          <w:tcPr>
            <w:tcW w:w="1094" w:type="dxa"/>
            <w:noWrap w:val="0"/>
            <w:vAlign w:val="center"/>
          </w:tcPr>
          <w:p w14:paraId="772076E9">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480" w:type="dxa"/>
            <w:noWrap w:val="0"/>
            <w:vAlign w:val="center"/>
          </w:tcPr>
          <w:p w14:paraId="3C1DC361">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642" w:type="dxa"/>
            <w:noWrap w:val="0"/>
            <w:vAlign w:val="center"/>
          </w:tcPr>
          <w:p w14:paraId="056FCB2E">
            <w:pPr>
              <w:adjustRightInd w:val="0"/>
              <w:snapToGrid w:val="0"/>
              <w:jc w:val="center"/>
              <w:rPr>
                <w:rFonts w:hint="default" w:cs="宋体"/>
                <w:snapToGrid w:val="0"/>
                <w:color w:val="auto"/>
                <w:kern w:val="21"/>
                <w:sz w:val="21"/>
                <w:szCs w:val="21"/>
                <w:lang w:val="en-US" w:eastAsia="zh-CN"/>
              </w:rPr>
            </w:pPr>
            <w:r>
              <w:rPr>
                <w:rFonts w:hint="eastAsia" w:cs="宋体"/>
                <w:snapToGrid w:val="0"/>
                <w:color w:val="auto"/>
                <w:kern w:val="21"/>
                <w:sz w:val="21"/>
                <w:szCs w:val="21"/>
                <w:lang w:val="en-US" w:eastAsia="zh-CN"/>
              </w:rPr>
              <w:t>0.95</w:t>
            </w:r>
          </w:p>
        </w:tc>
        <w:tc>
          <w:tcPr>
            <w:tcW w:w="1315" w:type="dxa"/>
            <w:noWrap w:val="0"/>
            <w:vAlign w:val="center"/>
          </w:tcPr>
          <w:p w14:paraId="58ECB8B3">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873" w:type="dxa"/>
            <w:noWrap w:val="0"/>
            <w:vAlign w:val="center"/>
          </w:tcPr>
          <w:p w14:paraId="35AAE7C8">
            <w:pPr>
              <w:adjustRightInd w:val="0"/>
              <w:snapToGrid w:val="0"/>
              <w:jc w:val="center"/>
              <w:rPr>
                <w:rFonts w:hint="eastAsia" w:cs="宋体"/>
                <w:snapToGrid w:val="0"/>
                <w:color w:val="auto"/>
                <w:kern w:val="21"/>
                <w:sz w:val="21"/>
                <w:szCs w:val="21"/>
                <w:lang w:val="en-US" w:eastAsia="zh-CN"/>
              </w:rPr>
            </w:pPr>
            <w:r>
              <w:rPr>
                <w:rFonts w:hint="eastAsia" w:cs="宋体"/>
                <w:snapToGrid w:val="0"/>
                <w:color w:val="auto"/>
                <w:kern w:val="21"/>
                <w:sz w:val="21"/>
                <w:szCs w:val="21"/>
                <w:lang w:val="en-US" w:eastAsia="zh-CN"/>
              </w:rPr>
              <w:t>0.95</w:t>
            </w:r>
          </w:p>
        </w:tc>
        <w:tc>
          <w:tcPr>
            <w:tcW w:w="1029" w:type="dxa"/>
            <w:noWrap w:val="0"/>
            <w:vAlign w:val="center"/>
          </w:tcPr>
          <w:p w14:paraId="2979D872">
            <w:pPr>
              <w:adjustRightInd w:val="0"/>
              <w:snapToGrid w:val="0"/>
              <w:jc w:val="center"/>
              <w:rPr>
                <w:rFonts w:hint="eastAsia" w:cs="宋体"/>
                <w:snapToGrid w:val="0"/>
                <w:color w:val="auto"/>
                <w:kern w:val="21"/>
                <w:sz w:val="21"/>
                <w:szCs w:val="21"/>
                <w:lang w:val="en-US" w:eastAsia="zh-CN"/>
              </w:rPr>
            </w:pPr>
            <w:r>
              <w:rPr>
                <w:rFonts w:hint="eastAsia" w:cs="宋体"/>
                <w:snapToGrid w:val="0"/>
                <w:color w:val="auto"/>
                <w:kern w:val="21"/>
                <w:sz w:val="21"/>
                <w:szCs w:val="21"/>
                <w:lang w:val="en-US" w:eastAsia="zh-CN"/>
              </w:rPr>
              <w:t>+0.95</w:t>
            </w:r>
          </w:p>
        </w:tc>
      </w:tr>
      <w:tr w14:paraId="55A2EB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83" w:type="dxa"/>
            <w:vMerge w:val="continue"/>
            <w:noWrap w:val="0"/>
            <w:vAlign w:val="center"/>
          </w:tcPr>
          <w:p w14:paraId="47685748">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shd w:val="clear" w:color="auto" w:fill="auto"/>
            <w:noWrap w:val="0"/>
            <w:vAlign w:val="center"/>
          </w:tcPr>
          <w:p w14:paraId="6A699FDB">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废超滤膜</w:t>
            </w:r>
            <w:r>
              <w:rPr>
                <w:rFonts w:ascii="Times New Roman" w:hAnsi="Times New Roman" w:eastAsia="宋体" w:cs="宋体"/>
                <w:snapToGrid w:val="0"/>
                <w:color w:val="auto"/>
                <w:kern w:val="21"/>
                <w:sz w:val="21"/>
                <w:szCs w:val="21"/>
              </w:rPr>
              <w:t>（吨/年）</w:t>
            </w:r>
          </w:p>
        </w:tc>
        <w:tc>
          <w:tcPr>
            <w:tcW w:w="1604" w:type="dxa"/>
            <w:noWrap w:val="0"/>
            <w:vAlign w:val="center"/>
          </w:tcPr>
          <w:p w14:paraId="76AB61FC">
            <w:pPr>
              <w:jc w:val="center"/>
              <w:rPr>
                <w:rFonts w:hint="default" w:ascii="Times New Roman" w:hAnsi="Times New Roman" w:eastAsia="宋体" w:cs="宋体"/>
                <w:snapToGrid w:val="0"/>
                <w:color w:val="auto"/>
                <w:kern w:val="21"/>
                <w:sz w:val="21"/>
                <w:szCs w:val="21"/>
                <w:lang w:val="en-US" w:eastAsia="zh-CN"/>
              </w:rPr>
            </w:pPr>
          </w:p>
        </w:tc>
        <w:tc>
          <w:tcPr>
            <w:tcW w:w="1094" w:type="dxa"/>
            <w:noWrap w:val="0"/>
            <w:vAlign w:val="center"/>
          </w:tcPr>
          <w:p w14:paraId="067DA7E0">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480" w:type="dxa"/>
            <w:noWrap w:val="0"/>
            <w:vAlign w:val="center"/>
          </w:tcPr>
          <w:p w14:paraId="2894C6E0">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642" w:type="dxa"/>
            <w:noWrap w:val="0"/>
            <w:vAlign w:val="center"/>
          </w:tcPr>
          <w:p w14:paraId="02601915">
            <w:pPr>
              <w:adjustRightInd w:val="0"/>
              <w:snapToGrid w:val="0"/>
              <w:jc w:val="center"/>
              <w:rPr>
                <w:rFonts w:hint="default" w:ascii="Times New Roman" w:hAnsi="Times New Roman" w:eastAsia="宋体" w:cs="宋体"/>
                <w:snapToGrid w:val="0"/>
                <w:color w:val="auto"/>
                <w:kern w:val="21"/>
                <w:sz w:val="21"/>
                <w:szCs w:val="21"/>
                <w:lang w:val="en-US" w:eastAsia="zh-CN"/>
              </w:rPr>
            </w:pPr>
            <w:r>
              <w:rPr>
                <w:rFonts w:hint="eastAsia" w:cs="宋体"/>
                <w:snapToGrid w:val="0"/>
                <w:color w:val="auto"/>
                <w:kern w:val="21"/>
                <w:sz w:val="21"/>
                <w:szCs w:val="21"/>
                <w:lang w:val="en-US" w:eastAsia="zh-CN"/>
              </w:rPr>
              <w:t>1</w:t>
            </w:r>
          </w:p>
        </w:tc>
        <w:tc>
          <w:tcPr>
            <w:tcW w:w="1315" w:type="dxa"/>
            <w:noWrap w:val="0"/>
            <w:vAlign w:val="center"/>
          </w:tcPr>
          <w:p w14:paraId="1B0ADB54">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873" w:type="dxa"/>
            <w:noWrap w:val="0"/>
            <w:vAlign w:val="center"/>
          </w:tcPr>
          <w:p w14:paraId="261CE5EA">
            <w:pPr>
              <w:adjustRightInd w:val="0"/>
              <w:snapToGrid w:val="0"/>
              <w:jc w:val="center"/>
              <w:rPr>
                <w:rFonts w:hint="default" w:ascii="Times New Roman" w:hAnsi="Times New Roman" w:eastAsia="宋体" w:cs="宋体"/>
                <w:snapToGrid w:val="0"/>
                <w:color w:val="auto"/>
                <w:kern w:val="21"/>
                <w:sz w:val="21"/>
                <w:szCs w:val="21"/>
                <w:lang w:val="en-US" w:eastAsia="zh-CN" w:bidi="ar-SA"/>
              </w:rPr>
            </w:pPr>
            <w:r>
              <w:rPr>
                <w:rFonts w:hint="eastAsia" w:cs="宋体"/>
                <w:snapToGrid w:val="0"/>
                <w:color w:val="auto"/>
                <w:kern w:val="21"/>
                <w:sz w:val="21"/>
                <w:szCs w:val="21"/>
                <w:lang w:val="en-US" w:eastAsia="zh-CN"/>
              </w:rPr>
              <w:t>1</w:t>
            </w:r>
          </w:p>
        </w:tc>
        <w:tc>
          <w:tcPr>
            <w:tcW w:w="1029" w:type="dxa"/>
            <w:noWrap w:val="0"/>
            <w:vAlign w:val="center"/>
          </w:tcPr>
          <w:p w14:paraId="6221E080">
            <w:pPr>
              <w:adjustRightInd w:val="0"/>
              <w:snapToGrid w:val="0"/>
              <w:jc w:val="center"/>
              <w:rPr>
                <w:rFonts w:hint="default" w:ascii="Times New Roman" w:hAnsi="Times New Roman" w:eastAsia="宋体" w:cs="宋体"/>
                <w:snapToGrid w:val="0"/>
                <w:color w:val="auto"/>
                <w:kern w:val="21"/>
                <w:sz w:val="21"/>
                <w:szCs w:val="21"/>
                <w:lang w:val="en-US" w:eastAsia="zh-CN" w:bidi="ar-SA"/>
              </w:rPr>
            </w:pPr>
            <w:r>
              <w:rPr>
                <w:rFonts w:hint="eastAsia" w:cs="宋体"/>
                <w:snapToGrid w:val="0"/>
                <w:color w:val="auto"/>
                <w:kern w:val="21"/>
                <w:sz w:val="21"/>
                <w:szCs w:val="21"/>
                <w:lang w:val="en-US" w:eastAsia="zh-CN"/>
              </w:rPr>
              <w:t>+1</w:t>
            </w:r>
          </w:p>
        </w:tc>
      </w:tr>
      <w:tr w14:paraId="5F3C94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3" w:type="dxa"/>
            <w:vMerge w:val="continue"/>
            <w:noWrap w:val="0"/>
            <w:vAlign w:val="center"/>
          </w:tcPr>
          <w:p w14:paraId="4FF82914">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shd w:val="clear" w:color="auto" w:fill="auto"/>
            <w:noWrap w:val="0"/>
            <w:vAlign w:val="center"/>
          </w:tcPr>
          <w:p w14:paraId="68C54EF0">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废矿物油</w:t>
            </w:r>
            <w:r>
              <w:rPr>
                <w:rFonts w:ascii="Times New Roman" w:hAnsi="Times New Roman" w:eastAsia="宋体" w:cs="宋体"/>
                <w:snapToGrid w:val="0"/>
                <w:color w:val="auto"/>
                <w:kern w:val="21"/>
                <w:sz w:val="21"/>
                <w:szCs w:val="21"/>
              </w:rPr>
              <w:t>（吨/年）</w:t>
            </w:r>
          </w:p>
        </w:tc>
        <w:tc>
          <w:tcPr>
            <w:tcW w:w="1604" w:type="dxa"/>
            <w:noWrap w:val="0"/>
            <w:vAlign w:val="center"/>
          </w:tcPr>
          <w:p w14:paraId="2780D371">
            <w:pPr>
              <w:adjustRightInd w:val="0"/>
              <w:snapToGrid w:val="0"/>
              <w:jc w:val="center"/>
              <w:rPr>
                <w:rFonts w:hint="eastAsia" w:ascii="Times New Roman" w:hAnsi="Times New Roman" w:eastAsia="宋体" w:cs="宋体"/>
                <w:snapToGrid w:val="0"/>
                <w:color w:val="auto"/>
                <w:kern w:val="21"/>
                <w:sz w:val="21"/>
                <w:szCs w:val="21"/>
              </w:rPr>
            </w:pPr>
          </w:p>
        </w:tc>
        <w:tc>
          <w:tcPr>
            <w:tcW w:w="1094" w:type="dxa"/>
            <w:noWrap w:val="0"/>
            <w:vAlign w:val="center"/>
          </w:tcPr>
          <w:p w14:paraId="7192A506">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480" w:type="dxa"/>
            <w:noWrap w:val="0"/>
            <w:vAlign w:val="center"/>
          </w:tcPr>
          <w:p w14:paraId="07C69678">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642" w:type="dxa"/>
            <w:noWrap w:val="0"/>
            <w:vAlign w:val="center"/>
          </w:tcPr>
          <w:p w14:paraId="42EF2C6C">
            <w:pPr>
              <w:adjustRightInd w:val="0"/>
              <w:snapToGrid w:val="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0.54</w:t>
            </w:r>
          </w:p>
        </w:tc>
        <w:tc>
          <w:tcPr>
            <w:tcW w:w="1315" w:type="dxa"/>
            <w:noWrap w:val="0"/>
            <w:vAlign w:val="center"/>
          </w:tcPr>
          <w:p w14:paraId="7C2E5C3E">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1873" w:type="dxa"/>
            <w:noWrap w:val="0"/>
            <w:vAlign w:val="center"/>
          </w:tcPr>
          <w:p w14:paraId="5CD19A0C">
            <w:pPr>
              <w:adjustRightInd w:val="0"/>
              <w:snapToGrid w:val="0"/>
              <w:jc w:val="center"/>
              <w:rPr>
                <w:rFonts w:hint="default" w:ascii="Times New Roman" w:hAnsi="Times New Roman" w:eastAsia="宋体" w:cs="宋体"/>
                <w:color w:val="auto"/>
                <w:kern w:val="2"/>
                <w:sz w:val="21"/>
                <w:szCs w:val="21"/>
                <w:lang w:val="en-US" w:eastAsia="zh-CN" w:bidi="ar-SA"/>
              </w:rPr>
            </w:pPr>
            <w:r>
              <w:rPr>
                <w:rFonts w:hint="eastAsia" w:cs="宋体"/>
                <w:color w:val="auto"/>
                <w:sz w:val="21"/>
                <w:szCs w:val="21"/>
                <w:lang w:val="en-US" w:eastAsia="zh-CN"/>
              </w:rPr>
              <w:t>0.54</w:t>
            </w:r>
          </w:p>
        </w:tc>
        <w:tc>
          <w:tcPr>
            <w:tcW w:w="1029" w:type="dxa"/>
            <w:noWrap w:val="0"/>
            <w:vAlign w:val="center"/>
          </w:tcPr>
          <w:p w14:paraId="1747F7CF">
            <w:pPr>
              <w:adjustRightInd w:val="0"/>
              <w:snapToGrid w:val="0"/>
              <w:jc w:val="center"/>
              <w:rPr>
                <w:rFonts w:hint="default" w:ascii="Times New Roman" w:hAnsi="Times New Roman" w:eastAsia="宋体" w:cs="宋体"/>
                <w:color w:val="auto"/>
                <w:kern w:val="2"/>
                <w:sz w:val="21"/>
                <w:szCs w:val="21"/>
                <w:lang w:val="en-US" w:eastAsia="zh-CN" w:bidi="ar-SA"/>
              </w:rPr>
            </w:pPr>
            <w:r>
              <w:rPr>
                <w:rFonts w:hint="eastAsia" w:cs="宋体"/>
                <w:color w:val="auto"/>
                <w:sz w:val="21"/>
                <w:szCs w:val="21"/>
                <w:lang w:val="en-US" w:eastAsia="zh-CN"/>
              </w:rPr>
              <w:t>+</w:t>
            </w:r>
            <w:r>
              <w:rPr>
                <w:rFonts w:hint="eastAsia" w:cs="宋体"/>
                <w:color w:val="auto"/>
                <w:sz w:val="21"/>
                <w:szCs w:val="21"/>
                <w:lang w:val="en-US" w:eastAsia="zh-CN"/>
              </w:rPr>
              <w:t>0.54</w:t>
            </w:r>
          </w:p>
        </w:tc>
      </w:tr>
      <w:tr w14:paraId="6A3A09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3" w:type="dxa"/>
            <w:vMerge w:val="continue"/>
            <w:noWrap w:val="0"/>
            <w:vAlign w:val="center"/>
          </w:tcPr>
          <w:p w14:paraId="080A729B">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shd w:val="clear" w:color="auto" w:fill="auto"/>
            <w:noWrap w:val="0"/>
            <w:vAlign w:val="center"/>
          </w:tcPr>
          <w:p w14:paraId="7A658F6E">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污泥</w:t>
            </w:r>
            <w:r>
              <w:rPr>
                <w:rFonts w:ascii="Times New Roman" w:hAnsi="Times New Roman" w:eastAsia="宋体" w:cs="宋体"/>
                <w:snapToGrid w:val="0"/>
                <w:color w:val="auto"/>
                <w:kern w:val="21"/>
                <w:sz w:val="21"/>
                <w:szCs w:val="21"/>
              </w:rPr>
              <w:t>（吨/年）</w:t>
            </w:r>
          </w:p>
        </w:tc>
        <w:tc>
          <w:tcPr>
            <w:tcW w:w="1604" w:type="dxa"/>
            <w:shd w:val="clear" w:color="auto" w:fill="auto"/>
            <w:noWrap w:val="0"/>
            <w:vAlign w:val="center"/>
          </w:tcPr>
          <w:p w14:paraId="3C7B19A8">
            <w:pPr>
              <w:adjustRightInd w:val="0"/>
              <w:snapToGrid w:val="0"/>
              <w:jc w:val="center"/>
              <w:rPr>
                <w:rFonts w:hint="eastAsia" w:ascii="Times New Roman" w:hAnsi="Times New Roman" w:eastAsia="宋体" w:cs="宋体"/>
                <w:snapToGrid w:val="0"/>
                <w:color w:val="auto"/>
                <w:kern w:val="21"/>
                <w:sz w:val="21"/>
                <w:szCs w:val="21"/>
                <w:lang w:val="en-US" w:eastAsia="zh-CN" w:bidi="ar-SA"/>
              </w:rPr>
            </w:pPr>
          </w:p>
        </w:tc>
        <w:tc>
          <w:tcPr>
            <w:tcW w:w="1094" w:type="dxa"/>
            <w:shd w:val="clear" w:color="auto" w:fill="auto"/>
            <w:noWrap w:val="0"/>
            <w:vAlign w:val="center"/>
          </w:tcPr>
          <w:p w14:paraId="4C61DFF2">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480" w:type="dxa"/>
            <w:shd w:val="clear" w:color="auto" w:fill="auto"/>
            <w:noWrap w:val="0"/>
            <w:vAlign w:val="center"/>
          </w:tcPr>
          <w:p w14:paraId="4DAE4686">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642" w:type="dxa"/>
            <w:shd w:val="clear" w:color="auto" w:fill="auto"/>
            <w:noWrap w:val="0"/>
            <w:vAlign w:val="center"/>
          </w:tcPr>
          <w:p w14:paraId="065A239B">
            <w:pPr>
              <w:adjustRightInd w:val="0"/>
              <w:snapToGrid w:val="0"/>
              <w:jc w:val="center"/>
              <w:rPr>
                <w:rFonts w:hint="default" w:ascii="Times New Roman" w:hAnsi="Times New Roman" w:eastAsia="宋体" w:cs="宋体"/>
                <w:color w:val="auto"/>
                <w:kern w:val="2"/>
                <w:sz w:val="21"/>
                <w:szCs w:val="21"/>
                <w:lang w:val="en-US" w:eastAsia="zh-CN" w:bidi="ar-SA"/>
              </w:rPr>
            </w:pPr>
            <w:r>
              <w:rPr>
                <w:rFonts w:hint="eastAsia" w:cs="宋体"/>
                <w:color w:val="auto"/>
                <w:kern w:val="2"/>
                <w:sz w:val="21"/>
                <w:szCs w:val="21"/>
                <w:lang w:val="en-US" w:eastAsia="zh-CN" w:bidi="ar-SA"/>
              </w:rPr>
              <w:t>1</w:t>
            </w:r>
          </w:p>
        </w:tc>
        <w:tc>
          <w:tcPr>
            <w:tcW w:w="1315" w:type="dxa"/>
            <w:shd w:val="clear" w:color="auto" w:fill="auto"/>
            <w:noWrap w:val="0"/>
            <w:vAlign w:val="center"/>
          </w:tcPr>
          <w:p w14:paraId="6C30FE7B">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873" w:type="dxa"/>
            <w:shd w:val="clear" w:color="auto" w:fill="auto"/>
            <w:noWrap w:val="0"/>
            <w:vAlign w:val="center"/>
          </w:tcPr>
          <w:p w14:paraId="5F0C7B63">
            <w:pPr>
              <w:adjustRightInd w:val="0"/>
              <w:snapToGrid w:val="0"/>
              <w:jc w:val="center"/>
              <w:rPr>
                <w:rFonts w:hint="eastAsia" w:ascii="Times New Roman" w:hAnsi="Times New Roman" w:eastAsia="宋体" w:cs="宋体"/>
                <w:color w:val="auto"/>
                <w:kern w:val="2"/>
                <w:sz w:val="21"/>
                <w:szCs w:val="21"/>
                <w:lang w:val="en-US" w:eastAsia="zh-CN" w:bidi="ar-SA"/>
              </w:rPr>
            </w:pPr>
            <w:r>
              <w:rPr>
                <w:rFonts w:hint="eastAsia" w:cs="宋体"/>
                <w:color w:val="auto"/>
                <w:kern w:val="2"/>
                <w:sz w:val="21"/>
                <w:szCs w:val="21"/>
                <w:lang w:val="en-US" w:eastAsia="zh-CN" w:bidi="ar-SA"/>
              </w:rPr>
              <w:t>1</w:t>
            </w:r>
          </w:p>
        </w:tc>
        <w:tc>
          <w:tcPr>
            <w:tcW w:w="1029" w:type="dxa"/>
            <w:shd w:val="clear" w:color="auto" w:fill="auto"/>
            <w:noWrap w:val="0"/>
            <w:vAlign w:val="center"/>
          </w:tcPr>
          <w:p w14:paraId="0992456B">
            <w:pPr>
              <w:adjustRightInd w:val="0"/>
              <w:snapToGrid w:val="0"/>
              <w:jc w:val="center"/>
              <w:rPr>
                <w:rFonts w:hint="eastAsia" w:ascii="Times New Roman" w:hAnsi="Times New Roman" w:eastAsia="宋体" w:cs="宋体"/>
                <w:color w:val="auto"/>
                <w:kern w:val="2"/>
                <w:sz w:val="21"/>
                <w:szCs w:val="21"/>
                <w:lang w:val="en-US" w:eastAsia="zh-CN" w:bidi="ar-SA"/>
              </w:rPr>
            </w:pPr>
            <w:r>
              <w:rPr>
                <w:rFonts w:hint="eastAsia" w:cs="宋体"/>
                <w:color w:val="auto"/>
                <w:kern w:val="2"/>
                <w:sz w:val="21"/>
                <w:szCs w:val="21"/>
                <w:lang w:val="en-US" w:eastAsia="zh-CN" w:bidi="ar-SA"/>
              </w:rPr>
              <w:t>+1</w:t>
            </w:r>
          </w:p>
        </w:tc>
      </w:tr>
      <w:tr w14:paraId="1DD2CD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3" w:type="dxa"/>
            <w:vMerge w:val="continue"/>
            <w:noWrap w:val="0"/>
            <w:vAlign w:val="center"/>
          </w:tcPr>
          <w:p w14:paraId="2AF661A7">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shd w:val="clear" w:color="auto" w:fill="auto"/>
            <w:noWrap w:val="0"/>
            <w:vAlign w:val="center"/>
          </w:tcPr>
          <w:p w14:paraId="554DCF75">
            <w:pPr>
              <w:jc w:val="center"/>
              <w:rPr>
                <w:rFonts w:hint="default"/>
                <w:color w:val="auto"/>
                <w:szCs w:val="21"/>
                <w:highlight w:val="none"/>
                <w:lang w:val="en-US" w:eastAsia="zh-CN"/>
              </w:rPr>
            </w:pPr>
            <w:r>
              <w:rPr>
                <w:rFonts w:hint="eastAsia"/>
                <w:color w:val="auto"/>
                <w:szCs w:val="21"/>
                <w:highlight w:val="none"/>
                <w:lang w:val="en-US" w:eastAsia="zh-CN"/>
              </w:rPr>
              <w:t>废过滤棉</w:t>
            </w:r>
            <w:r>
              <w:rPr>
                <w:rFonts w:ascii="Times New Roman" w:hAnsi="Times New Roman" w:eastAsia="宋体" w:cs="宋体"/>
                <w:snapToGrid w:val="0"/>
                <w:color w:val="auto"/>
                <w:kern w:val="21"/>
                <w:sz w:val="21"/>
                <w:szCs w:val="21"/>
              </w:rPr>
              <w:t>（吨/年）</w:t>
            </w:r>
          </w:p>
        </w:tc>
        <w:tc>
          <w:tcPr>
            <w:tcW w:w="1604" w:type="dxa"/>
            <w:shd w:val="clear" w:color="auto" w:fill="auto"/>
            <w:noWrap w:val="0"/>
            <w:vAlign w:val="center"/>
          </w:tcPr>
          <w:p w14:paraId="00405911">
            <w:pPr>
              <w:adjustRightInd w:val="0"/>
              <w:snapToGrid w:val="0"/>
              <w:jc w:val="center"/>
              <w:rPr>
                <w:rFonts w:hint="eastAsia" w:ascii="Times New Roman" w:hAnsi="Times New Roman" w:eastAsia="宋体" w:cs="宋体"/>
                <w:snapToGrid w:val="0"/>
                <w:color w:val="auto"/>
                <w:kern w:val="21"/>
                <w:sz w:val="21"/>
                <w:szCs w:val="21"/>
                <w:lang w:val="en-US" w:eastAsia="zh-CN" w:bidi="ar-SA"/>
              </w:rPr>
            </w:pPr>
          </w:p>
        </w:tc>
        <w:tc>
          <w:tcPr>
            <w:tcW w:w="1094" w:type="dxa"/>
            <w:shd w:val="clear" w:color="auto" w:fill="auto"/>
            <w:noWrap w:val="0"/>
            <w:vAlign w:val="center"/>
          </w:tcPr>
          <w:p w14:paraId="2AACA6DD">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480" w:type="dxa"/>
            <w:shd w:val="clear" w:color="auto" w:fill="auto"/>
            <w:noWrap w:val="0"/>
            <w:vAlign w:val="center"/>
          </w:tcPr>
          <w:p w14:paraId="06CAB8AA">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642" w:type="dxa"/>
            <w:shd w:val="clear" w:color="auto" w:fill="auto"/>
            <w:noWrap w:val="0"/>
            <w:vAlign w:val="center"/>
          </w:tcPr>
          <w:p w14:paraId="707B906F">
            <w:pPr>
              <w:adjustRightInd w:val="0"/>
              <w:snapToGrid w:val="0"/>
              <w:jc w:val="center"/>
              <w:rPr>
                <w:rFonts w:hint="default" w:cs="宋体"/>
                <w:color w:val="auto"/>
                <w:kern w:val="2"/>
                <w:sz w:val="21"/>
                <w:szCs w:val="21"/>
                <w:lang w:val="en-US" w:eastAsia="zh-CN" w:bidi="ar-SA"/>
              </w:rPr>
            </w:pPr>
            <w:r>
              <w:rPr>
                <w:rFonts w:hint="eastAsia" w:cs="宋体"/>
                <w:color w:val="auto"/>
                <w:kern w:val="2"/>
                <w:sz w:val="21"/>
                <w:szCs w:val="21"/>
                <w:lang w:val="en-US" w:eastAsia="zh-CN" w:bidi="ar-SA"/>
              </w:rPr>
              <w:t>0.5</w:t>
            </w:r>
          </w:p>
        </w:tc>
        <w:tc>
          <w:tcPr>
            <w:tcW w:w="1315" w:type="dxa"/>
            <w:shd w:val="clear" w:color="auto" w:fill="auto"/>
            <w:noWrap w:val="0"/>
            <w:vAlign w:val="center"/>
          </w:tcPr>
          <w:p w14:paraId="0EF3E5EB">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873" w:type="dxa"/>
            <w:shd w:val="clear" w:color="auto" w:fill="auto"/>
            <w:noWrap w:val="0"/>
            <w:vAlign w:val="center"/>
          </w:tcPr>
          <w:p w14:paraId="09CF0970">
            <w:pPr>
              <w:adjustRightInd w:val="0"/>
              <w:snapToGrid w:val="0"/>
              <w:jc w:val="center"/>
              <w:rPr>
                <w:rFonts w:hint="default" w:cs="宋体"/>
                <w:color w:val="auto"/>
                <w:kern w:val="2"/>
                <w:sz w:val="21"/>
                <w:szCs w:val="21"/>
                <w:lang w:val="en-US" w:eastAsia="zh-CN" w:bidi="ar-SA"/>
              </w:rPr>
            </w:pPr>
            <w:r>
              <w:rPr>
                <w:rFonts w:hint="eastAsia" w:cs="宋体"/>
                <w:color w:val="auto"/>
                <w:kern w:val="2"/>
                <w:sz w:val="21"/>
                <w:szCs w:val="21"/>
                <w:lang w:val="en-US" w:eastAsia="zh-CN" w:bidi="ar-SA"/>
              </w:rPr>
              <w:t>0.5</w:t>
            </w:r>
          </w:p>
        </w:tc>
        <w:tc>
          <w:tcPr>
            <w:tcW w:w="1029" w:type="dxa"/>
            <w:shd w:val="clear" w:color="auto" w:fill="auto"/>
            <w:noWrap w:val="0"/>
            <w:vAlign w:val="center"/>
          </w:tcPr>
          <w:p w14:paraId="5538C181">
            <w:pPr>
              <w:adjustRightInd w:val="0"/>
              <w:snapToGrid w:val="0"/>
              <w:jc w:val="center"/>
              <w:rPr>
                <w:rFonts w:hint="default" w:cs="宋体"/>
                <w:color w:val="auto"/>
                <w:kern w:val="2"/>
                <w:sz w:val="21"/>
                <w:szCs w:val="21"/>
                <w:lang w:val="en-US" w:eastAsia="zh-CN" w:bidi="ar-SA"/>
              </w:rPr>
            </w:pPr>
            <w:r>
              <w:rPr>
                <w:rFonts w:hint="eastAsia" w:cs="宋体"/>
                <w:color w:val="auto"/>
                <w:kern w:val="2"/>
                <w:sz w:val="21"/>
                <w:szCs w:val="21"/>
                <w:lang w:val="en-US" w:eastAsia="zh-CN" w:bidi="ar-SA"/>
              </w:rPr>
              <w:t>+0.5</w:t>
            </w:r>
          </w:p>
        </w:tc>
      </w:tr>
      <w:tr w14:paraId="3F78A4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3" w:type="dxa"/>
            <w:vMerge w:val="continue"/>
            <w:noWrap w:val="0"/>
            <w:vAlign w:val="center"/>
          </w:tcPr>
          <w:p w14:paraId="7C2F88C2">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shd w:val="clear" w:color="auto" w:fill="auto"/>
            <w:noWrap w:val="0"/>
            <w:vAlign w:val="center"/>
          </w:tcPr>
          <w:p w14:paraId="4A5BBE37">
            <w:pPr>
              <w:jc w:val="center"/>
              <w:rPr>
                <w:rFonts w:hint="eastAsia"/>
                <w:color w:val="auto"/>
                <w:szCs w:val="21"/>
                <w:highlight w:val="none"/>
                <w:lang w:val="en-US" w:eastAsia="zh-CN"/>
              </w:rPr>
            </w:pPr>
            <w:r>
              <w:rPr>
                <w:rFonts w:hint="eastAsia"/>
                <w:color w:val="auto"/>
                <w:szCs w:val="21"/>
                <w:highlight w:val="none"/>
                <w:lang w:val="en-US" w:eastAsia="zh-CN"/>
              </w:rPr>
              <w:t>废含油棉纱及抹布</w:t>
            </w:r>
            <w:r>
              <w:rPr>
                <w:rFonts w:ascii="Times New Roman" w:hAnsi="Times New Roman" w:eastAsia="宋体" w:cs="宋体"/>
                <w:snapToGrid w:val="0"/>
                <w:color w:val="auto"/>
                <w:kern w:val="21"/>
                <w:sz w:val="21"/>
                <w:szCs w:val="21"/>
              </w:rPr>
              <w:t>（吨/年）</w:t>
            </w:r>
          </w:p>
        </w:tc>
        <w:tc>
          <w:tcPr>
            <w:tcW w:w="1604" w:type="dxa"/>
            <w:shd w:val="clear" w:color="auto" w:fill="auto"/>
            <w:noWrap w:val="0"/>
            <w:vAlign w:val="center"/>
          </w:tcPr>
          <w:p w14:paraId="3D2D2B42">
            <w:pPr>
              <w:adjustRightInd w:val="0"/>
              <w:snapToGrid w:val="0"/>
              <w:jc w:val="center"/>
              <w:rPr>
                <w:rFonts w:hint="eastAsia" w:ascii="Times New Roman" w:hAnsi="Times New Roman" w:eastAsia="宋体" w:cs="宋体"/>
                <w:snapToGrid w:val="0"/>
                <w:color w:val="auto"/>
                <w:kern w:val="21"/>
                <w:sz w:val="21"/>
                <w:szCs w:val="21"/>
                <w:lang w:val="en-US" w:eastAsia="zh-CN" w:bidi="ar-SA"/>
              </w:rPr>
            </w:pPr>
          </w:p>
        </w:tc>
        <w:tc>
          <w:tcPr>
            <w:tcW w:w="1094" w:type="dxa"/>
            <w:shd w:val="clear" w:color="auto" w:fill="auto"/>
            <w:noWrap w:val="0"/>
            <w:vAlign w:val="center"/>
          </w:tcPr>
          <w:p w14:paraId="65B26F7F">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480" w:type="dxa"/>
            <w:shd w:val="clear" w:color="auto" w:fill="auto"/>
            <w:noWrap w:val="0"/>
            <w:vAlign w:val="center"/>
          </w:tcPr>
          <w:p w14:paraId="08D39421">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642" w:type="dxa"/>
            <w:shd w:val="clear" w:color="auto" w:fill="auto"/>
            <w:noWrap w:val="0"/>
            <w:vAlign w:val="center"/>
          </w:tcPr>
          <w:p w14:paraId="6FD89E29">
            <w:pPr>
              <w:adjustRightInd w:val="0"/>
              <w:snapToGrid w:val="0"/>
              <w:jc w:val="center"/>
              <w:rPr>
                <w:rFonts w:hint="default" w:cs="宋体"/>
                <w:color w:val="auto"/>
                <w:kern w:val="2"/>
                <w:sz w:val="21"/>
                <w:szCs w:val="21"/>
                <w:lang w:val="en-US" w:eastAsia="zh-CN" w:bidi="ar-SA"/>
              </w:rPr>
            </w:pPr>
            <w:r>
              <w:rPr>
                <w:rFonts w:hint="eastAsia" w:cs="宋体"/>
                <w:color w:val="auto"/>
                <w:kern w:val="2"/>
                <w:sz w:val="21"/>
                <w:szCs w:val="21"/>
                <w:lang w:val="en-US" w:eastAsia="zh-CN" w:bidi="ar-SA"/>
              </w:rPr>
              <w:t>0.1</w:t>
            </w:r>
          </w:p>
        </w:tc>
        <w:tc>
          <w:tcPr>
            <w:tcW w:w="1315" w:type="dxa"/>
            <w:shd w:val="clear" w:color="auto" w:fill="auto"/>
            <w:noWrap w:val="0"/>
            <w:vAlign w:val="center"/>
          </w:tcPr>
          <w:p w14:paraId="00053779">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873" w:type="dxa"/>
            <w:shd w:val="clear" w:color="auto" w:fill="auto"/>
            <w:noWrap w:val="0"/>
            <w:vAlign w:val="center"/>
          </w:tcPr>
          <w:p w14:paraId="22919760">
            <w:pPr>
              <w:adjustRightInd w:val="0"/>
              <w:snapToGrid w:val="0"/>
              <w:jc w:val="center"/>
              <w:rPr>
                <w:rFonts w:hint="eastAsia" w:cs="宋体"/>
                <w:color w:val="auto"/>
                <w:sz w:val="21"/>
                <w:szCs w:val="21"/>
                <w:lang w:val="en-US" w:eastAsia="zh-CN"/>
              </w:rPr>
            </w:pPr>
            <w:r>
              <w:rPr>
                <w:rFonts w:hint="eastAsia" w:cs="宋体"/>
                <w:color w:val="auto"/>
                <w:kern w:val="2"/>
                <w:sz w:val="21"/>
                <w:szCs w:val="21"/>
                <w:lang w:val="en-US" w:eastAsia="zh-CN" w:bidi="ar-SA"/>
              </w:rPr>
              <w:t>0.1</w:t>
            </w:r>
          </w:p>
        </w:tc>
        <w:tc>
          <w:tcPr>
            <w:tcW w:w="1029" w:type="dxa"/>
            <w:shd w:val="clear" w:color="auto" w:fill="auto"/>
            <w:noWrap w:val="0"/>
            <w:vAlign w:val="center"/>
          </w:tcPr>
          <w:p w14:paraId="15BBA0A5">
            <w:pPr>
              <w:adjustRightInd w:val="0"/>
              <w:snapToGrid w:val="0"/>
              <w:jc w:val="center"/>
              <w:rPr>
                <w:rFonts w:hint="eastAsia" w:cs="宋体"/>
                <w:color w:val="auto"/>
                <w:sz w:val="21"/>
                <w:szCs w:val="21"/>
                <w:lang w:val="en-US" w:eastAsia="zh-CN"/>
              </w:rPr>
            </w:pPr>
            <w:r>
              <w:rPr>
                <w:rFonts w:hint="eastAsia" w:cs="宋体"/>
                <w:color w:val="auto"/>
                <w:kern w:val="2"/>
                <w:sz w:val="21"/>
                <w:szCs w:val="21"/>
                <w:lang w:val="en-US" w:eastAsia="zh-CN" w:bidi="ar-SA"/>
              </w:rPr>
              <w:t>+0.1</w:t>
            </w:r>
          </w:p>
        </w:tc>
      </w:tr>
      <w:tr w14:paraId="76D165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3" w:type="dxa"/>
            <w:vMerge w:val="continue"/>
            <w:noWrap w:val="0"/>
            <w:vAlign w:val="center"/>
          </w:tcPr>
          <w:p w14:paraId="64DBF024">
            <w:pPr>
              <w:pStyle w:val="57"/>
              <w:spacing w:beforeLines="0" w:afterLines="0" w:line="240" w:lineRule="auto"/>
              <w:rPr>
                <w:rFonts w:ascii="Times New Roman" w:hAnsi="Times New Roman" w:eastAsia="宋体" w:cs="宋体"/>
                <w:snapToGrid w:val="0"/>
                <w:color w:val="auto"/>
                <w:kern w:val="21"/>
                <w:sz w:val="21"/>
                <w:szCs w:val="21"/>
                <w:lang w:val="en-US" w:eastAsia="zh-CN"/>
              </w:rPr>
            </w:pPr>
          </w:p>
        </w:tc>
        <w:tc>
          <w:tcPr>
            <w:tcW w:w="2795" w:type="dxa"/>
            <w:shd w:val="clear" w:color="auto" w:fill="auto"/>
            <w:noWrap w:val="0"/>
            <w:vAlign w:val="center"/>
          </w:tcPr>
          <w:p w14:paraId="688A66D5">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废活性炭</w:t>
            </w:r>
            <w:r>
              <w:rPr>
                <w:rFonts w:ascii="Times New Roman" w:hAnsi="Times New Roman" w:eastAsia="宋体" w:cs="宋体"/>
                <w:snapToGrid w:val="0"/>
                <w:color w:val="auto"/>
                <w:kern w:val="21"/>
                <w:sz w:val="21"/>
                <w:szCs w:val="21"/>
              </w:rPr>
              <w:t>（吨/年）</w:t>
            </w:r>
          </w:p>
        </w:tc>
        <w:tc>
          <w:tcPr>
            <w:tcW w:w="1604" w:type="dxa"/>
            <w:noWrap w:val="0"/>
            <w:vAlign w:val="center"/>
          </w:tcPr>
          <w:p w14:paraId="12B9E594">
            <w:pPr>
              <w:adjustRightInd w:val="0"/>
              <w:snapToGrid w:val="0"/>
              <w:jc w:val="center"/>
              <w:rPr>
                <w:rFonts w:hint="eastAsia" w:ascii="Times New Roman" w:hAnsi="Times New Roman" w:eastAsia="宋体" w:cs="宋体"/>
                <w:snapToGrid w:val="0"/>
                <w:color w:val="auto"/>
                <w:kern w:val="21"/>
                <w:sz w:val="21"/>
                <w:szCs w:val="21"/>
                <w:u w:val="single"/>
                <w:lang w:val="en-US" w:eastAsia="zh-CN" w:bidi="ar-SA"/>
              </w:rPr>
            </w:pPr>
          </w:p>
        </w:tc>
        <w:tc>
          <w:tcPr>
            <w:tcW w:w="1094" w:type="dxa"/>
            <w:noWrap w:val="0"/>
            <w:vAlign w:val="center"/>
          </w:tcPr>
          <w:p w14:paraId="2CD09084">
            <w:pPr>
              <w:pStyle w:val="57"/>
              <w:spacing w:beforeLines="0" w:afterLines="0" w:line="240" w:lineRule="auto"/>
              <w:rPr>
                <w:rFonts w:ascii="Times New Roman" w:hAnsi="Times New Roman" w:eastAsia="宋体" w:cs="宋体"/>
                <w:snapToGrid w:val="0"/>
                <w:color w:val="auto"/>
                <w:kern w:val="21"/>
                <w:sz w:val="21"/>
                <w:szCs w:val="21"/>
                <w:u w:val="single"/>
                <w:lang w:val="en-US" w:eastAsia="zh-CN" w:bidi="ar-SA"/>
              </w:rPr>
            </w:pPr>
          </w:p>
        </w:tc>
        <w:tc>
          <w:tcPr>
            <w:tcW w:w="1480" w:type="dxa"/>
            <w:noWrap w:val="0"/>
            <w:vAlign w:val="center"/>
          </w:tcPr>
          <w:p w14:paraId="5DE6E27D">
            <w:pPr>
              <w:pStyle w:val="57"/>
              <w:spacing w:beforeLines="0" w:afterLines="0" w:line="240" w:lineRule="auto"/>
              <w:rPr>
                <w:rFonts w:ascii="Times New Roman" w:hAnsi="Times New Roman" w:eastAsia="宋体" w:cs="宋体"/>
                <w:snapToGrid w:val="0"/>
                <w:color w:val="auto"/>
                <w:kern w:val="21"/>
                <w:sz w:val="21"/>
                <w:szCs w:val="21"/>
                <w:u w:val="single"/>
                <w:lang w:val="en-US" w:eastAsia="zh-CN" w:bidi="ar-SA"/>
              </w:rPr>
            </w:pPr>
          </w:p>
        </w:tc>
        <w:tc>
          <w:tcPr>
            <w:tcW w:w="1642" w:type="dxa"/>
            <w:noWrap w:val="0"/>
            <w:vAlign w:val="center"/>
          </w:tcPr>
          <w:p w14:paraId="1461340E">
            <w:pPr>
              <w:adjustRightInd w:val="0"/>
              <w:snapToGrid w:val="0"/>
              <w:jc w:val="center"/>
              <w:rPr>
                <w:rFonts w:hint="default" w:ascii="Times New Roman" w:hAnsi="Times New Roman" w:eastAsia="宋体" w:cs="宋体"/>
                <w:color w:val="auto"/>
                <w:kern w:val="2"/>
                <w:sz w:val="21"/>
                <w:szCs w:val="21"/>
                <w:lang w:val="en-US" w:eastAsia="zh-CN" w:bidi="ar-SA"/>
              </w:rPr>
            </w:pPr>
            <w:r>
              <w:rPr>
                <w:rFonts w:hint="eastAsia" w:cs="宋体"/>
                <w:color w:val="auto"/>
                <w:kern w:val="2"/>
                <w:sz w:val="21"/>
                <w:szCs w:val="21"/>
                <w:lang w:val="en-US" w:eastAsia="zh-CN" w:bidi="ar-SA"/>
              </w:rPr>
              <w:t>4.8</w:t>
            </w:r>
          </w:p>
        </w:tc>
        <w:tc>
          <w:tcPr>
            <w:tcW w:w="1315" w:type="dxa"/>
            <w:noWrap w:val="0"/>
            <w:vAlign w:val="center"/>
          </w:tcPr>
          <w:p w14:paraId="50001072">
            <w:pPr>
              <w:pStyle w:val="57"/>
              <w:spacing w:beforeLines="0" w:afterLines="0" w:line="240" w:lineRule="auto"/>
              <w:rPr>
                <w:rFonts w:ascii="Times New Roman" w:hAnsi="Times New Roman" w:eastAsia="宋体" w:cs="宋体"/>
                <w:snapToGrid w:val="0"/>
                <w:color w:val="auto"/>
                <w:kern w:val="21"/>
                <w:sz w:val="21"/>
                <w:szCs w:val="21"/>
                <w:lang w:val="en-US" w:eastAsia="zh-CN" w:bidi="ar-SA"/>
              </w:rPr>
            </w:pPr>
          </w:p>
        </w:tc>
        <w:tc>
          <w:tcPr>
            <w:tcW w:w="1873" w:type="dxa"/>
            <w:noWrap w:val="0"/>
            <w:vAlign w:val="center"/>
          </w:tcPr>
          <w:p w14:paraId="34B76B99">
            <w:pPr>
              <w:adjustRightInd w:val="0"/>
              <w:snapToGrid w:val="0"/>
              <w:jc w:val="center"/>
              <w:rPr>
                <w:rFonts w:hint="eastAsia" w:ascii="Times New Roman" w:hAnsi="Times New Roman" w:eastAsia="宋体" w:cs="宋体"/>
                <w:color w:val="auto"/>
                <w:kern w:val="2"/>
                <w:sz w:val="21"/>
                <w:szCs w:val="21"/>
                <w:lang w:val="en-US" w:eastAsia="zh-CN" w:bidi="ar-SA"/>
              </w:rPr>
            </w:pPr>
            <w:r>
              <w:rPr>
                <w:rFonts w:hint="eastAsia" w:cs="宋体"/>
                <w:color w:val="auto"/>
                <w:kern w:val="2"/>
                <w:sz w:val="21"/>
                <w:szCs w:val="21"/>
                <w:lang w:val="en-US" w:eastAsia="zh-CN" w:bidi="ar-SA"/>
              </w:rPr>
              <w:t>4.8</w:t>
            </w:r>
          </w:p>
        </w:tc>
        <w:tc>
          <w:tcPr>
            <w:tcW w:w="1029" w:type="dxa"/>
            <w:noWrap w:val="0"/>
            <w:vAlign w:val="center"/>
          </w:tcPr>
          <w:p w14:paraId="5E593F3D">
            <w:pPr>
              <w:adjustRightInd w:val="0"/>
              <w:snapToGrid w:val="0"/>
              <w:jc w:val="center"/>
              <w:rPr>
                <w:rFonts w:hint="eastAsia" w:ascii="Times New Roman" w:hAnsi="Times New Roman" w:eastAsia="宋体" w:cs="宋体"/>
                <w:color w:val="auto"/>
                <w:kern w:val="2"/>
                <w:sz w:val="21"/>
                <w:szCs w:val="21"/>
                <w:lang w:val="en-US" w:eastAsia="zh-CN" w:bidi="ar-SA"/>
              </w:rPr>
            </w:pPr>
            <w:r>
              <w:rPr>
                <w:rFonts w:hint="eastAsia" w:cs="宋体"/>
                <w:color w:val="auto"/>
                <w:kern w:val="2"/>
                <w:sz w:val="21"/>
                <w:szCs w:val="21"/>
                <w:lang w:val="en-US" w:eastAsia="zh-CN" w:bidi="ar-SA"/>
              </w:rPr>
              <w:t>+4.8</w:t>
            </w:r>
          </w:p>
        </w:tc>
      </w:tr>
      <w:tr w14:paraId="54F1FD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3" w:type="dxa"/>
            <w:noWrap w:val="0"/>
            <w:vAlign w:val="center"/>
          </w:tcPr>
          <w:p w14:paraId="16A1F8FF">
            <w:pPr>
              <w:pStyle w:val="57"/>
              <w:spacing w:beforeLines="0" w:afterLines="0" w:line="240" w:lineRule="auto"/>
              <w:rPr>
                <w:rFonts w:hint="default" w:ascii="Times New Roman" w:hAnsi="Times New Roman" w:eastAsia="宋体" w:cs="宋体"/>
                <w:snapToGrid w:val="0"/>
                <w:color w:val="auto"/>
                <w:kern w:val="21"/>
                <w:sz w:val="21"/>
                <w:szCs w:val="21"/>
                <w:lang w:val="en-US" w:eastAsia="zh-CN"/>
              </w:rPr>
            </w:pPr>
            <w:r>
              <w:rPr>
                <w:rFonts w:hint="eastAsia" w:ascii="Times New Roman" w:cs="宋体"/>
                <w:snapToGrid w:val="0"/>
                <w:color w:val="auto"/>
                <w:kern w:val="21"/>
                <w:sz w:val="21"/>
                <w:szCs w:val="21"/>
                <w:lang w:val="en-US" w:eastAsia="zh-CN"/>
              </w:rPr>
              <w:t>生活垃圾</w:t>
            </w:r>
          </w:p>
        </w:tc>
        <w:tc>
          <w:tcPr>
            <w:tcW w:w="2795" w:type="dxa"/>
            <w:shd w:val="clear" w:color="auto" w:fill="auto"/>
            <w:noWrap w:val="0"/>
            <w:vAlign w:val="center"/>
          </w:tcPr>
          <w:p w14:paraId="57999768">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cs="宋体"/>
                <w:snapToGrid w:val="0"/>
                <w:color w:val="auto"/>
                <w:kern w:val="21"/>
                <w:sz w:val="21"/>
                <w:szCs w:val="21"/>
                <w:lang w:val="en-US" w:eastAsia="zh-CN"/>
              </w:rPr>
              <w:t>生活垃圾</w:t>
            </w:r>
            <w:r>
              <w:rPr>
                <w:rFonts w:ascii="Times New Roman" w:hAnsi="Times New Roman" w:eastAsia="宋体" w:cs="宋体"/>
                <w:snapToGrid w:val="0"/>
                <w:color w:val="auto"/>
                <w:kern w:val="21"/>
                <w:sz w:val="21"/>
                <w:szCs w:val="21"/>
              </w:rPr>
              <w:t>（吨/年）</w:t>
            </w:r>
          </w:p>
        </w:tc>
        <w:tc>
          <w:tcPr>
            <w:tcW w:w="1604" w:type="dxa"/>
            <w:shd w:val="clear" w:color="auto" w:fill="auto"/>
            <w:noWrap w:val="0"/>
            <w:vAlign w:val="center"/>
          </w:tcPr>
          <w:p w14:paraId="7096FE0C">
            <w:pPr>
              <w:jc w:val="center"/>
              <w:rPr>
                <w:rFonts w:hint="eastAsia" w:ascii="Times New Roman" w:hAnsi="Times New Roman" w:eastAsia="宋体" w:cs="宋体"/>
                <w:snapToGrid w:val="0"/>
                <w:color w:val="auto"/>
                <w:kern w:val="21"/>
                <w:sz w:val="21"/>
                <w:szCs w:val="21"/>
                <w:lang w:val="en-US" w:eastAsia="zh-CN" w:bidi="ar-SA"/>
              </w:rPr>
            </w:pPr>
          </w:p>
        </w:tc>
        <w:tc>
          <w:tcPr>
            <w:tcW w:w="1094" w:type="dxa"/>
            <w:shd w:val="clear" w:color="auto" w:fill="auto"/>
            <w:noWrap w:val="0"/>
            <w:vAlign w:val="center"/>
          </w:tcPr>
          <w:p w14:paraId="406F9336">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480" w:type="dxa"/>
            <w:shd w:val="clear" w:color="auto" w:fill="auto"/>
            <w:noWrap w:val="0"/>
            <w:vAlign w:val="center"/>
          </w:tcPr>
          <w:p w14:paraId="6579ECD1">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642" w:type="dxa"/>
            <w:shd w:val="clear" w:color="auto" w:fill="auto"/>
            <w:noWrap w:val="0"/>
            <w:vAlign w:val="center"/>
          </w:tcPr>
          <w:p w14:paraId="6657CF17">
            <w:pPr>
              <w:adjustRightInd w:val="0"/>
              <w:snapToGrid w:val="0"/>
              <w:jc w:val="center"/>
              <w:rPr>
                <w:rFonts w:hint="default" w:ascii="Times New Roman" w:hAnsi="Times New Roman" w:eastAsia="宋体" w:cs="宋体"/>
                <w:color w:val="auto"/>
                <w:kern w:val="2"/>
                <w:sz w:val="21"/>
                <w:szCs w:val="21"/>
                <w:lang w:val="en-US" w:eastAsia="zh-CN" w:bidi="ar-SA"/>
              </w:rPr>
            </w:pPr>
            <w:r>
              <w:rPr>
                <w:rFonts w:hint="eastAsia" w:cs="宋体"/>
                <w:color w:val="auto"/>
                <w:kern w:val="2"/>
                <w:sz w:val="21"/>
                <w:szCs w:val="21"/>
                <w:lang w:val="en-US" w:eastAsia="zh-CN" w:bidi="ar-SA"/>
              </w:rPr>
              <w:t>95.7</w:t>
            </w:r>
          </w:p>
        </w:tc>
        <w:tc>
          <w:tcPr>
            <w:tcW w:w="1315" w:type="dxa"/>
            <w:shd w:val="clear" w:color="auto" w:fill="auto"/>
            <w:noWrap w:val="0"/>
            <w:vAlign w:val="center"/>
          </w:tcPr>
          <w:p w14:paraId="75E3B2EC">
            <w:pPr>
              <w:pStyle w:val="57"/>
              <w:spacing w:beforeLines="0" w:afterLines="0" w:line="240" w:lineRule="auto"/>
              <w:ind w:left="0" w:leftChars="0" w:right="0" w:rightChars="0"/>
              <w:rPr>
                <w:rFonts w:hint="default" w:ascii="Times New Roman" w:hAnsi="Times New Roman" w:eastAsia="宋体" w:cs="宋体"/>
                <w:snapToGrid w:val="0"/>
                <w:color w:val="auto"/>
                <w:kern w:val="21"/>
                <w:sz w:val="21"/>
                <w:szCs w:val="21"/>
                <w:lang w:val="en-US" w:eastAsia="zh-CN" w:bidi="ar"/>
              </w:rPr>
            </w:pPr>
          </w:p>
        </w:tc>
        <w:tc>
          <w:tcPr>
            <w:tcW w:w="1873" w:type="dxa"/>
            <w:shd w:val="clear" w:color="auto" w:fill="auto"/>
            <w:noWrap w:val="0"/>
            <w:vAlign w:val="center"/>
          </w:tcPr>
          <w:p w14:paraId="796A884B">
            <w:pPr>
              <w:adjustRightInd w:val="0"/>
              <w:snapToGrid w:val="0"/>
              <w:jc w:val="center"/>
              <w:rPr>
                <w:rFonts w:hint="eastAsia" w:ascii="Times New Roman" w:hAnsi="Times New Roman" w:eastAsia="宋体" w:cs="宋体"/>
                <w:color w:val="auto"/>
                <w:kern w:val="2"/>
                <w:sz w:val="21"/>
                <w:szCs w:val="21"/>
                <w:lang w:val="en-US" w:eastAsia="zh-CN" w:bidi="ar-SA"/>
              </w:rPr>
            </w:pPr>
            <w:r>
              <w:rPr>
                <w:rFonts w:hint="eastAsia" w:cs="宋体"/>
                <w:color w:val="auto"/>
                <w:kern w:val="2"/>
                <w:sz w:val="21"/>
                <w:szCs w:val="21"/>
                <w:lang w:val="en-US" w:eastAsia="zh-CN" w:bidi="ar-SA"/>
              </w:rPr>
              <w:t>95.7</w:t>
            </w:r>
          </w:p>
        </w:tc>
        <w:tc>
          <w:tcPr>
            <w:tcW w:w="1029" w:type="dxa"/>
            <w:noWrap w:val="0"/>
            <w:vAlign w:val="center"/>
          </w:tcPr>
          <w:p w14:paraId="1D66CB6D">
            <w:pPr>
              <w:adjustRightInd w:val="0"/>
              <w:snapToGrid w:val="0"/>
              <w:jc w:val="center"/>
              <w:rPr>
                <w:rFonts w:hint="default" w:cs="宋体"/>
                <w:color w:val="auto"/>
                <w:sz w:val="21"/>
                <w:szCs w:val="21"/>
                <w:lang w:val="en-US" w:eastAsia="zh-CN"/>
              </w:rPr>
            </w:pPr>
            <w:r>
              <w:rPr>
                <w:rFonts w:hint="eastAsia" w:cs="宋体"/>
                <w:color w:val="auto"/>
                <w:kern w:val="2"/>
                <w:sz w:val="21"/>
                <w:szCs w:val="21"/>
                <w:lang w:val="en-US" w:eastAsia="zh-CN" w:bidi="ar-SA"/>
              </w:rPr>
              <w:t>+95.7</w:t>
            </w:r>
          </w:p>
        </w:tc>
      </w:tr>
    </w:tbl>
    <w:p w14:paraId="3FF22CD9">
      <w:pPr>
        <w:pStyle w:val="57"/>
        <w:spacing w:before="192" w:beforeLines="80" w:after="24"/>
        <w:jc w:val="left"/>
        <w:rPr>
          <w:rFonts w:hint="eastAsia"/>
          <w:lang w:eastAsia="zh-CN"/>
        </w:rPr>
      </w:pPr>
      <w:r>
        <w:rPr>
          <w:rFonts w:ascii="Times New Roman" w:hAnsi="Times New Roman" w:eastAsia="宋体" w:cs="宋体"/>
          <w:snapToGrid w:val="0"/>
          <w:color w:val="auto"/>
          <w:kern w:val="21"/>
          <w:szCs w:val="21"/>
        </w:rPr>
        <w:t>注：</w:t>
      </w:r>
      <w:r>
        <w:rPr>
          <w:rFonts w:ascii="Times New Roman" w:hAnsi="Times New Roman" w:eastAsia="宋体" w:cs="宋体"/>
          <w:snapToGrid w:val="0"/>
          <w:color w:val="auto"/>
          <w:spacing w:val="-16"/>
          <w:kern w:val="21"/>
          <w:szCs w:val="21"/>
        </w:rPr>
        <w:fldChar w:fldCharType="begin"/>
      </w:r>
      <w:r>
        <w:rPr>
          <w:rFonts w:ascii="Times New Roman" w:hAnsi="Times New Roman" w:eastAsia="宋体" w:cs="宋体"/>
          <w:snapToGrid w:val="0"/>
          <w:color w:val="auto"/>
          <w:spacing w:val="-16"/>
          <w:kern w:val="21"/>
          <w:szCs w:val="21"/>
        </w:rPr>
        <w:instrText xml:space="preserve"> = 6 \* GB3 \* MERGEFORMAT </w:instrText>
      </w:r>
      <w:r>
        <w:rPr>
          <w:rFonts w:ascii="Times New Roman" w:hAnsi="Times New Roman" w:eastAsia="宋体" w:cs="宋体"/>
          <w:snapToGrid w:val="0"/>
          <w:color w:val="auto"/>
          <w:spacing w:val="-16"/>
          <w:kern w:val="21"/>
          <w:szCs w:val="21"/>
        </w:rPr>
        <w:fldChar w:fldCharType="separate"/>
      </w:r>
      <w:r>
        <w:rPr>
          <w:rFonts w:hint="eastAsia" w:ascii="Times New Roman" w:hAnsi="Times New Roman" w:eastAsia="宋体" w:cs="宋体"/>
          <w:color w:val="auto"/>
          <w:szCs w:val="21"/>
        </w:rPr>
        <w:t>⑥</w:t>
      </w:r>
      <w:r>
        <w:rPr>
          <w:rFonts w:ascii="Times New Roman" w:hAnsi="Times New Roman" w:eastAsia="宋体" w:cs="宋体"/>
          <w:snapToGrid w:val="0"/>
          <w:color w:val="auto"/>
          <w:spacing w:val="-16"/>
          <w:kern w:val="21"/>
          <w:szCs w:val="21"/>
        </w:rPr>
        <w:fldChar w:fldCharType="end"/>
      </w:r>
      <w:r>
        <w:rPr>
          <w:rFonts w:ascii="Times New Roman" w:hAnsi="Times New Roman" w:eastAsia="宋体" w:cs="宋体"/>
          <w:snapToGrid w:val="0"/>
          <w:color w:val="auto"/>
          <w:spacing w:val="-16"/>
          <w:kern w:val="21"/>
          <w:szCs w:val="21"/>
        </w:rPr>
        <w:t>=</w:t>
      </w:r>
      <w:r>
        <w:rPr>
          <w:rFonts w:ascii="Times New Roman" w:hAnsi="Times New Roman" w:eastAsia="宋体" w:cs="宋体"/>
          <w:snapToGrid w:val="0"/>
          <w:color w:val="auto"/>
          <w:spacing w:val="-6"/>
          <w:kern w:val="21"/>
          <w:szCs w:val="21"/>
        </w:rPr>
        <w:fldChar w:fldCharType="begin"/>
      </w:r>
      <w:r>
        <w:rPr>
          <w:rFonts w:ascii="Times New Roman" w:hAnsi="Times New Roman" w:eastAsia="宋体" w:cs="宋体"/>
          <w:snapToGrid w:val="0"/>
          <w:color w:val="auto"/>
          <w:spacing w:val="-6"/>
          <w:kern w:val="21"/>
          <w:szCs w:val="21"/>
        </w:rPr>
        <w:instrText xml:space="preserve"> = 1 \* GB3 \* MERGEFORMAT </w:instrText>
      </w:r>
      <w:r>
        <w:rPr>
          <w:rFonts w:ascii="Times New Roman" w:hAnsi="Times New Roman" w:eastAsia="宋体" w:cs="宋体"/>
          <w:snapToGrid w:val="0"/>
          <w:color w:val="auto"/>
          <w:spacing w:val="-6"/>
          <w:kern w:val="21"/>
          <w:szCs w:val="21"/>
        </w:rPr>
        <w:fldChar w:fldCharType="separate"/>
      </w:r>
      <w:r>
        <w:rPr>
          <w:rFonts w:hint="eastAsia" w:ascii="Times New Roman" w:hAnsi="Times New Roman" w:eastAsia="宋体" w:cs="宋体"/>
          <w:color w:val="auto"/>
          <w:szCs w:val="21"/>
        </w:rPr>
        <w:t>①</w:t>
      </w:r>
      <w:r>
        <w:rPr>
          <w:rFonts w:ascii="Times New Roman" w:hAnsi="Times New Roman" w:eastAsia="宋体" w:cs="宋体"/>
          <w:snapToGrid w:val="0"/>
          <w:color w:val="auto"/>
          <w:spacing w:val="-6"/>
          <w:kern w:val="21"/>
          <w:szCs w:val="21"/>
        </w:rPr>
        <w:fldChar w:fldCharType="end"/>
      </w:r>
      <w:r>
        <w:rPr>
          <w:rFonts w:ascii="Times New Roman" w:hAnsi="Times New Roman" w:eastAsia="宋体" w:cs="宋体"/>
          <w:snapToGrid w:val="0"/>
          <w:color w:val="auto"/>
          <w:spacing w:val="-6"/>
          <w:kern w:val="21"/>
          <w:szCs w:val="21"/>
        </w:rPr>
        <w:t>+</w:t>
      </w:r>
      <w:r>
        <w:rPr>
          <w:rFonts w:ascii="Times New Roman" w:hAnsi="Times New Roman" w:eastAsia="宋体" w:cs="宋体"/>
          <w:snapToGrid w:val="0"/>
          <w:color w:val="auto"/>
          <w:spacing w:val="-6"/>
          <w:kern w:val="21"/>
          <w:szCs w:val="21"/>
        </w:rPr>
        <w:fldChar w:fldCharType="begin"/>
      </w:r>
      <w:r>
        <w:rPr>
          <w:rFonts w:ascii="Times New Roman" w:hAnsi="Times New Roman" w:eastAsia="宋体" w:cs="宋体"/>
          <w:snapToGrid w:val="0"/>
          <w:color w:val="auto"/>
          <w:spacing w:val="-6"/>
          <w:kern w:val="21"/>
          <w:szCs w:val="21"/>
        </w:rPr>
        <w:instrText xml:space="preserve"> = 3 \* GB3 \* MERGEFORMAT </w:instrText>
      </w:r>
      <w:r>
        <w:rPr>
          <w:rFonts w:ascii="Times New Roman" w:hAnsi="Times New Roman" w:eastAsia="宋体" w:cs="宋体"/>
          <w:snapToGrid w:val="0"/>
          <w:color w:val="auto"/>
          <w:spacing w:val="-6"/>
          <w:kern w:val="21"/>
          <w:szCs w:val="21"/>
        </w:rPr>
        <w:fldChar w:fldCharType="separate"/>
      </w:r>
      <w:r>
        <w:rPr>
          <w:rFonts w:hint="eastAsia" w:ascii="Times New Roman" w:hAnsi="Times New Roman" w:eastAsia="宋体" w:cs="宋体"/>
          <w:color w:val="auto"/>
          <w:szCs w:val="21"/>
        </w:rPr>
        <w:t>③</w:t>
      </w:r>
      <w:r>
        <w:rPr>
          <w:rFonts w:ascii="Times New Roman" w:hAnsi="Times New Roman" w:eastAsia="宋体" w:cs="宋体"/>
          <w:snapToGrid w:val="0"/>
          <w:color w:val="auto"/>
          <w:spacing w:val="-6"/>
          <w:kern w:val="21"/>
          <w:szCs w:val="21"/>
        </w:rPr>
        <w:fldChar w:fldCharType="end"/>
      </w:r>
      <w:r>
        <w:rPr>
          <w:rFonts w:ascii="Times New Roman" w:hAnsi="Times New Roman" w:eastAsia="宋体" w:cs="宋体"/>
          <w:snapToGrid w:val="0"/>
          <w:color w:val="auto"/>
          <w:spacing w:val="-6"/>
          <w:kern w:val="21"/>
          <w:szCs w:val="21"/>
        </w:rPr>
        <w:t>+</w:t>
      </w:r>
      <w:r>
        <w:rPr>
          <w:rFonts w:ascii="Times New Roman" w:hAnsi="Times New Roman" w:eastAsia="宋体" w:cs="宋体"/>
          <w:snapToGrid w:val="0"/>
          <w:color w:val="auto"/>
          <w:spacing w:val="-6"/>
          <w:kern w:val="21"/>
          <w:szCs w:val="21"/>
        </w:rPr>
        <w:fldChar w:fldCharType="begin"/>
      </w:r>
      <w:r>
        <w:rPr>
          <w:rFonts w:ascii="Times New Roman" w:hAnsi="Times New Roman" w:eastAsia="宋体" w:cs="宋体"/>
          <w:snapToGrid w:val="0"/>
          <w:color w:val="auto"/>
          <w:spacing w:val="-6"/>
          <w:kern w:val="21"/>
          <w:szCs w:val="21"/>
        </w:rPr>
        <w:instrText xml:space="preserve"> = 4 \* GB3 \* MERGEFORMAT </w:instrText>
      </w:r>
      <w:r>
        <w:rPr>
          <w:rFonts w:ascii="Times New Roman" w:hAnsi="Times New Roman" w:eastAsia="宋体" w:cs="宋体"/>
          <w:snapToGrid w:val="0"/>
          <w:color w:val="auto"/>
          <w:spacing w:val="-6"/>
          <w:kern w:val="21"/>
          <w:szCs w:val="21"/>
        </w:rPr>
        <w:fldChar w:fldCharType="separate"/>
      </w:r>
      <w:r>
        <w:rPr>
          <w:rFonts w:hint="eastAsia" w:ascii="Times New Roman" w:hAnsi="Times New Roman" w:eastAsia="宋体" w:cs="宋体"/>
          <w:color w:val="auto"/>
          <w:szCs w:val="21"/>
        </w:rPr>
        <w:t>④</w:t>
      </w:r>
      <w:r>
        <w:rPr>
          <w:rFonts w:ascii="Times New Roman" w:hAnsi="Times New Roman" w:eastAsia="宋体" w:cs="宋体"/>
          <w:snapToGrid w:val="0"/>
          <w:color w:val="auto"/>
          <w:spacing w:val="-6"/>
          <w:kern w:val="21"/>
          <w:szCs w:val="21"/>
        </w:rPr>
        <w:fldChar w:fldCharType="end"/>
      </w:r>
      <w:r>
        <w:rPr>
          <w:rFonts w:ascii="Times New Roman" w:hAnsi="Times New Roman" w:eastAsia="宋体" w:cs="宋体"/>
          <w:snapToGrid w:val="0"/>
          <w:color w:val="auto"/>
          <w:spacing w:val="-6"/>
          <w:kern w:val="21"/>
          <w:szCs w:val="21"/>
        </w:rPr>
        <w:t>-</w:t>
      </w:r>
      <w:r>
        <w:rPr>
          <w:rFonts w:ascii="Times New Roman" w:hAnsi="Times New Roman" w:eastAsia="宋体" w:cs="宋体"/>
          <w:snapToGrid w:val="0"/>
          <w:color w:val="auto"/>
          <w:spacing w:val="-16"/>
          <w:kern w:val="21"/>
          <w:szCs w:val="21"/>
        </w:rPr>
        <w:fldChar w:fldCharType="begin"/>
      </w:r>
      <w:r>
        <w:rPr>
          <w:rFonts w:ascii="Times New Roman" w:hAnsi="Times New Roman" w:eastAsia="宋体" w:cs="宋体"/>
          <w:snapToGrid w:val="0"/>
          <w:color w:val="auto"/>
          <w:spacing w:val="-16"/>
          <w:kern w:val="21"/>
          <w:szCs w:val="21"/>
        </w:rPr>
        <w:instrText xml:space="preserve"> = 5 \* GB3 \* MERGEFORMAT </w:instrText>
      </w:r>
      <w:r>
        <w:rPr>
          <w:rFonts w:ascii="Times New Roman" w:hAnsi="Times New Roman" w:eastAsia="宋体" w:cs="宋体"/>
          <w:snapToGrid w:val="0"/>
          <w:color w:val="auto"/>
          <w:spacing w:val="-16"/>
          <w:kern w:val="21"/>
          <w:szCs w:val="21"/>
        </w:rPr>
        <w:fldChar w:fldCharType="separate"/>
      </w:r>
      <w:r>
        <w:rPr>
          <w:rFonts w:hint="eastAsia" w:ascii="Times New Roman" w:hAnsi="Times New Roman" w:eastAsia="宋体" w:cs="宋体"/>
          <w:color w:val="auto"/>
          <w:szCs w:val="21"/>
        </w:rPr>
        <w:t>⑤</w:t>
      </w:r>
      <w:r>
        <w:rPr>
          <w:rFonts w:ascii="Times New Roman" w:hAnsi="Times New Roman" w:eastAsia="宋体" w:cs="宋体"/>
          <w:snapToGrid w:val="0"/>
          <w:color w:val="auto"/>
          <w:spacing w:val="-16"/>
          <w:kern w:val="21"/>
          <w:szCs w:val="21"/>
        </w:rPr>
        <w:fldChar w:fldCharType="end"/>
      </w:r>
      <w:r>
        <w:rPr>
          <w:rFonts w:ascii="Times New Roman" w:hAnsi="Times New Roman" w:eastAsia="宋体" w:cs="宋体"/>
          <w:snapToGrid w:val="0"/>
          <w:color w:val="auto"/>
          <w:spacing w:val="-16"/>
          <w:kern w:val="21"/>
          <w:szCs w:val="21"/>
        </w:rPr>
        <w:t>；</w:t>
      </w:r>
      <w:r>
        <w:rPr>
          <w:rFonts w:ascii="Times New Roman" w:hAnsi="Times New Roman" w:eastAsia="宋体" w:cs="宋体"/>
          <w:snapToGrid w:val="0"/>
          <w:color w:val="auto"/>
          <w:spacing w:val="-6"/>
          <w:kern w:val="21"/>
          <w:szCs w:val="21"/>
        </w:rPr>
        <w:fldChar w:fldCharType="begin"/>
      </w:r>
      <w:r>
        <w:rPr>
          <w:rFonts w:ascii="Times New Roman" w:hAnsi="Times New Roman" w:eastAsia="宋体" w:cs="宋体"/>
          <w:snapToGrid w:val="0"/>
          <w:color w:val="auto"/>
          <w:spacing w:val="-6"/>
          <w:kern w:val="21"/>
          <w:szCs w:val="21"/>
        </w:rPr>
        <w:instrText xml:space="preserve"> = 7 \* GB3 \* MERGEFORMAT </w:instrText>
      </w:r>
      <w:r>
        <w:rPr>
          <w:rFonts w:ascii="Times New Roman" w:hAnsi="Times New Roman" w:eastAsia="宋体" w:cs="宋体"/>
          <w:snapToGrid w:val="0"/>
          <w:color w:val="auto"/>
          <w:spacing w:val="-6"/>
          <w:kern w:val="21"/>
          <w:szCs w:val="21"/>
        </w:rPr>
        <w:fldChar w:fldCharType="separate"/>
      </w:r>
      <w:r>
        <w:rPr>
          <w:rFonts w:hint="eastAsia" w:ascii="Times New Roman" w:hAnsi="Times New Roman" w:eastAsia="宋体" w:cs="宋体"/>
          <w:color w:val="auto"/>
          <w:szCs w:val="21"/>
        </w:rPr>
        <w:t>⑦</w:t>
      </w:r>
      <w:r>
        <w:rPr>
          <w:rFonts w:ascii="Times New Roman" w:hAnsi="Times New Roman" w:eastAsia="宋体" w:cs="宋体"/>
          <w:snapToGrid w:val="0"/>
          <w:color w:val="auto"/>
          <w:spacing w:val="-6"/>
          <w:kern w:val="21"/>
          <w:szCs w:val="21"/>
        </w:rPr>
        <w:fldChar w:fldCharType="end"/>
      </w:r>
      <w:r>
        <w:rPr>
          <w:rFonts w:ascii="Times New Roman" w:hAnsi="Times New Roman" w:eastAsia="宋体" w:cs="宋体"/>
          <w:snapToGrid w:val="0"/>
          <w:color w:val="auto"/>
          <w:spacing w:val="-6"/>
          <w:kern w:val="21"/>
          <w:szCs w:val="21"/>
        </w:rPr>
        <w:t>=</w:t>
      </w:r>
      <w:r>
        <w:rPr>
          <w:rFonts w:ascii="Times New Roman" w:hAnsi="Times New Roman" w:eastAsia="宋体" w:cs="宋体"/>
          <w:snapToGrid w:val="0"/>
          <w:color w:val="auto"/>
          <w:spacing w:val="-16"/>
          <w:kern w:val="21"/>
          <w:szCs w:val="21"/>
        </w:rPr>
        <w:fldChar w:fldCharType="begin"/>
      </w:r>
      <w:r>
        <w:rPr>
          <w:rFonts w:ascii="Times New Roman" w:hAnsi="Times New Roman" w:eastAsia="宋体" w:cs="宋体"/>
          <w:snapToGrid w:val="0"/>
          <w:color w:val="auto"/>
          <w:spacing w:val="-16"/>
          <w:kern w:val="21"/>
          <w:szCs w:val="21"/>
        </w:rPr>
        <w:instrText xml:space="preserve"> = 6 \* GB3 \* MERGEFORMAT </w:instrText>
      </w:r>
      <w:r>
        <w:rPr>
          <w:rFonts w:ascii="Times New Roman" w:hAnsi="Times New Roman" w:eastAsia="宋体" w:cs="宋体"/>
          <w:snapToGrid w:val="0"/>
          <w:color w:val="auto"/>
          <w:spacing w:val="-16"/>
          <w:kern w:val="21"/>
          <w:szCs w:val="21"/>
        </w:rPr>
        <w:fldChar w:fldCharType="separate"/>
      </w:r>
      <w:r>
        <w:rPr>
          <w:rFonts w:hint="eastAsia" w:ascii="Times New Roman" w:hAnsi="Times New Roman" w:eastAsia="宋体" w:cs="宋体"/>
          <w:color w:val="auto"/>
          <w:szCs w:val="21"/>
        </w:rPr>
        <w:t>⑥</w:t>
      </w:r>
      <w:r>
        <w:rPr>
          <w:rFonts w:ascii="Times New Roman" w:hAnsi="Times New Roman" w:eastAsia="宋体" w:cs="宋体"/>
          <w:snapToGrid w:val="0"/>
          <w:color w:val="auto"/>
          <w:spacing w:val="-16"/>
          <w:kern w:val="21"/>
          <w:szCs w:val="21"/>
        </w:rPr>
        <w:fldChar w:fldCharType="end"/>
      </w:r>
      <w:r>
        <w:rPr>
          <w:rFonts w:ascii="Times New Roman" w:hAnsi="Times New Roman" w:eastAsia="宋体" w:cs="宋体"/>
          <w:snapToGrid w:val="0"/>
          <w:color w:val="auto"/>
          <w:spacing w:val="-16"/>
          <w:kern w:val="21"/>
          <w:szCs w:val="21"/>
        </w:rPr>
        <w:t>-</w:t>
      </w:r>
      <w:r>
        <w:rPr>
          <w:rFonts w:ascii="Times New Roman" w:hAnsi="Times New Roman" w:eastAsia="宋体" w:cs="宋体"/>
          <w:snapToGrid w:val="0"/>
          <w:color w:val="auto"/>
          <w:spacing w:val="-6"/>
          <w:kern w:val="21"/>
          <w:szCs w:val="21"/>
        </w:rPr>
        <w:fldChar w:fldCharType="begin"/>
      </w:r>
      <w:r>
        <w:rPr>
          <w:rFonts w:ascii="Times New Roman" w:hAnsi="Times New Roman" w:eastAsia="宋体" w:cs="宋体"/>
          <w:snapToGrid w:val="0"/>
          <w:color w:val="auto"/>
          <w:spacing w:val="-6"/>
          <w:kern w:val="21"/>
          <w:szCs w:val="21"/>
        </w:rPr>
        <w:instrText xml:space="preserve"> = 1 \* GB3 \* MERGEFORMAT </w:instrText>
      </w:r>
      <w:r>
        <w:rPr>
          <w:rFonts w:ascii="Times New Roman" w:hAnsi="Times New Roman" w:eastAsia="宋体" w:cs="宋体"/>
          <w:snapToGrid w:val="0"/>
          <w:color w:val="auto"/>
          <w:spacing w:val="-6"/>
          <w:kern w:val="21"/>
          <w:szCs w:val="21"/>
        </w:rPr>
        <w:fldChar w:fldCharType="separate"/>
      </w:r>
      <w:r>
        <w:rPr>
          <w:rFonts w:hint="eastAsia" w:ascii="Times New Roman" w:hAnsi="Times New Roman" w:eastAsia="宋体" w:cs="宋体"/>
          <w:color w:val="auto"/>
          <w:szCs w:val="21"/>
        </w:rPr>
        <w:t>①</w:t>
      </w:r>
      <w:r>
        <w:rPr>
          <w:rFonts w:ascii="Times New Roman" w:hAnsi="Times New Roman" w:eastAsia="宋体" w:cs="宋体"/>
          <w:snapToGrid w:val="0"/>
          <w:color w:val="auto"/>
          <w:spacing w:val="-6"/>
          <w:kern w:val="21"/>
          <w:szCs w:val="21"/>
        </w:rPr>
        <w:fldChar w:fldCharType="end"/>
      </w:r>
      <w:bookmarkStart w:id="40" w:name="_GoBack"/>
      <w:bookmarkEnd w:id="40"/>
    </w:p>
    <w:sectPr>
      <w:headerReference r:id="rId7" w:type="default"/>
      <w:footerReference r:id="rId8" w:type="default"/>
      <w:pgSz w:w="16838" w:h="11906" w:orient="landscape"/>
      <w:pgMar w:top="0" w:right="1531" w:bottom="0" w:left="1587" w:header="851" w:footer="850" w:gutter="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D7431B-23DC-406F-8482-8E608695697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7419331-E72E-4684-ACFD-AF59720F80A5}"/>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3" w:fontKey="{E6918E85-C257-49ED-95E9-415ECFCBCEF0}"/>
  </w:font>
  <w:font w:name="??">
    <w:altName w:val="Malgun Gothic"/>
    <w:panose1 w:val="00000000000000000000"/>
    <w:charset w:val="00"/>
    <w:family w:val="auto"/>
    <w:pitch w:val="default"/>
    <w:sig w:usb0="00000000" w:usb1="00000000" w:usb2="00000000" w:usb3="00000000" w:csb0="00000001" w:csb1="00000000"/>
  </w:font>
  <w:font w:name="Malgun Gothic">
    <w:panose1 w:val="020B0503020000020004"/>
    <w:charset w:val="81"/>
    <w:family w:val="auto"/>
    <w:pitch w:val="default"/>
    <w:sig w:usb0="9000002F" w:usb1="29D77CFB" w:usb2="00000012" w:usb3="00000000" w:csb0="00080001" w:csb1="00000000"/>
  </w:font>
  <w:font w:name="Wingdings 2">
    <w:panose1 w:val="05020102010507070707"/>
    <w:charset w:val="02"/>
    <w:family w:val="roman"/>
    <w:pitch w:val="default"/>
    <w:sig w:usb0="00000000" w:usb1="00000000" w:usb2="00000000" w:usb3="00000000" w:csb0="80000000" w:csb1="00000000"/>
    <w:embedRegular r:id="rId4" w:fontKey="{CCE13D8A-B2AF-4B9A-8C49-F3CF1AE1927D}"/>
  </w:font>
  <w:font w:name="華康細圓體">
    <w:altName w:val="Microsoft JhengHei"/>
    <w:panose1 w:val="020F0309000000000000"/>
    <w:charset w:val="88"/>
    <w:family w:val="modern"/>
    <w:pitch w:val="default"/>
    <w:sig w:usb0="00000000" w:usb1="00000000" w:usb2="00000016" w:usb3="00000000" w:csb0="00100001" w:csb1="00000000"/>
  </w:font>
  <w:font w:name="方正小标宋_GBK">
    <w:panose1 w:val="02000000000000000000"/>
    <w:charset w:val="86"/>
    <w:family w:val="script"/>
    <w:pitch w:val="default"/>
    <w:sig w:usb0="A00002BF" w:usb1="38CF7CFA" w:usb2="00082016" w:usb3="00000000" w:csb0="00040001" w:csb1="00000000"/>
    <w:embedRegular r:id="rId5" w:fontKey="{C936840B-3EA9-4193-9F6D-F9A689BE2627}"/>
  </w:font>
  <w:font w:name="楷体_GB2312">
    <w:panose1 w:val="02010609030101010101"/>
    <w:charset w:val="86"/>
    <w:family w:val="modern"/>
    <w:pitch w:val="default"/>
    <w:sig w:usb0="00000001" w:usb1="080E0000" w:usb2="00000000" w:usb3="00000000" w:csb0="00040000" w:csb1="00000000"/>
    <w:embedRegular r:id="rId6" w:fontKey="{65AC8C1F-70BF-4A70-B467-2D57F8969792}"/>
  </w:font>
  <w:font w:name="华文仿宋">
    <w:panose1 w:val="02010600040101010101"/>
    <w:charset w:val="86"/>
    <w:family w:val="auto"/>
    <w:pitch w:val="default"/>
    <w:sig w:usb0="00000287" w:usb1="080F0000" w:usb2="00000000" w:usb3="00000000" w:csb0="0004009F" w:csb1="DFD70000"/>
    <w:embedRegular r:id="rId7" w:fontKey="{F7F3F418-7B58-4BB3-8F5A-390AA76C5457}"/>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embedRegular r:id="rId8" w:fontKey="{55089374-847F-4EFE-99A8-B4D467754C2F}"/>
  </w:font>
  <w:font w:name="sans-serif">
    <w:altName w:val="微软雅黑"/>
    <w:panose1 w:val="00000000000000000000"/>
    <w:charset w:val="00"/>
    <w:family w:val="auto"/>
    <w:pitch w:val="default"/>
    <w:sig w:usb0="00000000" w:usb1="00000000" w:usb2="00000000" w:usb3="00000000" w:csb0="00040001" w:csb1="00000000"/>
    <w:embedRegular r:id="rId9" w:fontKey="{E77EA08E-E953-4BC7-B7B1-8F9240ABA1F1}"/>
  </w:font>
  <w:font w:name="WPSEMBED1">
    <w:panose1 w:val="02010609030101010101"/>
    <w:charset w:val="86"/>
    <w:family w:val="auto"/>
    <w:pitch w:val="default"/>
    <w:sig w:usb0="00000001" w:usb1="080E0000" w:usb2="00000000" w:usb3="00000000" w:csb0="00040000" w:csb1="00000000"/>
  </w:font>
  <w:font w:name="WPSEMBED3">
    <w:panose1 w:val="02000000000000000000"/>
    <w:charset w:val="86"/>
    <w:family w:val="auto"/>
    <w:pitch w:val="default"/>
    <w:sig w:usb0="A00002BF" w:usb1="38CF7CFA" w:usb2="00082016" w:usb3="00000000" w:csb0="00040001" w:csb1="00000000"/>
  </w:font>
  <w:font w:name="WPSEMBED4">
    <w:panose1 w:val="02010609030101010101"/>
    <w:charset w:val="86"/>
    <w:family w:val="auto"/>
    <w:pitch w:val="default"/>
    <w:sig w:usb0="00000001" w:usb1="080E0000" w:usb2="00000000" w:usb3="00000000" w:csb0="00040000" w:csb1="00000000"/>
  </w:font>
  <w:font w:name="WPSEMBED5">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 w:name="WPSEMBED2">
    <w:panose1 w:val="05020102010507070707"/>
    <w:charset w:val="00"/>
    <w:family w:val="auto"/>
    <w:pitch w:val="default"/>
    <w:sig w:usb0="00000000" w:usb1="00000000" w:usb2="00000000" w:usb3="00000000" w:csb0="80000000" w:csb1="0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DD5B9">
    <w:pPr>
      <w:pStyle w:val="2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DFFD0">
    <w:pPr>
      <w:pStyle w:val="27"/>
      <w:framePr w:wrap="around" w:vAnchor="text" w:hAnchor="margin" w:xAlign="center" w:y="1"/>
      <w:rPr>
        <w:rStyle w:val="42"/>
      </w:rPr>
    </w:pPr>
    <w:r>
      <w:fldChar w:fldCharType="begin"/>
    </w:r>
    <w:r>
      <w:rPr>
        <w:rStyle w:val="42"/>
      </w:rPr>
      <w:instrText xml:space="preserve">PAGE  </w:instrText>
    </w:r>
    <w:r>
      <w:fldChar w:fldCharType="end"/>
    </w:r>
  </w:p>
  <w:p w14:paraId="3118841E">
    <w:pPr>
      <w:pStyle w:val="2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BF72D">
    <w:pPr>
      <w:pStyle w:val="27"/>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58BF4A">
                          <w:pPr>
                            <w:pStyle w:val="27"/>
                            <w:rPr>
                              <w:rFonts w:ascii="宋体" w:hAnsi="宋体" w:eastAsia="宋体"/>
                              <w:sz w:val="18"/>
                              <w:szCs w:val="18"/>
                            </w:rPr>
                          </w:pPr>
                          <w:r>
                            <w:rPr>
                              <w:rFonts w:ascii="宋体" w:hAnsi="宋体" w:eastAsia="宋体"/>
                              <w:sz w:val="18"/>
                              <w:szCs w:val="18"/>
                            </w:rPr>
                            <w:fldChar w:fldCharType="begin"/>
                          </w:r>
                          <w:r>
                            <w:rPr>
                              <w:rFonts w:ascii="宋体" w:hAnsi="宋体" w:eastAsia="宋体"/>
                              <w:sz w:val="18"/>
                              <w:szCs w:val="18"/>
                            </w:rPr>
                            <w:instrText xml:space="preserve"> PAGE  \* MERGEFORMAT </w:instrText>
                          </w:r>
                          <w:r>
                            <w:rPr>
                              <w:rFonts w:ascii="宋体" w:hAnsi="宋体" w:eastAsia="宋体"/>
                              <w:sz w:val="18"/>
                              <w:szCs w:val="18"/>
                            </w:rPr>
                            <w:fldChar w:fldCharType="separate"/>
                          </w:r>
                          <w:r>
                            <w:rPr>
                              <w:rFonts w:ascii="宋体" w:hAnsi="宋体" w:eastAsia="宋体"/>
                              <w:sz w:val="18"/>
                              <w:szCs w:val="18"/>
                            </w:rPr>
                            <w:t>1</w:t>
                          </w:r>
                          <w:r>
                            <w:rPr>
                              <w:rFonts w:ascii="宋体" w:hAnsi="宋体" w:eastAsia="宋体"/>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58BF4A">
                    <w:pPr>
                      <w:pStyle w:val="27"/>
                      <w:rPr>
                        <w:rFonts w:ascii="宋体" w:hAnsi="宋体" w:eastAsia="宋体"/>
                        <w:sz w:val="18"/>
                        <w:szCs w:val="18"/>
                      </w:rPr>
                    </w:pPr>
                    <w:r>
                      <w:rPr>
                        <w:rFonts w:ascii="宋体" w:hAnsi="宋体" w:eastAsia="宋体"/>
                        <w:sz w:val="18"/>
                        <w:szCs w:val="18"/>
                      </w:rPr>
                      <w:fldChar w:fldCharType="begin"/>
                    </w:r>
                    <w:r>
                      <w:rPr>
                        <w:rFonts w:ascii="宋体" w:hAnsi="宋体" w:eastAsia="宋体"/>
                        <w:sz w:val="18"/>
                        <w:szCs w:val="18"/>
                      </w:rPr>
                      <w:instrText xml:space="preserve"> PAGE  \* MERGEFORMAT </w:instrText>
                    </w:r>
                    <w:r>
                      <w:rPr>
                        <w:rFonts w:ascii="宋体" w:hAnsi="宋体" w:eastAsia="宋体"/>
                        <w:sz w:val="18"/>
                        <w:szCs w:val="18"/>
                      </w:rPr>
                      <w:fldChar w:fldCharType="separate"/>
                    </w:r>
                    <w:r>
                      <w:rPr>
                        <w:rFonts w:ascii="宋体" w:hAnsi="宋体" w:eastAsia="宋体"/>
                        <w:sz w:val="18"/>
                        <w:szCs w:val="18"/>
                      </w:rPr>
                      <w:t>1</w:t>
                    </w:r>
                    <w:r>
                      <w:rPr>
                        <w:rFonts w:ascii="宋体" w:hAnsi="宋体" w:eastAsia="宋体"/>
                        <w:sz w:val="18"/>
                        <w:szCs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3B39B">
    <w:pPr>
      <w:pStyle w:val="27"/>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CBFDA">
                          <w:pPr>
                            <w:pStyle w:val="27"/>
                            <w:rPr>
                              <w:rFonts w:ascii="宋体" w:hAnsi="宋体" w:eastAsia="宋体"/>
                              <w:sz w:val="18"/>
                              <w:szCs w:val="18"/>
                            </w:rPr>
                          </w:pPr>
                          <w:r>
                            <w:rPr>
                              <w:rFonts w:ascii="宋体" w:hAnsi="宋体" w:eastAsia="宋体"/>
                              <w:sz w:val="18"/>
                              <w:szCs w:val="18"/>
                            </w:rPr>
                            <w:fldChar w:fldCharType="begin"/>
                          </w:r>
                          <w:r>
                            <w:rPr>
                              <w:rFonts w:ascii="宋体" w:hAnsi="宋体" w:eastAsia="宋体"/>
                              <w:sz w:val="18"/>
                              <w:szCs w:val="18"/>
                            </w:rPr>
                            <w:instrText xml:space="preserve"> PAGE  \* MERGEFORMAT </w:instrText>
                          </w:r>
                          <w:r>
                            <w:rPr>
                              <w:rFonts w:ascii="宋体" w:hAnsi="宋体" w:eastAsia="宋体"/>
                              <w:sz w:val="18"/>
                              <w:szCs w:val="18"/>
                            </w:rPr>
                            <w:fldChar w:fldCharType="separate"/>
                          </w:r>
                          <w:r>
                            <w:rPr>
                              <w:rFonts w:ascii="宋体" w:hAnsi="宋体" w:eastAsia="宋体"/>
                              <w:sz w:val="18"/>
                              <w:szCs w:val="18"/>
                            </w:rPr>
                            <w:t>1</w:t>
                          </w:r>
                          <w:r>
                            <w:rPr>
                              <w:rFonts w:ascii="宋体" w:hAnsi="宋体" w:eastAsia="宋体"/>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ECBFDA">
                    <w:pPr>
                      <w:pStyle w:val="27"/>
                      <w:rPr>
                        <w:rFonts w:ascii="宋体" w:hAnsi="宋体" w:eastAsia="宋体"/>
                        <w:sz w:val="18"/>
                        <w:szCs w:val="18"/>
                      </w:rPr>
                    </w:pPr>
                    <w:r>
                      <w:rPr>
                        <w:rFonts w:ascii="宋体" w:hAnsi="宋体" w:eastAsia="宋体"/>
                        <w:sz w:val="18"/>
                        <w:szCs w:val="18"/>
                      </w:rPr>
                      <w:fldChar w:fldCharType="begin"/>
                    </w:r>
                    <w:r>
                      <w:rPr>
                        <w:rFonts w:ascii="宋体" w:hAnsi="宋体" w:eastAsia="宋体"/>
                        <w:sz w:val="18"/>
                        <w:szCs w:val="18"/>
                      </w:rPr>
                      <w:instrText xml:space="preserve"> PAGE  \* MERGEFORMAT </w:instrText>
                    </w:r>
                    <w:r>
                      <w:rPr>
                        <w:rFonts w:ascii="宋体" w:hAnsi="宋体" w:eastAsia="宋体"/>
                        <w:sz w:val="18"/>
                        <w:szCs w:val="18"/>
                      </w:rPr>
                      <w:fldChar w:fldCharType="separate"/>
                    </w:r>
                    <w:r>
                      <w:rPr>
                        <w:rFonts w:ascii="宋体" w:hAnsi="宋体" w:eastAsia="宋体"/>
                        <w:sz w:val="18"/>
                        <w:szCs w:val="18"/>
                      </w:rPr>
                      <w:t>1</w:t>
                    </w:r>
                    <w:r>
                      <w:rPr>
                        <w:rFonts w:ascii="宋体" w:hAnsi="宋体" w:eastAsia="宋体"/>
                        <w:sz w:val="18"/>
                        <w:szCs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2472A">
    <w:pPr>
      <w:pStyle w:val="27"/>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A2FF40">
                          <w:pPr>
                            <w:pStyle w:val="27"/>
                            <w:rPr>
                              <w:rFonts w:ascii="宋体" w:hAnsi="宋体" w:eastAsia="宋体"/>
                              <w:sz w:val="28"/>
                            </w:rPr>
                          </w:pP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56</w:t>
                          </w:r>
                          <w:r>
                            <w:rPr>
                              <w:rFonts w:ascii="宋体" w:hAnsi="宋体" w:eastAsia="宋体"/>
                              <w:sz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4A2FF40">
                    <w:pPr>
                      <w:pStyle w:val="27"/>
                      <w:rPr>
                        <w:rFonts w:ascii="宋体" w:hAnsi="宋体" w:eastAsia="宋体"/>
                        <w:sz w:val="28"/>
                      </w:rPr>
                    </w:pP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56</w:t>
                    </w:r>
                    <w:r>
                      <w:rPr>
                        <w:rFonts w:ascii="宋体" w:hAnsi="宋体" w:eastAsia="宋体"/>
                        <w:sz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71940">
    <w:pPr>
      <w:pStyle w:val="13"/>
      <w:pBdr>
        <w:bottom w:val="none" w:color="auto" w:sz="0" w:space="0"/>
      </w:pBdr>
      <w:jc w:val="both"/>
      <w:rPr>
        <w:rFonts w:hint="eastAsia"/>
      </w:rPr>
    </w:pPr>
  </w:p>
  <w:p w14:paraId="2FF9F5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18876E"/>
    <w:multiLevelType w:val="singleLevel"/>
    <w:tmpl w:val="AA18876E"/>
    <w:lvl w:ilvl="0" w:tentative="0">
      <w:start w:val="2"/>
      <w:numFmt w:val="decimal"/>
      <w:suff w:val="nothing"/>
      <w:lvlText w:val="（%1）"/>
      <w:lvlJc w:val="left"/>
    </w:lvl>
  </w:abstractNum>
  <w:abstractNum w:abstractNumId="1">
    <w:nsid w:val="00000004"/>
    <w:multiLevelType w:val="singleLevel"/>
    <w:tmpl w:val="00000004"/>
    <w:lvl w:ilvl="0" w:tentative="0">
      <w:start w:val="2"/>
      <w:numFmt w:val="chineseCounting"/>
      <w:suff w:val="nothing"/>
      <w:lvlText w:val="%1、"/>
      <w:lvlJc w:val="left"/>
      <w:rPr>
        <w:rFonts w:hint="eastAsia"/>
      </w:rPr>
    </w:lvl>
  </w:abstractNum>
  <w:abstractNum w:abstractNumId="2">
    <w:nsid w:val="0000000A"/>
    <w:multiLevelType w:val="multilevel"/>
    <w:tmpl w:val="0000000A"/>
    <w:lvl w:ilvl="0" w:tentative="0">
      <w:start w:val="1"/>
      <w:numFmt w:val="decimal"/>
      <w:lvlText w:val="第%1章  "/>
      <w:lvlJc w:val="left"/>
      <w:pPr>
        <w:tabs>
          <w:tab w:val="left" w:pos="6184"/>
        </w:tabs>
        <w:ind w:left="5529" w:hanging="425"/>
      </w:pPr>
      <w:rPr>
        <w:rFonts w:hint="default" w:ascii="宋体" w:hAnsi="宋体" w:eastAsia="宋体"/>
        <w:b w:val="0"/>
        <w:i w:val="0"/>
        <w:sz w:val="36"/>
      </w:rPr>
    </w:lvl>
    <w:lvl w:ilvl="1" w:tentative="0">
      <w:start w:val="1"/>
      <w:numFmt w:val="decimal"/>
      <w:lvlText w:val="%1.%2 "/>
      <w:lvlJc w:val="left"/>
      <w:pPr>
        <w:tabs>
          <w:tab w:val="left" w:pos="5955"/>
        </w:tabs>
        <w:ind w:left="5671" w:hanging="567"/>
      </w:pPr>
      <w:rPr>
        <w:rFonts w:hint="default" w:ascii="Arial" w:hAnsi="Arial" w:eastAsia="微软雅黑"/>
        <w:b w:val="0"/>
        <w:i w:val="0"/>
        <w:sz w:val="30"/>
      </w:rPr>
    </w:lvl>
    <w:lvl w:ilvl="2" w:tentative="0">
      <w:start w:val="1"/>
      <w:numFmt w:val="decimal"/>
      <w:lvlText w:val="%1.%2.%3 "/>
      <w:lvlJc w:val="left"/>
      <w:pPr>
        <w:tabs>
          <w:tab w:val="left" w:pos="7034"/>
        </w:tabs>
        <w:ind w:left="6663" w:hanging="709"/>
      </w:pPr>
      <w:rPr>
        <w:rFonts w:hint="default" w:ascii="Arial" w:hAnsi="Arial" w:eastAsia="宋体" w:cs="Arial"/>
        <w:b/>
        <w:i w:val="0"/>
        <w:sz w:val="24"/>
      </w:rPr>
    </w:lvl>
    <w:lvl w:ilvl="3" w:tentative="0">
      <w:start w:val="1"/>
      <w:numFmt w:val="decimal"/>
      <w:lvlRestart w:val="1"/>
      <w:pStyle w:val="6"/>
      <w:lvlText w:val="表%1-%4"/>
      <w:lvlJc w:val="center"/>
      <w:pPr>
        <w:tabs>
          <w:tab w:val="left" w:pos="5242"/>
        </w:tabs>
        <w:ind w:left="5242" w:hanging="563"/>
      </w:pPr>
      <w:rPr>
        <w:rFonts w:hint="default" w:ascii="Arial" w:hAnsi="Arial" w:eastAsia="宋体" w:cs="Arial"/>
        <w:b/>
        <w:i w:val="0"/>
        <w:sz w:val="21"/>
        <w:szCs w:val="24"/>
        <w:lang w:val="en-US"/>
      </w:rPr>
    </w:lvl>
    <w:lvl w:ilvl="4" w:tentative="0">
      <w:start w:val="1"/>
      <w:numFmt w:val="decimal"/>
      <w:lvlRestart w:val="1"/>
      <w:lvlText w:val="图%1-%5  "/>
      <w:lvlJc w:val="left"/>
      <w:pPr>
        <w:tabs>
          <w:tab w:val="left" w:pos="6096"/>
        </w:tabs>
        <w:ind w:left="6096" w:hanging="992"/>
      </w:pPr>
      <w:rPr>
        <w:rFonts w:hint="default" w:ascii="Arial" w:hAnsi="Arial" w:eastAsia="宋体"/>
        <w:b/>
        <w:i w:val="0"/>
        <w:sz w:val="24"/>
      </w:rPr>
    </w:lvl>
    <w:lvl w:ilvl="5" w:tentative="0">
      <w:start w:val="1"/>
      <w:numFmt w:val="decimal"/>
      <w:lvlText w:val="%1.%2.%3.%4.%5.%6."/>
      <w:lvlJc w:val="left"/>
      <w:pPr>
        <w:tabs>
          <w:tab w:val="left" w:pos="6238"/>
        </w:tabs>
        <w:ind w:left="6238" w:hanging="1134"/>
      </w:pPr>
      <w:rPr>
        <w:rFonts w:hint="eastAsia"/>
      </w:rPr>
    </w:lvl>
    <w:lvl w:ilvl="6" w:tentative="0">
      <w:start w:val="1"/>
      <w:numFmt w:val="decimal"/>
      <w:lvlText w:val="%1.%2.%3.%4.%5.%6.%7."/>
      <w:lvlJc w:val="left"/>
      <w:pPr>
        <w:tabs>
          <w:tab w:val="left" w:pos="6380"/>
        </w:tabs>
        <w:ind w:left="6380" w:hanging="1276"/>
      </w:pPr>
      <w:rPr>
        <w:rFonts w:hint="eastAsia"/>
      </w:rPr>
    </w:lvl>
    <w:lvl w:ilvl="7" w:tentative="0">
      <w:start w:val="1"/>
      <w:numFmt w:val="decimal"/>
      <w:lvlText w:val="%1.%2.%3.%4.%5.%6.%7.%8."/>
      <w:lvlJc w:val="left"/>
      <w:pPr>
        <w:tabs>
          <w:tab w:val="left" w:pos="6522"/>
        </w:tabs>
        <w:ind w:left="6522" w:hanging="1418"/>
      </w:pPr>
      <w:rPr>
        <w:rFonts w:hint="eastAsia"/>
      </w:rPr>
    </w:lvl>
    <w:lvl w:ilvl="8" w:tentative="0">
      <w:start w:val="1"/>
      <w:numFmt w:val="decimal"/>
      <w:lvlText w:val="%1.%2.%3.%4.%5.%6.%7.%8.%9."/>
      <w:lvlJc w:val="left"/>
      <w:pPr>
        <w:tabs>
          <w:tab w:val="left" w:pos="6663"/>
        </w:tabs>
        <w:ind w:left="6663" w:hanging="1559"/>
      </w:pPr>
      <w:rPr>
        <w:rFonts w:hint="eastAsia"/>
      </w:rPr>
    </w:lvl>
  </w:abstractNum>
  <w:abstractNum w:abstractNumId="3">
    <w:nsid w:val="00000012"/>
    <w:multiLevelType w:val="multilevel"/>
    <w:tmpl w:val="00000012"/>
    <w:lvl w:ilvl="0" w:tentative="0">
      <w:start w:val="1"/>
      <w:numFmt w:val="decimal"/>
      <w:lvlText w:val="%1"/>
      <w:lvlJc w:val="left"/>
      <w:pPr>
        <w:tabs>
          <w:tab w:val="left" w:pos="432"/>
        </w:tabs>
        <w:ind w:left="432" w:hanging="432"/>
      </w:pPr>
      <w:rPr>
        <w:rFonts w:hint="eastAsia"/>
      </w:rPr>
    </w:lvl>
    <w:lvl w:ilvl="1" w:tentative="0">
      <w:start w:val="1"/>
      <w:numFmt w:val="decimal"/>
      <w:pStyle w:val="8"/>
      <w:lvlText w:val="%1.%2"/>
      <w:lvlJc w:val="left"/>
      <w:pPr>
        <w:tabs>
          <w:tab w:val="left" w:pos="576"/>
        </w:tabs>
        <w:ind w:left="576" w:hanging="576"/>
      </w:pPr>
      <w:rPr>
        <w:rFonts w:hint="eastAsia"/>
      </w:rPr>
    </w:lvl>
    <w:lvl w:ilvl="2" w:tentative="0">
      <w:start w:val="1"/>
      <w:numFmt w:val="decimal"/>
      <w:lvlText w:val="1.1.%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4">
    <w:nsid w:val="074D2518"/>
    <w:multiLevelType w:val="singleLevel"/>
    <w:tmpl w:val="074D2518"/>
    <w:lvl w:ilvl="0" w:tentative="0">
      <w:start w:val="2"/>
      <w:numFmt w:val="chineseCounting"/>
      <w:suff w:val="nothing"/>
      <w:lvlText w:val="%1、"/>
      <w:lvlJc w:val="left"/>
      <w:rPr>
        <w:rFonts w:hint="eastAsia"/>
      </w:rPr>
    </w:lvl>
  </w:abstractNum>
  <w:abstractNum w:abstractNumId="5">
    <w:nsid w:val="27FBB748"/>
    <w:multiLevelType w:val="singleLevel"/>
    <w:tmpl w:val="27FBB748"/>
    <w:lvl w:ilvl="0" w:tentative="0">
      <w:start w:val="1"/>
      <w:numFmt w:val="bullet"/>
      <w:pStyle w:val="19"/>
      <w:lvlText w:val=""/>
      <w:lvlJc w:val="left"/>
      <w:pPr>
        <w:tabs>
          <w:tab w:val="left" w:pos="780"/>
        </w:tabs>
        <w:ind w:left="780" w:hanging="360"/>
      </w:pPr>
      <w:rPr>
        <w:rFonts w:hint="default" w:ascii="Wingdings" w:hAnsi="Wingdings"/>
      </w:rPr>
    </w:lvl>
  </w:abstractNum>
  <w:abstractNum w:abstractNumId="6">
    <w:nsid w:val="3F4EB068"/>
    <w:multiLevelType w:val="multilevel"/>
    <w:tmpl w:val="3F4EB068"/>
    <w:lvl w:ilvl="0" w:tentative="0">
      <w:start w:val="1"/>
      <w:numFmt w:val="decimal"/>
      <w:lvlText w:val="%1"/>
      <w:lvlJc w:val="left"/>
      <w:pPr>
        <w:ind w:left="2558" w:hanging="432"/>
      </w:pPr>
      <w:rPr>
        <w:rFonts w:hint="default" w:ascii="Times New Roman" w:hAnsi="Times New Roman" w:eastAsia="宋体" w:cs="宋体"/>
      </w:rPr>
    </w:lvl>
    <w:lvl w:ilvl="1" w:tentative="0">
      <w:start w:val="1"/>
      <w:numFmt w:val="decimal"/>
      <w:lvlText w:val="%1.%2"/>
      <w:lvlJc w:val="left"/>
      <w:pPr>
        <w:tabs>
          <w:tab w:val="left" w:pos="425"/>
        </w:tabs>
        <w:ind w:left="425" w:firstLine="0"/>
      </w:pPr>
      <w:rPr>
        <w:rFonts w:hint="default" w:ascii="Times New Roman" w:hAnsi="Times New Roman" w:eastAsia="宋体" w:cs="宋体"/>
      </w:rPr>
    </w:lvl>
    <w:lvl w:ilvl="2" w:tentative="0">
      <w:start w:val="1"/>
      <w:numFmt w:val="decimal"/>
      <w:pStyle w:val="5"/>
      <w:lvlText w:val="%1.%2.%3"/>
      <w:lvlJc w:val="left"/>
      <w:pPr>
        <w:ind w:left="2988" w:hanging="720"/>
      </w:pPr>
      <w:rPr>
        <w:rFonts w:hint="default" w:ascii="Times New Roman" w:hAnsi="Times New Roman" w:eastAsia="宋体" w:cs="宋体"/>
        <w:color w:val="auto"/>
      </w:rPr>
    </w:lvl>
    <w:lvl w:ilvl="3" w:tentative="0">
      <w:start w:val="1"/>
      <w:numFmt w:val="decimal"/>
      <w:lvlText w:val="%1.%2.%3.%4."/>
      <w:lvlJc w:val="left"/>
      <w:pPr>
        <w:ind w:left="3133"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7">
    <w:nsid w:val="4DBA68F7"/>
    <w:multiLevelType w:val="singleLevel"/>
    <w:tmpl w:val="4DBA68F7"/>
    <w:lvl w:ilvl="0" w:tentative="0">
      <w:start w:val="1"/>
      <w:numFmt w:val="decimal"/>
      <w:suff w:val="nothing"/>
      <w:lvlText w:val="（%1）"/>
      <w:lvlJc w:val="left"/>
    </w:lvl>
  </w:abstractNum>
  <w:num w:numId="1">
    <w:abstractNumId w:val="6"/>
  </w:num>
  <w:num w:numId="2">
    <w:abstractNumId w:val="2"/>
  </w:num>
  <w:num w:numId="3">
    <w:abstractNumId w:val="3"/>
  </w:num>
  <w:num w:numId="4">
    <w:abstractNumId w:val="5"/>
  </w:num>
  <w:num w:numId="5">
    <w:abstractNumId w:val="7"/>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4N2VhZDRmMGQwZTIyNTBmODEzYzNiNDViY2Y1NzIifQ=="/>
  </w:docVars>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44868"/>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468C"/>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2588"/>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80364"/>
    <w:rsid w:val="0088279C"/>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06168"/>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46A1F"/>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1788"/>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2DF0"/>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290F7E"/>
    <w:rsid w:val="012F6027"/>
    <w:rsid w:val="0136732D"/>
    <w:rsid w:val="013730A5"/>
    <w:rsid w:val="01487061"/>
    <w:rsid w:val="015D1E09"/>
    <w:rsid w:val="019A55B1"/>
    <w:rsid w:val="01A921D8"/>
    <w:rsid w:val="01F74A81"/>
    <w:rsid w:val="01F9035B"/>
    <w:rsid w:val="02296E92"/>
    <w:rsid w:val="0234058F"/>
    <w:rsid w:val="02697903"/>
    <w:rsid w:val="027C3382"/>
    <w:rsid w:val="028440C8"/>
    <w:rsid w:val="028E4F47"/>
    <w:rsid w:val="02AB3D4B"/>
    <w:rsid w:val="02AF6F41"/>
    <w:rsid w:val="02D52B6B"/>
    <w:rsid w:val="02D92666"/>
    <w:rsid w:val="02D9527E"/>
    <w:rsid w:val="02DC2156"/>
    <w:rsid w:val="02E713C8"/>
    <w:rsid w:val="02F96569"/>
    <w:rsid w:val="02FF7BF3"/>
    <w:rsid w:val="03083CF0"/>
    <w:rsid w:val="030E0E2F"/>
    <w:rsid w:val="030F7B12"/>
    <w:rsid w:val="03237A4F"/>
    <w:rsid w:val="03290453"/>
    <w:rsid w:val="033A6C95"/>
    <w:rsid w:val="0341020B"/>
    <w:rsid w:val="034A3477"/>
    <w:rsid w:val="037D547D"/>
    <w:rsid w:val="037E4FBC"/>
    <w:rsid w:val="03B864DF"/>
    <w:rsid w:val="03B9272D"/>
    <w:rsid w:val="03EA7B21"/>
    <w:rsid w:val="04365661"/>
    <w:rsid w:val="04552C06"/>
    <w:rsid w:val="04605F66"/>
    <w:rsid w:val="047563BF"/>
    <w:rsid w:val="04772BE4"/>
    <w:rsid w:val="047C774D"/>
    <w:rsid w:val="0480426C"/>
    <w:rsid w:val="049B0953"/>
    <w:rsid w:val="04CB1B21"/>
    <w:rsid w:val="04D91EE0"/>
    <w:rsid w:val="04E06436"/>
    <w:rsid w:val="04F2303C"/>
    <w:rsid w:val="052045DD"/>
    <w:rsid w:val="052D6C99"/>
    <w:rsid w:val="053D7D40"/>
    <w:rsid w:val="056A3A4A"/>
    <w:rsid w:val="058762CB"/>
    <w:rsid w:val="05F43F05"/>
    <w:rsid w:val="05F81055"/>
    <w:rsid w:val="05F83EAE"/>
    <w:rsid w:val="061816F7"/>
    <w:rsid w:val="063E7D85"/>
    <w:rsid w:val="06442A19"/>
    <w:rsid w:val="06746CFB"/>
    <w:rsid w:val="06782196"/>
    <w:rsid w:val="067A3289"/>
    <w:rsid w:val="067F52D3"/>
    <w:rsid w:val="068B641C"/>
    <w:rsid w:val="069A6AAB"/>
    <w:rsid w:val="06A64F55"/>
    <w:rsid w:val="06CB48D4"/>
    <w:rsid w:val="06DF7BE4"/>
    <w:rsid w:val="06F52FC9"/>
    <w:rsid w:val="06FA785D"/>
    <w:rsid w:val="070D6D82"/>
    <w:rsid w:val="07293586"/>
    <w:rsid w:val="07295285"/>
    <w:rsid w:val="072E171E"/>
    <w:rsid w:val="07424F73"/>
    <w:rsid w:val="075C0700"/>
    <w:rsid w:val="07636392"/>
    <w:rsid w:val="07727D1E"/>
    <w:rsid w:val="07770C56"/>
    <w:rsid w:val="07AB0349"/>
    <w:rsid w:val="07B36E5D"/>
    <w:rsid w:val="07C80EFB"/>
    <w:rsid w:val="07F615C4"/>
    <w:rsid w:val="08145EEF"/>
    <w:rsid w:val="08432D93"/>
    <w:rsid w:val="084B3FF0"/>
    <w:rsid w:val="08602EE2"/>
    <w:rsid w:val="08896684"/>
    <w:rsid w:val="08AC25CB"/>
    <w:rsid w:val="08CB2A51"/>
    <w:rsid w:val="08DD0223"/>
    <w:rsid w:val="08FF6B9F"/>
    <w:rsid w:val="09024C91"/>
    <w:rsid w:val="091A7535"/>
    <w:rsid w:val="092217DD"/>
    <w:rsid w:val="092C2145"/>
    <w:rsid w:val="093A7294"/>
    <w:rsid w:val="09664528"/>
    <w:rsid w:val="09774987"/>
    <w:rsid w:val="09B16324"/>
    <w:rsid w:val="09B35705"/>
    <w:rsid w:val="0A263993"/>
    <w:rsid w:val="0A29081B"/>
    <w:rsid w:val="0A2D3AC2"/>
    <w:rsid w:val="0A762CE5"/>
    <w:rsid w:val="0A8B77F1"/>
    <w:rsid w:val="0AA01CBB"/>
    <w:rsid w:val="0AA755DF"/>
    <w:rsid w:val="0ABC3B7F"/>
    <w:rsid w:val="0AD36970"/>
    <w:rsid w:val="0AD6392F"/>
    <w:rsid w:val="0AE778EA"/>
    <w:rsid w:val="0B120D44"/>
    <w:rsid w:val="0B1870DA"/>
    <w:rsid w:val="0B316DB7"/>
    <w:rsid w:val="0B3C1EB4"/>
    <w:rsid w:val="0B680A2B"/>
    <w:rsid w:val="0B806BF0"/>
    <w:rsid w:val="0B84338B"/>
    <w:rsid w:val="0B9E1AE2"/>
    <w:rsid w:val="0BC53988"/>
    <w:rsid w:val="0BD27BF6"/>
    <w:rsid w:val="0BEB0E71"/>
    <w:rsid w:val="0C17742D"/>
    <w:rsid w:val="0C262724"/>
    <w:rsid w:val="0C3B3C7D"/>
    <w:rsid w:val="0C6C62F9"/>
    <w:rsid w:val="0C8F6E3F"/>
    <w:rsid w:val="0CA50693"/>
    <w:rsid w:val="0CAB2EAE"/>
    <w:rsid w:val="0CBA38BA"/>
    <w:rsid w:val="0CF31BEE"/>
    <w:rsid w:val="0D282F82"/>
    <w:rsid w:val="0D330BC5"/>
    <w:rsid w:val="0D621C7D"/>
    <w:rsid w:val="0DA970D9"/>
    <w:rsid w:val="0E334D7B"/>
    <w:rsid w:val="0E73034D"/>
    <w:rsid w:val="0EE218B7"/>
    <w:rsid w:val="0EE26D40"/>
    <w:rsid w:val="0F0703BE"/>
    <w:rsid w:val="0F13775A"/>
    <w:rsid w:val="0F21075E"/>
    <w:rsid w:val="0F501090"/>
    <w:rsid w:val="0F5F45FE"/>
    <w:rsid w:val="0F8D6B37"/>
    <w:rsid w:val="0F994996"/>
    <w:rsid w:val="0F9A112B"/>
    <w:rsid w:val="0FA51A1F"/>
    <w:rsid w:val="0FD36253"/>
    <w:rsid w:val="0FFC1742"/>
    <w:rsid w:val="10067CF4"/>
    <w:rsid w:val="100B5E29"/>
    <w:rsid w:val="10234F21"/>
    <w:rsid w:val="102C4FFD"/>
    <w:rsid w:val="106D2F64"/>
    <w:rsid w:val="10A94005"/>
    <w:rsid w:val="10B63710"/>
    <w:rsid w:val="10B65D95"/>
    <w:rsid w:val="10E02132"/>
    <w:rsid w:val="10EA0134"/>
    <w:rsid w:val="10F10820"/>
    <w:rsid w:val="111C2F7A"/>
    <w:rsid w:val="1122332C"/>
    <w:rsid w:val="114244D9"/>
    <w:rsid w:val="11665CA1"/>
    <w:rsid w:val="117F0011"/>
    <w:rsid w:val="118C15D3"/>
    <w:rsid w:val="11980166"/>
    <w:rsid w:val="11A772A5"/>
    <w:rsid w:val="12321383"/>
    <w:rsid w:val="12333D4C"/>
    <w:rsid w:val="12485112"/>
    <w:rsid w:val="12995A7C"/>
    <w:rsid w:val="12D223D2"/>
    <w:rsid w:val="12D85131"/>
    <w:rsid w:val="12EC1E13"/>
    <w:rsid w:val="13086650"/>
    <w:rsid w:val="130D2093"/>
    <w:rsid w:val="13386F35"/>
    <w:rsid w:val="134C29E0"/>
    <w:rsid w:val="135F16A8"/>
    <w:rsid w:val="137912FC"/>
    <w:rsid w:val="137E6912"/>
    <w:rsid w:val="13951726"/>
    <w:rsid w:val="13CB6D36"/>
    <w:rsid w:val="13D824C6"/>
    <w:rsid w:val="13DC1FB6"/>
    <w:rsid w:val="13DF1188"/>
    <w:rsid w:val="13E62E35"/>
    <w:rsid w:val="13FF5CA5"/>
    <w:rsid w:val="141400BE"/>
    <w:rsid w:val="14237BE5"/>
    <w:rsid w:val="142410DC"/>
    <w:rsid w:val="14396509"/>
    <w:rsid w:val="14910930"/>
    <w:rsid w:val="14975EDD"/>
    <w:rsid w:val="149D6584"/>
    <w:rsid w:val="14AB0596"/>
    <w:rsid w:val="14AD39D2"/>
    <w:rsid w:val="14C173FE"/>
    <w:rsid w:val="14CA777D"/>
    <w:rsid w:val="14DD2C3C"/>
    <w:rsid w:val="14E16E2D"/>
    <w:rsid w:val="14FE5F5C"/>
    <w:rsid w:val="151176F1"/>
    <w:rsid w:val="153E70D0"/>
    <w:rsid w:val="15C374B8"/>
    <w:rsid w:val="15CF152F"/>
    <w:rsid w:val="1606331B"/>
    <w:rsid w:val="16087E1D"/>
    <w:rsid w:val="16247C45"/>
    <w:rsid w:val="16557DFE"/>
    <w:rsid w:val="16573B76"/>
    <w:rsid w:val="167D1131"/>
    <w:rsid w:val="16CD347D"/>
    <w:rsid w:val="16D01B7A"/>
    <w:rsid w:val="170757B0"/>
    <w:rsid w:val="17084E70"/>
    <w:rsid w:val="170D23A3"/>
    <w:rsid w:val="17132609"/>
    <w:rsid w:val="17701D14"/>
    <w:rsid w:val="17735226"/>
    <w:rsid w:val="17736513"/>
    <w:rsid w:val="17854713"/>
    <w:rsid w:val="17AD6E0A"/>
    <w:rsid w:val="17C717F5"/>
    <w:rsid w:val="18075128"/>
    <w:rsid w:val="18603A31"/>
    <w:rsid w:val="189F624C"/>
    <w:rsid w:val="18B0640A"/>
    <w:rsid w:val="18BB3AB5"/>
    <w:rsid w:val="18D019BE"/>
    <w:rsid w:val="18F4116C"/>
    <w:rsid w:val="1937250B"/>
    <w:rsid w:val="194A0248"/>
    <w:rsid w:val="19625DE0"/>
    <w:rsid w:val="199364EA"/>
    <w:rsid w:val="19B03A2C"/>
    <w:rsid w:val="19B10DD3"/>
    <w:rsid w:val="19E65610"/>
    <w:rsid w:val="19F54462"/>
    <w:rsid w:val="1A134258"/>
    <w:rsid w:val="1A1C66C0"/>
    <w:rsid w:val="1A22533E"/>
    <w:rsid w:val="1A42393B"/>
    <w:rsid w:val="1A4A567E"/>
    <w:rsid w:val="1A4B2421"/>
    <w:rsid w:val="1AAD45DE"/>
    <w:rsid w:val="1AF454AF"/>
    <w:rsid w:val="1B046F80"/>
    <w:rsid w:val="1B0B272D"/>
    <w:rsid w:val="1B1E2EB4"/>
    <w:rsid w:val="1B3267B5"/>
    <w:rsid w:val="1B40161D"/>
    <w:rsid w:val="1B4346C9"/>
    <w:rsid w:val="1B441859"/>
    <w:rsid w:val="1B5C509D"/>
    <w:rsid w:val="1B6369A6"/>
    <w:rsid w:val="1B6606B1"/>
    <w:rsid w:val="1B8F5B60"/>
    <w:rsid w:val="1BC03388"/>
    <w:rsid w:val="1C5576ED"/>
    <w:rsid w:val="1C5E7925"/>
    <w:rsid w:val="1C657A05"/>
    <w:rsid w:val="1C730FDE"/>
    <w:rsid w:val="1C7B60E4"/>
    <w:rsid w:val="1CC57360"/>
    <w:rsid w:val="1CDE53C3"/>
    <w:rsid w:val="1CEE5111"/>
    <w:rsid w:val="1CF97A82"/>
    <w:rsid w:val="1CFD070F"/>
    <w:rsid w:val="1D51730C"/>
    <w:rsid w:val="1D5932B6"/>
    <w:rsid w:val="1D5F6196"/>
    <w:rsid w:val="1D6132A5"/>
    <w:rsid w:val="1D8E56D5"/>
    <w:rsid w:val="1D905BC0"/>
    <w:rsid w:val="1DA33B45"/>
    <w:rsid w:val="1DAF6046"/>
    <w:rsid w:val="1DC31D84"/>
    <w:rsid w:val="1DC37D43"/>
    <w:rsid w:val="1E101D9C"/>
    <w:rsid w:val="1E25304F"/>
    <w:rsid w:val="1E26709F"/>
    <w:rsid w:val="1E34479D"/>
    <w:rsid w:val="1E3824DF"/>
    <w:rsid w:val="1E533A4C"/>
    <w:rsid w:val="1E6422BB"/>
    <w:rsid w:val="1E7A43DA"/>
    <w:rsid w:val="1EE359F0"/>
    <w:rsid w:val="1EF60076"/>
    <w:rsid w:val="1F27771A"/>
    <w:rsid w:val="1F4E46DF"/>
    <w:rsid w:val="1F74219C"/>
    <w:rsid w:val="1F7744F4"/>
    <w:rsid w:val="1F8556A7"/>
    <w:rsid w:val="1F90646C"/>
    <w:rsid w:val="1FA65118"/>
    <w:rsid w:val="1FC76B6B"/>
    <w:rsid w:val="1FDE0E64"/>
    <w:rsid w:val="1FE7539E"/>
    <w:rsid w:val="200F5F47"/>
    <w:rsid w:val="201D6D15"/>
    <w:rsid w:val="20214716"/>
    <w:rsid w:val="20482F70"/>
    <w:rsid w:val="20671BE0"/>
    <w:rsid w:val="20672C08"/>
    <w:rsid w:val="20963CB8"/>
    <w:rsid w:val="20A81A1B"/>
    <w:rsid w:val="20AA0888"/>
    <w:rsid w:val="20B07FB6"/>
    <w:rsid w:val="20B646FB"/>
    <w:rsid w:val="20E80E3E"/>
    <w:rsid w:val="20F163B3"/>
    <w:rsid w:val="211A411E"/>
    <w:rsid w:val="21221005"/>
    <w:rsid w:val="213B74B1"/>
    <w:rsid w:val="21472CE9"/>
    <w:rsid w:val="21586694"/>
    <w:rsid w:val="215A2310"/>
    <w:rsid w:val="216C12EF"/>
    <w:rsid w:val="21787096"/>
    <w:rsid w:val="21DE318A"/>
    <w:rsid w:val="21EF5B80"/>
    <w:rsid w:val="21F85898"/>
    <w:rsid w:val="2205437D"/>
    <w:rsid w:val="222141A7"/>
    <w:rsid w:val="222C085B"/>
    <w:rsid w:val="222C235B"/>
    <w:rsid w:val="222F2638"/>
    <w:rsid w:val="22341751"/>
    <w:rsid w:val="22574EFE"/>
    <w:rsid w:val="22576990"/>
    <w:rsid w:val="22D65A43"/>
    <w:rsid w:val="22DB78DD"/>
    <w:rsid w:val="22F47480"/>
    <w:rsid w:val="23042802"/>
    <w:rsid w:val="235B48B0"/>
    <w:rsid w:val="23671171"/>
    <w:rsid w:val="23A83B01"/>
    <w:rsid w:val="23B26890"/>
    <w:rsid w:val="23DE1C48"/>
    <w:rsid w:val="23E90928"/>
    <w:rsid w:val="240210CD"/>
    <w:rsid w:val="243D4E61"/>
    <w:rsid w:val="243E24E2"/>
    <w:rsid w:val="245636BF"/>
    <w:rsid w:val="246F35F3"/>
    <w:rsid w:val="247109C2"/>
    <w:rsid w:val="247A6BC4"/>
    <w:rsid w:val="247B1377"/>
    <w:rsid w:val="248F097F"/>
    <w:rsid w:val="24B1386E"/>
    <w:rsid w:val="24B21AFC"/>
    <w:rsid w:val="24BF09F7"/>
    <w:rsid w:val="25084731"/>
    <w:rsid w:val="252D53FE"/>
    <w:rsid w:val="255F7BD5"/>
    <w:rsid w:val="256B6E08"/>
    <w:rsid w:val="256E43AF"/>
    <w:rsid w:val="25703C94"/>
    <w:rsid w:val="25705715"/>
    <w:rsid w:val="25714529"/>
    <w:rsid w:val="259F5680"/>
    <w:rsid w:val="25D86FAD"/>
    <w:rsid w:val="25EC2D81"/>
    <w:rsid w:val="25F9498E"/>
    <w:rsid w:val="26312E3A"/>
    <w:rsid w:val="266B71CA"/>
    <w:rsid w:val="26734828"/>
    <w:rsid w:val="268A30F6"/>
    <w:rsid w:val="26A9561E"/>
    <w:rsid w:val="26E232BF"/>
    <w:rsid w:val="27257EC7"/>
    <w:rsid w:val="27263A4D"/>
    <w:rsid w:val="273A72C8"/>
    <w:rsid w:val="27533E2B"/>
    <w:rsid w:val="275B2D9A"/>
    <w:rsid w:val="27625E65"/>
    <w:rsid w:val="27701A1B"/>
    <w:rsid w:val="277057A2"/>
    <w:rsid w:val="277E703B"/>
    <w:rsid w:val="278C389C"/>
    <w:rsid w:val="279B06AD"/>
    <w:rsid w:val="27C44DE4"/>
    <w:rsid w:val="27DF2341"/>
    <w:rsid w:val="27DF39CB"/>
    <w:rsid w:val="28221B0A"/>
    <w:rsid w:val="28235F20"/>
    <w:rsid w:val="282E719A"/>
    <w:rsid w:val="288A7DDB"/>
    <w:rsid w:val="289C3BF0"/>
    <w:rsid w:val="28DF1B38"/>
    <w:rsid w:val="29056CB5"/>
    <w:rsid w:val="2919115F"/>
    <w:rsid w:val="291D5A12"/>
    <w:rsid w:val="29206EB8"/>
    <w:rsid w:val="294F692F"/>
    <w:rsid w:val="29595666"/>
    <w:rsid w:val="29824B6A"/>
    <w:rsid w:val="29852351"/>
    <w:rsid w:val="29874881"/>
    <w:rsid w:val="29A924E3"/>
    <w:rsid w:val="29C54E43"/>
    <w:rsid w:val="29E21551"/>
    <w:rsid w:val="29E325E0"/>
    <w:rsid w:val="2A336250"/>
    <w:rsid w:val="2A452503"/>
    <w:rsid w:val="2A582169"/>
    <w:rsid w:val="2A7E2457"/>
    <w:rsid w:val="2ABC7FF4"/>
    <w:rsid w:val="2ACB4345"/>
    <w:rsid w:val="2ACE6C3F"/>
    <w:rsid w:val="2ADE7F6A"/>
    <w:rsid w:val="2AE65F68"/>
    <w:rsid w:val="2AED285F"/>
    <w:rsid w:val="2AF814F6"/>
    <w:rsid w:val="2B177920"/>
    <w:rsid w:val="2B6E69FD"/>
    <w:rsid w:val="2B6F32B8"/>
    <w:rsid w:val="2B8E3C54"/>
    <w:rsid w:val="2BA936A8"/>
    <w:rsid w:val="2BAB1E3E"/>
    <w:rsid w:val="2BBD6B32"/>
    <w:rsid w:val="2BF10171"/>
    <w:rsid w:val="2C155C0E"/>
    <w:rsid w:val="2C315A5A"/>
    <w:rsid w:val="2C416A03"/>
    <w:rsid w:val="2C4B1C25"/>
    <w:rsid w:val="2C5A7AC4"/>
    <w:rsid w:val="2C6170A5"/>
    <w:rsid w:val="2C715D01"/>
    <w:rsid w:val="2C7A017E"/>
    <w:rsid w:val="2C8F06FC"/>
    <w:rsid w:val="2CDB072C"/>
    <w:rsid w:val="2CDE7C57"/>
    <w:rsid w:val="2CEA1A64"/>
    <w:rsid w:val="2D273A69"/>
    <w:rsid w:val="2D3B5F61"/>
    <w:rsid w:val="2D595FCE"/>
    <w:rsid w:val="2D60735C"/>
    <w:rsid w:val="2D9E56F5"/>
    <w:rsid w:val="2DB15E0A"/>
    <w:rsid w:val="2DDB4218"/>
    <w:rsid w:val="2DE97352"/>
    <w:rsid w:val="2DEC299E"/>
    <w:rsid w:val="2DF74596"/>
    <w:rsid w:val="2E0917A2"/>
    <w:rsid w:val="2E503607"/>
    <w:rsid w:val="2E667F96"/>
    <w:rsid w:val="2E6D35F2"/>
    <w:rsid w:val="2E76495E"/>
    <w:rsid w:val="2E8226AB"/>
    <w:rsid w:val="2E882B07"/>
    <w:rsid w:val="2EB64603"/>
    <w:rsid w:val="2EF437C5"/>
    <w:rsid w:val="2F0A3A24"/>
    <w:rsid w:val="2F1F6C5E"/>
    <w:rsid w:val="2FCA2871"/>
    <w:rsid w:val="2FCA6D0F"/>
    <w:rsid w:val="2FD065E6"/>
    <w:rsid w:val="2FD96870"/>
    <w:rsid w:val="2FDD1826"/>
    <w:rsid w:val="2FE36023"/>
    <w:rsid w:val="2FEF1156"/>
    <w:rsid w:val="30097C49"/>
    <w:rsid w:val="30297D21"/>
    <w:rsid w:val="30346878"/>
    <w:rsid w:val="30580BC9"/>
    <w:rsid w:val="30595E99"/>
    <w:rsid w:val="305B0B03"/>
    <w:rsid w:val="305C3F78"/>
    <w:rsid w:val="305E56A9"/>
    <w:rsid w:val="30804B0F"/>
    <w:rsid w:val="30B93376"/>
    <w:rsid w:val="30D509D4"/>
    <w:rsid w:val="310149B3"/>
    <w:rsid w:val="310A11A0"/>
    <w:rsid w:val="310D25DB"/>
    <w:rsid w:val="31150844"/>
    <w:rsid w:val="311A2655"/>
    <w:rsid w:val="311E2ED7"/>
    <w:rsid w:val="315619EE"/>
    <w:rsid w:val="315C449C"/>
    <w:rsid w:val="31745184"/>
    <w:rsid w:val="319F1BBE"/>
    <w:rsid w:val="31B47C77"/>
    <w:rsid w:val="31B82709"/>
    <w:rsid w:val="31D05482"/>
    <w:rsid w:val="31E81239"/>
    <w:rsid w:val="31F40788"/>
    <w:rsid w:val="32195733"/>
    <w:rsid w:val="32235C91"/>
    <w:rsid w:val="322B792F"/>
    <w:rsid w:val="323404BC"/>
    <w:rsid w:val="32400B34"/>
    <w:rsid w:val="325C3897"/>
    <w:rsid w:val="32851613"/>
    <w:rsid w:val="328533C1"/>
    <w:rsid w:val="328562BF"/>
    <w:rsid w:val="329E6876"/>
    <w:rsid w:val="32B12E72"/>
    <w:rsid w:val="32CF4C92"/>
    <w:rsid w:val="32EE556D"/>
    <w:rsid w:val="32FE6A1A"/>
    <w:rsid w:val="333015F2"/>
    <w:rsid w:val="334B6320"/>
    <w:rsid w:val="335B5D06"/>
    <w:rsid w:val="33881CEE"/>
    <w:rsid w:val="33A25A1B"/>
    <w:rsid w:val="33AB7636"/>
    <w:rsid w:val="33B43F5E"/>
    <w:rsid w:val="33BA70E5"/>
    <w:rsid w:val="33D934D4"/>
    <w:rsid w:val="33DD54E8"/>
    <w:rsid w:val="33E51423"/>
    <w:rsid w:val="33FE2F6A"/>
    <w:rsid w:val="340E07E5"/>
    <w:rsid w:val="34235BF7"/>
    <w:rsid w:val="3566572C"/>
    <w:rsid w:val="358A43F7"/>
    <w:rsid w:val="358C5FA8"/>
    <w:rsid w:val="35942299"/>
    <w:rsid w:val="35BB368A"/>
    <w:rsid w:val="35C15DF1"/>
    <w:rsid w:val="35CB558F"/>
    <w:rsid w:val="35D408E8"/>
    <w:rsid w:val="35D73F34"/>
    <w:rsid w:val="36074A7F"/>
    <w:rsid w:val="36162CAE"/>
    <w:rsid w:val="363E5C5F"/>
    <w:rsid w:val="36474589"/>
    <w:rsid w:val="364D2448"/>
    <w:rsid w:val="36521C88"/>
    <w:rsid w:val="365750A8"/>
    <w:rsid w:val="36923549"/>
    <w:rsid w:val="36B75FBF"/>
    <w:rsid w:val="36BD0C45"/>
    <w:rsid w:val="371B2546"/>
    <w:rsid w:val="371F3DE4"/>
    <w:rsid w:val="373D4BB7"/>
    <w:rsid w:val="37441A9D"/>
    <w:rsid w:val="376E5F31"/>
    <w:rsid w:val="378C4494"/>
    <w:rsid w:val="37B564F7"/>
    <w:rsid w:val="37BE19E1"/>
    <w:rsid w:val="37C74453"/>
    <w:rsid w:val="37DC3A83"/>
    <w:rsid w:val="37E00298"/>
    <w:rsid w:val="37EC14E5"/>
    <w:rsid w:val="37F94635"/>
    <w:rsid w:val="38094BA2"/>
    <w:rsid w:val="38815965"/>
    <w:rsid w:val="38B302F9"/>
    <w:rsid w:val="38B67357"/>
    <w:rsid w:val="38F12CD3"/>
    <w:rsid w:val="38F94775"/>
    <w:rsid w:val="39180BB4"/>
    <w:rsid w:val="3923742F"/>
    <w:rsid w:val="392971ED"/>
    <w:rsid w:val="39317899"/>
    <w:rsid w:val="39325651"/>
    <w:rsid w:val="394F7C4D"/>
    <w:rsid w:val="39557D64"/>
    <w:rsid w:val="39596709"/>
    <w:rsid w:val="39861EF9"/>
    <w:rsid w:val="39900542"/>
    <w:rsid w:val="3994226D"/>
    <w:rsid w:val="39A6259B"/>
    <w:rsid w:val="39BB1968"/>
    <w:rsid w:val="39BD1A7E"/>
    <w:rsid w:val="39C145F1"/>
    <w:rsid w:val="39CC1F63"/>
    <w:rsid w:val="39EB26A4"/>
    <w:rsid w:val="3A34154F"/>
    <w:rsid w:val="3A3A5A22"/>
    <w:rsid w:val="3A504C8A"/>
    <w:rsid w:val="3A6B2FD9"/>
    <w:rsid w:val="3A783A83"/>
    <w:rsid w:val="3A872856"/>
    <w:rsid w:val="3A9847FC"/>
    <w:rsid w:val="3AC069AE"/>
    <w:rsid w:val="3AE77692"/>
    <w:rsid w:val="3AF6643F"/>
    <w:rsid w:val="3B0964B6"/>
    <w:rsid w:val="3B1B0D67"/>
    <w:rsid w:val="3B2A71FC"/>
    <w:rsid w:val="3B3763D1"/>
    <w:rsid w:val="3B3A49AB"/>
    <w:rsid w:val="3BA1126C"/>
    <w:rsid w:val="3BA93051"/>
    <w:rsid w:val="3BB222F8"/>
    <w:rsid w:val="3BD80FAA"/>
    <w:rsid w:val="3C093630"/>
    <w:rsid w:val="3C132B2B"/>
    <w:rsid w:val="3C2F6E1E"/>
    <w:rsid w:val="3C3524B1"/>
    <w:rsid w:val="3C4F64BA"/>
    <w:rsid w:val="3C58716B"/>
    <w:rsid w:val="3C63760F"/>
    <w:rsid w:val="3CBC3E83"/>
    <w:rsid w:val="3CC6768F"/>
    <w:rsid w:val="3CDA245A"/>
    <w:rsid w:val="3D052612"/>
    <w:rsid w:val="3D0C2213"/>
    <w:rsid w:val="3D1E06B7"/>
    <w:rsid w:val="3D8664E0"/>
    <w:rsid w:val="3D9077EA"/>
    <w:rsid w:val="3DB0710E"/>
    <w:rsid w:val="3DB17760"/>
    <w:rsid w:val="3DBC2DD4"/>
    <w:rsid w:val="3DBF46AD"/>
    <w:rsid w:val="3EDA0523"/>
    <w:rsid w:val="3EE85404"/>
    <w:rsid w:val="3F1010F3"/>
    <w:rsid w:val="3F6C7DE3"/>
    <w:rsid w:val="3FA070EC"/>
    <w:rsid w:val="3FA66D8C"/>
    <w:rsid w:val="3FEE6A48"/>
    <w:rsid w:val="40055B41"/>
    <w:rsid w:val="40122D93"/>
    <w:rsid w:val="40512B35"/>
    <w:rsid w:val="40586C24"/>
    <w:rsid w:val="407A6407"/>
    <w:rsid w:val="40AE7F87"/>
    <w:rsid w:val="40B828AE"/>
    <w:rsid w:val="40C155F0"/>
    <w:rsid w:val="40FB6A89"/>
    <w:rsid w:val="41177E9F"/>
    <w:rsid w:val="41287D39"/>
    <w:rsid w:val="41314CBC"/>
    <w:rsid w:val="41485829"/>
    <w:rsid w:val="41636FC4"/>
    <w:rsid w:val="41673933"/>
    <w:rsid w:val="41727207"/>
    <w:rsid w:val="4183381F"/>
    <w:rsid w:val="41C31810"/>
    <w:rsid w:val="41E22E9D"/>
    <w:rsid w:val="4200449D"/>
    <w:rsid w:val="42004812"/>
    <w:rsid w:val="42224529"/>
    <w:rsid w:val="423A3BCC"/>
    <w:rsid w:val="42401F2A"/>
    <w:rsid w:val="424E57D2"/>
    <w:rsid w:val="42744322"/>
    <w:rsid w:val="42A87384"/>
    <w:rsid w:val="42B26C49"/>
    <w:rsid w:val="42B37AD7"/>
    <w:rsid w:val="42D53EF1"/>
    <w:rsid w:val="42D55C9F"/>
    <w:rsid w:val="43305F29"/>
    <w:rsid w:val="433A6FE6"/>
    <w:rsid w:val="43480868"/>
    <w:rsid w:val="4350713C"/>
    <w:rsid w:val="436653E0"/>
    <w:rsid w:val="439416B6"/>
    <w:rsid w:val="43A65966"/>
    <w:rsid w:val="43B6162D"/>
    <w:rsid w:val="43B753A5"/>
    <w:rsid w:val="43C4431A"/>
    <w:rsid w:val="43EC40C1"/>
    <w:rsid w:val="440E1D35"/>
    <w:rsid w:val="441822E7"/>
    <w:rsid w:val="44242A3A"/>
    <w:rsid w:val="44517F04"/>
    <w:rsid w:val="447A4DF0"/>
    <w:rsid w:val="448A6A05"/>
    <w:rsid w:val="44A82D6A"/>
    <w:rsid w:val="44B813D4"/>
    <w:rsid w:val="44B951CC"/>
    <w:rsid w:val="44C80253"/>
    <w:rsid w:val="44CD14E0"/>
    <w:rsid w:val="44F20B0B"/>
    <w:rsid w:val="451B5323"/>
    <w:rsid w:val="452151CC"/>
    <w:rsid w:val="452E5F4C"/>
    <w:rsid w:val="45553D46"/>
    <w:rsid w:val="45612018"/>
    <w:rsid w:val="456F4189"/>
    <w:rsid w:val="45794D2A"/>
    <w:rsid w:val="458946E9"/>
    <w:rsid w:val="45A06B58"/>
    <w:rsid w:val="45A47C0E"/>
    <w:rsid w:val="45A973D4"/>
    <w:rsid w:val="45DE038C"/>
    <w:rsid w:val="45EF0CAA"/>
    <w:rsid w:val="45F657E0"/>
    <w:rsid w:val="46130451"/>
    <w:rsid w:val="464473C4"/>
    <w:rsid w:val="46577FD6"/>
    <w:rsid w:val="467C2B9E"/>
    <w:rsid w:val="468D7067"/>
    <w:rsid w:val="46D0748E"/>
    <w:rsid w:val="46D955A7"/>
    <w:rsid w:val="46E21F50"/>
    <w:rsid w:val="46E71556"/>
    <w:rsid w:val="47133957"/>
    <w:rsid w:val="47317A68"/>
    <w:rsid w:val="47A07E0C"/>
    <w:rsid w:val="47C14A44"/>
    <w:rsid w:val="47DD4902"/>
    <w:rsid w:val="48054931"/>
    <w:rsid w:val="48537B20"/>
    <w:rsid w:val="4870272E"/>
    <w:rsid w:val="48A04659"/>
    <w:rsid w:val="48D9462A"/>
    <w:rsid w:val="48E43925"/>
    <w:rsid w:val="48EC0566"/>
    <w:rsid w:val="4910358D"/>
    <w:rsid w:val="494E46CB"/>
    <w:rsid w:val="49623B2D"/>
    <w:rsid w:val="49672190"/>
    <w:rsid w:val="497A30FC"/>
    <w:rsid w:val="49843F7B"/>
    <w:rsid w:val="49DC7715"/>
    <w:rsid w:val="49ED38CE"/>
    <w:rsid w:val="4A01432D"/>
    <w:rsid w:val="4A023139"/>
    <w:rsid w:val="4A21623E"/>
    <w:rsid w:val="4A2720E2"/>
    <w:rsid w:val="4A4C2CEB"/>
    <w:rsid w:val="4A6F0787"/>
    <w:rsid w:val="4A7B576F"/>
    <w:rsid w:val="4AA04DE4"/>
    <w:rsid w:val="4AC81518"/>
    <w:rsid w:val="4AF471C0"/>
    <w:rsid w:val="4AF561A9"/>
    <w:rsid w:val="4AFD3FF6"/>
    <w:rsid w:val="4B2C74CD"/>
    <w:rsid w:val="4B3616FD"/>
    <w:rsid w:val="4BF929FE"/>
    <w:rsid w:val="4C1710D6"/>
    <w:rsid w:val="4C1C3C69"/>
    <w:rsid w:val="4C464319"/>
    <w:rsid w:val="4C4A0649"/>
    <w:rsid w:val="4C4A14AC"/>
    <w:rsid w:val="4C4E1E8F"/>
    <w:rsid w:val="4C78021E"/>
    <w:rsid w:val="4C7E5ECA"/>
    <w:rsid w:val="4C8229F4"/>
    <w:rsid w:val="4C876AA5"/>
    <w:rsid w:val="4CB15070"/>
    <w:rsid w:val="4CE23976"/>
    <w:rsid w:val="4CE96BA0"/>
    <w:rsid w:val="4CF6364B"/>
    <w:rsid w:val="4D0E00FB"/>
    <w:rsid w:val="4D176606"/>
    <w:rsid w:val="4D4D2EB4"/>
    <w:rsid w:val="4D565C2E"/>
    <w:rsid w:val="4D592737"/>
    <w:rsid w:val="4D796F28"/>
    <w:rsid w:val="4DA644C0"/>
    <w:rsid w:val="4DBA440F"/>
    <w:rsid w:val="4DCB3F26"/>
    <w:rsid w:val="4DD8680B"/>
    <w:rsid w:val="4DEC4FB0"/>
    <w:rsid w:val="4E075D8A"/>
    <w:rsid w:val="4E4168DE"/>
    <w:rsid w:val="4E4B4859"/>
    <w:rsid w:val="4EC00FAD"/>
    <w:rsid w:val="4EC54E1A"/>
    <w:rsid w:val="4EE03A01"/>
    <w:rsid w:val="4EF92D15"/>
    <w:rsid w:val="4F027E1C"/>
    <w:rsid w:val="4F29184C"/>
    <w:rsid w:val="4F403D3C"/>
    <w:rsid w:val="4F8F61FC"/>
    <w:rsid w:val="4F9843DC"/>
    <w:rsid w:val="4FC62A8C"/>
    <w:rsid w:val="4FCE5F50"/>
    <w:rsid w:val="4FDC68BF"/>
    <w:rsid w:val="4FE20F0D"/>
    <w:rsid w:val="4FE51552"/>
    <w:rsid w:val="4FE74F4E"/>
    <w:rsid w:val="501F2C78"/>
    <w:rsid w:val="50377A10"/>
    <w:rsid w:val="50504C4B"/>
    <w:rsid w:val="50714396"/>
    <w:rsid w:val="509C6E7C"/>
    <w:rsid w:val="50AA2519"/>
    <w:rsid w:val="50AB2A4F"/>
    <w:rsid w:val="50C11D56"/>
    <w:rsid w:val="50D2381E"/>
    <w:rsid w:val="50DC6BD9"/>
    <w:rsid w:val="510E5133"/>
    <w:rsid w:val="514C04EC"/>
    <w:rsid w:val="514C77DD"/>
    <w:rsid w:val="51515A06"/>
    <w:rsid w:val="5156444F"/>
    <w:rsid w:val="5162104E"/>
    <w:rsid w:val="524E3378"/>
    <w:rsid w:val="52544EEF"/>
    <w:rsid w:val="527E12C8"/>
    <w:rsid w:val="52AE52B6"/>
    <w:rsid w:val="52DC0984"/>
    <w:rsid w:val="531C29E7"/>
    <w:rsid w:val="53565AD7"/>
    <w:rsid w:val="53A039CC"/>
    <w:rsid w:val="53A1505A"/>
    <w:rsid w:val="53B042EA"/>
    <w:rsid w:val="54063E08"/>
    <w:rsid w:val="541B59B1"/>
    <w:rsid w:val="5434141D"/>
    <w:rsid w:val="543437E8"/>
    <w:rsid w:val="54A30BE9"/>
    <w:rsid w:val="54CC5154"/>
    <w:rsid w:val="54E0002E"/>
    <w:rsid w:val="54F73313"/>
    <w:rsid w:val="54F80955"/>
    <w:rsid w:val="553625CD"/>
    <w:rsid w:val="554D5B69"/>
    <w:rsid w:val="555170A7"/>
    <w:rsid w:val="5560589C"/>
    <w:rsid w:val="5587536D"/>
    <w:rsid w:val="559B174B"/>
    <w:rsid w:val="55C51BA3"/>
    <w:rsid w:val="55CE0CF4"/>
    <w:rsid w:val="55F3226C"/>
    <w:rsid w:val="56066791"/>
    <w:rsid w:val="56465949"/>
    <w:rsid w:val="567551C0"/>
    <w:rsid w:val="56930919"/>
    <w:rsid w:val="56B22A9C"/>
    <w:rsid w:val="56BD72FB"/>
    <w:rsid w:val="56D6398B"/>
    <w:rsid w:val="56DC6C4B"/>
    <w:rsid w:val="56E30533"/>
    <w:rsid w:val="5701563F"/>
    <w:rsid w:val="57276880"/>
    <w:rsid w:val="576F2F50"/>
    <w:rsid w:val="5785783C"/>
    <w:rsid w:val="57AD29C3"/>
    <w:rsid w:val="57B05F09"/>
    <w:rsid w:val="57B72A76"/>
    <w:rsid w:val="57C27F27"/>
    <w:rsid w:val="57C3426C"/>
    <w:rsid w:val="57CE1F93"/>
    <w:rsid w:val="57D9432B"/>
    <w:rsid w:val="57D9581D"/>
    <w:rsid w:val="582C5F09"/>
    <w:rsid w:val="5875383A"/>
    <w:rsid w:val="588743D1"/>
    <w:rsid w:val="5887701A"/>
    <w:rsid w:val="591138DC"/>
    <w:rsid w:val="592A00AB"/>
    <w:rsid w:val="59494DC1"/>
    <w:rsid w:val="596B2178"/>
    <w:rsid w:val="5970234A"/>
    <w:rsid w:val="59AA17DC"/>
    <w:rsid w:val="59C0439F"/>
    <w:rsid w:val="59CB4555"/>
    <w:rsid w:val="59D625D1"/>
    <w:rsid w:val="59E051FD"/>
    <w:rsid w:val="5A056A12"/>
    <w:rsid w:val="5A1F22BF"/>
    <w:rsid w:val="5A3B68D8"/>
    <w:rsid w:val="5A5B4884"/>
    <w:rsid w:val="5A873D5C"/>
    <w:rsid w:val="5ABA15AB"/>
    <w:rsid w:val="5ABE2233"/>
    <w:rsid w:val="5AD807A9"/>
    <w:rsid w:val="5AF26F96"/>
    <w:rsid w:val="5AFC1E77"/>
    <w:rsid w:val="5B182775"/>
    <w:rsid w:val="5B4E6197"/>
    <w:rsid w:val="5B681EBD"/>
    <w:rsid w:val="5B77749C"/>
    <w:rsid w:val="5B7A6F8C"/>
    <w:rsid w:val="5B863149"/>
    <w:rsid w:val="5BC20696"/>
    <w:rsid w:val="5BC36B85"/>
    <w:rsid w:val="5BDF5D95"/>
    <w:rsid w:val="5BFE7528"/>
    <w:rsid w:val="5C294C3A"/>
    <w:rsid w:val="5C3A333E"/>
    <w:rsid w:val="5C401F83"/>
    <w:rsid w:val="5C533D89"/>
    <w:rsid w:val="5C6A0E52"/>
    <w:rsid w:val="5CA705FB"/>
    <w:rsid w:val="5CD44182"/>
    <w:rsid w:val="5CD71C83"/>
    <w:rsid w:val="5CD95072"/>
    <w:rsid w:val="5D4B6E32"/>
    <w:rsid w:val="5D6E22D7"/>
    <w:rsid w:val="5D815372"/>
    <w:rsid w:val="5D853BF2"/>
    <w:rsid w:val="5D9777E3"/>
    <w:rsid w:val="5D9F0F2C"/>
    <w:rsid w:val="5DE40FB7"/>
    <w:rsid w:val="5E1C257C"/>
    <w:rsid w:val="5E2467F1"/>
    <w:rsid w:val="5E2537CF"/>
    <w:rsid w:val="5E2551A0"/>
    <w:rsid w:val="5E2D28AF"/>
    <w:rsid w:val="5E3873B6"/>
    <w:rsid w:val="5E6B50FF"/>
    <w:rsid w:val="5E7531E7"/>
    <w:rsid w:val="5ED461B4"/>
    <w:rsid w:val="5F0B0627"/>
    <w:rsid w:val="5F1A2B43"/>
    <w:rsid w:val="5F4E312C"/>
    <w:rsid w:val="5FB837BB"/>
    <w:rsid w:val="5FD01870"/>
    <w:rsid w:val="6029493B"/>
    <w:rsid w:val="602D4089"/>
    <w:rsid w:val="60363DC9"/>
    <w:rsid w:val="60592F68"/>
    <w:rsid w:val="607E12CC"/>
    <w:rsid w:val="60CC405A"/>
    <w:rsid w:val="60CF1B28"/>
    <w:rsid w:val="60DB227B"/>
    <w:rsid w:val="60EA6C35"/>
    <w:rsid w:val="60FC0EDF"/>
    <w:rsid w:val="61367CEA"/>
    <w:rsid w:val="61461DEA"/>
    <w:rsid w:val="61504A17"/>
    <w:rsid w:val="61935FBD"/>
    <w:rsid w:val="61AD1E69"/>
    <w:rsid w:val="61D05B58"/>
    <w:rsid w:val="61E215D8"/>
    <w:rsid w:val="61EA6C19"/>
    <w:rsid w:val="61EC7C1C"/>
    <w:rsid w:val="61F72388"/>
    <w:rsid w:val="62165C60"/>
    <w:rsid w:val="621B3775"/>
    <w:rsid w:val="62364782"/>
    <w:rsid w:val="624A6E75"/>
    <w:rsid w:val="626962E7"/>
    <w:rsid w:val="627B3D15"/>
    <w:rsid w:val="62AA50D9"/>
    <w:rsid w:val="62BC6730"/>
    <w:rsid w:val="62D82F16"/>
    <w:rsid w:val="62FA0E4E"/>
    <w:rsid w:val="63582AB4"/>
    <w:rsid w:val="636449ED"/>
    <w:rsid w:val="63760AEB"/>
    <w:rsid w:val="637A3FCD"/>
    <w:rsid w:val="63844C4A"/>
    <w:rsid w:val="6394356A"/>
    <w:rsid w:val="63C61B2C"/>
    <w:rsid w:val="63C96D02"/>
    <w:rsid w:val="63D40BE9"/>
    <w:rsid w:val="63D57455"/>
    <w:rsid w:val="63FA3360"/>
    <w:rsid w:val="64102431"/>
    <w:rsid w:val="64302455"/>
    <w:rsid w:val="643767CD"/>
    <w:rsid w:val="645378C5"/>
    <w:rsid w:val="648366D9"/>
    <w:rsid w:val="64A5243A"/>
    <w:rsid w:val="64A70DF2"/>
    <w:rsid w:val="64D616D7"/>
    <w:rsid w:val="64DC09ED"/>
    <w:rsid w:val="64F531DE"/>
    <w:rsid w:val="64F91282"/>
    <w:rsid w:val="651A5A67"/>
    <w:rsid w:val="65373578"/>
    <w:rsid w:val="65616324"/>
    <w:rsid w:val="658D2933"/>
    <w:rsid w:val="65C75F90"/>
    <w:rsid w:val="65DA6FA5"/>
    <w:rsid w:val="65E82B7F"/>
    <w:rsid w:val="66065FEC"/>
    <w:rsid w:val="66801E44"/>
    <w:rsid w:val="668B029F"/>
    <w:rsid w:val="66A17AC3"/>
    <w:rsid w:val="66A23BBA"/>
    <w:rsid w:val="66C7577B"/>
    <w:rsid w:val="671F124A"/>
    <w:rsid w:val="67392A66"/>
    <w:rsid w:val="676C33A5"/>
    <w:rsid w:val="677A33C6"/>
    <w:rsid w:val="678278F4"/>
    <w:rsid w:val="679F5EBB"/>
    <w:rsid w:val="67A55415"/>
    <w:rsid w:val="67D652A3"/>
    <w:rsid w:val="67FB4A15"/>
    <w:rsid w:val="680569C6"/>
    <w:rsid w:val="681F6961"/>
    <w:rsid w:val="683D5CFA"/>
    <w:rsid w:val="684D12B8"/>
    <w:rsid w:val="685D5E1B"/>
    <w:rsid w:val="68610A2F"/>
    <w:rsid w:val="68805514"/>
    <w:rsid w:val="68806A15"/>
    <w:rsid w:val="68996CA3"/>
    <w:rsid w:val="68D92EA9"/>
    <w:rsid w:val="68DE6BDF"/>
    <w:rsid w:val="68F6375B"/>
    <w:rsid w:val="69037F0E"/>
    <w:rsid w:val="69246EF8"/>
    <w:rsid w:val="69316E2F"/>
    <w:rsid w:val="694B607D"/>
    <w:rsid w:val="694E2071"/>
    <w:rsid w:val="69766163"/>
    <w:rsid w:val="69786E99"/>
    <w:rsid w:val="697A3B33"/>
    <w:rsid w:val="698A01C0"/>
    <w:rsid w:val="69B6796E"/>
    <w:rsid w:val="69D44760"/>
    <w:rsid w:val="69DB153D"/>
    <w:rsid w:val="69E55F18"/>
    <w:rsid w:val="6A2A30E5"/>
    <w:rsid w:val="6A3E7C05"/>
    <w:rsid w:val="6A520EC7"/>
    <w:rsid w:val="6A6D11C6"/>
    <w:rsid w:val="6A912347"/>
    <w:rsid w:val="6A930443"/>
    <w:rsid w:val="6A960C42"/>
    <w:rsid w:val="6AE064AA"/>
    <w:rsid w:val="6AEF34F2"/>
    <w:rsid w:val="6AF3220B"/>
    <w:rsid w:val="6AF87E20"/>
    <w:rsid w:val="6B0F76F1"/>
    <w:rsid w:val="6B322639"/>
    <w:rsid w:val="6B3453A9"/>
    <w:rsid w:val="6B3D372B"/>
    <w:rsid w:val="6B830BA6"/>
    <w:rsid w:val="6B943EF3"/>
    <w:rsid w:val="6BAA566B"/>
    <w:rsid w:val="6C2504F9"/>
    <w:rsid w:val="6C636C38"/>
    <w:rsid w:val="6C8639E2"/>
    <w:rsid w:val="6CD81D64"/>
    <w:rsid w:val="6CDF1BFC"/>
    <w:rsid w:val="6D57712D"/>
    <w:rsid w:val="6D710F40"/>
    <w:rsid w:val="6D7C0E72"/>
    <w:rsid w:val="6D91263F"/>
    <w:rsid w:val="6DB34098"/>
    <w:rsid w:val="6DB545B6"/>
    <w:rsid w:val="6DBE2541"/>
    <w:rsid w:val="6DC347C2"/>
    <w:rsid w:val="6DE02FB4"/>
    <w:rsid w:val="6DEC0F2A"/>
    <w:rsid w:val="6E0B0643"/>
    <w:rsid w:val="6E2437D6"/>
    <w:rsid w:val="6E380A90"/>
    <w:rsid w:val="6E514CED"/>
    <w:rsid w:val="6E697118"/>
    <w:rsid w:val="6E7361E8"/>
    <w:rsid w:val="6E8D72AA"/>
    <w:rsid w:val="6EA2087C"/>
    <w:rsid w:val="6EB563D5"/>
    <w:rsid w:val="6EBF5D00"/>
    <w:rsid w:val="6ED92677"/>
    <w:rsid w:val="6F0133C8"/>
    <w:rsid w:val="6F225983"/>
    <w:rsid w:val="6F627163"/>
    <w:rsid w:val="6F7511B3"/>
    <w:rsid w:val="6F751AEC"/>
    <w:rsid w:val="6FCC2A65"/>
    <w:rsid w:val="6FDD600F"/>
    <w:rsid w:val="6FFC5590"/>
    <w:rsid w:val="701A2DBF"/>
    <w:rsid w:val="7023779A"/>
    <w:rsid w:val="70335A62"/>
    <w:rsid w:val="706D1DD0"/>
    <w:rsid w:val="706F6B73"/>
    <w:rsid w:val="707F2C23"/>
    <w:rsid w:val="70856B87"/>
    <w:rsid w:val="709C7707"/>
    <w:rsid w:val="70A4745C"/>
    <w:rsid w:val="70BD7637"/>
    <w:rsid w:val="70D527EE"/>
    <w:rsid w:val="70D91F06"/>
    <w:rsid w:val="70E15B6D"/>
    <w:rsid w:val="70E54949"/>
    <w:rsid w:val="70EB02B8"/>
    <w:rsid w:val="70EB3338"/>
    <w:rsid w:val="70EE1B56"/>
    <w:rsid w:val="70F108B8"/>
    <w:rsid w:val="71500E25"/>
    <w:rsid w:val="715B5300"/>
    <w:rsid w:val="716858B3"/>
    <w:rsid w:val="71940950"/>
    <w:rsid w:val="719426FE"/>
    <w:rsid w:val="71D27F8A"/>
    <w:rsid w:val="71F43CDE"/>
    <w:rsid w:val="722430CC"/>
    <w:rsid w:val="723D0895"/>
    <w:rsid w:val="72553024"/>
    <w:rsid w:val="725D51E5"/>
    <w:rsid w:val="72914E8F"/>
    <w:rsid w:val="72D059B7"/>
    <w:rsid w:val="72D54180"/>
    <w:rsid w:val="72FD0776"/>
    <w:rsid w:val="73092C77"/>
    <w:rsid w:val="73122968"/>
    <w:rsid w:val="731D69AD"/>
    <w:rsid w:val="731F5D5E"/>
    <w:rsid w:val="73243A49"/>
    <w:rsid w:val="735F6DC2"/>
    <w:rsid w:val="735F6DF8"/>
    <w:rsid w:val="73612AB3"/>
    <w:rsid w:val="736C6A0C"/>
    <w:rsid w:val="73804A02"/>
    <w:rsid w:val="738332C4"/>
    <w:rsid w:val="73854737"/>
    <w:rsid w:val="7388258E"/>
    <w:rsid w:val="738B7B30"/>
    <w:rsid w:val="73942E89"/>
    <w:rsid w:val="73AE37F3"/>
    <w:rsid w:val="73C51AD5"/>
    <w:rsid w:val="73F4505D"/>
    <w:rsid w:val="73FC7D22"/>
    <w:rsid w:val="741E793C"/>
    <w:rsid w:val="741F0F3D"/>
    <w:rsid w:val="745E3944"/>
    <w:rsid w:val="7463285B"/>
    <w:rsid w:val="74A0585D"/>
    <w:rsid w:val="74BE7A92"/>
    <w:rsid w:val="74D3564F"/>
    <w:rsid w:val="74E03EAC"/>
    <w:rsid w:val="75047B9A"/>
    <w:rsid w:val="750A2CD7"/>
    <w:rsid w:val="75373679"/>
    <w:rsid w:val="75B61A75"/>
    <w:rsid w:val="75F575D7"/>
    <w:rsid w:val="7635099D"/>
    <w:rsid w:val="766A6123"/>
    <w:rsid w:val="769A6A08"/>
    <w:rsid w:val="76C515AB"/>
    <w:rsid w:val="76EE5D4A"/>
    <w:rsid w:val="770420D4"/>
    <w:rsid w:val="770E4D00"/>
    <w:rsid w:val="7713603A"/>
    <w:rsid w:val="774A3BEA"/>
    <w:rsid w:val="77530D92"/>
    <w:rsid w:val="77762421"/>
    <w:rsid w:val="7777253F"/>
    <w:rsid w:val="77AF7626"/>
    <w:rsid w:val="77B56B1F"/>
    <w:rsid w:val="77B75398"/>
    <w:rsid w:val="77CC05D5"/>
    <w:rsid w:val="77DE0B76"/>
    <w:rsid w:val="780F09F4"/>
    <w:rsid w:val="78357FC1"/>
    <w:rsid w:val="78445A1D"/>
    <w:rsid w:val="784A1D68"/>
    <w:rsid w:val="785374FD"/>
    <w:rsid w:val="78701B97"/>
    <w:rsid w:val="78760DAF"/>
    <w:rsid w:val="78924485"/>
    <w:rsid w:val="789654BA"/>
    <w:rsid w:val="78984537"/>
    <w:rsid w:val="78A90480"/>
    <w:rsid w:val="790463BB"/>
    <w:rsid w:val="794C7D62"/>
    <w:rsid w:val="796926C2"/>
    <w:rsid w:val="799F46AC"/>
    <w:rsid w:val="79B439CB"/>
    <w:rsid w:val="79D34C87"/>
    <w:rsid w:val="7A1D0FE3"/>
    <w:rsid w:val="7A1E63B8"/>
    <w:rsid w:val="7A364017"/>
    <w:rsid w:val="7A410F49"/>
    <w:rsid w:val="7A6510DB"/>
    <w:rsid w:val="7A8265E1"/>
    <w:rsid w:val="7A856FF4"/>
    <w:rsid w:val="7AC25BA8"/>
    <w:rsid w:val="7ACE640E"/>
    <w:rsid w:val="7B140431"/>
    <w:rsid w:val="7B430CF1"/>
    <w:rsid w:val="7B66378A"/>
    <w:rsid w:val="7B686D42"/>
    <w:rsid w:val="7B722ADF"/>
    <w:rsid w:val="7B841746"/>
    <w:rsid w:val="7B963516"/>
    <w:rsid w:val="7C014667"/>
    <w:rsid w:val="7C527322"/>
    <w:rsid w:val="7C653614"/>
    <w:rsid w:val="7C6C5AC7"/>
    <w:rsid w:val="7C80044E"/>
    <w:rsid w:val="7C887303"/>
    <w:rsid w:val="7CC37714"/>
    <w:rsid w:val="7CC6544B"/>
    <w:rsid w:val="7CF56F3A"/>
    <w:rsid w:val="7D0146CA"/>
    <w:rsid w:val="7D0239FF"/>
    <w:rsid w:val="7D143E10"/>
    <w:rsid w:val="7D31142E"/>
    <w:rsid w:val="7D5E40CD"/>
    <w:rsid w:val="7D7358BD"/>
    <w:rsid w:val="7D7857FB"/>
    <w:rsid w:val="7D8C697F"/>
    <w:rsid w:val="7D910439"/>
    <w:rsid w:val="7DA55C93"/>
    <w:rsid w:val="7DA63EE4"/>
    <w:rsid w:val="7DCA2D72"/>
    <w:rsid w:val="7DCD56F2"/>
    <w:rsid w:val="7DD30AA7"/>
    <w:rsid w:val="7DEE13E8"/>
    <w:rsid w:val="7DFC0C72"/>
    <w:rsid w:val="7E156974"/>
    <w:rsid w:val="7E534E26"/>
    <w:rsid w:val="7E916D01"/>
    <w:rsid w:val="7E971AA6"/>
    <w:rsid w:val="7EC108AA"/>
    <w:rsid w:val="7ECB0D09"/>
    <w:rsid w:val="7EFC40DE"/>
    <w:rsid w:val="7F001CE7"/>
    <w:rsid w:val="7F0A04A3"/>
    <w:rsid w:val="7F102DB2"/>
    <w:rsid w:val="7F191AFF"/>
    <w:rsid w:val="7F385010"/>
    <w:rsid w:val="7F480147"/>
    <w:rsid w:val="7F5B2AAD"/>
    <w:rsid w:val="7F6776A3"/>
    <w:rsid w:val="7FE47E50"/>
    <w:rsid w:val="7FFB409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99"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qFormat="1" w:unhideWhenUsed="0" w:uiPriority="0" w:name="toc 2" w:locked="1"/>
    <w:lsdException w:qFormat="1" w:unhideWhenUsed="0"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99"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qFormat="1"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qFormat="1"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nhideWhenUsed="0" w:uiPriority="0" w:semiHidden="0" w:name="Body Text 2" w:locked="1"/>
    <w:lsdException w:unhideWhenUsed="0" w:uiPriority="0" w:semiHidden="0" w:name="Body Text 3" w:locked="1"/>
    <w:lsdException w:qFormat="1" w:unhideWhenUsed="0" w:uiPriority="0" w:semiHidden="0" w:name="Body Text Indent 2" w:locked="1"/>
    <w:lsdException w:qFormat="1" w:unhideWhenUsed="0" w:uiPriority="0" w:semiHidden="0" w:name="Body Text Indent 3" w:locked="1"/>
    <w:lsdException w:qFormat="1"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qFormat="1"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locked/>
    <w:uiPriority w:val="99"/>
    <w:pPr>
      <w:keepNext/>
      <w:overflowPunct w:val="0"/>
      <w:snapToGrid w:val="0"/>
      <w:spacing w:before="120" w:after="160" w:line="259" w:lineRule="auto"/>
      <w:ind w:left="432" w:hanging="432"/>
      <w:outlineLvl w:val="0"/>
    </w:pPr>
    <w:rPr>
      <w:rFonts w:eastAsia="黑体"/>
      <w:bCs/>
      <w:color w:val="000000"/>
      <w:kern w:val="44"/>
      <w:sz w:val="30"/>
      <w:szCs w:val="30"/>
    </w:rPr>
  </w:style>
  <w:style w:type="paragraph" w:styleId="4">
    <w:name w:val="heading 2"/>
    <w:basedOn w:val="1"/>
    <w:next w:val="1"/>
    <w:qFormat/>
    <w:locked/>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locked/>
    <w:uiPriority w:val="99"/>
    <w:pPr>
      <w:keepNext/>
      <w:keepLines/>
      <w:numPr>
        <w:ilvl w:val="2"/>
        <w:numId w:val="1"/>
      </w:numPr>
      <w:ind w:left="0" w:firstLine="0" w:firstLineChars="0"/>
      <w:outlineLvl w:val="2"/>
    </w:pPr>
    <w:rPr>
      <w:b/>
      <w:sz w:val="28"/>
      <w:szCs w:val="28"/>
    </w:rPr>
  </w:style>
  <w:style w:type="paragraph" w:styleId="6">
    <w:name w:val="heading 4"/>
    <w:basedOn w:val="1"/>
    <w:next w:val="1"/>
    <w:qFormat/>
    <w:locked/>
    <w:uiPriority w:val="0"/>
    <w:pPr>
      <w:keepNext/>
      <w:keepLines/>
      <w:numPr>
        <w:ilvl w:val="3"/>
        <w:numId w:val="2"/>
      </w:numPr>
      <w:tabs>
        <w:tab w:val="left" w:pos="2683"/>
        <w:tab w:val="clear" w:pos="5242"/>
      </w:tabs>
      <w:jc w:val="center"/>
      <w:outlineLvl w:val="3"/>
    </w:pPr>
    <w:rPr>
      <w:rFonts w:ascii="Arial" w:hAnsi="Arial"/>
      <w:b/>
      <w:sz w:val="24"/>
      <w:szCs w:val="24"/>
    </w:rPr>
  </w:style>
  <w:style w:type="character" w:default="1" w:styleId="41">
    <w:name w:val="Default Paragraph Font"/>
    <w:semiHidden/>
    <w:qFormat/>
    <w:uiPriority w:val="0"/>
  </w:style>
  <w:style w:type="table" w:default="1" w:styleId="39">
    <w:name w:val="Normal Table"/>
    <w:semiHidden/>
    <w:qFormat/>
    <w:uiPriority w:val="0"/>
    <w:tblPr>
      <w:tblCellMar>
        <w:top w:w="0" w:type="dxa"/>
        <w:left w:w="108" w:type="dxa"/>
        <w:bottom w:w="0" w:type="dxa"/>
        <w:right w:w="108" w:type="dxa"/>
      </w:tblCellMar>
    </w:tblPr>
  </w:style>
  <w:style w:type="paragraph" w:styleId="3">
    <w:name w:val="Title"/>
    <w:basedOn w:val="1"/>
    <w:next w:val="1"/>
    <w:qFormat/>
    <w:locked/>
    <w:uiPriority w:val="0"/>
    <w:pPr>
      <w:spacing w:before="240" w:after="60"/>
      <w:jc w:val="center"/>
      <w:outlineLvl w:val="0"/>
    </w:pPr>
    <w:rPr>
      <w:rFonts w:ascii="Arial" w:hAnsi="Arial"/>
      <w:b/>
      <w:sz w:val="32"/>
    </w:rPr>
  </w:style>
  <w:style w:type="paragraph" w:styleId="7">
    <w:name w:val="Normal Indent"/>
    <w:basedOn w:val="1"/>
    <w:next w:val="8"/>
    <w:qFormat/>
    <w:locked/>
    <w:uiPriority w:val="0"/>
    <w:pPr>
      <w:ind w:firstLine="420" w:firstLineChars="200"/>
    </w:pPr>
    <w:rPr>
      <w:szCs w:val="20"/>
    </w:rPr>
  </w:style>
  <w:style w:type="paragraph" w:customStyle="1" w:styleId="8">
    <w:name w:val="样式 标题 2 + 三号1"/>
    <w:basedOn w:val="4"/>
    <w:next w:val="1"/>
    <w:qFormat/>
    <w:uiPriority w:val="0"/>
    <w:pPr>
      <w:keepLines w:val="0"/>
      <w:numPr>
        <w:ilvl w:val="1"/>
        <w:numId w:val="3"/>
      </w:numPr>
      <w:tabs>
        <w:tab w:val="left" w:pos="718"/>
        <w:tab w:val="clear" w:pos="576"/>
      </w:tabs>
      <w:spacing w:line="480" w:lineRule="auto"/>
      <w:ind w:left="718"/>
      <w:jc w:val="left"/>
    </w:pPr>
    <w:rPr>
      <w:rFonts w:ascii="宋体" w:hAnsi="宋体" w:eastAsia="宋体" w:cs="Times New Roman"/>
      <w:bCs w:val="0"/>
      <w:kern w:val="0"/>
      <w:sz w:val="32"/>
    </w:rPr>
  </w:style>
  <w:style w:type="paragraph" w:styleId="9">
    <w:name w:val="caption"/>
    <w:basedOn w:val="1"/>
    <w:next w:val="1"/>
    <w:qFormat/>
    <w:locked/>
    <w:uiPriority w:val="99"/>
    <w:rPr>
      <w:rFonts w:ascii="Arial" w:hAnsi="Arial" w:eastAsia="黑体" w:cs="Arial"/>
      <w:sz w:val="20"/>
    </w:rPr>
  </w:style>
  <w:style w:type="paragraph" w:styleId="10">
    <w:name w:val="annotation text"/>
    <w:basedOn w:val="1"/>
    <w:link w:val="63"/>
    <w:semiHidden/>
    <w:qFormat/>
    <w:uiPriority w:val="0"/>
    <w:pPr>
      <w:jc w:val="left"/>
    </w:pPr>
    <w:rPr>
      <w:kern w:val="0"/>
      <w:sz w:val="24"/>
      <w:szCs w:val="20"/>
    </w:rPr>
  </w:style>
  <w:style w:type="paragraph" w:styleId="11">
    <w:name w:val="Body Text"/>
    <w:basedOn w:val="1"/>
    <w:link w:val="67"/>
    <w:qFormat/>
    <w:uiPriority w:val="0"/>
    <w:pPr>
      <w:widowControl/>
      <w:snapToGrid w:val="0"/>
      <w:spacing w:before="60" w:after="160" w:line="259" w:lineRule="auto"/>
      <w:ind w:right="113"/>
    </w:pPr>
    <w:rPr>
      <w:kern w:val="0"/>
      <w:sz w:val="18"/>
      <w:szCs w:val="20"/>
    </w:rPr>
  </w:style>
  <w:style w:type="paragraph" w:styleId="12">
    <w:name w:val="Body Text Indent"/>
    <w:basedOn w:val="1"/>
    <w:next w:val="13"/>
    <w:link w:val="70"/>
    <w:qFormat/>
    <w:uiPriority w:val="0"/>
    <w:pPr>
      <w:spacing w:after="120"/>
      <w:ind w:left="420" w:leftChars="200"/>
    </w:pPr>
    <w:rPr>
      <w:kern w:val="0"/>
      <w:sz w:val="24"/>
      <w:szCs w:val="20"/>
    </w:rPr>
  </w:style>
  <w:style w:type="paragraph" w:styleId="13">
    <w:name w:val="header"/>
    <w:basedOn w:val="1"/>
    <w:next w:val="14"/>
    <w:link w:val="72"/>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14">
    <w:name w:val="样式 Z正文 + 首行缩进:  2 字符1"/>
    <w:basedOn w:val="15"/>
    <w:qFormat/>
    <w:uiPriority w:val="0"/>
    <w:pPr>
      <w:ind w:firstLine="480"/>
    </w:pPr>
    <w:rPr>
      <w:rFonts w:cs="宋体"/>
    </w:rPr>
  </w:style>
  <w:style w:type="paragraph" w:customStyle="1" w:styleId="15">
    <w:name w:val="Z正文"/>
    <w:basedOn w:val="16"/>
    <w:qFormat/>
    <w:uiPriority w:val="0"/>
    <w:pPr>
      <w:ind w:firstLine="200" w:firstLineChars="200"/>
      <w:outlineLvl w:val="9"/>
    </w:pPr>
    <w:rPr>
      <w:rFonts w:ascii="Times New Roman"/>
      <w:sz w:val="24"/>
      <w:szCs w:val="24"/>
    </w:rPr>
  </w:style>
  <w:style w:type="paragraph" w:customStyle="1" w:styleId="16">
    <w:name w:val="样式 标题 1标题 11Head 1wsah1一、标题2Part'Document章Ch + 加粗"/>
    <w:basedOn w:val="2"/>
    <w:qFormat/>
    <w:uiPriority w:val="0"/>
    <w:rPr>
      <w:rFonts w:ascii="黑体"/>
      <w:sz w:val="32"/>
    </w:rPr>
  </w:style>
  <w:style w:type="paragraph" w:styleId="17">
    <w:name w:val="List 2"/>
    <w:basedOn w:val="1"/>
    <w:qFormat/>
    <w:locked/>
    <w:uiPriority w:val="0"/>
    <w:pPr>
      <w:ind w:left="100" w:leftChars="200" w:hanging="200" w:hangingChars="200"/>
    </w:pPr>
    <w:rPr>
      <w:szCs w:val="24"/>
    </w:rPr>
  </w:style>
  <w:style w:type="paragraph" w:styleId="18">
    <w:name w:val="Block Text"/>
    <w:basedOn w:val="1"/>
    <w:next w:val="1"/>
    <w:qFormat/>
    <w:locked/>
    <w:uiPriority w:val="0"/>
    <w:pPr>
      <w:spacing w:after="120" w:afterLines="0" w:afterAutospacing="0"/>
      <w:ind w:left="1440" w:leftChars="700" w:rightChars="700"/>
    </w:pPr>
  </w:style>
  <w:style w:type="paragraph" w:styleId="19">
    <w:name w:val="List Bullet 2"/>
    <w:basedOn w:val="1"/>
    <w:next w:val="20"/>
    <w:qFormat/>
    <w:locked/>
    <w:uiPriority w:val="0"/>
    <w:pPr>
      <w:numPr>
        <w:ilvl w:val="0"/>
        <w:numId w:val="4"/>
      </w:numPr>
    </w:pPr>
  </w:style>
  <w:style w:type="paragraph" w:customStyle="1" w:styleId="20">
    <w:name w:val="xl70"/>
    <w:basedOn w:val="1"/>
    <w:next w:val="2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1">
    <w:name w:val="正文缩进1"/>
    <w:basedOn w:val="1"/>
    <w:next w:val="22"/>
    <w:qFormat/>
    <w:uiPriority w:val="0"/>
    <w:pPr>
      <w:ind w:firstLine="420"/>
    </w:pPr>
  </w:style>
  <w:style w:type="paragraph" w:customStyle="1" w:styleId="22">
    <w:name w:val="td1"/>
    <w:basedOn w:val="1"/>
    <w:next w:val="1"/>
    <w:qFormat/>
    <w:uiPriority w:val="0"/>
    <w:pPr>
      <w:widowControl/>
      <w:spacing w:before="280" w:after="280" w:line="300" w:lineRule="atLeast"/>
      <w:ind w:firstLine="200"/>
    </w:pPr>
    <w:rPr>
      <w:color w:val="000000"/>
      <w:sz w:val="18"/>
    </w:rPr>
  </w:style>
  <w:style w:type="paragraph" w:styleId="23">
    <w:name w:val="toc 3"/>
    <w:basedOn w:val="1"/>
    <w:next w:val="1"/>
    <w:qFormat/>
    <w:locked/>
    <w:uiPriority w:val="39"/>
    <w:pPr>
      <w:ind w:left="420"/>
      <w:jc w:val="left"/>
    </w:pPr>
    <w:rPr>
      <w:i/>
      <w:iCs/>
      <w:sz w:val="20"/>
      <w:szCs w:val="20"/>
    </w:rPr>
  </w:style>
  <w:style w:type="paragraph" w:styleId="24">
    <w:name w:val="Date"/>
    <w:basedOn w:val="1"/>
    <w:next w:val="1"/>
    <w:link w:val="62"/>
    <w:qFormat/>
    <w:uiPriority w:val="0"/>
    <w:pPr>
      <w:ind w:left="100" w:leftChars="2500"/>
    </w:pPr>
    <w:rPr>
      <w:kern w:val="0"/>
      <w:sz w:val="24"/>
      <w:szCs w:val="20"/>
    </w:rPr>
  </w:style>
  <w:style w:type="paragraph" w:styleId="25">
    <w:name w:val="Body Text Indent 2"/>
    <w:basedOn w:val="1"/>
    <w:next w:val="1"/>
    <w:qFormat/>
    <w:locked/>
    <w:uiPriority w:val="0"/>
    <w:pPr>
      <w:spacing w:line="360" w:lineRule="auto"/>
      <w:ind w:firstLine="560" w:firstLineChars="200"/>
    </w:pPr>
    <w:rPr>
      <w:rFonts w:hAnsi="宋体"/>
      <w:spacing w:val="20"/>
      <w:szCs w:val="15"/>
    </w:rPr>
  </w:style>
  <w:style w:type="paragraph" w:styleId="26">
    <w:name w:val="Balloon Text"/>
    <w:basedOn w:val="1"/>
    <w:link w:val="71"/>
    <w:semiHidden/>
    <w:qFormat/>
    <w:uiPriority w:val="0"/>
    <w:rPr>
      <w:kern w:val="0"/>
      <w:sz w:val="18"/>
      <w:szCs w:val="20"/>
    </w:rPr>
  </w:style>
  <w:style w:type="paragraph" w:styleId="27">
    <w:name w:val="footer"/>
    <w:basedOn w:val="1"/>
    <w:link w:val="59"/>
    <w:qFormat/>
    <w:uiPriority w:val="99"/>
    <w:pPr>
      <w:tabs>
        <w:tab w:val="center" w:pos="4153"/>
        <w:tab w:val="right" w:pos="8306"/>
      </w:tabs>
      <w:snapToGrid w:val="0"/>
      <w:jc w:val="left"/>
    </w:pPr>
    <w:rPr>
      <w:kern w:val="0"/>
      <w:sz w:val="18"/>
      <w:szCs w:val="20"/>
    </w:rPr>
  </w:style>
  <w:style w:type="paragraph" w:styleId="28">
    <w:name w:val="toc 1"/>
    <w:basedOn w:val="1"/>
    <w:next w:val="1"/>
    <w:qFormat/>
    <w:locked/>
    <w:uiPriority w:val="0"/>
  </w:style>
  <w:style w:type="paragraph" w:styleId="29">
    <w:name w:val="List"/>
    <w:basedOn w:val="1"/>
    <w:next w:val="19"/>
    <w:qFormat/>
    <w:locked/>
    <w:uiPriority w:val="0"/>
    <w:pPr>
      <w:keepNext w:val="0"/>
      <w:keepLines w:val="0"/>
      <w:widowControl w:val="0"/>
      <w:suppressLineNumbers w:val="0"/>
      <w:spacing w:before="0" w:beforeAutospacing="0" w:after="0" w:afterAutospacing="0" w:line="320" w:lineRule="exact"/>
      <w:ind w:left="0" w:right="0"/>
      <w:jc w:val="center"/>
    </w:pPr>
    <w:rPr>
      <w:rFonts w:hint="default" w:ascii="Times New Roman" w:hAnsi="Times New Roman" w:eastAsia="宋体" w:cs="Times New Roman"/>
      <w:color w:val="auto"/>
      <w:kern w:val="2"/>
      <w:sz w:val="22"/>
      <w:szCs w:val="24"/>
      <w:lang w:val="en-US" w:eastAsia="zh-CN" w:bidi="ar"/>
    </w:rPr>
  </w:style>
  <w:style w:type="paragraph" w:styleId="30">
    <w:name w:val="Body Text Indent 3"/>
    <w:basedOn w:val="1"/>
    <w:qFormat/>
    <w:locked/>
    <w:uiPriority w:val="0"/>
    <w:pPr>
      <w:spacing w:line="520" w:lineRule="exact"/>
      <w:ind w:left="540"/>
    </w:pPr>
    <w:rPr>
      <w:rFonts w:ascii="仿宋_GB2312"/>
      <w:sz w:val="28"/>
    </w:rPr>
  </w:style>
  <w:style w:type="paragraph" w:styleId="31">
    <w:name w:val="toc 2"/>
    <w:basedOn w:val="1"/>
    <w:next w:val="1"/>
    <w:semiHidden/>
    <w:qFormat/>
    <w:locked/>
    <w:uiPriority w:val="0"/>
    <w:pPr>
      <w:tabs>
        <w:tab w:val="left" w:pos="868"/>
        <w:tab w:val="right" w:leader="dot" w:pos="9394"/>
      </w:tabs>
      <w:ind w:left="210"/>
      <w:jc w:val="left"/>
    </w:pPr>
    <w:rPr>
      <w:smallCaps/>
      <w:sz w:val="20"/>
      <w:szCs w:val="20"/>
    </w:rPr>
  </w:style>
  <w:style w:type="paragraph" w:styleId="32">
    <w:name w:val="Body Text 2"/>
    <w:basedOn w:val="1"/>
    <w:qFormat/>
    <w:locked/>
    <w:uiPriority w:val="0"/>
    <w:rPr>
      <w:rFonts w:ascii="Times New Roman"/>
      <w:kern w:val="2"/>
      <w:szCs w:val="24"/>
    </w:rPr>
  </w:style>
  <w:style w:type="paragraph" w:styleId="33">
    <w:name w:val="HTML Preformatted"/>
    <w:basedOn w:val="1"/>
    <w:qFormat/>
    <w:locked/>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4">
    <w:name w:val="Normal (Web)"/>
    <w:basedOn w:val="1"/>
    <w:link w:val="60"/>
    <w:qFormat/>
    <w:uiPriority w:val="0"/>
    <w:pPr>
      <w:widowControl/>
      <w:spacing w:before="100" w:beforeAutospacing="1" w:after="100" w:afterAutospacing="1"/>
      <w:jc w:val="left"/>
    </w:pPr>
    <w:rPr>
      <w:rFonts w:ascii="宋体" w:hAnsi="宋体"/>
      <w:kern w:val="0"/>
      <w:sz w:val="24"/>
      <w:szCs w:val="20"/>
    </w:rPr>
  </w:style>
  <w:style w:type="paragraph" w:styleId="35">
    <w:name w:val="annotation subject"/>
    <w:basedOn w:val="10"/>
    <w:next w:val="10"/>
    <w:link w:val="68"/>
    <w:semiHidden/>
    <w:qFormat/>
    <w:uiPriority w:val="0"/>
    <w:rPr>
      <w:b/>
      <w:sz w:val="24"/>
      <w:szCs w:val="20"/>
    </w:rPr>
  </w:style>
  <w:style w:type="paragraph" w:styleId="36">
    <w:name w:val="Body Text First Indent"/>
    <w:basedOn w:val="11"/>
    <w:next w:val="37"/>
    <w:qFormat/>
    <w:locked/>
    <w:uiPriority w:val="0"/>
    <w:pPr>
      <w:spacing w:after="120"/>
      <w:ind w:firstLine="420" w:firstLineChars="100"/>
    </w:pPr>
    <w:rPr>
      <w:sz w:val="21"/>
    </w:rPr>
  </w:style>
  <w:style w:type="paragraph" w:styleId="37">
    <w:name w:val="Body Text First Indent 2"/>
    <w:basedOn w:val="12"/>
    <w:next w:val="38"/>
    <w:qFormat/>
    <w:locked/>
    <w:uiPriority w:val="0"/>
    <w:pPr>
      <w:spacing w:after="120"/>
      <w:ind w:left="420" w:leftChars="200" w:firstLine="420" w:firstLineChars="200"/>
    </w:pPr>
    <w:rPr>
      <w:sz w:val="21"/>
    </w:rPr>
  </w:style>
  <w:style w:type="paragraph" w:customStyle="1" w:styleId="38">
    <w:name w:val="报告正文"/>
    <w:basedOn w:val="1"/>
    <w:qFormat/>
    <w:uiPriority w:val="0"/>
    <w:pPr>
      <w:spacing w:line="360" w:lineRule="auto"/>
      <w:ind w:firstLine="488" w:firstLineChars="200"/>
      <w:jc w:val="left"/>
    </w:pPr>
    <w:rPr>
      <w:rFonts w:ascii="宋体" w:hAnsi="宋体"/>
      <w:spacing w:val="8"/>
      <w:kern w:val="0"/>
      <w:sz w:val="24"/>
    </w:rPr>
  </w:style>
  <w:style w:type="table" w:styleId="40">
    <w:name w:val="Table Grid"/>
    <w:basedOn w:val="39"/>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page number"/>
    <w:basedOn w:val="41"/>
    <w:qFormat/>
    <w:locked/>
    <w:uiPriority w:val="0"/>
  </w:style>
  <w:style w:type="character" w:styleId="43">
    <w:name w:val="Hyperlink"/>
    <w:basedOn w:val="41"/>
    <w:qFormat/>
    <w:locked/>
    <w:uiPriority w:val="0"/>
    <w:rPr>
      <w:color w:val="0000FF"/>
      <w:u w:val="single"/>
    </w:rPr>
  </w:style>
  <w:style w:type="character" w:styleId="44">
    <w:name w:val="annotation reference"/>
    <w:semiHidden/>
    <w:qFormat/>
    <w:uiPriority w:val="0"/>
    <w:rPr>
      <w:sz w:val="21"/>
    </w:rPr>
  </w:style>
  <w:style w:type="paragraph" w:customStyle="1" w:styleId="45">
    <w:name w:val="样式 正文文本缩进 + 行距: 1.5 倍行距"/>
    <w:basedOn w:val="46"/>
    <w:qFormat/>
    <w:uiPriority w:val="0"/>
    <w:pPr>
      <w:spacing w:after="120"/>
      <w:ind w:left="90" w:leftChars="32" w:firstLine="560" w:firstLineChars="200"/>
    </w:pPr>
    <w:rPr>
      <w:rFonts w:cs="宋体"/>
    </w:rPr>
  </w:style>
  <w:style w:type="paragraph" w:customStyle="1" w:styleId="46">
    <w:name w:val="正文文本缩进1"/>
    <w:basedOn w:val="1"/>
    <w:next w:val="45"/>
    <w:qFormat/>
    <w:uiPriority w:val="0"/>
    <w:pPr>
      <w:spacing w:after="120"/>
      <w:ind w:left="420" w:leftChars="200"/>
    </w:pPr>
    <w:rPr>
      <w:sz w:val="24"/>
    </w:rPr>
  </w:style>
  <w:style w:type="paragraph" w:customStyle="1" w:styleId="47">
    <w:name w:val="xl27"/>
    <w:basedOn w:val="1"/>
    <w:qFormat/>
    <w:uiPriority w:val="0"/>
    <w:pPr>
      <w:widowControl/>
      <w:pBdr>
        <w:bottom w:val="single" w:color="auto" w:sz="4" w:space="0"/>
        <w:right w:val="single" w:color="auto" w:sz="4" w:space="0"/>
      </w:pBdr>
      <w:spacing w:before="100" w:beforeAutospacing="1" w:after="100" w:afterAutospacing="1" w:line="240" w:lineRule="auto"/>
      <w:ind w:firstLine="0" w:firstLineChars="0"/>
      <w:jc w:val="center"/>
    </w:pPr>
    <w:rPr>
      <w:kern w:val="0"/>
      <w:sz w:val="21"/>
      <w:szCs w:val="21"/>
    </w:rPr>
  </w:style>
  <w:style w:type="paragraph" w:customStyle="1" w:styleId="48">
    <w:name w:val="Default1"/>
    <w:qFormat/>
    <w:uiPriority w:val="99"/>
    <w:pPr>
      <w:widowControl w:val="0"/>
      <w:autoSpaceDE w:val="0"/>
      <w:autoSpaceDN w:val="0"/>
      <w:adjustRightInd w:val="0"/>
    </w:pPr>
    <w:rPr>
      <w:rFonts w:ascii="??" w:hAnsi="Calibri" w:eastAsia="Times New Roman" w:cs="??"/>
      <w:color w:val="000000"/>
      <w:sz w:val="24"/>
      <w:szCs w:val="24"/>
      <w:lang w:val="en-US" w:eastAsia="zh-CN" w:bidi="ar-SA"/>
    </w:rPr>
  </w:style>
  <w:style w:type="paragraph" w:customStyle="1" w:styleId="49">
    <w:name w:val="Default"/>
    <w:basedOn w:val="50"/>
    <w:next w:val="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0">
    <w:name w:val="纯文本1"/>
    <w:basedOn w:val="1"/>
    <w:qFormat/>
    <w:uiPriority w:val="0"/>
    <w:pPr>
      <w:adjustRightInd w:val="0"/>
    </w:pPr>
    <w:rPr>
      <w:rFonts w:hAnsi="Courier New"/>
      <w:szCs w:val="20"/>
    </w:rPr>
  </w:style>
  <w:style w:type="paragraph" w:customStyle="1" w:styleId="51">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52">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样式 样式 小四 段前: 7.8 磅 段后: 7.8 磅 行距: 1.5 倍行距 + 首行缩进:  2 字符"/>
    <w:basedOn w:val="1"/>
    <w:qFormat/>
    <w:uiPriority w:val="0"/>
    <w:pPr>
      <w:widowControl w:val="0"/>
      <w:spacing w:beforeLines="50" w:afterLines="50"/>
      <w:jc w:val="center"/>
    </w:pPr>
    <w:rPr>
      <w:rFonts w:ascii="Times New Roman" w:hAnsi="Times New Roman" w:cs="Times New Roman"/>
      <w:b/>
      <w:sz w:val="21"/>
    </w:rPr>
  </w:style>
  <w:style w:type="paragraph" w:customStyle="1" w:styleId="54">
    <w:name w:val="正文01"/>
    <w:basedOn w:val="7"/>
    <w:qFormat/>
    <w:uiPriority w:val="0"/>
    <w:pPr>
      <w:spacing w:before="60" w:line="460" w:lineRule="exact"/>
      <w:ind w:firstLine="200" w:firstLineChars="200"/>
    </w:pPr>
    <w:rPr>
      <w:sz w:val="24"/>
    </w:rPr>
  </w:style>
  <w:style w:type="paragraph" w:customStyle="1" w:styleId="55">
    <w:name w:val="123456"/>
    <w:basedOn w:val="1"/>
    <w:qFormat/>
    <w:uiPriority w:val="0"/>
    <w:pPr>
      <w:spacing w:before="120" w:beforeLines="0" w:after="120" w:afterLines="0" w:line="360" w:lineRule="auto"/>
      <w:ind w:firstLine="200" w:firstLineChars="200"/>
    </w:pPr>
    <w:rPr>
      <w:sz w:val="24"/>
    </w:rPr>
  </w:style>
  <w:style w:type="paragraph" w:customStyle="1" w:styleId="56">
    <w:name w:val="表格内容"/>
    <w:basedOn w:val="7"/>
    <w:next w:val="1"/>
    <w:qFormat/>
    <w:uiPriority w:val="0"/>
    <w:pPr>
      <w:adjustRightInd w:val="0"/>
      <w:snapToGrid w:val="0"/>
    </w:pPr>
    <w:rPr>
      <w:rFonts w:ascii="Times New Roman" w:hAnsi="Times New Roman" w:eastAsia="宋体"/>
      <w:szCs w:val="21"/>
    </w:rPr>
  </w:style>
  <w:style w:type="paragraph" w:customStyle="1" w:styleId="57">
    <w:name w:val="表格"/>
    <w:basedOn w:val="29"/>
    <w:next w:val="1"/>
    <w:link w:val="64"/>
    <w:qFormat/>
    <w:uiPriority w:val="0"/>
    <w:pPr>
      <w:adjustRightInd w:val="0"/>
      <w:snapToGrid w:val="0"/>
      <w:spacing w:beforeLines="10" w:afterLines="10" w:line="259" w:lineRule="auto"/>
      <w:jc w:val="center"/>
    </w:pPr>
    <w:rPr>
      <w:rFonts w:ascii="宋体"/>
      <w:kern w:val="0"/>
      <w:szCs w:val="20"/>
    </w:rPr>
  </w:style>
  <w:style w:type="paragraph" w:customStyle="1" w:styleId="58">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59">
    <w:name w:val="页脚 Char"/>
    <w:link w:val="27"/>
    <w:qFormat/>
    <w:locked/>
    <w:uiPriority w:val="99"/>
    <w:rPr>
      <w:sz w:val="18"/>
    </w:rPr>
  </w:style>
  <w:style w:type="character" w:customStyle="1" w:styleId="60">
    <w:name w:val="普通(网站) Char"/>
    <w:link w:val="34"/>
    <w:qFormat/>
    <w:locked/>
    <w:uiPriority w:val="0"/>
    <w:rPr>
      <w:rFonts w:ascii="宋体" w:hAnsi="宋体" w:eastAsia="宋体"/>
      <w:sz w:val="24"/>
    </w:rPr>
  </w:style>
  <w:style w:type="character" w:customStyle="1" w:styleId="61">
    <w:name w:val="日期 字符"/>
    <w:semiHidden/>
    <w:qFormat/>
    <w:uiPriority w:val="0"/>
    <w:rPr>
      <w:rFonts w:ascii="Times New Roman" w:hAnsi="Times New Roman" w:eastAsia="宋体"/>
      <w:sz w:val="24"/>
    </w:rPr>
  </w:style>
  <w:style w:type="character" w:customStyle="1" w:styleId="62">
    <w:name w:val="日期 Char"/>
    <w:link w:val="24"/>
    <w:qFormat/>
    <w:locked/>
    <w:uiPriority w:val="0"/>
    <w:rPr>
      <w:rFonts w:ascii="Times New Roman" w:hAnsi="Times New Roman" w:eastAsia="宋体"/>
      <w:sz w:val="24"/>
    </w:rPr>
  </w:style>
  <w:style w:type="character" w:customStyle="1" w:styleId="63">
    <w:name w:val="批注文字 Char"/>
    <w:link w:val="10"/>
    <w:qFormat/>
    <w:locked/>
    <w:uiPriority w:val="0"/>
    <w:rPr>
      <w:rFonts w:ascii="Times New Roman" w:hAnsi="Times New Roman" w:eastAsia="宋体"/>
      <w:sz w:val="24"/>
    </w:rPr>
  </w:style>
  <w:style w:type="character" w:customStyle="1" w:styleId="64">
    <w:name w:val="表格 Char"/>
    <w:link w:val="57"/>
    <w:qFormat/>
    <w:locked/>
    <w:uiPriority w:val="0"/>
    <w:rPr>
      <w:rFonts w:ascii="宋体"/>
      <w:sz w:val="21"/>
    </w:rPr>
  </w:style>
  <w:style w:type="character" w:customStyle="1" w:styleId="65">
    <w:name w:val="批注文字 字符1"/>
    <w:semiHidden/>
    <w:qFormat/>
    <w:uiPriority w:val="0"/>
    <w:rPr>
      <w:rFonts w:ascii="Times New Roman" w:hAnsi="Times New Roman" w:eastAsia="宋体"/>
      <w:sz w:val="24"/>
    </w:rPr>
  </w:style>
  <w:style w:type="character" w:customStyle="1" w:styleId="66">
    <w:name w:val="正文文本 字符1"/>
    <w:semiHidden/>
    <w:qFormat/>
    <w:uiPriority w:val="0"/>
    <w:rPr>
      <w:rFonts w:ascii="Times New Roman" w:hAnsi="Times New Roman" w:eastAsia="宋体"/>
      <w:sz w:val="24"/>
    </w:rPr>
  </w:style>
  <w:style w:type="character" w:customStyle="1" w:styleId="67">
    <w:name w:val="正文文本 Char"/>
    <w:link w:val="11"/>
    <w:qFormat/>
    <w:locked/>
    <w:uiPriority w:val="0"/>
    <w:rPr>
      <w:sz w:val="18"/>
    </w:rPr>
  </w:style>
  <w:style w:type="character" w:customStyle="1" w:styleId="68">
    <w:name w:val="批注主题 Char"/>
    <w:link w:val="35"/>
    <w:semiHidden/>
    <w:qFormat/>
    <w:locked/>
    <w:uiPriority w:val="0"/>
    <w:rPr>
      <w:rFonts w:ascii="Times New Roman" w:hAnsi="Times New Roman" w:eastAsia="宋体"/>
      <w:b/>
      <w:kern w:val="2"/>
      <w:sz w:val="24"/>
    </w:rPr>
  </w:style>
  <w:style w:type="character" w:customStyle="1" w:styleId="69">
    <w:name w:val="页脚 字符"/>
    <w:basedOn w:val="41"/>
    <w:qFormat/>
    <w:uiPriority w:val="99"/>
  </w:style>
  <w:style w:type="character" w:customStyle="1" w:styleId="70">
    <w:name w:val="正文文本缩进 Char"/>
    <w:link w:val="12"/>
    <w:semiHidden/>
    <w:qFormat/>
    <w:locked/>
    <w:uiPriority w:val="0"/>
    <w:rPr>
      <w:rFonts w:ascii="Times New Roman" w:hAnsi="Times New Roman" w:eastAsia="宋体"/>
      <w:sz w:val="24"/>
    </w:rPr>
  </w:style>
  <w:style w:type="character" w:customStyle="1" w:styleId="71">
    <w:name w:val="批注框文本 Char"/>
    <w:link w:val="26"/>
    <w:semiHidden/>
    <w:qFormat/>
    <w:locked/>
    <w:uiPriority w:val="0"/>
    <w:rPr>
      <w:rFonts w:ascii="Times New Roman" w:hAnsi="Times New Roman" w:eastAsia="宋体"/>
      <w:sz w:val="18"/>
    </w:rPr>
  </w:style>
  <w:style w:type="character" w:customStyle="1" w:styleId="72">
    <w:name w:val="页眉 Char"/>
    <w:link w:val="13"/>
    <w:qFormat/>
    <w:locked/>
    <w:uiPriority w:val="0"/>
    <w:rPr>
      <w:sz w:val="18"/>
    </w:rPr>
  </w:style>
  <w:style w:type="paragraph" w:customStyle="1" w:styleId="73">
    <w:name w:val="表格内容自定"/>
    <w:basedOn w:val="1"/>
    <w:qFormat/>
    <w:uiPriority w:val="0"/>
    <w:pPr>
      <w:spacing w:line="280" w:lineRule="exact"/>
      <w:jc w:val="center"/>
    </w:pPr>
    <w:rPr>
      <w:kern w:val="0"/>
      <w:sz w:val="18"/>
      <w:szCs w:val="21"/>
    </w:rPr>
  </w:style>
  <w:style w:type="paragraph" w:customStyle="1" w:styleId="74">
    <w:name w:val="样式 列表 2 + 华文仿宋 居中"/>
    <w:basedOn w:val="17"/>
    <w:qFormat/>
    <w:uiPriority w:val="0"/>
    <w:pPr>
      <w:spacing w:line="240" w:lineRule="exact"/>
      <w:ind w:left="0" w:leftChars="0" w:firstLine="0" w:firstLineChars="0"/>
      <w:jc w:val="center"/>
    </w:pPr>
    <w:rPr>
      <w:szCs w:val="21"/>
    </w:rPr>
  </w:style>
  <w:style w:type="paragraph" w:customStyle="1" w:styleId="75">
    <w:name w:val="表头及表尾"/>
    <w:basedOn w:val="1"/>
    <w:qFormat/>
    <w:uiPriority w:val="0"/>
    <w:pPr>
      <w:widowControl/>
      <w:tabs>
        <w:tab w:val="center" w:pos="4200"/>
        <w:tab w:val="right" w:pos="8400"/>
      </w:tabs>
      <w:adjustRightInd w:val="0"/>
      <w:snapToGrid w:val="0"/>
      <w:spacing w:line="500" w:lineRule="exact"/>
      <w:ind w:firstLine="880" w:firstLineChars="200"/>
      <w:jc w:val="left"/>
    </w:pPr>
    <w:rPr>
      <w:b/>
      <w:kern w:val="0"/>
      <w:szCs w:val="21"/>
    </w:rPr>
  </w:style>
  <w:style w:type="paragraph" w:customStyle="1" w:styleId="76">
    <w:name w:val="样式38"/>
    <w:basedOn w:val="1"/>
    <w:qFormat/>
    <w:uiPriority w:val="0"/>
    <w:pPr>
      <w:keepNext/>
      <w:tabs>
        <w:tab w:val="left" w:pos="0"/>
      </w:tabs>
      <w:spacing w:line="360" w:lineRule="auto"/>
      <w:jc w:val="left"/>
      <w:outlineLvl w:val="0"/>
    </w:pPr>
    <w:rPr>
      <w:rFonts w:ascii="Arial" w:hAnsi="Arial"/>
      <w:b/>
      <w:color w:val="000000"/>
      <w:sz w:val="30"/>
      <w:szCs w:val="20"/>
    </w:rPr>
  </w:style>
  <w:style w:type="paragraph" w:customStyle="1" w:styleId="77">
    <w:name w:val="样式 标题3YHY + 黑色 段前: 0.5 行 段后: 0.5 行"/>
    <w:basedOn w:val="78"/>
    <w:qFormat/>
    <w:uiPriority w:val="0"/>
    <w:pPr>
      <w:numPr>
        <w:ilvl w:val="0"/>
        <w:numId w:val="0"/>
      </w:numPr>
      <w:tabs>
        <w:tab w:val="left" w:pos="720"/>
      </w:tabs>
      <w:spacing w:before="120" w:after="120"/>
    </w:pPr>
    <w:rPr>
      <w:rFonts w:cs="宋体"/>
      <w:color w:val="000000"/>
    </w:rPr>
  </w:style>
  <w:style w:type="paragraph" w:customStyle="1" w:styleId="78">
    <w:name w:val="标题3YHY"/>
    <w:basedOn w:val="5"/>
    <w:next w:val="6"/>
    <w:qFormat/>
    <w:uiPriority w:val="0"/>
    <w:pPr>
      <w:spacing w:before="50" w:beforeLines="50" w:after="50" w:afterLines="50" w:line="360" w:lineRule="auto"/>
    </w:pPr>
    <w:rPr>
      <w:sz w:val="24"/>
      <w:szCs w:val="24"/>
    </w:rPr>
  </w:style>
  <w:style w:type="paragraph" w:customStyle="1" w:styleId="79">
    <w:name w:val="报告书正文"/>
    <w:basedOn w:val="1"/>
    <w:qFormat/>
    <w:uiPriority w:val="0"/>
    <w:pPr>
      <w:spacing w:after="60" w:line="500" w:lineRule="exact"/>
      <w:ind w:firstLine="200" w:firstLineChars="200"/>
    </w:pPr>
    <w:rPr>
      <w:sz w:val="24"/>
    </w:rPr>
  </w:style>
  <w:style w:type="character" w:customStyle="1" w:styleId="80">
    <w:name w:val="font41"/>
    <w:qFormat/>
    <w:uiPriority w:val="0"/>
    <w:rPr>
      <w:rFonts w:hint="eastAsia" w:ascii="宋体" w:hAnsi="宋体" w:eastAsia="宋体" w:cs="宋体"/>
      <w:color w:val="FF0000"/>
      <w:sz w:val="21"/>
      <w:szCs w:val="21"/>
      <w:u w:val="none"/>
    </w:rPr>
  </w:style>
  <w:style w:type="character" w:customStyle="1" w:styleId="81">
    <w:name w:val="font21"/>
    <w:qFormat/>
    <w:uiPriority w:val="0"/>
    <w:rPr>
      <w:rFonts w:hint="default" w:ascii="Times New Roman" w:hAnsi="Times New Roman" w:cs="Times New Roman"/>
      <w:color w:val="FF0000"/>
      <w:sz w:val="21"/>
      <w:szCs w:val="21"/>
      <w:u w:val="none"/>
    </w:rPr>
  </w:style>
  <w:style w:type="character" w:customStyle="1" w:styleId="82">
    <w:name w:val="font01"/>
    <w:qFormat/>
    <w:uiPriority w:val="0"/>
    <w:rPr>
      <w:rFonts w:hint="default" w:ascii="Times New Roman" w:hAnsi="Times New Roman" w:cs="Times New Roman"/>
      <w:color w:val="FF0000"/>
      <w:sz w:val="21"/>
      <w:szCs w:val="21"/>
      <w:u w:val="none"/>
      <w:vertAlign w:val="superscript"/>
    </w:rPr>
  </w:style>
  <w:style w:type="paragraph" w:customStyle="1" w:styleId="83">
    <w:name w:val="WPSOffice手动目录 1"/>
    <w:qFormat/>
    <w:uiPriority w:val="0"/>
    <w:rPr>
      <w:rFonts w:ascii="Times New Roman" w:hAnsi="Times New Roman" w:eastAsia="宋体" w:cs="Times New Roman"/>
      <w:lang w:val="en-US" w:eastAsia="zh-CN" w:bidi="ar-SA"/>
    </w:rPr>
  </w:style>
  <w:style w:type="paragraph" w:customStyle="1" w:styleId="84">
    <w:name w:val="正文2"/>
    <w:qFormat/>
    <w:uiPriority w:val="0"/>
    <w:pPr>
      <w:widowControl w:val="0"/>
      <w:adjustRightInd w:val="0"/>
      <w:spacing w:line="360" w:lineRule="atLeast"/>
      <w:ind w:firstLine="200" w:firstLineChars="200"/>
      <w:jc w:val="both"/>
      <w:textAlignment w:val="baseline"/>
    </w:pPr>
    <w:rPr>
      <w:rFonts w:ascii="Times New Roman" w:hAnsi="Times New Roman" w:eastAsia="宋体" w:cs="Times New Roman"/>
      <w:kern w:val="2"/>
      <w:sz w:val="24"/>
      <w:lang w:val="en-US" w:eastAsia="zh-CN" w:bidi="ar-SA"/>
    </w:rPr>
  </w:style>
  <w:style w:type="paragraph" w:customStyle="1" w:styleId="85">
    <w:name w:val="Body Text 23"/>
    <w:basedOn w:val="1"/>
    <w:qFormat/>
    <w:uiPriority w:val="0"/>
    <w:pPr>
      <w:adjustRightInd w:val="0"/>
      <w:spacing w:after="120"/>
      <w:ind w:left="420"/>
      <w:textAlignment w:val="baseline"/>
    </w:pPr>
    <w:rPr>
      <w:rFonts w:hint="eastAsia" w:ascii="宋体" w:hAnsi="宋体"/>
      <w:sz w:val="24"/>
      <w:szCs w:val="20"/>
    </w:rPr>
  </w:style>
  <w:style w:type="paragraph" w:customStyle="1" w:styleId="86">
    <w:name w:val="文章正文样式"/>
    <w:basedOn w:val="1"/>
    <w:qFormat/>
    <w:uiPriority w:val="0"/>
    <w:pPr>
      <w:spacing w:line="520" w:lineRule="exact"/>
      <w:ind w:firstLine="480" w:firstLineChars="200"/>
      <w:jc w:val="left"/>
    </w:pPr>
    <w:rPr>
      <w:rFonts w:ascii="宋体" w:hAnsi="宋体" w:cs="宋体"/>
      <w:sz w:val="24"/>
      <w:szCs w:val="20"/>
    </w:rPr>
  </w:style>
  <w:style w:type="paragraph" w:styleId="87">
    <w:name w:val="List Paragraph"/>
    <w:basedOn w:val="1"/>
    <w:qFormat/>
    <w:uiPriority w:val="34"/>
    <w:pPr>
      <w:ind w:firstLine="420" w:firstLineChars="200"/>
    </w:pPr>
    <w:rPr>
      <w:rFonts w:ascii="Calibri" w:hAnsi="Calibri" w:eastAsia="宋体" w:cs="Times New Roman"/>
      <w:szCs w:val="22"/>
    </w:rPr>
  </w:style>
  <w:style w:type="paragraph" w:customStyle="1" w:styleId="88">
    <w:name w:val="表格表头"/>
    <w:basedOn w:val="1"/>
    <w:qFormat/>
    <w:uiPriority w:val="0"/>
    <w:pPr>
      <w:spacing w:line="240" w:lineRule="auto"/>
      <w:ind w:firstLine="0" w:firstLineChars="0"/>
      <w:jc w:val="center"/>
    </w:pPr>
    <w:rPr>
      <w:rFonts w:hint="eastAsia" w:ascii="Times New Roman" w:hAnsi="Times New Roman" w:eastAsia="宋体"/>
      <w:b/>
      <w:spacing w:val="0"/>
      <w:w w:val="100"/>
      <w:kern w:val="0"/>
      <w:sz w:val="21"/>
      <w:szCs w:val="24"/>
    </w:rPr>
  </w:style>
  <w:style w:type="paragraph" w:customStyle="1" w:styleId="89">
    <w:name w:val="缩进"/>
    <w:basedOn w:val="1"/>
    <w:qFormat/>
    <w:uiPriority w:val="0"/>
    <w:pPr>
      <w:autoSpaceDE w:val="0"/>
      <w:autoSpaceDN w:val="0"/>
      <w:adjustRightInd w:val="0"/>
      <w:spacing w:line="400" w:lineRule="atLeast"/>
      <w:ind w:firstLine="425"/>
      <w:textAlignment w:val="baseline"/>
    </w:pPr>
    <w:rPr>
      <w:kern w:val="0"/>
      <w:sz w:val="24"/>
      <w:szCs w:val="20"/>
    </w:rPr>
  </w:style>
  <w:style w:type="paragraph" w:customStyle="1" w:styleId="90">
    <w:name w:val="FF正文"/>
    <w:basedOn w:val="1"/>
    <w:qFormat/>
    <w:uiPriority w:val="0"/>
    <w:pPr>
      <w:spacing w:line="480" w:lineRule="exact"/>
      <w:ind w:firstLine="480" w:firstLineChars="200"/>
    </w:pPr>
    <w:rPr>
      <w:color w:val="000000"/>
      <w:sz w:val="24"/>
    </w:rPr>
  </w:style>
  <w:style w:type="paragraph" w:customStyle="1" w:styleId="91">
    <w:name w:val="Plain Text"/>
    <w:basedOn w:val="1"/>
    <w:qFormat/>
    <w:uiPriority w:val="0"/>
    <w:pPr>
      <w:ind w:firstLine="562"/>
    </w:pPr>
    <w:rPr>
      <w:rFonts w:ascii="宋体" w:hAnsi="Courier New"/>
      <w:sz w:val="28"/>
      <w:szCs w:val="22"/>
    </w:rPr>
  </w:style>
  <w:style w:type="paragraph" w:customStyle="1" w:styleId="92">
    <w:name w:val="表格文字"/>
    <w:basedOn w:val="1"/>
    <w:qFormat/>
    <w:uiPriority w:val="0"/>
    <w:pPr>
      <w:spacing w:line="0" w:lineRule="atLeast"/>
      <w:jc w:val="center"/>
    </w:pPr>
    <w:rPr>
      <w:sz w:val="24"/>
    </w:rPr>
  </w:style>
  <w:style w:type="paragraph" w:customStyle="1" w:styleId="93">
    <w:name w:val="文中表格"/>
    <w:basedOn w:val="1"/>
    <w:next w:val="1"/>
    <w:link w:val="103"/>
    <w:qFormat/>
    <w:uiPriority w:val="0"/>
    <w:pPr>
      <w:widowControl/>
      <w:jc w:val="center"/>
    </w:pPr>
    <w:rPr>
      <w:kern w:val="0"/>
      <w:sz w:val="20"/>
      <w:szCs w:val="24"/>
      <w:lang w:eastAsia="en-US"/>
    </w:rPr>
  </w:style>
  <w:style w:type="paragraph" w:customStyle="1" w:styleId="94">
    <w:name w:val="Table Text"/>
    <w:basedOn w:val="1"/>
    <w:semiHidden/>
    <w:qFormat/>
    <w:uiPriority w:val="0"/>
    <w:rPr>
      <w:rFonts w:ascii="宋体" w:hAnsi="宋体" w:eastAsia="宋体" w:cs="宋体"/>
      <w:sz w:val="24"/>
      <w:szCs w:val="24"/>
      <w:lang w:val="en-US" w:eastAsia="en-US" w:bidi="ar-SA"/>
    </w:rPr>
  </w:style>
  <w:style w:type="table" w:customStyle="1" w:styleId="95">
    <w:name w:val="Table Normal"/>
    <w:semiHidden/>
    <w:unhideWhenUsed/>
    <w:qFormat/>
    <w:uiPriority w:val="0"/>
    <w:tblPr>
      <w:tblCellMar>
        <w:top w:w="0" w:type="dxa"/>
        <w:left w:w="0" w:type="dxa"/>
        <w:bottom w:w="0" w:type="dxa"/>
        <w:right w:w="0" w:type="dxa"/>
      </w:tblCellMar>
    </w:tblPr>
  </w:style>
  <w:style w:type="character" w:customStyle="1" w:styleId="96">
    <w:name w:val="font51"/>
    <w:basedOn w:val="41"/>
    <w:qFormat/>
    <w:uiPriority w:val="0"/>
    <w:rPr>
      <w:rFonts w:hint="default" w:ascii="Times New Roman" w:hAnsi="Times New Roman" w:cs="Times New Roman"/>
      <w:color w:val="000000"/>
      <w:sz w:val="22"/>
      <w:szCs w:val="22"/>
      <w:u w:val="none"/>
    </w:rPr>
  </w:style>
  <w:style w:type="character" w:customStyle="1" w:styleId="97">
    <w:name w:val="font71"/>
    <w:qFormat/>
    <w:uiPriority w:val="0"/>
    <w:rPr>
      <w:rFonts w:hint="default" w:ascii="Times New Roman" w:hAnsi="Times New Roman" w:cs="Times New Roman"/>
      <w:color w:val="000000"/>
      <w:sz w:val="22"/>
      <w:szCs w:val="22"/>
      <w:u w:val="none"/>
      <w:vertAlign w:val="subscript"/>
    </w:rPr>
  </w:style>
  <w:style w:type="character" w:customStyle="1" w:styleId="98">
    <w:name w:val="font91"/>
    <w:qFormat/>
    <w:uiPriority w:val="0"/>
    <w:rPr>
      <w:rFonts w:hint="default" w:ascii="Wingdings 2" w:hAnsi="Wingdings 2" w:eastAsia="Wingdings 2" w:cs="Wingdings 2"/>
      <w:color w:val="000000"/>
      <w:sz w:val="22"/>
      <w:szCs w:val="22"/>
      <w:u w:val="none"/>
    </w:rPr>
  </w:style>
  <w:style w:type="character" w:customStyle="1" w:styleId="99">
    <w:name w:val="font101"/>
    <w:qFormat/>
    <w:uiPriority w:val="0"/>
    <w:rPr>
      <w:rFonts w:hint="eastAsia" w:ascii="宋体" w:hAnsi="宋体" w:eastAsia="宋体" w:cs="宋体"/>
      <w:color w:val="000000"/>
      <w:sz w:val="22"/>
      <w:szCs w:val="22"/>
      <w:u w:val="none"/>
      <w:vertAlign w:val="subscript"/>
    </w:rPr>
  </w:style>
  <w:style w:type="paragraph" w:styleId="100">
    <w:name w:val="Quote"/>
    <w:basedOn w:val="1"/>
    <w:next w:val="1"/>
    <w:qFormat/>
    <w:uiPriority w:val="99"/>
    <w:pPr>
      <w:spacing w:line="240" w:lineRule="auto"/>
      <w:ind w:firstLine="0" w:firstLineChars="0"/>
      <w:jc w:val="center"/>
    </w:pPr>
    <w:rPr>
      <w:rFonts w:ascii="Times New Roman" w:hAnsi="Times New Roman"/>
      <w:iCs/>
      <w:color w:val="404040"/>
      <w:kern w:val="0"/>
      <w:sz w:val="21"/>
      <w:szCs w:val="20"/>
    </w:rPr>
  </w:style>
  <w:style w:type="paragraph" w:customStyle="1" w:styleId="101">
    <w:name w:val="图表标题"/>
    <w:basedOn w:val="1"/>
    <w:qFormat/>
    <w:uiPriority w:val="0"/>
    <w:pPr>
      <w:spacing w:beforeLines="50"/>
      <w:ind w:firstLine="0" w:firstLineChars="0"/>
      <w:jc w:val="center"/>
    </w:pPr>
    <w:rPr>
      <w:rFonts w:eastAsia="黑体"/>
      <w:szCs w:val="22"/>
    </w:rPr>
  </w:style>
  <w:style w:type="paragraph" w:customStyle="1" w:styleId="102">
    <w:name w:val="图表名"/>
    <w:next w:val="93"/>
    <w:qFormat/>
    <w:uiPriority w:val="0"/>
    <w:pPr>
      <w:spacing w:line="500" w:lineRule="exact"/>
      <w:jc w:val="center"/>
    </w:pPr>
    <w:rPr>
      <w:rFonts w:ascii="Times New Roman" w:hAnsi="Times New Roman" w:eastAsia="宋体" w:cs="Times New Roman"/>
      <w:b/>
      <w:sz w:val="24"/>
      <w:szCs w:val="24"/>
      <w:lang w:val="en-US" w:eastAsia="zh-CN" w:bidi="en-US"/>
    </w:rPr>
  </w:style>
  <w:style w:type="character" w:customStyle="1" w:styleId="103">
    <w:name w:val="文中表格 Char"/>
    <w:link w:val="93"/>
    <w:qFormat/>
    <w:uiPriority w:val="0"/>
    <w:rPr>
      <w:kern w:val="0"/>
      <w:sz w:val="20"/>
      <w:szCs w:val="24"/>
      <w:lang w:eastAsia="en-US"/>
    </w:rPr>
  </w:style>
  <w:style w:type="paragraph" w:customStyle="1" w:styleId="104">
    <w:name w:val="5文章(治)"/>
    <w:basedOn w:val="1"/>
    <w:qFormat/>
    <w:uiPriority w:val="0"/>
    <w:pPr>
      <w:ind w:firstLine="480"/>
    </w:pPr>
  </w:style>
  <w:style w:type="paragraph" w:customStyle="1" w:styleId="105">
    <w:name w:val="C0 Plain Text"/>
    <w:basedOn w:val="1"/>
    <w:qFormat/>
    <w:uiPriority w:val="0"/>
    <w:pPr>
      <w:overflowPunct w:val="0"/>
      <w:autoSpaceDE w:val="0"/>
      <w:autoSpaceDN w:val="0"/>
      <w:adjustRightInd w:val="0"/>
      <w:spacing w:before="120" w:after="120"/>
      <w:textAlignment w:val="baseline"/>
    </w:pPr>
    <w:rPr>
      <w:lang w:val="en-GB" w:eastAsia="en-US"/>
    </w:rPr>
  </w:style>
  <w:style w:type="paragraph" w:customStyle="1" w:styleId="106">
    <w:name w:val="2级标题"/>
    <w:basedOn w:val="1"/>
    <w:qFormat/>
    <w:uiPriority w:val="0"/>
    <w:pPr>
      <w:spacing w:before="60" w:line="460" w:lineRule="exact"/>
      <w:outlineLvl w:val="1"/>
    </w:pPr>
    <w:rPr>
      <w:b/>
      <w:sz w:val="28"/>
      <w:szCs w:val="24"/>
    </w:rPr>
  </w:style>
  <w:style w:type="paragraph" w:customStyle="1" w:styleId="107">
    <w:name w:val="A表内"/>
    <w:basedOn w:val="108"/>
    <w:next w:val="1"/>
    <w:qFormat/>
    <w:uiPriority w:val="0"/>
    <w:pPr>
      <w:spacing w:line="240" w:lineRule="auto"/>
      <w:jc w:val="center"/>
    </w:pPr>
    <w:rPr>
      <w:sz w:val="21"/>
    </w:rPr>
  </w:style>
  <w:style w:type="paragraph" w:customStyle="1" w:styleId="108">
    <w:name w:val="A表头"/>
    <w:basedOn w:val="1"/>
    <w:next w:val="1"/>
    <w:qFormat/>
    <w:uiPriority w:val="0"/>
    <w:pPr>
      <w:spacing w:beforeLines="50" w:line="240" w:lineRule="atLeast"/>
      <w:jc w:val="left"/>
    </w:pPr>
    <w:rPr>
      <w:rFonts w:eastAsia="黑体" w:cs="宋体"/>
      <w:sz w:val="22"/>
      <w:szCs w:val="20"/>
    </w:rPr>
  </w:style>
  <w:style w:type="paragraph" w:customStyle="1" w:styleId="109">
    <w:name w:val="D正文"/>
    <w:basedOn w:val="1"/>
    <w:qFormat/>
    <w:uiPriority w:val="0"/>
    <w:pPr>
      <w:spacing w:line="360" w:lineRule="auto"/>
      <w:ind w:firstLine="480" w:firstLineChars="200"/>
    </w:pPr>
    <w:rPr>
      <w:sz w:val="24"/>
    </w:rPr>
  </w:style>
  <w:style w:type="paragraph" w:customStyle="1" w:styleId="110">
    <w:name w:val="文章正文 Char"/>
    <w:basedOn w:val="7"/>
    <w:qFormat/>
    <w:uiPriority w:val="0"/>
    <w:pPr>
      <w:spacing w:line="520" w:lineRule="exact"/>
      <w:ind w:firstLine="200"/>
    </w:pPr>
    <w:rPr>
      <w:rFonts w:ascii="宋体" w:hAnsi="宋体"/>
      <w:sz w:val="24"/>
      <w:szCs w:val="24"/>
    </w:rPr>
  </w:style>
  <w:style w:type="paragraph" w:customStyle="1" w:styleId="111">
    <w:name w:val="文章正文"/>
    <w:basedOn w:val="1"/>
    <w:qFormat/>
    <w:uiPriority w:val="0"/>
    <w:pPr>
      <w:spacing w:line="360" w:lineRule="auto"/>
      <w:ind w:firstLine="200" w:firstLineChars="200"/>
    </w:pPr>
    <w:rPr>
      <w:rFonts w:cs="華康細圓體"/>
      <w:kern w:val="0"/>
      <w:sz w:val="24"/>
    </w:rPr>
  </w:style>
  <w:style w:type="paragraph" w:customStyle="1" w:styleId="112">
    <w:name w:val="标准正文"/>
    <w:basedOn w:val="1"/>
    <w:qFormat/>
    <w:uiPriority w:val="0"/>
    <w:pPr>
      <w:spacing w:line="280" w:lineRule="exact"/>
      <w:ind w:firstLine="480" w:firstLineChars="200"/>
    </w:pPr>
    <w:rPr>
      <w:rFonts w:hAnsi="宋体"/>
      <w:bC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4" Type="http://schemas.openxmlformats.org/officeDocument/2006/relationships/fontTable" Target="fontTable.xml"/><Relationship Id="rId43" Type="http://schemas.openxmlformats.org/officeDocument/2006/relationships/customXml" Target="../customXml/item2.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21.wmf"/><Relationship Id="rId4" Type="http://schemas.openxmlformats.org/officeDocument/2006/relationships/footer" Target="footer2.xml"/><Relationship Id="rId39" Type="http://schemas.openxmlformats.org/officeDocument/2006/relationships/oleObject" Target="embeddings/oleObject10.bin"/><Relationship Id="rId38" Type="http://schemas.openxmlformats.org/officeDocument/2006/relationships/image" Target="media/image20.wmf"/><Relationship Id="rId37" Type="http://schemas.openxmlformats.org/officeDocument/2006/relationships/oleObject" Target="embeddings/oleObject9.bin"/><Relationship Id="rId36" Type="http://schemas.openxmlformats.org/officeDocument/2006/relationships/image" Target="media/image19.emf"/><Relationship Id="rId35" Type="http://schemas.openxmlformats.org/officeDocument/2006/relationships/oleObject" Target="embeddings/oleObject8.bin"/><Relationship Id="rId34" Type="http://schemas.openxmlformats.org/officeDocument/2006/relationships/image" Target="media/image18.emf"/><Relationship Id="rId33" Type="http://schemas.openxmlformats.org/officeDocument/2006/relationships/oleObject" Target="embeddings/oleObject7.bin"/><Relationship Id="rId32" Type="http://schemas.openxmlformats.org/officeDocument/2006/relationships/image" Target="media/image17.emf"/><Relationship Id="rId31" Type="http://schemas.openxmlformats.org/officeDocument/2006/relationships/oleObject" Target="embeddings/oleObject6.bin"/><Relationship Id="rId30" Type="http://schemas.openxmlformats.org/officeDocument/2006/relationships/image" Target="media/image16.emf"/><Relationship Id="rId3" Type="http://schemas.openxmlformats.org/officeDocument/2006/relationships/footer" Target="footer1.xml"/><Relationship Id="rId29" Type="http://schemas.openxmlformats.org/officeDocument/2006/relationships/oleObject" Target="embeddings/oleObject5.bin"/><Relationship Id="rId28" Type="http://schemas.openxmlformats.org/officeDocument/2006/relationships/image" Target="media/image15.emf"/><Relationship Id="rId27" Type="http://schemas.openxmlformats.org/officeDocument/2006/relationships/oleObject" Target="embeddings/oleObject4.bin"/><Relationship Id="rId26" Type="http://schemas.openxmlformats.org/officeDocument/2006/relationships/image" Target="media/image14.emf"/><Relationship Id="rId25" Type="http://schemas.openxmlformats.org/officeDocument/2006/relationships/oleObject" Target="embeddings/oleObject3.bin"/><Relationship Id="rId24" Type="http://schemas.openxmlformats.org/officeDocument/2006/relationships/image" Target="media/image13.emf"/><Relationship Id="rId23" Type="http://schemas.openxmlformats.org/officeDocument/2006/relationships/oleObject" Target="embeddings/oleObject2.bin"/><Relationship Id="rId22" Type="http://schemas.openxmlformats.org/officeDocument/2006/relationships/image" Target="media/image12.wmf"/><Relationship Id="rId21" Type="http://schemas.openxmlformats.org/officeDocument/2006/relationships/oleObject" Target="embeddings/oleObject1.bin"/><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6e11c0b2-42f6-4f3b-8af2-ff024b813494</errorID>
      <errorWord>-</errorWord>
      <group>L1_Format</group>
      <groupName>格式问题</groupName>
      <ability>L2_HalfPunc_CN</ability>
      <abilityName>全半角问题</abilityName>
      <candidateList>
        <item>－</item>
      </candidateList>
      <explain>文本全半角错误。</explain>
      <paraID>7CDB19D8</paraID>
      <start>37</start>
      <end>38</end>
      <status>ignored</status>
      <modifiedWord/>
      <trackRevisions>false</trackRevisions>
    </reviewItem>
    <reviewItem>
      <errorID>51002a9c-9a79-4add-9c9b-8a2b03341d98</errorID>
      <errorWord>(</errorWord>
      <group>L1_Format</group>
      <groupName>格式问题</groupName>
      <ability>L2_HalfPunc_CN</ability>
      <abilityName>全半角问题</abilityName>
      <candidateList>
        <item>（</item>
      </candidateList>
      <explain>文本全半角错误。</explain>
      <paraID>785F79B1</paraID>
      <start>12</start>
      <end>13</end>
      <status>ignored</status>
      <modifiedWord/>
      <trackRevisions>false</trackRevisions>
    </reviewItem>
    <reviewItem>
      <errorID>ed4d3b9b-a0ca-4b5e-b792-2722ed85cefa</errorID>
      <errorWord>);</errorWord>
      <group>L1_Format</group>
      <groupName>格式问题</groupName>
      <ability>L2_HalfPunc_CN</ability>
      <abilityName>全半角问题</abilityName>
      <candidateList>
        <item>）；</item>
      </candidateList>
      <explain>文本全半角错误。</explain>
      <paraID>785F79B1</paraID>
      <start>26</start>
      <end>28</end>
      <status>ignored</status>
      <modifiedWord/>
      <trackRevisions>false</trackRevisions>
    </reviewItem>
    <reviewItem>
      <errorID>d888c89c-47e9-46d2-baa8-e10ded5dbd3d</errorID>
      <errorWord>:</errorWord>
      <group>L1_Format</group>
      <groupName>格式问题</groupName>
      <ability>L2_HalfPunc_CN</ability>
      <abilityName>全半角问题</abilityName>
      <candidateList>
        <item>：</item>
      </candidateList>
      <explain>文本全半角错误。</explain>
      <paraID>40859BC3</paraID>
      <start>1</start>
      <end>2</end>
      <status>modified</status>
      <modifiedWord>：</modifiedWord>
      <trackRevisions>false</trackRevisions>
    </reviewItem>
    <reviewItem>
      <errorID>2f6e74d3-ff5e-4bda-8234-c60a58d1d211</errorID>
      <errorWord>(</errorWord>
      <group>L1_Format</group>
      <groupName>格式问题</groupName>
      <ability>L2_HalfPunc_CN</ability>
      <abilityName>全半角问题</abilityName>
      <candidateList>
        <item>（</item>
      </candidateList>
      <explain>文本全半角错误。</explain>
      <paraID>5DDCFE18</paraID>
      <start>32</start>
      <end>33</end>
      <status>ignored</status>
      <modifiedWord/>
      <trackRevisions>false</trackRevisions>
    </reviewItem>
    <reviewItem>
      <errorID>e07582b6-3cc6-48c4-9097-b698a6014016</errorID>
      <errorWord>)</errorWord>
      <group>L1_Format</group>
      <groupName>格式问题</groupName>
      <ability>L2_HalfPunc_CN</ability>
      <abilityName>全半角问题</abilityName>
      <candidateList>
        <item>）</item>
      </candidateList>
      <explain>文本全半角错误。</explain>
      <paraID>5DDCFE18</paraID>
      <start>45</start>
      <end>46</end>
      <status>ignored</status>
      <modifiedWord/>
      <trackRevisions>false</trackRevisions>
    </reviewItem>
    <reviewItem>
      <errorID>5e7efbd5-9a58-4992-b2a2-b87dc8e31a77</errorID>
      <errorWord>(</errorWord>
      <group>L1_Format</group>
      <groupName>格式问题</groupName>
      <ability>L2_HalfPunc_CN</ability>
      <abilityName>全半角问题</abilityName>
      <candidateList>
        <item>（</item>
      </candidateList>
      <explain>文本全半角错误。</explain>
      <paraID>611C9EEC</paraID>
      <start>30</start>
      <end>31</end>
      <status>ignored</status>
      <modifiedWord/>
      <trackRevisions>false</trackRevisions>
    </reviewItem>
    <reviewItem>
      <errorID>266ffe08-cfdd-40b0-ad79-6079e1be0a8a</errorID>
      <errorWord>)</errorWord>
      <group>L1_Format</group>
      <groupName>格式问题</groupName>
      <ability>L2_HalfPunc_CN</ability>
      <abilityName>全半角问题</abilityName>
      <candidateList>
        <item>）</item>
      </candidateList>
      <explain>文本全半角错误。</explain>
      <paraID>611C9EEC</paraID>
      <start>36</start>
      <end>37</end>
      <status>ignored</status>
      <modifiedWord/>
      <trackRevisions>false</trackRevisions>
    </reviewItem>
    <reviewItem>
      <errorID>f1b4d98b-c950-45ae-aec8-cbca2b18e65b</errorID>
      <errorWord>需</errorWord>
      <group>L1_Word</group>
      <groupName>字词问题</groupName>
      <ability>L2_Typo</ability>
      <abilityName>字词错误</abilityName>
      <candidateList>
        <item>须</item>
      </candidateList>
      <explain/>
      <paraID>7902F1E6</paraID>
      <start>89</start>
      <end>90</end>
      <status>ignored</status>
      <modifiedWord/>
      <trackRevisions>false</trackRevisions>
    </reviewItem>
    <reviewItem>
      <errorID>4c5355d8-a8a2-4694-a464-467ff66eb0e2</errorID>
      <errorWord>．</errorWord>
      <group>L1_Word</group>
      <groupName>字词问题</groupName>
      <ability>L2_Typo</ability>
      <abilityName>字词错误</abilityName>
      <candidateList>
        <item>．在</item>
      </candidateList>
      <explain/>
      <paraID>614ECDEB</paraID>
      <start>1</start>
      <end>2</end>
      <status>ignored</status>
      <modifiedWord/>
      <trackRevisions>false</trackRevisions>
    </reviewItem>
    <reviewItem>
      <errorID>7c0edc60-c2f3-4b9d-b81f-78770608515c</errorID>
      <errorWord>胶粘剂</errorWord>
      <group>L1_Word</group>
      <groupName>字词问题</groupName>
      <ability>L2_Typo</ability>
      <abilityName>字词错误</abilityName>
      <candidateList>
        <item>胶黏剂</item>
      </candidateList>
      <explain/>
      <paraID>23C791DC</paraID>
      <start>34</start>
      <end>37</end>
      <status>ignored</status>
      <modifiedWord/>
      <trackRevisions>false</trackRevisions>
    </reviewItem>
    <reviewItem>
      <errorID>0b58e374-4e67-41a7-978a-66f30e8c64bc</errorID>
      <errorWord>产品为</errorWord>
      <group>L1_Word</group>
      <groupName>字词问题</groupName>
      <ability>L2_Typo</ability>
      <abilityName>字词错误</abilityName>
      <candidateList>
        <item>产品</item>
      </candidateList>
      <explain/>
      <paraID>2B943C8D</paraID>
      <start>3</start>
      <end>5</end>
      <status>modified</status>
      <modifiedWord>产品</modifiedWord>
      <trackRevisions>false</trackRevisions>
    </reviewItem>
    <reviewItem>
      <errorID>e5015d1e-d6e0-45d0-a39c-f731cd3dc7d8</errorID>
      <errorWord>程</errorWord>
      <group>L1_Word</group>
      <groupName>字词问题</groupName>
      <ability>L2_Typo</ability>
      <abilityName>字词错误</abilityName>
      <candidateList>
        <item>程中</item>
      </candidateList>
      <explain/>
      <paraID>2B943C8D</paraID>
      <start>24</start>
      <end>26</end>
      <status>modified</status>
      <modifiedWord>程中</modifiedWord>
      <trackRevisions>false</trackRevisions>
    </reviewItem>
    <reviewItem>
      <errorID>ccae2419-6761-405a-8bbc-a83da8638b3b</errorID>
      <errorWord>胶粘剂</errorWord>
      <group>L1_Word</group>
      <groupName>字词问题</groupName>
      <ability>L2_Typo</ability>
      <abilityName>字词错误</abilityName>
      <candidateList>
        <item>胶黏剂</item>
      </candidateList>
      <explain/>
      <paraID>1179B753</paraID>
      <start>27</start>
      <end>30</end>
      <status>ignored</status>
      <modifiedWord/>
      <trackRevisions>false</trackRevisions>
    </reviewItem>
    <reviewItem>
      <errorID>6f393b5a-40d9-4d16-93ef-85225df72edf</errorID>
      <errorWord>电器控制系统</errorWord>
      <group>L1_Knowledge</group>
      <groupName>知识性问题</groupName>
      <ability>L2_Knowledge</ability>
      <abilityName>其他知识</abilityName>
      <candidateList>
        <item>电气控制系统</item>
      </candidateList>
      <explain/>
      <paraID>391424B9</paraID>
      <start>0</start>
      <end>6</end>
      <status>ignored</status>
      <modifiedWord/>
      <trackRevisions>false</trackRevisions>
    </reviewItem>
    <reviewItem>
      <errorID>b23e6201-e6cf-45b8-b334-c661ef82751f</errorID>
      <errorWord>粘稠</errorWord>
      <group>L1_Word</group>
      <groupName>字词问题</groupName>
      <ability>L2_Typo</ability>
      <abilityName>字词错误</abilityName>
      <candidateList>
        <item>黏稠</item>
      </candidateList>
      <explain>存在发音相同字词的误用。</explain>
      <paraID>24B9D0BA</paraID>
      <start>54</start>
      <end>56</end>
      <status>ignored</status>
      <modifiedWord/>
      <trackRevisions>false</trackRevisions>
    </reviewItem>
    <reviewItem>
      <errorID>976f58f3-6985-4e3b-b6dd-2a69ad332195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24B9D0BA</paraID>
      <start>166</start>
      <end>167</end>
      <status>ignored</status>
      <modifiedWord/>
      <trackRevisions>false</trackRevisions>
    </reviewItem>
    <reviewItem>
      <errorID>5368aaa4-8121-4e74-87f0-396656d44f17</errorID>
      <errorWord>，</errorWord>
      <group>L1_Word</group>
      <groupName>字词问题</groupName>
      <ability>L2_Typo</ability>
      <abilityName>字词错误</abilityName>
      <candidateList>
        <item>，是</item>
      </candidateList>
      <explain/>
      <paraID> 3990AD1</paraID>
      <start>38</start>
      <end>39</end>
      <status>ignored</status>
      <modifiedWord/>
      <trackRevisions>false</trackRevisions>
    </reviewItem>
    <reviewItem>
      <errorID>587208ec-b4e0-4059-a281-14d8bf4e67e1</errorID>
      <errorWord>-</errorWord>
      <group>L1_Format</group>
      <groupName>格式问题</groupName>
      <ability>L2_HalfPunc_CN</ability>
      <abilityName>全半角问题</abilityName>
      <candidateList>
        <item>－</item>
      </candidateList>
      <explain>文本全半角错误。</explain>
      <paraID>569C88DF</paraID>
      <start>57</start>
      <end>58</end>
      <status>ignored</status>
      <modifiedWord/>
      <trackRevisions>false</trackRevisions>
    </reviewItem>
    <reviewItem>
      <errorID>f1c6ed26-dc40-455a-860d-c1074559dc16</errorID>
      <errorWord>,</errorWord>
      <group>L1_Format</group>
      <groupName>格式问题</groupName>
      <ability>L2_HalfPunc_CN</ability>
      <abilityName>全半角问题</abilityName>
      <candidateList>
        <item>，</item>
      </candidateList>
      <explain>文本全半角错误。</explain>
      <paraID>569C88DF</paraID>
      <start>80</start>
      <end>81</end>
      <status>modified</status>
      <modifiedWord>，</modifiedWord>
      <trackRevisions>false</trackRevisions>
    </reviewItem>
    <reviewItem>
      <errorID>c8e64dbe-a9d0-4657-915f-71d114b9cc19</errorID>
      <errorWord>~</errorWord>
      <group>L1_Format</group>
      <groupName>格式问题</groupName>
      <ability>L2_HalfPunc_CN</ability>
      <abilityName>全半角问题</abilityName>
      <candidateList>
        <item>～</item>
      </candidateList>
      <explain>文本全半角错误。</explain>
      <paraID>687AC845</paraID>
      <start>198</start>
      <end>199</end>
      <status>ignored</status>
      <modifiedWord/>
      <trackRevisions>false</trackRevisions>
    </reviewItem>
    <reviewItem>
      <errorID>8958742c-0c31-4f8d-8eeb-6b8bc3ccad30</errorID>
      <errorWord>（</errorWord>
      <group>L1_Format</group>
      <groupName>格式问题</groupName>
      <ability>L2_HalfPunc_CN</ability>
      <abilityName>全半角问题</abilityName>
      <candidateList>
        <item>(</item>
      </candidateList>
      <explain>文本全半角错误。</explain>
      <paraID>3A36DAC4</paraID>
      <start>1</start>
      <end>2</end>
      <status>ignored</status>
      <modifiedWord/>
      <trackRevisions>false</trackRevisions>
    </reviewItem>
    <reviewItem>
      <errorID>aa376e10-65e4-4d9b-8197-3fc115adde6d</errorID>
      <errorWord>）</errorWord>
      <group>L1_Format</group>
      <groupName>格式问题</groupName>
      <ability>L2_HalfPunc_CN</ability>
      <abilityName>全半角问题</abilityName>
      <candidateList>
        <item>)</item>
      </candidateList>
      <explain>文本全半角错误。</explain>
      <paraID>3A36DAC4</paraID>
      <start>7</start>
      <end>8</end>
      <status>ignored</status>
      <modifiedWord/>
      <trackRevisions>false</trackRevisions>
    </reviewItem>
    <reviewItem>
      <errorID>a84a7bd0-1068-43a8-b822-e0bf1016c4e3</errorID>
      <errorWord>（</errorWord>
      <group>L1_Format</group>
      <groupName>格式问题</groupName>
      <ability>L2_HalfPunc_CN</ability>
      <abilityName>全半角问题</abilityName>
      <candidateList>
        <item>(</item>
      </candidateList>
      <explain>文本全半角错误。</explain>
      <paraID>19F5EFD8</paraID>
      <start>1</start>
      <end>2</end>
      <status>ignored</status>
      <modifiedWord/>
      <trackRevisions>false</trackRevisions>
    </reviewItem>
    <reviewItem>
      <errorID>b8e1dbcf-6276-42c4-bb6a-90a95de259fe</errorID>
      <errorWord>）</errorWord>
      <group>L1_Format</group>
      <groupName>格式问题</groupName>
      <ability>L2_HalfPunc_CN</ability>
      <abilityName>全半角问题</abilityName>
      <candidateList>
        <item>)</item>
      </candidateList>
      <explain>文本全半角错误。</explain>
      <paraID>19F5EFD8</paraID>
      <start>4</start>
      <end>5</end>
      <status>ignored</status>
      <modifiedWord/>
      <trackRevisions>false</trackRevisions>
    </reviewItem>
    <reviewItem>
      <errorID>92a61453-4829-4498-a72e-1de4009fd22c</errorID>
      <errorWord>(</errorWord>
      <group>L1_Format</group>
      <groupName>格式问题</groupName>
      <ability>L2_HalfPunc_CN</ability>
      <abilityName>全半角问题</abilityName>
      <candidateList>
        <item>（</item>
      </candidateList>
      <explain>文本全半角错误。</explain>
      <paraID>2E6BDDF4</paraID>
      <start>7</start>
      <end>8</end>
      <status>ignored</status>
      <modifiedWord/>
      <trackRevisions>false</trackRevisions>
    </reviewItem>
    <reviewItem>
      <errorID>edab8a9b-4d0b-42ab-97fc-60492f30242e</errorID>
      <errorWord>)</errorWord>
      <group>L1_Format</group>
      <groupName>格式问题</groupName>
      <ability>L2_HalfPunc_CN</ability>
      <abilityName>全半角问题</abilityName>
      <candidateList>
        <item>）</item>
      </candidateList>
      <explain>文本全半角错误。</explain>
      <paraID>2E6BDDF4</paraID>
      <start>11</start>
      <end>12</end>
      <status>ignored</status>
      <modifiedWord/>
      <trackRevisions>false</trackRevisions>
    </reviewItem>
    <reviewItem>
      <errorID>6471a41d-e294-4fce-abcd-c92f4eaf6b14</errorID>
      <errorWord>、</errorWord>
      <group>L1_Punc</group>
      <groupName>标点问题</groupName>
      <ability>L2_Punc_CN</ability>
      <abilityName>标点符号问题</abilityName>
      <candidateList>
        <item>.</item>
      </candidateList>
      <explain/>
      <paraID> 87DEAD9</paraID>
      <start>1</start>
      <end>2</end>
      <status>ignored</status>
      <modifiedWord/>
      <trackRevisions>false</trackRevisions>
    </reviewItem>
    <reviewItem>
      <errorID>927dcf00-5aa7-48c7-b714-4b0261e7a2c4</errorID>
      <errorWord>效率取</errorWord>
      <group>L1_Word</group>
      <groupName>字词问题</groupName>
      <ability>L2_Typo</ability>
      <abilityName>字词错误</abilityName>
      <candidateList>
        <item>效率</item>
      </candidateList>
      <explain/>
      <paraID>1CD80885</paraID>
      <start>150</start>
      <end>153</end>
      <status>ignored</status>
      <modifiedWord/>
      <trackRevisions>false</trackRevisions>
    </reviewItem>
    <reviewItem>
      <errorID>e47b971f-c90a-47dd-b4d7-f86b683cafbd</errorID>
      <errorWord>、</errorWord>
      <group>L1_Punc</group>
      <groupName>标点问题</groupName>
      <ability>L2_Punc_CN</ability>
      <abilityName>标点符号问题</abilityName>
      <candidateList>
        <item>.</item>
      </candidateList>
      <explain/>
      <paraID>6E702F83</paraID>
      <start>1</start>
      <end>2</end>
      <status>ignored</status>
      <modifiedWord/>
      <trackRevisions>false</trackRevisions>
    </reviewItem>
    <reviewItem>
      <errorID>e14ea260-6775-48d4-adb5-6b79db0d152b</errorID>
      <errorWord>(</errorWord>
      <group>L1_Format</group>
      <groupName>格式问题</groupName>
      <ability>L2_HalfPunc_CN</ability>
      <abilityName>全半角问题</abilityName>
      <candidateList>
        <item>（</item>
      </candidateList>
      <explain>文本全半角错误。</explain>
      <paraID>47DFE60F</paraID>
      <start>140</start>
      <end>141</end>
      <status>ignored</status>
      <modifiedWord/>
      <trackRevisions>false</trackRevisions>
    </reviewItem>
    <reviewItem>
      <errorID>4cdfa53b-f716-479f-ac28-09134fbbdc1d</errorID>
      <errorWord>)</errorWord>
      <group>L1_Format</group>
      <groupName>格式问题</groupName>
      <ability>L2_HalfPunc_CN</ability>
      <abilityName>全半角问题</abilityName>
      <candidateList>
        <item>）</item>
      </candidateList>
      <explain>文本全半角错误。</explain>
      <paraID>47DFE60F</paraID>
      <start>146</start>
      <end>147</end>
      <status>ignored</status>
      <modifiedWord/>
      <trackRevisions>false</trackRevisions>
    </reviewItem>
    <reviewItem>
      <errorID>c09ea9f6-6a3b-4e46-b63d-681ae5aff1cc</errorID>
      <errorWord>95%~99%</errorWord>
      <group>L1_Knowledge</group>
      <groupName>知识性问题</groupName>
      <ability>L2_Knowledge</ability>
      <abilityName>其他知识</abilityName>
      <candidateList>
        <item>95%～99%</item>
      </candidateList>
      <explain>1. “95%~99%”中的单位“%”仅出现在后一个数字上，容易引起歧义；根据《现代汉语标点符号数字用法规范手册》，数字表示范围两边需要使用统一的格式。2. 根据标点国标 4.13 中的规则，数字、时间或地域连接符应使用（视觉上更长的）“—”或“～”。</explain>
      <paraID>47DFE60F</paraID>
      <start>293</start>
      <end>300</end>
      <status>ignored</status>
      <modifiedWord/>
      <trackRevisions>false</trackRevisions>
    </reviewItem>
    <reviewItem>
      <errorID>b8b7fc4d-3d43-4088-ac07-a407cf9705b5</errorID>
      <errorWord>~</errorWord>
      <group>L1_Format</group>
      <groupName>格式问题</groupName>
      <ability>L2_HalfPunc_CN</ability>
      <abilityName>全半角问题</abilityName>
      <candidateList>
        <item>～</item>
      </candidateList>
      <explain>文本全半角错误。</explain>
      <paraID>1117FB1D</paraID>
      <start>60</start>
      <end>61</end>
      <status>ignored</status>
      <modifiedWord/>
      <trackRevisions>false</trackRevisions>
    </reviewItem>
    <reviewItem>
      <errorID>d309c087-e0ad-443f-b130-cca1c5a2cf42</errorID>
      <errorWord>~</errorWord>
      <group>L1_Format</group>
      <groupName>格式问题</groupName>
      <ability>L2_HalfPunc_CN</ability>
      <abilityName>全半角问题</abilityName>
      <candidateList>
        <item>～</item>
      </candidateList>
      <explain>文本全半角错误。</explain>
      <paraID>4B2A0A11</paraID>
      <start>63</start>
      <end>64</end>
      <status>ignored</status>
      <modifiedWord/>
      <trackRevisions>false</trackRevisions>
    </reviewItem>
    <reviewItem>
      <errorID>e65459e9-1e71-47bc-aab6-c3ddae917918</errorID>
      <errorWord>程</errorWord>
      <group>L1_Word</group>
      <groupName>字词问题</groupName>
      <ability>L2_Typo</ability>
      <abilityName>字词错误</abilityName>
      <candidateList>
        <item>程中</item>
      </candidateList>
      <explain/>
      <paraID>2F3E5502</paraID>
      <start>104</start>
      <end>106</end>
      <status>modified</status>
      <modifiedWord>程中</modifiedWord>
      <trackRevisions>false</trackRevisions>
    </reviewItem>
    <reviewItem>
      <errorID>361c42e8-2265-4321-877e-2eb5888a09c6</errorID>
      <errorWord>要</errorWord>
      <group>L1_Word</group>
      <groupName>字词问题</groupName>
      <ability>L2_Typo</ability>
      <abilityName>字词错误</abilityName>
      <candidateList>
        <item>要是</item>
      </candidateList>
      <explain/>
      <paraID>2F3E5502</paraID>
      <start>112</start>
      <end>114</end>
      <status>modified</status>
      <modifiedWord>要是</modifiedWord>
      <trackRevisions>false</trackRevisions>
    </reviewItem>
    <reviewItem>
      <errorID>6e8e99c1-05c3-4fdd-8a0c-1c5231a69b66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73D9F8DB</paraID>
      <start>0</start>
      <end>2</end>
      <status>ignored</status>
      <modifiedWord/>
      <trackRevisions>false</trackRevisions>
    </reviewItem>
    <reviewItem>
      <errorID>bbf1f497-004c-47ae-8e5a-932a93f04bff</errorID>
      <errorWord>处理处理</errorWord>
      <group>L1_Word</group>
      <groupName>字词问题</groupName>
      <ability>L2_Typo</ability>
      <abilityName>字词错误</abilityName>
      <candidateList>
        <item>处理</item>
      </candidateList>
      <explain/>
      <paraID>1C10130F</paraID>
      <start>172</start>
      <end>174</end>
      <status>modified</status>
      <modifiedWord>处理</modifiedWord>
      <trackRevisions>false</trackRevisions>
    </reviewItem>
    <reviewItem>
      <errorID>325eaf4f-3e74-4e57-a7fc-ecc973ec29c0</errorID>
      <errorWord>（</errorWord>
      <group>L1_Punc</group>
      <groupName>标点问题</groupName>
      <ability>L2_Punc_CN</ability>
      <abilityName>标点符号问题</abilityName>
      <candidateList/>
      <explain>同一形式括号套用。</explain>
      <paraID>48756360</paraID>
      <start>97</start>
      <end>98</end>
      <status>ignored</status>
      <modifiedWord/>
      <trackRevisions>false</trackRevisions>
    </reviewItem>
    <reviewItem>
      <errorID>2a6cb28c-ce36-4852-8659-b15947b10258</errorID>
      <errorWord>）</errorWord>
      <group>L1_Punc</group>
      <groupName>标点问题</groupName>
      <ability>L2_Punc_CN</ability>
      <abilityName>标点符号问题</abilityName>
      <candidateList/>
      <explain>同一形式括号套用。</explain>
      <paraID>48756360</paraID>
      <start>105</start>
      <end>106</end>
      <status>ignored</status>
      <modifiedWord/>
      <trackRevisions>false</trackRevisions>
    </reviewItem>
    <reviewItem>
      <errorID>65b1be7e-51d6-47a1-b599-9daba99c744c</errorID>
      <errorWord>粘附</errorWord>
      <group>L1_Word</group>
      <groupName>字词问题</groupName>
      <ability>L2_Alias</ability>
      <abilityName>也作/曾用词</abilityName>
      <candidateList>
        <item>黏附</item>
      </candidateList>
      <explain>词汇[粘附]为不规范表述或旧称，其规范书面表述为[黏附]。</explain>
      <paraID>35E3C53F</paraID>
      <start>71</start>
      <end>73</end>
      <status>ignored</status>
      <modifiedWord/>
      <trackRevisions>false</trackRevisions>
    </reviewItem>
    <reviewItem>
      <errorID>487dec00-d29c-4e11-9887-b2cf459cccd9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191BE5AE</paraID>
      <start>0</start>
      <end>2</end>
      <status>ignored</status>
      <modifiedWord/>
      <trackRevisions>false</trackRevisions>
    </reviewItem>
    <reviewItem>
      <errorID>b9e327ae-2d10-4720-bead-d18713ab2975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1FE9CA7A</paraID>
      <start>0</start>
      <end>2</end>
      <status>ignored</status>
      <modifiedWord/>
      <trackRevisions>false</trackRevisions>
    </reviewItem>
    <reviewItem>
      <errorID>b91b4aa1-3a1b-42f3-9403-3eb2fcfa437a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1FE027AD</paraID>
      <start>0</start>
      <end>2</end>
      <status>ignored</status>
      <modifiedWord/>
      <trackRevisions>false</trackRevisions>
    </reviewItem>
    <reviewItem>
      <errorID>8ceb3e55-3c4a-44d1-bbdc-cd3eb878ad78</errorID>
      <errorWord>(</errorWord>
      <group>L1_Format</group>
      <groupName>格式问题</groupName>
      <ability>L2_HalfPunc_CN</ability>
      <abilityName>全半角问题</abilityName>
      <candidateList>
        <item>（</item>
      </candidateList>
      <explain>文本全半角错误。</explain>
      <paraID>1C58BF82</paraID>
      <start>26</start>
      <end>27</end>
      <status>ignored</status>
      <modifiedWord/>
      <trackRevisions>false</trackRevisions>
    </reviewItem>
    <reviewItem>
      <errorID>3b9b0e11-614d-471a-8273-7a18afdf8464</errorID>
      <errorWord>一</errorWord>
      <group>L1_Word</group>
      <groupName>字词问题</groupName>
      <ability>L2_Typo</ability>
      <abilityName>字词错误</abilityName>
      <candidateList>
        <item>-</item>
      </candidateList>
      <explain/>
      <paraID>1C58BF82</paraID>
      <start>34</start>
      <end>35</end>
      <status>ignored</status>
      <modifiedWord/>
      <trackRevisions>false</trackRevisions>
    </reviewItem>
    <reviewItem>
      <errorID>2dbee033-c90d-48d4-aaaf-68188a9f73cd</errorID>
      <errorWord>)</errorWord>
      <group>L1_Format</group>
      <groupName>格式问题</groupName>
      <ability>L2_HalfPunc_CN</ability>
      <abilityName>全半角问题</abilityName>
      <candidateList>
        <item>）</item>
      </candidateList>
      <explain>文本全半角错误。</explain>
      <paraID>1C58BF82</paraID>
      <start>39</start>
      <end>40</end>
      <status>ignored</status>
      <modifiedWord/>
      <trackRevisions>false</trackRevisions>
    </reviewItem>
    <reviewItem>
      <errorID>f880ca3e-183b-4161-a2c8-80135e7dab0c</errorID>
      <errorWord>(</errorWord>
      <group>L1_Format</group>
      <groupName>格式问题</groupName>
      <ability>L2_HalfPunc_CN</ability>
      <abilityName>全半角问题</abilityName>
      <candidateList>
        <item>（</item>
      </candidateList>
      <explain>文本全半角错误。</explain>
      <paraID>20F9D98C</paraID>
      <start>19</start>
      <end>20</end>
      <status>ignored</status>
      <modifiedWord/>
      <trackRevisions>false</trackRevisions>
    </reviewItem>
    <reviewItem>
      <errorID>97ed014a-e1e2-45c6-8c3b-97243f2b0d79</errorID>
      <errorWord>)</errorWord>
      <group>L1_Format</group>
      <groupName>格式问题</groupName>
      <ability>L2_HalfPunc_CN</ability>
      <abilityName>全半角问题</abilityName>
      <candidateList>
        <item>）</item>
      </candidateList>
      <explain>文本全半角错误。</explain>
      <paraID>20F9D98C</paraID>
      <start>32</start>
      <end>33</end>
      <status>ignored</status>
      <modifiedWord/>
      <trackRevisions>false</trackRevisions>
    </reviewItem>
    <reviewItem>
      <errorID>b8b25fbd-c492-4bbf-9586-42eec154f592</errorID>
      <errorWord>(</errorWord>
      <group>L1_Format</group>
      <groupName>格式问题</groupName>
      <ability>L2_HalfPunc_CN</ability>
      <abilityName>全半角问题</abilityName>
      <candidateList>
        <item>（</item>
      </candidateList>
      <explain>文本全半角错误。</explain>
      <paraID>6CCD7744</paraID>
      <start>72</start>
      <end>73</end>
      <status>ignored</status>
      <modifiedWord/>
      <trackRevisions>false</trackRevisions>
    </reviewItem>
    <reviewItem>
      <errorID>6a0e29ea-c641-4b89-90d2-b3f0b5af4edc</errorID>
      <errorWord>)</errorWord>
      <group>L1_Format</group>
      <groupName>格式问题</groupName>
      <ability>L2_HalfPunc_CN</ability>
      <abilityName>全半角问题</abilityName>
      <candidateList>
        <item>）</item>
      </candidateList>
      <explain>文本全半角错误。</explain>
      <paraID>6CCD7744</paraID>
      <start>75</start>
      <end>76</end>
      <status>ignored</status>
      <modifiedWord/>
      <trackRevisions>false</trackRevisions>
    </reviewItem>
    <reviewItem>
      <errorID>bc33e252-1131-4ba6-a9c9-af02a697b1fd</errorID>
      <errorWord>（</errorWord>
      <group>L1_Punc</group>
      <groupName>标点问题</groupName>
      <ability>L2_Punc_CN</ability>
      <abilityName>标点符号问题</abilityName>
      <candidateList/>
      <explain>同一形式括号套用。</explain>
      <paraID>6CCD7744</paraID>
      <start>90</start>
      <end>91</end>
      <status>ignored</status>
      <modifiedWord/>
      <trackRevisions>false</trackRevisions>
    </reviewItem>
    <reviewItem>
      <errorID>afcfe12d-8798-436d-a406-8782942ac389</errorID>
      <errorWord>）</errorWord>
      <group>L1_Punc</group>
      <groupName>标点问题</groupName>
      <ability>L2_Punc_CN</ability>
      <abilityName>标点符号问题</abilityName>
      <candidateList/>
      <explain>同一形式括号套用。</explain>
      <paraID>6CCD7744</paraID>
      <start>93</start>
      <end>94</end>
      <status>ignored</status>
      <modifiedWord/>
      <trackRevisions>false</trackRevisions>
    </reviewItem>
    <reviewItem>
      <errorID>e0137274-7f42-44f7-84eb-998930c6adb9</errorID>
      <errorWord>（</errorWord>
      <group>L1_Punc</group>
      <groupName>标点问题</groupName>
      <ability>L2_Punc_CN</ability>
      <abilityName>标点符号问题</abilityName>
      <candidateList/>
      <explain>同一形式括号套用。</explain>
      <paraID>26BF830C</paraID>
      <start>6</start>
      <end>7</end>
      <status>ignored</status>
      <modifiedWord/>
      <trackRevisions>false</trackRevisions>
    </reviewItem>
    <reviewItem>
      <errorID>f08640c0-8ee3-4e0a-878c-d27d9414c32d</errorID>
      <errorWord>）</errorWord>
      <group>L1_Punc</group>
      <groupName>标点问题</groupName>
      <ability>L2_Punc_CN</ability>
      <abilityName>标点符号问题</abilityName>
      <candidateList/>
      <explain>同一形式括号套用。</explain>
      <paraID>26BF830C</paraID>
      <start>8</start>
      <end>9</end>
      <status>ignored</status>
      <modifiedWord/>
      <trackRevisions>false</trackRevisions>
    </reviewItem>
    <reviewItem>
      <errorID>73371a33-6d50-4759-aae6-168a07a1333a</errorID>
      <errorWord>国家“‘十四五’</errorWord>
      <group>L1_Political</group>
      <groupName>政治性问题</groupName>
      <ability>L2_Keyword</ability>
      <abilityName>固定表述</abilityName>
      <candidateList>
        <item>国家“十四五”</item>
      </candidateList>
      <explain>注意检查当前固定表述标点是否使用规范。</explain>
      <paraID>3089BDF7</paraID>
      <start>2</start>
      <end>10</end>
      <status>ignored</status>
      <modifiedWord/>
      <trackRevisions>false</trackRevisions>
    </reviewItem>
    <reviewItem>
      <errorID>b00872ff-32ce-443d-a00b-cb2c6b614b77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71BC8236</paraID>
      <start>2</start>
      <end>4</end>
      <status>ignored</status>
      <modifiedWord/>
      <trackRevisions>false</trackRevisions>
    </reviewItem>
    <reviewItem>
      <errorID>87a1a67d-e369-4d01-8e38-26b154c2150e</errorID>
      <errorWord>（</errorWord>
      <group>L1_Punc</group>
      <groupName>标点问题</groupName>
      <ability>L2_Punc_CN</ability>
      <abilityName>标点符号问题</abilityName>
      <candidateList/>
      <explain>同一形式括号套用。</explain>
      <paraID>6AAF939F</paraID>
      <start>175</start>
      <end>176</end>
      <status>ignored</status>
      <modifiedWord/>
      <trackRevisions>false</trackRevisions>
    </reviewItem>
    <reviewItem>
      <errorID>fcb33dd4-3999-4c30-b3cc-ad1728131ce4</errorID>
      <errorWord>）</errorWord>
      <group>L1_Punc</group>
      <groupName>标点问题</groupName>
      <ability>L2_Punc_CN</ability>
      <abilityName>标点符号问题</abilityName>
      <candidateList/>
      <explain>同一形式括号套用。</explain>
      <paraID>6AAF939F</paraID>
      <start>185</start>
      <end>186</end>
      <status>ignored</status>
      <modifiedWord/>
      <trackRevisions>false</trackRevisions>
    </reviewItem>
    <reviewItem>
      <errorID>da46e807-656e-4f4a-b8e6-02a67064a38f</errorID>
      <errorWord>（</errorWord>
      <group>L1_Punc</group>
      <groupName>标点问题</groupName>
      <ability>L2_Punc_CN</ability>
      <abilityName>标点符号问题</abilityName>
      <candidateList/>
      <explain>同一形式括号套用。</explain>
      <paraID>5A58B688</paraID>
      <start>165</start>
      <end>166</end>
      <status>ignored</status>
      <modifiedWord/>
      <trackRevisions>false</trackRevisions>
    </reviewItem>
    <reviewItem>
      <errorID>d6a0e122-ff59-41e2-81fd-1526ba1f89a3</errorID>
      <errorWord>）</errorWord>
      <group>L1_Punc</group>
      <groupName>标点问题</groupName>
      <ability>L2_Punc_CN</ability>
      <abilityName>标点符号问题</abilityName>
      <candidateList/>
      <explain>同一形式括号套用。</explain>
      <paraID>5A58B688</paraID>
      <start>177</start>
      <end>178</end>
      <status>ignored</status>
      <modifiedWord/>
      <trackRevisions>false</trackRevisions>
    </reviewItem>
    <reviewItem>
      <errorID>99a2a554-6ad4-4e4d-b3ee-85bd4fd6787b</errorID>
      <errorWord>效率取</errorWord>
      <group>L1_Word</group>
      <groupName>字词问题</groupName>
      <ability>L2_Typo</ability>
      <abilityName>字词错误</abilityName>
      <candidateList>
        <item>效率</item>
      </candidateList>
      <explain/>
      <paraID>5A58B688</paraID>
      <start>223</start>
      <end>225</end>
      <status>modified</status>
      <modifiedWord>效率</modifiedWord>
      <trackRevisions>false</trackRevisions>
    </reviewItem>
    <reviewItem>
      <errorID>34557cb1-f519-466a-b65f-c4b190c7aa74</errorID>
      <errorWord>（</errorWord>
      <group>L1_Punc</group>
      <groupName>标点问题</groupName>
      <ability>L2_Punc_CN</ability>
      <abilityName>标点符号问题</abilityName>
      <candidateList/>
      <explain>同一形式括号套用。</explain>
      <paraID>5676D1AD</paraID>
      <start>90</start>
      <end>91</end>
      <status>ignored</status>
      <modifiedWord/>
      <trackRevisions>false</trackRevisions>
    </reviewItem>
    <reviewItem>
      <errorID>e08222a5-e4e0-4a57-9d07-903b15550562</errorID>
      <errorWord>）</errorWord>
      <group>L1_Punc</group>
      <groupName>标点问题</groupName>
      <ability>L2_Punc_CN</ability>
      <abilityName>标点符号问题</abilityName>
      <candidateList/>
      <explain>同一形式括号套用。</explain>
      <paraID>5676D1AD</paraID>
      <start>102</start>
      <end>103</end>
      <status>ignored</status>
      <modifiedWord/>
      <trackRevisions>false</trackRevisions>
    </reviewItem>
    <reviewItem>
      <errorID>aca8eea6-0a75-40d3-8330-1f0c1234f54a</errorID>
      <errorWord>效率取</errorWord>
      <group>L1_Word</group>
      <groupName>字词问题</groupName>
      <ability>L2_Typo</ability>
      <abilityName>字词错误</abilityName>
      <candidateList>
        <item>效率</item>
      </candidateList>
      <explain/>
      <paraID>5676D1AD</paraID>
      <start>151</start>
      <end>153</end>
      <status>modified</status>
      <modifiedWord>效率</modifiedWord>
      <trackRevisions>false</trackRevisions>
    </reviewItem>
    <reviewItem>
      <errorID>8bbdb439-f5f8-4ab9-8f37-6e0673fa296e</errorID>
      <errorWord>（</errorWord>
      <group>L1_Punc</group>
      <groupName>标点问题</groupName>
      <ability>L2_Punc_CN</ability>
      <abilityName>标点符号问题</abilityName>
      <candidateList/>
      <explain>同一形式括号套用。</explain>
      <paraID>26771A89</paraID>
      <start>57</start>
      <end>58</end>
      <status>ignored</status>
      <modifiedWord/>
      <trackRevisions>false</trackRevisions>
    </reviewItem>
    <reviewItem>
      <errorID>e2048a24-d538-47a5-a234-1d8b697f1a66</errorID>
      <errorWord>）</errorWord>
      <group>L1_Punc</group>
      <groupName>标点问题</groupName>
      <ability>L2_Punc_CN</ability>
      <abilityName>标点符号问题</abilityName>
      <candidateList/>
      <explain>同一形式括号套用。</explain>
      <paraID>26771A89</paraID>
      <start>60</start>
      <end>61</end>
      <status>ignored</status>
      <modifiedWord/>
      <trackRevisions>false</trackRevisions>
    </reviewItem>
    <reviewItem>
      <errorID>39d0b591-cba5-44f3-90ca-66b6e5f92b22</errorID>
      <errorWord>效率取</errorWord>
      <group>L1_Word</group>
      <groupName>字词问题</groupName>
      <ability>L2_Typo</ability>
      <abilityName>字词错误</abilityName>
      <candidateList>
        <item>效率</item>
      </candidateList>
      <explain/>
      <paraID>26771A89</paraID>
      <start>115</start>
      <end>117</end>
      <status>modified</status>
      <modifiedWord>效率</modifiedWord>
      <trackRevisions>false</trackRevisions>
    </reviewItem>
    <reviewItem>
      <errorID>23ec6920-9110-4981-b6fc-c575eaf985d8</errorID>
      <errorWord>（</errorWord>
      <group>L1_Punc</group>
      <groupName>标点问题</groupName>
      <ability>L2_Punc_CN</ability>
      <abilityName>标点符号问题</abilityName>
      <candidateList/>
      <explain>同一形式括号套用。</explain>
      <paraID>5826CFC3</paraID>
      <start>334</start>
      <end>335</end>
      <status>ignored</status>
      <modifiedWord/>
      <trackRevisions>false</trackRevisions>
    </reviewItem>
    <reviewItem>
      <errorID>0476b6e0-5766-426a-86c6-65f304aac49f</errorID>
      <errorWord>）</errorWord>
      <group>L1_Punc</group>
      <groupName>标点问题</groupName>
      <ability>L2_Punc_CN</ability>
      <abilityName>标点符号问题</abilityName>
      <candidateList/>
      <explain>同一形式括号套用。</explain>
      <paraID>5826CFC3</paraID>
      <start>342</start>
      <end>343</end>
      <status>ignored</status>
      <modifiedWord/>
      <trackRevisions>false</trackRevisions>
    </reviewItem>
    <reviewItem>
      <errorID>657bbe82-2a77-4e62-b741-70d6fd153abe</errorID>
      <errorWord>（</errorWord>
      <group>L1_Punc</group>
      <groupName>标点问题</groupName>
      <ability>L2_Punc_CN</ability>
      <abilityName>标点符号问题</abilityName>
      <candidateList/>
      <explain>同一形式括号套用。</explain>
      <paraID>563F2637</paraID>
      <start>196</start>
      <end>197</end>
      <status>ignored</status>
      <modifiedWord/>
      <trackRevisions>false</trackRevisions>
    </reviewItem>
    <reviewItem>
      <errorID>cd536a34-9d1f-46e4-a58a-019e974e949f</errorID>
      <errorWord>）</errorWord>
      <group>L1_Punc</group>
      <groupName>标点问题</groupName>
      <ability>L2_Punc_CN</ability>
      <abilityName>标点符号问题</abilityName>
      <candidateList/>
      <explain>同一形式括号套用。</explain>
      <paraID>563F2637</paraID>
      <start>204</start>
      <end>205</end>
      <status>ignored</status>
      <modifiedWord/>
      <trackRevisions>false</trackRevisions>
    </reviewItem>
    <reviewItem>
      <errorID>64769b0f-a443-4a6c-8936-2d3b5f1c5019</errorID>
      <errorWord>效率取</errorWord>
      <group>L1_Word</group>
      <groupName>字词问题</groupName>
      <ability>L2_Typo</ability>
      <abilityName>字词错误</abilityName>
      <candidateList>
        <item>效率</item>
      </candidateList>
      <explain/>
      <paraID>563F2637</paraID>
      <start>231</start>
      <end>233</end>
      <status>modified</status>
      <modifiedWord>效率</modifiedWord>
      <trackRevisions>false</trackRevisions>
    </reviewItem>
    <reviewItem>
      <errorID>a243c651-5c2c-47b6-9c21-9d849c13827f</errorID>
      <errorWord>效率取</errorWord>
      <group>L1_Word</group>
      <groupName>字词问题</groupName>
      <ability>L2_Typo</ability>
      <abilityName>字词错误</abilityName>
      <candidateList>
        <item>效率</item>
      </candidateList>
      <explain/>
      <paraID>4F76950A</paraID>
      <start>116</start>
      <end>118</end>
      <status>modified</status>
      <modifiedWord>效率</modifiedWord>
      <trackRevisions>false</trackRevisions>
    </reviewItem>
    <reviewItem>
      <errorID>2cd83af0-c081-4894-8d5d-9f6839a245ab</errorID>
      <errorWord>99.7~99.9%</errorWord>
      <group>L1_Knowledge</group>
      <groupName>知识性问题</groupName>
      <ability>L2_Knowledge</ability>
      <abilityName>其他知识</abilityName>
      <candidateList>
        <item>99.7%～99.9%</item>
      </candidateList>
      <explain>1. “99.7~99.9%”中的单位“%”仅出现在后一个数字上，容易引起歧义；根据《现代汉语标点符号数字用法规范手册》，数字表示范围两边需要使用统一的格式。2. 根据标点国标 4.13 中的规则，数字、时间或地域连接符应使用（视觉上更长的）“—”或“～”。</explain>
      <paraID> 11695F0</paraID>
      <start>385</start>
      <end>395</end>
      <status>ignored</status>
      <modifiedWord/>
      <trackRevisions>false</trackRevisions>
    </reviewItem>
    <reviewItem>
      <errorID>7727b38f-e912-4e0b-beae-84ccb87c56c5</errorID>
      <errorWord>（</errorWord>
      <group>L1_Punc</group>
      <groupName>标点问题</groupName>
      <ability>L2_Punc_CN</ability>
      <abilityName>标点符号问题</abilityName>
      <candidateList/>
      <explain>同一形式括号套用。</explain>
      <paraID> 4B26E15</paraID>
      <start>104</start>
      <end>105</end>
      <status>ignored</status>
      <modifiedWord/>
      <trackRevisions>false</trackRevisions>
    </reviewItem>
    <reviewItem>
      <errorID>92612bb7-6142-4a53-80a1-6d338ff85952</errorID>
      <errorWord>）</errorWord>
      <group>L1_Punc</group>
      <groupName>标点问题</groupName>
      <ability>L2_Punc_CN</ability>
      <abilityName>标点符号问题</abilityName>
      <candidateList/>
      <explain>同一形式括号套用。</explain>
      <paraID> 4B26E15</paraID>
      <start>112</start>
      <end>113</end>
      <status>ignored</status>
      <modifiedWord/>
      <trackRevisions>false</trackRevisions>
    </reviewItem>
    <reviewItem>
      <errorID>a3b60901-30f9-4713-be4f-5b29b55f182a</errorID>
      <errorWord>效率取</errorWord>
      <group>L1_Word</group>
      <groupName>字词问题</groupName>
      <ability>L2_Typo</ability>
      <abilityName>字词错误</abilityName>
      <candidateList>
        <item>效率</item>
      </candidateList>
      <explain/>
      <paraID> 4B26E15</paraID>
      <start>139</start>
      <end>141</end>
      <status>modified</status>
      <modifiedWord>效率</modifiedWord>
      <trackRevisions>false</trackRevisions>
    </reviewItem>
    <reviewItem>
      <errorID>5023f736-a9c1-4595-ad6a-d15009d79940</errorID>
      <errorWord>产生有</errorWord>
      <group>L1_Word</group>
      <groupName>字词问题</groupName>
      <ability>L2_Typo</ability>
      <abilityName>字词错误</abilityName>
      <candidateList>
        <item>产生</item>
      </candidateList>
      <explain/>
      <paraID>78C95C02</paraID>
      <start>8</start>
      <end>10</end>
      <status>modified</status>
      <modifiedWord>产生</modifiedWord>
      <trackRevisions>false</trackRevisions>
    </reviewItem>
    <reviewItem>
      <errorID>53d3eb68-aed4-46b3-b64f-9ee610ff977e</errorID>
      <errorWord>-</errorWord>
      <group>L1_Format</group>
      <groupName>格式问题</groupName>
      <ability>L2_HalfPunc_CN</ability>
      <abilityName>全半角问题</abilityName>
      <candidateList>
        <item>－</item>
      </candidateList>
      <explain>文本全半角错误。</explain>
      <paraID>78C95C02</paraID>
      <start>206</start>
      <end>207</end>
      <status>ignored</status>
      <modifiedWord/>
      <trackRevisions>false</trackRevisions>
    </reviewItem>
    <reviewItem>
      <errorID>f7701ab1-5b6c-4443-8dfa-af27884b9f01</errorID>
      <errorWord>-</errorWord>
      <group>L1_Format</group>
      <groupName>格式问题</groupName>
      <ability>L2_HalfPunc_CN</ability>
      <abilityName>全半角问题</abilityName>
      <candidateList>
        <item>－</item>
      </candidateList>
      <explain>文本全半角错误。</explain>
      <paraID>78C95C02</paraID>
      <start>211</start>
      <end>212</end>
      <status>ignored</status>
      <modifiedWord/>
      <trackRevisions>false</trackRevisions>
    </reviewItem>
    <reviewItem>
      <errorID>fbf8f29f-2d37-493c-b4af-1276455afc00</errorID>
      <errorWord>-</errorWord>
      <group>L1_Format</group>
      <groupName>格式问题</groupName>
      <ability>L2_HalfPunc_CN</ability>
      <abilityName>全半角问题</abilityName>
      <candidateList>
        <item>－</item>
      </candidateList>
      <explain>文本全半角错误。</explain>
      <paraID>78C95C02</paraID>
      <start>214</start>
      <end>215</end>
      <status>ignored</status>
      <modifiedWord/>
      <trackRevisions>false</trackRevisions>
    </reviewItem>
    <reviewItem>
      <errorID>b41fc9fe-9150-4fd6-aa76-60a098b67a95</errorID>
      <errorWord>-</errorWord>
      <group>L1_Format</group>
      <groupName>格式问题</groupName>
      <ability>L2_HalfPunc_CN</ability>
      <abilityName>全半角问题</abilityName>
      <candidateList>
        <item>－</item>
      </candidateList>
      <explain>文本全半角错误。</explain>
      <paraID>78C95C02</paraID>
      <start>217</start>
      <end>218</end>
      <status>ignored</status>
      <modifiedWord/>
      <trackRevisions>false</trackRevisions>
    </reviewItem>
    <reviewItem>
      <errorID>b4bd0764-a0b2-4571-812b-c121d3a6b01e</errorID>
      <errorWord>-</errorWord>
      <group>L1_Format</group>
      <groupName>格式问题</groupName>
      <ability>L2_HalfPunc_CN</ability>
      <abilityName>全半角问题</abilityName>
      <candidateList>
        <item>－</item>
      </candidateList>
      <explain>文本全半角错误。</explain>
      <paraID>78C95C02</paraID>
      <start>220</start>
      <end>221</end>
      <status>ignored</status>
      <modifiedWord/>
      <trackRevisions>false</trackRevisions>
    </reviewItem>
    <reviewItem>
      <errorID>3f4eb710-e1b3-4692-bb9f-1e7b105cbf3a</errorID>
      <errorWord>-</errorWord>
      <group>L1_Format</group>
      <groupName>格式问题</groupName>
      <ability>L2_HalfPunc_CN</ability>
      <abilityName>全半角问题</abilityName>
      <candidateList>
        <item>－</item>
      </candidateList>
      <explain>文本全半角错误。</explain>
      <paraID>78C95C02</paraID>
      <start>223</start>
      <end>224</end>
      <status>ignored</status>
      <modifiedWord/>
      <trackRevisions>false</trackRevisions>
    </reviewItem>
    <reviewItem>
      <errorID>4898772d-c3ea-4d6b-aea2-ab6581aba143</errorID>
      <errorWord>-</errorWord>
      <group>L1_Format</group>
      <groupName>格式问题</groupName>
      <ability>L2_HalfPunc_CN</ability>
      <abilityName>全半角问题</abilityName>
      <candidateList>
        <item>－</item>
      </candidateList>
      <explain>文本全半角错误。</explain>
      <paraID>78C95C02</paraID>
      <start>300</start>
      <end>301</end>
      <status>ignored</status>
      <modifiedWord/>
      <trackRevisions>false</trackRevisions>
    </reviewItem>
    <reviewItem>
      <errorID>1b8ce6c1-5838-4a05-82c0-8ced738b4c4e</errorID>
      <errorWord>-</errorWord>
      <group>L1_Format</group>
      <groupName>格式问题</groupName>
      <ability>L2_HalfPunc_CN</ability>
      <abilityName>全半角问题</abilityName>
      <candidateList>
        <item>－</item>
      </candidateList>
      <explain>文本全半角错误。</explain>
      <paraID>78C95C02</paraID>
      <start>305</start>
      <end>306</end>
      <status>ignored</status>
      <modifiedWord/>
      <trackRevisions>false</trackRevisions>
    </reviewItem>
    <reviewItem>
      <errorID>6afe59d8-ca3b-4e71-b800-7c485c17282f</errorID>
      <errorWord>-</errorWord>
      <group>L1_Format</group>
      <groupName>格式问题</groupName>
      <ability>L2_HalfPunc_CN</ability>
      <abilityName>全半角问题</abilityName>
      <candidateList>
        <item>－</item>
      </candidateList>
      <explain>文本全半角错误。</explain>
      <paraID>78C95C02</paraID>
      <start>308</start>
      <end>309</end>
      <status>ignored</status>
      <modifiedWord/>
      <trackRevisions>false</trackRevisions>
    </reviewItem>
    <reviewItem>
      <errorID>f22a1969-a53e-43b3-82dc-e6e448834db6</errorID>
      <errorWord>-</errorWord>
      <group>L1_Format</group>
      <groupName>格式问题</groupName>
      <ability>L2_HalfPunc_CN</ability>
      <abilityName>全半角问题</abilityName>
      <candidateList>
        <item>－</item>
      </candidateList>
      <explain>文本全半角错误。</explain>
      <paraID>78C95C02</paraID>
      <start>311</start>
      <end>312</end>
      <status>ignored</status>
      <modifiedWord/>
      <trackRevisions>false</trackRevisions>
    </reviewItem>
    <reviewItem>
      <errorID>0c326de1-e3e9-40c5-9eae-df1ac05254df</errorID>
      <errorWord>-</errorWord>
      <group>L1_Format</group>
      <groupName>格式问题</groupName>
      <ability>L2_HalfPunc_CN</ability>
      <abilityName>全半角问题</abilityName>
      <candidateList>
        <item>－</item>
      </candidateList>
      <explain>文本全半角错误。</explain>
      <paraID>78C95C02</paraID>
      <start>314</start>
      <end>315</end>
      <status>ignored</status>
      <modifiedWord/>
      <trackRevisions>false</trackRevisions>
    </reviewItem>
    <reviewItem>
      <errorID>a9515da9-8b4d-4770-89c8-bd34f885ece4</errorID>
      <errorWord>-</errorWord>
      <group>L1_Format</group>
      <groupName>格式问题</groupName>
      <ability>L2_HalfPunc_CN</ability>
      <abilityName>全半角问题</abilityName>
      <candidateList>
        <item>－</item>
      </candidateList>
      <explain>文本全半角错误。</explain>
      <paraID>78C95C02</paraID>
      <start>317</start>
      <end>318</end>
      <status>ignored</status>
      <modifiedWord/>
      <trackRevisions>false</trackRevisions>
    </reviewItem>
    <reviewItem>
      <errorID>35e05350-66ee-4008-a134-49cc750c3e35</errorID>
      <errorWord>~</errorWord>
      <group>L1_Format</group>
      <groupName>格式问题</groupName>
      <ability>L2_HalfPunc_CN</ability>
      <abilityName>全半角问题</abilityName>
      <candidateList>
        <item>～</item>
      </candidateList>
      <explain>文本全半角错误。</explain>
      <paraID>4D2B224D</paraID>
      <start>61</start>
      <end>62</end>
      <status>ignored</status>
      <modifiedWord/>
      <trackRevisions>false</trackRevisions>
    </reviewItem>
    <reviewItem>
      <errorID>2012516f-2b84-4f8e-8550-88d1c762bc23</errorID>
      <errorWord>（</errorWord>
      <group>L1_Punc</group>
      <groupName>标点问题</groupName>
      <ability>L2_Punc_CN</ability>
      <abilityName>标点符号问题</abilityName>
      <candidateList/>
      <explain>同一形式括号套用。</explain>
      <paraID>3065E75B</paraID>
      <start>44</start>
      <end>45</end>
      <status>ignored</status>
      <modifiedWord/>
      <trackRevisions>false</trackRevisions>
    </reviewItem>
    <reviewItem>
      <errorID>1c128224-d40e-4553-b875-d0d4e77dcea5</errorID>
      <errorWord>.</errorWord>
      <group>L1_Format</group>
      <groupName>格式问题</groupName>
      <ability>L2_HalfPunc_CN</ability>
      <abilityName>全半角问题</abilityName>
      <candidateList>
        <item>。</item>
      </candidateList>
      <explain>文本全半角错误。</explain>
      <paraID>3065E75B</paraID>
      <start>47</start>
      <end>48</end>
      <status>ignored</status>
      <modifiedWord/>
      <trackRevisions>false</trackRevisions>
    </reviewItem>
    <reviewItem>
      <errorID>2c5555f8-39e2-42c9-b2e9-97081702391a</errorID>
      <errorWord>,</errorWord>
      <group>L1_Format</group>
      <groupName>格式问题</groupName>
      <ability>L2_HalfPunc_CN</ability>
      <abilityName>全半角问题</abilityName>
      <candidateList>
        <item>，</item>
      </candidateList>
      <explain>文本全半角错误。</explain>
      <paraID>3065E75B</paraID>
      <start>55</start>
      <end>56</end>
      <status>modified</status>
      <modifiedWord>，</modifiedWord>
      <trackRevisions>false</trackRevisions>
    </reviewItem>
    <reviewItem>
      <errorID>db1e17ad-3484-4e1f-8e70-0bbce5293812</errorID>
      <errorWord>(</errorWord>
      <group>L1_Punc</group>
      <groupName>标点问题</groupName>
      <ability>L2_Punc_CN</ability>
      <abilityName>标点符号问题</abilityName>
      <candidateList/>
      <explain>同一形式括号套用。</explain>
      <paraID>3065E75B</paraID>
      <start>63</start>
      <end>64</end>
      <status>ignored</status>
      <modifiedWord/>
      <trackRevisions>false</trackRevisions>
    </reviewItem>
    <reviewItem>
      <errorID>c74b9d2f-d98c-4b56-856e-cfa13f58433c</errorID>
      <errorWord>)</errorWord>
      <group>L1_Punc</group>
      <groupName>标点问题</groupName>
      <ability>L2_Punc_CN</ability>
      <abilityName>标点符号问题</abilityName>
      <candidateList/>
      <explain>同一形式括号套用。</explain>
      <paraID>3065E75B</paraID>
      <start>65</start>
      <end>66</end>
      <status>ignored</status>
      <modifiedWord/>
      <trackRevisions>false</trackRevisions>
    </reviewItem>
    <reviewItem>
      <errorID>83f2b1cb-dd23-470f-b06e-9677a5f46eff</errorID>
      <errorWord>）</errorWord>
      <group>L1_Punc</group>
      <groupName>标点问题</groupName>
      <ability>L2_Punc_CN</ability>
      <abilityName>标点符号问题</abilityName>
      <candidateList/>
      <explain>同一形式括号套用。</explain>
      <paraID>3065E75B</paraID>
      <start>72</start>
      <end>73</end>
      <status>ignored</status>
      <modifiedWord/>
      <trackRevisions>false</trackRevisions>
    </reviewItem>
    <reviewItem>
      <errorID>fea46faa-00ed-4c0e-9dde-d4eb64ef6825</errorID>
      <errorWord>（</errorWord>
      <group>L1_Punc</group>
      <groupName>标点问题</groupName>
      <ability>L2_Punc_CN</ability>
      <abilityName>标点符号问题</abilityName>
      <candidateList/>
      <explain>同一形式括号套用。</explain>
      <paraID>3065E75B</paraID>
      <start>92</start>
      <end>93</end>
      <status>ignored</status>
      <modifiedWord/>
      <trackRevisions>false</trackRevisions>
    </reviewItem>
    <reviewItem>
      <errorID>93b3f8ec-8a4c-4a01-a93f-f84e5987d263</errorID>
      <errorWord>,</errorWord>
      <group>L1_Format</group>
      <groupName>格式问题</groupName>
      <ability>L2_HalfPunc_CN</ability>
      <abilityName>全半角问题</abilityName>
      <candidateList>
        <item>，</item>
      </candidateList>
      <explain>文本全半角错误。</explain>
      <paraID>3065E75B</paraID>
      <start>95</start>
      <end>96</end>
      <status>modified</status>
      <modifiedWord>，</modifiedWord>
      <trackRevisions>false</trackRevisions>
    </reviewItem>
    <reviewItem>
      <errorID>e57a58cb-81a4-4b79-acab-e5ed61f77ac6</errorID>
      <errorWord>.</errorWord>
      <group>L1_Format</group>
      <groupName>格式问题</groupName>
      <ability>L2_HalfPunc_CN</ability>
      <abilityName>全半角问题</abilityName>
      <candidateList>
        <item>。</item>
      </candidateList>
      <explain>文本全半角错误。</explain>
      <paraID>3065E75B</paraID>
      <start>99</start>
      <end>100</end>
      <status>ignored</status>
      <modifiedWord/>
      <trackRevisions>false</trackRevisions>
    </reviewItem>
    <reviewItem>
      <errorID>22bc0eb9-8b91-4f19-af93-d12908ec0ff2</errorID>
      <errorWord>,</errorWord>
      <group>L1_Format</group>
      <groupName>格式问题</groupName>
      <ability>L2_HalfPunc_CN</ability>
      <abilityName>全半角问题</abilityName>
      <candidateList>
        <item>，</item>
      </candidateList>
      <explain>文本全半角错误。</explain>
      <paraID>3065E75B</paraID>
      <start>105</start>
      <end>106</end>
      <status>modified</status>
      <modifiedWord>，</modifiedWord>
      <trackRevisions>false</trackRevisions>
    </reviewItem>
    <reviewItem>
      <errorID>cab2dcf6-1ce3-4fc2-bbfe-b91bcf9042e7</errorID>
      <errorWord>(</errorWord>
      <group>L1_Punc</group>
      <groupName>标点问题</groupName>
      <ability>L2_Punc_CN</ability>
      <abilityName>标点符号问题</abilityName>
      <candidateList/>
      <explain>同一形式括号套用。</explain>
      <paraID>3065E75B</paraID>
      <start>111</start>
      <end>112</end>
      <status>ignored</status>
      <modifiedWord/>
      <trackRevisions>false</trackRevisions>
    </reviewItem>
    <reviewItem>
      <errorID>c0c7354e-4ae0-462c-b960-b5bfb418a809</errorID>
      <errorWord>)</errorWord>
      <group>L1_Punc</group>
      <groupName>标点问题</groupName>
      <ability>L2_Punc_CN</ability>
      <abilityName>标点符号问题</abilityName>
      <candidateList/>
      <explain>同一形式括号套用。</explain>
      <paraID>3065E75B</paraID>
      <start>113</start>
      <end>114</end>
      <status>ignored</status>
      <modifiedWord/>
      <trackRevisions>false</trackRevisions>
    </reviewItem>
    <reviewItem>
      <errorID>d868e4f9-f354-4bcc-a196-e54a4da393a4</errorID>
      <errorWord>）</errorWord>
      <group>L1_Punc</group>
      <groupName>标点问题</groupName>
      <ability>L2_Punc_CN</ability>
      <abilityName>标点符号问题</abilityName>
      <candidateList/>
      <explain>同一形式括号套用。</explain>
      <paraID>3065E75B</paraID>
      <start>121</start>
      <end>122</end>
      <status>ignored</status>
      <modifiedWord/>
      <trackRevisions>false</trackRevisions>
    </reviewItem>
    <reviewItem>
      <errorID>15fe735f-d3b2-432d-9a53-71c4681895e9</errorID>
      <errorWord>~</errorWord>
      <group>L1_Format</group>
      <groupName>格式问题</groupName>
      <ability>L2_HalfPunc_CN</ability>
      <abilityName>全半角问题</abilityName>
      <candidateList>
        <item>～</item>
      </candidateList>
      <explain>文本全半角错误。</explain>
      <paraID>3CA6A01E</paraID>
      <start>67</start>
      <end>68</end>
      <status>ignored</status>
      <modifiedWord/>
      <trackRevisions>false</trackRevisions>
    </reviewItem>
    <reviewItem>
      <errorID>1a40e5b5-7b00-4678-89b0-836f3fb23099</errorID>
      <errorWord>污水厂</errorWord>
      <group>L1_Word</group>
      <groupName>字词问题</groupName>
      <ability>L2_Typo</ability>
      <abilityName>字词错误</abilityName>
      <candidateList>
        <item>污水处理厂</item>
      </candidateList>
      <explain/>
      <paraID>36082AFA</paraID>
      <start>51</start>
      <end>56</end>
      <status>modified</status>
      <modifiedWord>污水处理厂</modifiedWord>
      <trackRevisions>false</trackRevisions>
    </reviewItem>
    <reviewItem>
      <errorID>961e4aa3-f7e7-435a-a04c-c84e63d5ffef</errorID>
      <errorWord>（</errorWord>
      <group>L1_Format</group>
      <groupName>格式问题</groupName>
      <ability>L2_HalfPunc_CN</ability>
      <abilityName>全半角问题</abilityName>
      <candidateList>
        <item>(</item>
      </candidateList>
      <explain>文本全半角错误。</explain>
      <paraID>7548A7CD</paraID>
      <start>1</start>
      <end>2</end>
      <status>ignored</status>
      <modifiedWord/>
      <trackRevisions>false</trackRevisions>
    </reviewItem>
    <reviewItem>
      <errorID>06fa30a5-d909-4ddf-80db-7fa337935364</errorID>
      <errorWord>）</errorWord>
      <group>L1_Format</group>
      <groupName>格式问题</groupName>
      <ability>L2_HalfPunc_CN</ability>
      <abilityName>全半角问题</abilityName>
      <candidateList>
        <item>)</item>
      </candidateList>
      <explain>文本全半角错误。</explain>
      <paraID>7548A7CD</paraID>
      <start>3</start>
      <end>4</end>
      <status>ignored</status>
      <modifiedWord/>
      <trackRevisions>false</trackRevisions>
    </reviewItem>
    <reviewItem>
      <errorID>764183f6-6d89-4805-a588-0adece009699</errorID>
      <errorWord>格</errorWord>
      <group>L1_Word</group>
      <groupName>字词问题</groupName>
      <ability>L2_Typo</ability>
      <abilityName>字词错误</abilityName>
      <candidateList>
        <item>格产</item>
      </candidateList>
      <explain/>
      <paraID>4D43AE89</paraID>
      <start>29</start>
      <end>31</end>
      <status>modified</status>
      <modifiedWord>格产</modifiedWord>
      <trackRevisions>false</trackRevisions>
    </reviewItem>
    <reviewItem>
      <errorID>63bd3ccd-3577-4094-a414-a17515005865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67E22084</paraID>
      <start>23</start>
      <end>24</end>
      <status>ignored</status>
      <modifiedWord/>
      <trackRevisions>false</trackRevisions>
    </reviewItem>
    <reviewItem>
      <errorID>8c335436-b94c-42a5-b6ec-914c2fbaec16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300E35D</paraID>
      <start>42</start>
      <end>43</end>
      <status>ignored</status>
      <modifiedWord/>
      <trackRevisions>false</trackRevisions>
    </reviewItem>
    <reviewItem>
      <errorID>cb0d50ff-dd40-467d-af59-39863b23d4d2</errorID>
      <errorWord>》</errorWord>
      <group>L1_Word</group>
      <groupName>字词问题</groupName>
      <ability>L2_Typo</ability>
      <abilityName>字词错误</abilityName>
      <candidateList>
        <item>》等</item>
      </candidateList>
      <explain/>
      <paraID>189BC182</paraID>
      <start>84</start>
      <end>85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1a09f9-5501-4ed2-b01c-ab550f28403e}">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102</Pages>
  <Words>47159</Words>
  <Characters>57268</Characters>
  <Lines>13</Lines>
  <Paragraphs>3</Paragraphs>
  <TotalTime>3</TotalTime>
  <ScaleCrop>false</ScaleCrop>
  <LinksUpToDate>false</LinksUpToDate>
  <CharactersWithSpaces>57794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LIANG</cp:lastModifiedBy>
  <cp:lastPrinted>2020-12-29T02:43:00Z</cp:lastPrinted>
  <dcterms:modified xsi:type="dcterms:W3CDTF">2026-07-27T09:36:04Z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116228B7FFA54EF09B94EB722F446707_13</vt:lpwstr>
  </property>
  <property fmtid="{D5CDD505-2E9C-101B-9397-08002B2CF9AE}" pid="4" name="KSOTemplateDocerSaveRecord">
    <vt:lpwstr>eyJoZGlkIjoiOTlkMWVhMWJmYjRkZWQzODBlODVkNTZjNjMyNGExM2MiLCJ1c2VySWQiOiIyOTY0OTU4NTIifQ==</vt:lpwstr>
  </property>
</Properties>
</file>