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autoSpaceDE/>
        <w:autoSpaceDN/>
        <w:snapToGrid w:val="0"/>
        <w:spacing w:before="0" w:after="0" w:line="360" w:lineRule="auto"/>
        <w:ind w:right="0" w:firstLine="0"/>
        <w:jc w:val="center"/>
        <w:rPr>
          <w:rFonts w:hint="default" w:ascii="仿宋_GB2312" w:hAnsi="仿宋_GB2312" w:eastAsia="仿宋_GB2312"/>
          <w:b/>
          <w:color w:val="auto"/>
          <w:position w:val="0"/>
          <w:sz w:val="36"/>
          <w:szCs w:val="36"/>
        </w:rPr>
      </w:pPr>
      <w:r>
        <w:rPr>
          <w:rFonts w:hint="default" w:ascii="仿宋_GB2312" w:hAnsi="仿宋_GB2312" w:eastAsia="仿宋_GB2312"/>
          <w:b/>
          <w:color w:val="auto"/>
          <w:position w:val="0"/>
          <w:sz w:val="36"/>
          <w:szCs w:val="36"/>
        </w:rPr>
        <w:t>《柳东新区产业发展引导基金暂行管理办法》</w:t>
      </w:r>
    </w:p>
    <w:p>
      <w:pPr>
        <w:numPr>
          <w:ilvl w:val="0"/>
          <w:numId w:val="0"/>
        </w:numPr>
        <w:autoSpaceDE/>
        <w:autoSpaceDN/>
        <w:snapToGrid w:val="0"/>
        <w:spacing w:before="0" w:after="0" w:line="360" w:lineRule="auto"/>
        <w:ind w:right="0" w:firstLine="0"/>
        <w:jc w:val="center"/>
        <w:rPr>
          <w:rFonts w:hint="default" w:ascii="仿宋_GB2312" w:hAnsi="仿宋_GB2312" w:eastAsia="仿宋_GB2312"/>
          <w:b w:val="0"/>
          <w:color w:val="auto"/>
          <w:position w:val="0"/>
          <w:sz w:val="36"/>
          <w:szCs w:val="36"/>
        </w:rPr>
      </w:pPr>
      <w:r>
        <w:rPr>
          <w:rFonts w:hint="default" w:ascii="仿宋_GB2312" w:hAnsi="仿宋_GB2312" w:eastAsia="仿宋_GB2312"/>
          <w:b w:val="0"/>
          <w:color w:val="auto"/>
          <w:position w:val="0"/>
          <w:sz w:val="36"/>
          <w:szCs w:val="36"/>
        </w:rPr>
        <w:t>政策解读</w:t>
      </w:r>
    </w:p>
    <w:p>
      <w:pPr>
        <w:keepNext w:val="0"/>
        <w:keepLines w:val="0"/>
        <w:pageBreakBefore w:val="0"/>
        <w:widowControl/>
        <w:kinsoku/>
        <w:wordWrap/>
        <w:overflowPunct/>
        <w:topLinePunct w:val="0"/>
        <w:autoSpaceDE/>
        <w:autoSpaceDN/>
        <w:bidi w:val="0"/>
        <w:adjustRightInd/>
        <w:snapToGrid/>
        <w:spacing w:line="48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经柳东新区管委会2018年第四次常务会研究同意，柳东新区管理委员会于2018年</w:t>
      </w:r>
      <w:r>
        <w:rPr>
          <w:rFonts w:hint="eastAsia" w:ascii="宋体" w:hAnsi="宋体" w:cs="宋体"/>
          <w:sz w:val="24"/>
          <w:szCs w:val="24"/>
          <w:lang w:val="en-US" w:eastAsia="zh-CN"/>
        </w:rPr>
        <w:t>7</w:t>
      </w:r>
      <w:r>
        <w:rPr>
          <w:rFonts w:hint="eastAsia" w:ascii="宋体" w:hAnsi="宋体" w:eastAsia="宋体" w:cs="宋体"/>
          <w:sz w:val="24"/>
          <w:szCs w:val="24"/>
        </w:rPr>
        <w:t>月</w:t>
      </w:r>
      <w:r>
        <w:rPr>
          <w:rFonts w:hint="eastAsia" w:ascii="宋体" w:hAnsi="宋体" w:cs="宋体"/>
          <w:sz w:val="24"/>
          <w:szCs w:val="24"/>
          <w:lang w:val="en-US" w:eastAsia="zh-CN"/>
        </w:rPr>
        <w:t>13</w:t>
      </w:r>
      <w:r>
        <w:rPr>
          <w:rFonts w:hint="eastAsia" w:ascii="宋体" w:hAnsi="宋体" w:eastAsia="宋体" w:cs="宋体"/>
          <w:sz w:val="24"/>
          <w:szCs w:val="24"/>
        </w:rPr>
        <w:t>日印发了《柳东新区产业发展引导基金暂行管理办法》（</w:t>
      </w:r>
      <w:r>
        <w:rPr>
          <w:rFonts w:hint="eastAsia" w:ascii="宋体" w:hAnsi="宋体" w:cs="宋体"/>
          <w:sz w:val="24"/>
          <w:szCs w:val="24"/>
          <w:lang w:eastAsia="zh-CN"/>
        </w:rPr>
        <w:t>柳东规</w:t>
      </w:r>
      <w:r>
        <w:rPr>
          <w:rFonts w:hint="eastAsia" w:ascii="宋体" w:hAnsi="宋体" w:eastAsia="宋体" w:cs="宋体"/>
          <w:sz w:val="24"/>
          <w:szCs w:val="24"/>
        </w:rPr>
        <w:t>〔2018〕</w:t>
      </w:r>
      <w:r>
        <w:rPr>
          <w:rFonts w:hint="eastAsia" w:ascii="宋体" w:hAnsi="宋体" w:cs="宋体"/>
          <w:sz w:val="24"/>
          <w:szCs w:val="24"/>
          <w:lang w:val="en-US" w:eastAsia="zh-CN"/>
        </w:rPr>
        <w:t>8</w:t>
      </w:r>
      <w:r>
        <w:rPr>
          <w:rFonts w:hint="eastAsia" w:ascii="宋体" w:hAnsi="宋体" w:eastAsia="宋体" w:cs="宋体"/>
          <w:sz w:val="24"/>
          <w:szCs w:val="24"/>
        </w:rPr>
        <w:t>号，以下简称《办法》）。为更好地学习和贯彻落实《办法》有关规定，现对《办法》内容解读如下：</w:t>
      </w:r>
    </w:p>
    <w:p>
      <w:pPr>
        <w:keepNext w:val="0"/>
        <w:keepLines w:val="0"/>
        <w:pageBreakBefore w:val="0"/>
        <w:widowControl/>
        <w:kinsoku/>
        <w:wordWrap/>
        <w:overflowPunct/>
        <w:topLinePunct w:val="0"/>
        <w:autoSpaceDE/>
        <w:autoSpaceDN/>
        <w:bidi w:val="0"/>
        <w:adjustRightInd/>
        <w:snapToGrid/>
        <w:spacing w:line="480" w:lineRule="auto"/>
        <w:ind w:left="0"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lang w:eastAsia="zh-CN"/>
        </w:rPr>
        <w:t>一、</w:t>
      </w:r>
      <w:r>
        <w:rPr>
          <w:rFonts w:hint="eastAsia" w:ascii="宋体" w:hAnsi="宋体" w:eastAsia="宋体" w:cs="宋体"/>
          <w:b/>
          <w:bCs/>
          <w:sz w:val="24"/>
          <w:szCs w:val="24"/>
        </w:rPr>
        <w:t>出台背景</w:t>
      </w:r>
    </w:p>
    <w:p>
      <w:pPr>
        <w:keepNext w:val="0"/>
        <w:keepLines w:val="0"/>
        <w:pageBreakBefore w:val="0"/>
        <w:widowControl/>
        <w:kinsoku/>
        <w:wordWrap/>
        <w:overflowPunct/>
        <w:topLinePunct w:val="0"/>
        <w:autoSpaceDE/>
        <w:autoSpaceDN/>
        <w:bidi w:val="0"/>
        <w:adjustRightInd/>
        <w:snapToGrid/>
        <w:spacing w:line="48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为加快产业结构调整，转变经济发展方式，创新财政资金支持经济发展方式，充分发挥产业发展引导基金的引导和放大作用，规范和加强政府投资基金管理，根据《中共广西壮族自治区委员会广西壮族自治区人民政府关于促进我区金融业更好更快发展的若干意见》（桂发〔2010〕7号）及《国务院办公厅转发发展改革委等部门关于创业投资引导基金规范设立与运作指导意见的通知》（国办发〔2008〕116号）、《财政部关于印发政府投资基金暂行管理办法的通知》（财预〔2015〕210号）、《广西壮族自治区人民政府办公厅关于印发广西政府投资引导基金产业类子基金操作指引的通知》(桂政办发〔2016〕34号)、《广西壮族自治区人民政府关于设立广西政府投资引导基金的意见》（修订）》（桂政发〔2017〕18号）、《广西政府投资引导基金直接股权投资管理暂行办法》（桂政办发〔2017〕45号）等文件精神，结合新区实际，特制定本办法。</w:t>
      </w:r>
    </w:p>
    <w:p>
      <w:pPr>
        <w:keepNext w:val="0"/>
        <w:keepLines w:val="0"/>
        <w:pageBreakBefore w:val="0"/>
        <w:widowControl/>
        <w:kinsoku/>
        <w:wordWrap/>
        <w:overflowPunct/>
        <w:topLinePunct w:val="0"/>
        <w:autoSpaceDE/>
        <w:autoSpaceDN/>
        <w:bidi w:val="0"/>
        <w:adjustRightInd/>
        <w:snapToGrid/>
        <w:spacing w:line="480" w:lineRule="auto"/>
        <w:ind w:left="0"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lang w:eastAsia="zh-CN"/>
        </w:rPr>
        <w:t>二、</w:t>
      </w:r>
      <w:r>
        <w:rPr>
          <w:rFonts w:hint="eastAsia" w:ascii="宋体" w:hAnsi="宋体" w:eastAsia="宋体" w:cs="宋体"/>
          <w:b/>
          <w:bCs/>
          <w:sz w:val="24"/>
          <w:szCs w:val="24"/>
        </w:rPr>
        <w:t>制定过程</w:t>
      </w:r>
    </w:p>
    <w:p>
      <w:pPr>
        <w:keepNext w:val="0"/>
        <w:keepLines w:val="0"/>
        <w:pageBreakBefore w:val="0"/>
        <w:widowControl/>
        <w:kinsoku/>
        <w:wordWrap/>
        <w:overflowPunct/>
        <w:topLinePunct w:val="0"/>
        <w:autoSpaceDE/>
        <w:autoSpaceDN/>
        <w:bidi w:val="0"/>
        <w:adjustRightInd/>
        <w:snapToGrid/>
        <w:spacing w:line="48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柳东新区财政局在广泛研究相关政策法规、征求新区管委会政策法规处、投资促进局、工业信息化局、科技局、柳州高新技术创业中心及相关行业专家意见和建议后形成《办法》初稿。柳东新区财政局在进一步征求市发展改革委、市国资委、市金融办、市法制办等部门意见后，在及时修改完善基础上形成了最终文本。</w:t>
      </w:r>
    </w:p>
    <w:p>
      <w:pPr>
        <w:keepNext w:val="0"/>
        <w:keepLines w:val="0"/>
        <w:pageBreakBefore w:val="0"/>
        <w:widowControl/>
        <w:kinsoku/>
        <w:wordWrap/>
        <w:overflowPunct/>
        <w:topLinePunct w:val="0"/>
        <w:autoSpaceDE/>
        <w:autoSpaceDN/>
        <w:bidi w:val="0"/>
        <w:adjustRightInd/>
        <w:snapToGrid/>
        <w:spacing w:line="480" w:lineRule="auto"/>
        <w:ind w:left="0"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lang w:eastAsia="zh-CN"/>
        </w:rPr>
        <w:t>三、</w:t>
      </w:r>
      <w:r>
        <w:rPr>
          <w:rFonts w:hint="eastAsia" w:ascii="宋体" w:hAnsi="宋体" w:eastAsia="宋体" w:cs="宋体"/>
          <w:b/>
          <w:bCs/>
          <w:sz w:val="24"/>
          <w:szCs w:val="24"/>
        </w:rPr>
        <w:t>任务目标</w:t>
      </w:r>
    </w:p>
    <w:p>
      <w:pPr>
        <w:keepNext w:val="0"/>
        <w:keepLines w:val="0"/>
        <w:pageBreakBefore w:val="0"/>
        <w:widowControl/>
        <w:kinsoku/>
        <w:wordWrap/>
        <w:overflowPunct/>
        <w:topLinePunct w:val="0"/>
        <w:autoSpaceDE/>
        <w:autoSpaceDN/>
        <w:bidi w:val="0"/>
        <w:adjustRightInd/>
        <w:snapToGrid/>
        <w:spacing w:line="48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柳东新区产业发展引导基金是柳东新区管理委员会为了引导和扶持重点产业项目建设，促进重点产业快速健康发展而设立的专项基金。主要目标：支持创新、扶持高科技产业化；放大资金规模；追求资金安全；市场运作；规范管理。</w:t>
      </w:r>
    </w:p>
    <w:p>
      <w:pPr>
        <w:keepNext w:val="0"/>
        <w:keepLines w:val="0"/>
        <w:pageBreakBefore w:val="0"/>
        <w:widowControl/>
        <w:kinsoku/>
        <w:wordWrap/>
        <w:overflowPunct/>
        <w:topLinePunct w:val="0"/>
        <w:autoSpaceDE/>
        <w:autoSpaceDN/>
        <w:bidi w:val="0"/>
        <w:adjustRightInd/>
        <w:snapToGrid/>
        <w:spacing w:line="48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主要投资领域包括：柳东新区内的战略新兴产业、高新技术产业、先进制造业、生态环保产业、现代服务业、小微企业、创业创新城市示范等重点产业和港口、园区等基础设施建设以及“一带一路”等区域发展。</w:t>
      </w:r>
    </w:p>
    <w:p>
      <w:pPr>
        <w:keepNext w:val="0"/>
        <w:keepLines w:val="0"/>
        <w:pageBreakBefore w:val="0"/>
        <w:widowControl/>
        <w:kinsoku/>
        <w:wordWrap/>
        <w:overflowPunct/>
        <w:topLinePunct w:val="0"/>
        <w:autoSpaceDE/>
        <w:autoSpaceDN/>
        <w:bidi w:val="0"/>
        <w:adjustRightInd/>
        <w:snapToGrid/>
        <w:spacing w:line="480" w:lineRule="auto"/>
        <w:ind w:left="0"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lang w:eastAsia="zh-CN"/>
        </w:rPr>
        <w:t>四、</w:t>
      </w:r>
      <w:r>
        <w:rPr>
          <w:rFonts w:hint="eastAsia" w:ascii="宋体" w:hAnsi="宋体" w:eastAsia="宋体" w:cs="宋体"/>
          <w:b/>
          <w:bCs/>
          <w:sz w:val="24"/>
          <w:szCs w:val="24"/>
        </w:rPr>
        <w:t>主要内容</w:t>
      </w:r>
    </w:p>
    <w:p>
      <w:pPr>
        <w:keepNext w:val="0"/>
        <w:keepLines w:val="0"/>
        <w:pageBreakBefore w:val="0"/>
        <w:widowControl/>
        <w:kinsoku/>
        <w:wordWrap/>
        <w:overflowPunct/>
        <w:topLinePunct w:val="0"/>
        <w:autoSpaceDE/>
        <w:autoSpaceDN/>
        <w:bidi w:val="0"/>
        <w:adjustRightInd/>
        <w:snapToGrid/>
        <w:spacing w:line="48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《办法》共八章四十二条，重点明确基金的设立和运作、基金的管理架构及职责、基金支持条件和范围、基金的风险控制及容亏容错机制、基金的预算和资产管理、基金的监督管理等相关内容。</w:t>
      </w:r>
    </w:p>
    <w:p>
      <w:pPr>
        <w:keepNext w:val="0"/>
        <w:keepLines w:val="0"/>
        <w:pageBreakBefore w:val="0"/>
        <w:widowControl/>
        <w:kinsoku/>
        <w:wordWrap/>
        <w:overflowPunct/>
        <w:topLinePunct w:val="0"/>
        <w:autoSpaceDE/>
        <w:autoSpaceDN/>
        <w:bidi w:val="0"/>
        <w:adjustRightInd/>
        <w:snapToGrid/>
        <w:spacing w:line="48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第一章“总则”，包括第一条至第五条，主要明确《办法》制定目的和依据；引导基金设立目的、运作管理原则和方式。</w:t>
      </w:r>
    </w:p>
    <w:p>
      <w:pPr>
        <w:keepNext w:val="0"/>
        <w:keepLines w:val="0"/>
        <w:pageBreakBefore w:val="0"/>
        <w:widowControl/>
        <w:kinsoku/>
        <w:wordWrap/>
        <w:overflowPunct/>
        <w:topLinePunct w:val="0"/>
        <w:autoSpaceDE/>
        <w:autoSpaceDN/>
        <w:bidi w:val="0"/>
        <w:adjustRightInd/>
        <w:snapToGrid/>
        <w:spacing w:line="48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第二章“基金设立和运作”，包括第六条至第十八条，主要明确引导基金组织形式采用有限公司制；母基金公司主要职责、设立方式、投资方式、投资规模、管理费用、风险准备金、投资收益、基金存续期、投资期限等管理规范；投资决策委员会组织管理、投资决策方式；投资决策咨询委员会组织管理、投资咨询方式。</w:t>
      </w:r>
    </w:p>
    <w:p>
      <w:pPr>
        <w:keepNext w:val="0"/>
        <w:keepLines w:val="0"/>
        <w:pageBreakBefore w:val="0"/>
        <w:widowControl/>
        <w:kinsoku/>
        <w:wordWrap/>
        <w:overflowPunct/>
        <w:topLinePunct w:val="0"/>
        <w:autoSpaceDE/>
        <w:autoSpaceDN/>
        <w:bidi w:val="0"/>
        <w:adjustRightInd/>
        <w:snapToGrid/>
        <w:spacing w:line="48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第三章“管理架构及职责”，包括第十九条至第二十四条，主要明确引导基金管理架构中柳东新区管委会、出资人代表、母基金公司、投资决策委员会、引导基金管理机构、投资决策咨询委员会各自相应主要职责。</w:t>
      </w:r>
    </w:p>
    <w:p>
      <w:pPr>
        <w:keepNext w:val="0"/>
        <w:keepLines w:val="0"/>
        <w:pageBreakBefore w:val="0"/>
        <w:widowControl/>
        <w:kinsoku/>
        <w:wordWrap/>
        <w:overflowPunct/>
        <w:topLinePunct w:val="0"/>
        <w:autoSpaceDE/>
        <w:autoSpaceDN/>
        <w:bidi w:val="0"/>
        <w:adjustRightInd/>
        <w:snapToGrid/>
        <w:spacing w:line="48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第四章“引导基金支持条件和范围”，包括第二十五条至第二十九条，主要明确引导基金投资领域；参股子基金管理机构出资额、组织、投资能力、运营管理等要求；支持的参股子基金条件；直接股权投资企业条件及投资管理方式。</w:t>
      </w:r>
    </w:p>
    <w:p>
      <w:pPr>
        <w:keepNext w:val="0"/>
        <w:keepLines w:val="0"/>
        <w:pageBreakBefore w:val="0"/>
        <w:widowControl/>
        <w:kinsoku/>
        <w:wordWrap/>
        <w:overflowPunct/>
        <w:topLinePunct w:val="0"/>
        <w:autoSpaceDE/>
        <w:autoSpaceDN/>
        <w:bidi w:val="0"/>
        <w:adjustRightInd/>
        <w:snapToGrid/>
        <w:spacing w:line="48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第五章“风险控制”，包括第三十条至第三十四条，主要明确引导基金监管制度内容；引导基金第三方监管机制，包括托管银行、资金监管银行及第三方审计机构；引导基金投资限制范围；引导基金投资决策容亏容错机制。</w:t>
      </w:r>
    </w:p>
    <w:p>
      <w:pPr>
        <w:keepNext w:val="0"/>
        <w:keepLines w:val="0"/>
        <w:pageBreakBefore w:val="0"/>
        <w:widowControl/>
        <w:kinsoku/>
        <w:wordWrap/>
        <w:overflowPunct/>
        <w:topLinePunct w:val="0"/>
        <w:autoSpaceDE/>
        <w:autoSpaceDN/>
        <w:bidi w:val="0"/>
        <w:adjustRightInd/>
        <w:snapToGrid/>
        <w:spacing w:line="48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第六章“预算和资产管理”，包括第三十五条至第三十七条，主要明确引导基金年度出资预算管理、资金拨付管理、投资收益回收管理方式。</w:t>
      </w:r>
    </w:p>
    <w:p>
      <w:pPr>
        <w:keepNext w:val="0"/>
        <w:keepLines w:val="0"/>
        <w:pageBreakBefore w:val="0"/>
        <w:widowControl/>
        <w:kinsoku/>
        <w:wordWrap/>
        <w:overflowPunct/>
        <w:topLinePunct w:val="0"/>
        <w:autoSpaceDE/>
        <w:autoSpaceDN/>
        <w:bidi w:val="0"/>
        <w:adjustRightInd/>
        <w:snapToGrid/>
        <w:spacing w:line="48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第七章“监督管理”，包括第三十八条至第四十条，主要明确母基金公司应定期、及时报告引导基金运行情况、资产负债情况、投资损益情况及其他可能影响投资者权益的其他重大情况，并接受财政、审计部门的审计、监督。</w:t>
      </w:r>
    </w:p>
    <w:p>
      <w:pPr>
        <w:keepNext w:val="0"/>
        <w:keepLines w:val="0"/>
        <w:pageBreakBefore w:val="0"/>
        <w:widowControl/>
        <w:kinsoku/>
        <w:wordWrap/>
        <w:overflowPunct/>
        <w:topLinePunct w:val="0"/>
        <w:autoSpaceDE/>
        <w:autoSpaceDN/>
        <w:bidi w:val="0"/>
        <w:adjustRightInd/>
        <w:snapToGrid/>
        <w:spacing w:line="48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第八章“附则”，包括第四十一条至第四十二条，《办法》解释权及生效时间。</w:t>
      </w:r>
    </w:p>
    <w:p>
      <w:pPr>
        <w:keepNext w:val="0"/>
        <w:keepLines w:val="0"/>
        <w:pageBreakBefore w:val="0"/>
        <w:widowControl/>
        <w:kinsoku/>
        <w:wordWrap/>
        <w:overflowPunct/>
        <w:topLinePunct w:val="0"/>
        <w:autoSpaceDE/>
        <w:autoSpaceDN/>
        <w:bidi w:val="0"/>
        <w:adjustRightInd/>
        <w:snapToGrid/>
        <w:spacing w:line="480" w:lineRule="auto"/>
        <w:ind w:left="0"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lang w:eastAsia="zh-CN"/>
        </w:rPr>
        <w:t>五、</w:t>
      </w:r>
      <w:r>
        <w:rPr>
          <w:rFonts w:hint="eastAsia" w:ascii="宋体" w:hAnsi="宋体" w:eastAsia="宋体" w:cs="宋体"/>
          <w:b/>
          <w:bCs/>
          <w:sz w:val="24"/>
          <w:szCs w:val="24"/>
        </w:rPr>
        <w:t>关键词诠释</w:t>
      </w:r>
    </w:p>
    <w:p>
      <w:pPr>
        <w:keepNext w:val="0"/>
        <w:keepLines w:val="0"/>
        <w:pageBreakBefore w:val="0"/>
        <w:widowControl/>
        <w:kinsoku/>
        <w:wordWrap/>
        <w:overflowPunct/>
        <w:topLinePunct w:val="0"/>
        <w:autoSpaceDE/>
        <w:autoSpaceDN/>
        <w:bidi w:val="0"/>
        <w:adjustRightInd/>
        <w:snapToGrid/>
        <w:spacing w:line="48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出资人代表</w:t>
      </w:r>
    </w:p>
    <w:p>
      <w:pPr>
        <w:keepNext w:val="0"/>
        <w:keepLines w:val="0"/>
        <w:pageBreakBefore w:val="0"/>
        <w:widowControl/>
        <w:kinsoku/>
        <w:wordWrap/>
        <w:overflowPunct/>
        <w:topLinePunct w:val="0"/>
        <w:autoSpaceDE/>
        <w:autoSpaceDN/>
        <w:bidi w:val="0"/>
        <w:adjustRightInd/>
        <w:snapToGrid/>
        <w:spacing w:line="48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指由政府部门授权的实施机构、政府平台公司及国有企业，由财政部门拨付资金投入，出资人代表履行相应股东权利及义务。</w:t>
      </w:r>
    </w:p>
    <w:p>
      <w:pPr>
        <w:keepNext w:val="0"/>
        <w:keepLines w:val="0"/>
        <w:pageBreakBefore w:val="0"/>
        <w:widowControl/>
        <w:kinsoku/>
        <w:wordWrap/>
        <w:overflowPunct/>
        <w:topLinePunct w:val="0"/>
        <w:autoSpaceDE/>
        <w:autoSpaceDN/>
        <w:bidi w:val="0"/>
        <w:adjustRightInd/>
        <w:snapToGrid/>
        <w:spacing w:line="48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rPr>
        <w:t>母基金公司</w:t>
      </w:r>
    </w:p>
    <w:p>
      <w:pPr>
        <w:keepNext w:val="0"/>
        <w:keepLines w:val="0"/>
        <w:pageBreakBefore w:val="0"/>
        <w:widowControl/>
        <w:kinsoku/>
        <w:wordWrap/>
        <w:overflowPunct/>
        <w:topLinePunct w:val="0"/>
        <w:autoSpaceDE/>
        <w:autoSpaceDN/>
        <w:bidi w:val="0"/>
        <w:adjustRightInd/>
        <w:snapToGrid/>
        <w:spacing w:line="48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由出资人代表在政府部门授权下设立的引导基金公司，负责引导基金筹备组建、基金代持；参股子基金或直接股权投资项目的出资、监管、审核；以及组织投资决策委员会、投资咨询委员会的日常工作。</w:t>
      </w:r>
    </w:p>
    <w:p>
      <w:pPr>
        <w:keepNext w:val="0"/>
        <w:keepLines w:val="0"/>
        <w:pageBreakBefore w:val="0"/>
        <w:widowControl/>
        <w:kinsoku/>
        <w:wordWrap/>
        <w:overflowPunct/>
        <w:topLinePunct w:val="0"/>
        <w:autoSpaceDE/>
        <w:autoSpaceDN/>
        <w:bidi w:val="0"/>
        <w:adjustRightInd/>
        <w:snapToGrid/>
        <w:spacing w:line="480" w:lineRule="auto"/>
        <w:ind w:left="0"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lang w:eastAsia="zh-CN"/>
        </w:rPr>
        <w:t>六、</w:t>
      </w:r>
      <w:r>
        <w:rPr>
          <w:rFonts w:hint="eastAsia" w:ascii="宋体" w:hAnsi="宋体" w:eastAsia="宋体" w:cs="宋体"/>
          <w:b/>
          <w:bCs/>
          <w:sz w:val="24"/>
          <w:szCs w:val="24"/>
        </w:rPr>
        <w:t>特色亮点</w:t>
      </w:r>
    </w:p>
    <w:p>
      <w:pPr>
        <w:keepNext w:val="0"/>
        <w:keepLines w:val="0"/>
        <w:pageBreakBefore w:val="0"/>
        <w:widowControl/>
        <w:kinsoku/>
        <w:wordWrap/>
        <w:overflowPunct/>
        <w:topLinePunct w:val="0"/>
        <w:autoSpaceDE/>
        <w:autoSpaceDN/>
        <w:bidi w:val="0"/>
        <w:adjustRightInd/>
        <w:snapToGrid/>
        <w:spacing w:line="48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促进柳东经济结构调整和产业转型升级</w:t>
      </w:r>
    </w:p>
    <w:p>
      <w:pPr>
        <w:keepNext w:val="0"/>
        <w:keepLines w:val="0"/>
        <w:pageBreakBefore w:val="0"/>
        <w:widowControl/>
        <w:kinsoku/>
        <w:wordWrap/>
        <w:overflowPunct/>
        <w:topLinePunct w:val="0"/>
        <w:autoSpaceDE/>
        <w:autoSpaceDN/>
        <w:bidi w:val="0"/>
        <w:adjustRightInd/>
        <w:snapToGrid/>
        <w:spacing w:line="48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引导基金设立是为了发挥财政资金</w:t>
      </w:r>
      <w:bookmarkStart w:id="1" w:name="_GoBack"/>
      <w:bookmarkEnd w:id="1"/>
      <w:r>
        <w:rPr>
          <w:rFonts w:hint="eastAsia" w:ascii="宋体" w:hAnsi="宋体" w:eastAsia="宋体" w:cs="宋体"/>
          <w:sz w:val="24"/>
          <w:szCs w:val="24"/>
        </w:rPr>
        <w:t>的引导作用和杠杆放大及乘数效应，优化柳东新区营商环境，挖掘新的发展动能，加快促进新区经济结构调整和产业转型升级，推动新区战略新兴产业、高新技术产业、先进制造业、生态环保产业、现代服务业、小微企业、创业创新城市示范等重点产业的集聚和发展，实现新区经济活力的进一步增强。支持港口、园区等基础设施建设以及“一带一路”等区域发展战略。</w:t>
      </w:r>
    </w:p>
    <w:p>
      <w:pPr>
        <w:keepNext w:val="0"/>
        <w:keepLines w:val="0"/>
        <w:pageBreakBefore w:val="0"/>
        <w:widowControl/>
        <w:kinsoku/>
        <w:wordWrap/>
        <w:overflowPunct/>
        <w:topLinePunct w:val="0"/>
        <w:autoSpaceDE/>
        <w:autoSpaceDN/>
        <w:bidi w:val="0"/>
        <w:adjustRightInd/>
        <w:snapToGrid/>
        <w:spacing w:line="48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支持子基金条件：符合引导基金产业方向的子基金；子基金注册地设在柳东新区；子基金募集规模要达到5000万元以上。</w:t>
      </w:r>
    </w:p>
    <w:p>
      <w:pPr>
        <w:keepNext w:val="0"/>
        <w:keepLines w:val="0"/>
        <w:pageBreakBefore w:val="0"/>
        <w:widowControl/>
        <w:kinsoku/>
        <w:wordWrap/>
        <w:overflowPunct/>
        <w:topLinePunct w:val="0"/>
        <w:autoSpaceDE/>
        <w:autoSpaceDN/>
        <w:bidi w:val="0"/>
        <w:adjustRightInd/>
        <w:snapToGrid/>
        <w:spacing w:line="48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直接股权投资企业：符合引导基金产业方向，注册地在柳东新区独立法人，且相关税费在柳东新区缴纳，统计关系在柳东新区的企业，企业有长远的发展规划,侧重考虑规模以上企业;符合引导基金产业方向，注册地在柳东新区以外，但通过并购、合资、设置子公司等方式投资于柳东新区的外地企业;柳东新区拟引进的外地企业。</w:t>
      </w:r>
    </w:p>
    <w:p>
      <w:pPr>
        <w:keepNext w:val="0"/>
        <w:keepLines w:val="0"/>
        <w:pageBreakBefore w:val="0"/>
        <w:widowControl/>
        <w:kinsoku/>
        <w:wordWrap/>
        <w:overflowPunct/>
        <w:topLinePunct w:val="0"/>
        <w:autoSpaceDE/>
        <w:autoSpaceDN/>
        <w:bidi w:val="0"/>
        <w:adjustRightInd/>
        <w:snapToGrid/>
        <w:spacing w:line="48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rPr>
        <w:t>提高资金使用效益效率，放大资金规模</w:t>
      </w:r>
    </w:p>
    <w:p>
      <w:pPr>
        <w:keepNext w:val="0"/>
        <w:keepLines w:val="0"/>
        <w:pageBreakBefore w:val="0"/>
        <w:widowControl/>
        <w:kinsoku/>
        <w:wordWrap/>
        <w:overflowPunct/>
        <w:topLinePunct w:val="0"/>
        <w:autoSpaceDE/>
        <w:autoSpaceDN/>
        <w:bidi w:val="0"/>
        <w:adjustRightInd/>
        <w:snapToGrid/>
        <w:spacing w:line="48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母基金公司投资子基金，母基金投资不超过单支子基金资本总规模的40%，且不超过母基金公司注册资本的20%。对多级财政性资金（包括中央资金）参与设立的子基金，财政性资金共同出资比例不得超过子基金规模的50%。</w:t>
      </w:r>
    </w:p>
    <w:p>
      <w:pPr>
        <w:keepNext w:val="0"/>
        <w:keepLines w:val="0"/>
        <w:pageBreakBefore w:val="0"/>
        <w:widowControl/>
        <w:kinsoku/>
        <w:wordWrap/>
        <w:overflowPunct/>
        <w:topLinePunct w:val="0"/>
        <w:autoSpaceDE/>
        <w:autoSpaceDN/>
        <w:bidi w:val="0"/>
        <w:adjustRightInd/>
        <w:snapToGrid/>
        <w:spacing w:line="48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母基金公司以股权形式直接投资企业，不作为被投资企业第一大股东，不控股被投资企业；直接股权投资原则上不得超过被投资企业资产评估价值的40%，并且不得超过引导基金公司注册资本的10%；对多级财政性资金(包括中央资金)参与被投资企业，财政性资金共同出资比例不得超过被投资企业资产评估价值的50%。</w:t>
      </w:r>
    </w:p>
    <w:p>
      <w:pPr>
        <w:keepNext w:val="0"/>
        <w:keepLines w:val="0"/>
        <w:pageBreakBefore w:val="0"/>
        <w:widowControl/>
        <w:kinsoku/>
        <w:wordWrap/>
        <w:overflowPunct/>
        <w:topLinePunct w:val="0"/>
        <w:autoSpaceDE/>
        <w:autoSpaceDN/>
        <w:bidi w:val="0"/>
        <w:adjustRightInd/>
        <w:snapToGrid/>
        <w:spacing w:line="48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（三）</w:t>
      </w:r>
      <w:r>
        <w:rPr>
          <w:rFonts w:hint="eastAsia" w:ascii="宋体" w:hAnsi="宋体" w:eastAsia="宋体" w:cs="宋体"/>
          <w:sz w:val="24"/>
          <w:szCs w:val="24"/>
        </w:rPr>
        <w:t>基金按照专业化、市场化方式运作管理</w:t>
      </w:r>
    </w:p>
    <w:p>
      <w:pPr>
        <w:keepNext w:val="0"/>
        <w:keepLines w:val="0"/>
        <w:pageBreakBefore w:val="0"/>
        <w:widowControl/>
        <w:kinsoku/>
        <w:wordWrap/>
        <w:overflowPunct/>
        <w:topLinePunct w:val="0"/>
        <w:autoSpaceDE/>
        <w:autoSpaceDN/>
        <w:bidi w:val="0"/>
        <w:adjustRightInd/>
        <w:snapToGrid/>
        <w:spacing w:line="480" w:lineRule="auto"/>
        <w:ind w:left="0" w:firstLine="480" w:firstLineChars="200"/>
        <w:textAlignment w:val="auto"/>
        <w:outlineLvl w:val="9"/>
        <w:rPr>
          <w:rFonts w:hint="eastAsia" w:ascii="宋体" w:hAnsi="宋体" w:eastAsia="宋体" w:cs="宋体"/>
          <w:sz w:val="24"/>
          <w:szCs w:val="24"/>
        </w:rPr>
      </w:pPr>
      <w:bookmarkStart w:id="0" w:name="_Toc517693993"/>
      <w:r>
        <w:rPr>
          <w:rFonts w:hint="eastAsia" w:ascii="宋体" w:hAnsi="宋体" w:eastAsia="宋体" w:cs="宋体"/>
          <w:sz w:val="24"/>
          <w:szCs w:val="24"/>
        </w:rPr>
        <w:t>柳东新区管委会负责落实引导基金的资金筹集、确定支持方向，协调和会商引导基金管理中出现的重大问题等。并负责对投资额超过1000万元以上的参股子基金或直接股权投资项目，或其他指定的风险程度较高的投资项目进行审定。</w:t>
      </w:r>
      <w:bookmarkEnd w:id="0"/>
    </w:p>
    <w:p>
      <w:pPr>
        <w:keepNext w:val="0"/>
        <w:keepLines w:val="0"/>
        <w:pageBreakBefore w:val="0"/>
        <w:widowControl/>
        <w:kinsoku/>
        <w:wordWrap/>
        <w:overflowPunct/>
        <w:topLinePunct w:val="0"/>
        <w:autoSpaceDE/>
        <w:autoSpaceDN/>
        <w:bidi w:val="0"/>
        <w:adjustRightInd/>
        <w:snapToGrid/>
        <w:spacing w:line="48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引导基金在母基金公司内部设立投资决策委员会，负责母基金日常管理和运营的最高决策机构。决策委员会由5名委员组成，设主任委员1名。委员会成员由母基金公司代表3人，管理机构代表2人组成。主任委员人选由管理机构推荐。投资决策委员会按一人一票制表决，决议需经至少三分之二委员同意方为通过，所有委员没有一票否决权。</w:t>
      </w:r>
    </w:p>
    <w:p>
      <w:pPr>
        <w:keepNext w:val="0"/>
        <w:keepLines w:val="0"/>
        <w:pageBreakBefore w:val="0"/>
        <w:widowControl/>
        <w:kinsoku/>
        <w:wordWrap/>
        <w:overflowPunct/>
        <w:topLinePunct w:val="0"/>
        <w:autoSpaceDE/>
        <w:autoSpaceDN/>
        <w:bidi w:val="0"/>
        <w:adjustRightInd/>
        <w:snapToGrid/>
        <w:spacing w:line="48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引导基金在母基金公司内部设立投资决策咨询委员会，由管理机构根据不同投资项目负责组建，委员至少5人，并设1名主任委员。委员由柳东新区管委会、柳东新区相关行业主管部门负责人和法律、金融、会计、评估等行业专家以及知名企业家等咨询顾问组成，为投资决策咨询委员会决策提供参考意见和建议。相关行业主管部门包括柳东新区财政局、柳东新区工信局、柳东新区科技局、柳东新区投促局等。咨询委员会不具有引导基金的决策权，仅具有咨询建议权。</w:t>
      </w:r>
    </w:p>
    <w:p>
      <w:pPr>
        <w:keepNext w:val="0"/>
        <w:keepLines w:val="0"/>
        <w:pageBreakBefore w:val="0"/>
        <w:widowControl/>
        <w:kinsoku/>
        <w:wordWrap/>
        <w:overflowPunct/>
        <w:topLinePunct w:val="0"/>
        <w:autoSpaceDE/>
        <w:autoSpaceDN/>
        <w:bidi w:val="0"/>
        <w:adjustRightInd/>
        <w:snapToGrid/>
        <w:spacing w:line="48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子基金管理机构应出资参股子基金或认缴子基金份额，且出资额不得低于子基金总额的1%；至少有3名具备3年以上股权投资或相关业务经验的专职高级管理人员；至少主导过3个股权投资的成功案例。子基金管理机构应当具有较高的专业管理水平,具备健全的治理结构、规范的投资决策机制、有效的内部控制体系。子基金建立合理的子基金管理机构收益分配和激励机制,制定合理的绩效考评与业绩奖罚挂钩制度。</w:t>
      </w:r>
    </w:p>
    <w:p>
      <w:pPr>
        <w:keepNext w:val="0"/>
        <w:keepLines w:val="0"/>
        <w:pageBreakBefore w:val="0"/>
        <w:widowControl/>
        <w:kinsoku/>
        <w:wordWrap/>
        <w:overflowPunct/>
        <w:topLinePunct w:val="0"/>
        <w:autoSpaceDE/>
        <w:autoSpaceDN/>
        <w:bidi w:val="0"/>
        <w:adjustRightInd/>
        <w:snapToGrid/>
        <w:spacing w:line="48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（四）</w:t>
      </w:r>
      <w:r>
        <w:rPr>
          <w:rFonts w:hint="eastAsia" w:ascii="宋体" w:hAnsi="宋体" w:eastAsia="宋体" w:cs="宋体"/>
          <w:sz w:val="24"/>
          <w:szCs w:val="24"/>
        </w:rPr>
        <w:t>全面有效防范风险，确保基金资金安全</w:t>
      </w:r>
    </w:p>
    <w:p>
      <w:pPr>
        <w:keepNext w:val="0"/>
        <w:keepLines w:val="0"/>
        <w:pageBreakBefore w:val="0"/>
        <w:widowControl/>
        <w:kinsoku/>
        <w:wordWrap/>
        <w:overflowPunct/>
        <w:topLinePunct w:val="0"/>
        <w:autoSpaceDE/>
        <w:autoSpaceDN/>
        <w:bidi w:val="0"/>
        <w:adjustRightInd/>
        <w:snapToGrid/>
        <w:spacing w:line="48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引入第三方监管机制，通过选定一家商业银行，作为母基金的托管银行，另外可再选取一家银行作为资金的监管银行。通过资金托管和监管，对母基金的管理机构进行监督管理，使引导基金管理机构和母基金托管和监管银行之间形成相互监督的机制。定期委托相关中介机构，对母基金的运作管理与运作事务进行审计检查。</w:t>
      </w:r>
    </w:p>
    <w:p>
      <w:pPr>
        <w:keepNext w:val="0"/>
        <w:keepLines w:val="0"/>
        <w:pageBreakBefore w:val="0"/>
        <w:widowControl/>
        <w:kinsoku/>
        <w:wordWrap/>
        <w:overflowPunct/>
        <w:topLinePunct w:val="0"/>
        <w:autoSpaceDE/>
        <w:autoSpaceDN/>
        <w:bidi w:val="0"/>
        <w:adjustRightInd/>
        <w:snapToGrid/>
        <w:spacing w:line="48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委托市审计局或社会中介机构对母基金进行专项审计，出具审计、评价报告。管委会相关部门指导监督母基金建立健全投资管理、内部控制、监督审计、绩效评价等管理制度和风险防控体系，规范母基金运作。防范和分散投资运营风险，定期对母基金公司进行绩效评价。</w:t>
      </w:r>
    </w:p>
    <w:p>
      <w:pPr>
        <w:keepNext w:val="0"/>
        <w:keepLines w:val="0"/>
        <w:pageBreakBefore w:val="0"/>
        <w:widowControl/>
        <w:kinsoku/>
        <w:wordWrap/>
        <w:overflowPunct/>
        <w:topLinePunct w:val="0"/>
        <w:autoSpaceDE/>
        <w:autoSpaceDN/>
        <w:bidi w:val="0"/>
        <w:adjustRightInd/>
        <w:snapToGrid/>
        <w:spacing w:line="48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引导基金按照投资收益的一定比例提取风险准备金，建立风险补偿机制。引导基金不得用于贷款或股票、期货、房地产、评级AAA级以下债券、商业银行非保本理财、金融衍生品等投资，不得用于赞助、捐赠等支出，闲置资金只能存放银行或购买国债。引导基金本金以及投资形成股权，要按照国家有关财务规章制度进行管理。</w:t>
      </w:r>
    </w:p>
    <w:p>
      <w:pPr>
        <w:keepNext w:val="0"/>
        <w:keepLines w:val="0"/>
        <w:pageBreakBefore w:val="0"/>
        <w:widowControl/>
        <w:kinsoku/>
        <w:wordWrap/>
        <w:overflowPunct/>
        <w:topLinePunct w:val="0"/>
        <w:autoSpaceDE/>
        <w:autoSpaceDN/>
        <w:bidi w:val="0"/>
        <w:adjustRightInd/>
        <w:snapToGrid/>
        <w:spacing w:line="48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建立合理合规的决策容亏容错机制，因下列情况之一造成的政府投资基金损失，不予追究相关机构部门的责任：管理机构已出具不投资建议，但基于产业培育、政策性扶持等因素，市人民政府决定投资的项目；管理机构按合法程序及规定进行尽职调查提出投资方案建议，且履行项目实施及监管职责没有出现过错，因市场变化等原因导致项目投资损失的；因不可抗拒因素发生重大经营困难等变故，致使不能继续实施的。</w:t>
      </w:r>
    </w:p>
    <w:p>
      <w:pPr>
        <w:numPr>
          <w:ilvl w:val="0"/>
          <w:numId w:val="0"/>
        </w:numPr>
        <w:autoSpaceDE/>
        <w:autoSpaceDN/>
        <w:snapToGrid w:val="0"/>
        <w:spacing w:before="0" w:after="0" w:line="360" w:lineRule="auto"/>
        <w:ind w:right="0" w:firstLine="567"/>
        <w:jc w:val="left"/>
        <w:rPr>
          <w:rFonts w:hint="default" w:ascii="仿宋_GB2312" w:hAnsi="Times New Roman" w:eastAsia="Times New Roman"/>
          <w:color w:val="auto"/>
          <w:position w:val="0"/>
          <w:sz w:val="28"/>
          <w:szCs w:val="28"/>
        </w:rPr>
      </w:pPr>
    </w:p>
    <w:p>
      <w:pPr>
        <w:numPr>
          <w:ilvl w:val="0"/>
          <w:numId w:val="0"/>
        </w:numPr>
        <w:autoSpaceDE/>
        <w:autoSpaceDN/>
        <w:snapToGrid w:val="0"/>
        <w:spacing w:before="0" w:after="0" w:line="360" w:lineRule="auto"/>
        <w:ind w:right="0" w:firstLine="567"/>
        <w:jc w:val="left"/>
        <w:rPr>
          <w:rFonts w:hint="default" w:ascii="仿宋_GB2312" w:hAnsi="Times New Roman" w:eastAsia="Times New Roman"/>
          <w:color w:val="auto"/>
          <w:position w:val="0"/>
          <w:sz w:val="28"/>
          <w:szCs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decimal"/>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numPr>
        <w:ilvl w:val="0"/>
        <w:numId w:val="0"/>
      </w:numPr>
      <w:autoSpaceDE/>
      <w:autoSpaceDN/>
      <w:snapToGrid w:val="0"/>
      <w:spacing w:before="0" w:after="0" w:line="240" w:lineRule="auto"/>
      <w:ind w:left="420" w:right="0" w:firstLine="0"/>
      <w:jc w:val="left"/>
      <w:rPr>
        <w:rFonts w:hint="default" w:ascii="Calibri" w:hAnsi="宋体" w:eastAsia="宋体"/>
        <w:color w:val="auto"/>
        <w:position w:val="0"/>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numPr>
        <w:ilvl w:val="0"/>
        <w:numId w:val="0"/>
      </w:numPr>
      <w:autoSpaceDE/>
      <w:autoSpaceDN/>
      <w:snapToGrid w:val="0"/>
      <w:spacing w:before="0" w:after="0" w:line="240" w:lineRule="auto"/>
      <w:ind w:left="420" w:right="0" w:firstLine="0"/>
      <w:jc w:val="left"/>
      <w:rPr>
        <w:rFonts w:hint="default" w:ascii="Calibri" w:hAnsi="宋体" w:eastAsia="宋体"/>
        <w:color w:val="auto"/>
        <w:position w:val="0"/>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numPr>
        <w:ilvl w:val="0"/>
        <w:numId w:val="0"/>
      </w:numPr>
      <w:autoSpaceDE/>
      <w:autoSpaceDN/>
      <w:snapToGrid w:val="0"/>
      <w:spacing w:before="0" w:after="0" w:line="240" w:lineRule="auto"/>
      <w:ind w:left="420" w:right="0" w:firstLine="0"/>
      <w:jc w:val="left"/>
      <w:rPr>
        <w:rFonts w:hint="default" w:ascii="Calibri" w:hAnsi="宋体" w:eastAsia="宋体"/>
        <w:color w:val="auto"/>
        <w:position w:val="0"/>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numPr>
        <w:ilvl w:val="0"/>
        <w:numId w:val="0"/>
      </w:numPr>
      <w:autoSpaceDE/>
      <w:autoSpaceDN/>
      <w:spacing w:before="0" w:after="0" w:line="360" w:lineRule="auto"/>
      <w:ind w:left="420" w:right="0" w:firstLine="0"/>
      <w:jc w:val="both"/>
      <w:rPr>
        <w:rFonts w:hint="default" w:ascii="Calibri" w:hAnsi="宋体" w:eastAsia="宋体"/>
        <w:color w:val="auto"/>
        <w:position w:val="0"/>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numPr>
        <w:ilvl w:val="0"/>
        <w:numId w:val="0"/>
      </w:numPr>
      <w:pBdr>
        <w:bottom w:val="single" w:color="000000" w:sz="6" w:space="0"/>
      </w:pBdr>
      <w:autoSpaceDE/>
      <w:autoSpaceDN/>
      <w:snapToGrid w:val="0"/>
      <w:spacing w:before="0" w:after="0" w:line="240" w:lineRule="auto"/>
      <w:ind w:left="420" w:right="0" w:firstLine="0"/>
      <w:jc w:val="center"/>
      <w:rPr>
        <w:rFonts w:hint="default" w:ascii="Calibri" w:hAnsi="宋体" w:eastAsia="宋体"/>
        <w:color w:val="auto"/>
        <w:position w:val="0"/>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numPr>
        <w:ilvl w:val="0"/>
        <w:numId w:val="0"/>
      </w:numPr>
      <w:pBdr>
        <w:bottom w:val="single" w:color="000000" w:sz="6" w:space="0"/>
      </w:pBdr>
      <w:autoSpaceDE/>
      <w:autoSpaceDN/>
      <w:snapToGrid w:val="0"/>
      <w:spacing w:before="0" w:after="0" w:line="240" w:lineRule="auto"/>
      <w:ind w:left="420" w:right="0" w:firstLine="0"/>
      <w:jc w:val="center"/>
      <w:rPr>
        <w:rFonts w:hint="default" w:ascii="Calibri" w:hAnsi="宋体" w:eastAsia="宋体"/>
        <w:color w:val="auto"/>
        <w:position w:val="0"/>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5"/>
  </w:compat>
  <w:rsids>
    <w:rsidRoot w:val="00000000"/>
    <w:rsid w:val="106615D9"/>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155" w:name="header"/>
    <w:lsdException w:uiPriority="157"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6"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0" w:semiHidden="0" w:name="Strong"/>
    <w:lsdException w:qFormat="1" w:unhideWhenUsed="0" w:uiPriority="18" w:semiHidden="0" w:name="Emphasis"/>
    <w:lsdException w:uiPriority="152"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37"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wordWrap/>
      <w:autoSpaceDE/>
      <w:autoSpaceDN/>
      <w:ind w:left="200" w:firstLine="0"/>
      <w:jc w:val="both"/>
    </w:pPr>
    <w:rPr>
      <w:rFonts w:ascii="Calibri" w:hAnsi="Calibri" w:eastAsia="宋体"/>
      <w:w w:val="100"/>
      <w:sz w:val="21"/>
      <w:szCs w:val="21"/>
      <w:shd w:val="clear"/>
    </w:rPr>
  </w:style>
  <w:style w:type="paragraph" w:styleId="2">
    <w:name w:val="heading 1"/>
    <w:next w:val="1"/>
    <w:qFormat/>
    <w:uiPriority w:val="7"/>
    <w:pPr>
      <w:widowControl/>
      <w:wordWrap/>
      <w:autoSpaceDE/>
      <w:autoSpaceDN/>
      <w:ind w:left="200" w:firstLine="0"/>
      <w:jc w:val="both"/>
    </w:pPr>
    <w:rPr>
      <w:rFonts w:ascii="Calibri" w:hAnsi="Calibri" w:eastAsia="宋体"/>
      <w:w w:val="100"/>
      <w:sz w:val="28"/>
      <w:szCs w:val="28"/>
      <w:shd w:val="clear"/>
    </w:rPr>
  </w:style>
  <w:style w:type="paragraph" w:styleId="3">
    <w:name w:val="heading 2"/>
    <w:next w:val="1"/>
    <w:qFormat/>
    <w:uiPriority w:val="8"/>
    <w:pPr>
      <w:widowControl/>
      <w:wordWrap/>
      <w:autoSpaceDE/>
      <w:autoSpaceDN/>
      <w:ind w:left="200" w:firstLine="0"/>
      <w:jc w:val="both"/>
    </w:pPr>
    <w:rPr>
      <w:rFonts w:ascii="Calibri" w:hAnsi="Calibri" w:eastAsia="宋体"/>
      <w:w w:val="100"/>
      <w:sz w:val="21"/>
      <w:szCs w:val="21"/>
      <w:shd w:val="clear"/>
    </w:rPr>
  </w:style>
  <w:style w:type="paragraph" w:styleId="4">
    <w:name w:val="heading 3"/>
    <w:next w:val="1"/>
    <w:qFormat/>
    <w:uiPriority w:val="9"/>
    <w:pPr>
      <w:widowControl/>
      <w:wordWrap/>
      <w:autoSpaceDE/>
      <w:autoSpaceDN/>
      <w:ind w:left="1000" w:hanging="400"/>
      <w:jc w:val="both"/>
    </w:pPr>
    <w:rPr>
      <w:rFonts w:ascii="Calibri" w:hAnsi="Calibri" w:eastAsia="宋体"/>
      <w:w w:val="100"/>
      <w:sz w:val="21"/>
      <w:szCs w:val="21"/>
      <w:shd w:val="clear"/>
    </w:rPr>
  </w:style>
  <w:style w:type="paragraph" w:styleId="5">
    <w:name w:val="heading 4"/>
    <w:next w:val="1"/>
    <w:qFormat/>
    <w:uiPriority w:val="10"/>
    <w:pPr>
      <w:widowControl/>
      <w:wordWrap/>
      <w:autoSpaceDE/>
      <w:autoSpaceDN/>
      <w:ind w:left="1200" w:hanging="400"/>
      <w:jc w:val="both"/>
    </w:pPr>
    <w:rPr>
      <w:rFonts w:ascii="Calibri" w:hAnsi="Calibri" w:eastAsia="宋体"/>
      <w:b/>
      <w:w w:val="100"/>
      <w:sz w:val="21"/>
      <w:szCs w:val="21"/>
      <w:shd w:val="clear"/>
    </w:rPr>
  </w:style>
  <w:style w:type="paragraph" w:styleId="6">
    <w:name w:val="heading 5"/>
    <w:next w:val="1"/>
    <w:qFormat/>
    <w:uiPriority w:val="11"/>
    <w:pPr>
      <w:widowControl/>
      <w:wordWrap/>
      <w:autoSpaceDE/>
      <w:autoSpaceDN/>
      <w:ind w:left="1400" w:hanging="400"/>
      <w:jc w:val="both"/>
    </w:pPr>
    <w:rPr>
      <w:rFonts w:ascii="Calibri" w:hAnsi="Calibri" w:eastAsia="宋体"/>
      <w:w w:val="100"/>
      <w:sz w:val="21"/>
      <w:szCs w:val="21"/>
      <w:shd w:val="clear"/>
    </w:rPr>
  </w:style>
  <w:style w:type="paragraph" w:styleId="7">
    <w:name w:val="heading 6"/>
    <w:next w:val="1"/>
    <w:qFormat/>
    <w:uiPriority w:val="12"/>
    <w:pPr>
      <w:widowControl/>
      <w:wordWrap/>
      <w:autoSpaceDE/>
      <w:autoSpaceDN/>
      <w:ind w:left="1600" w:hanging="400"/>
      <w:jc w:val="both"/>
    </w:pPr>
    <w:rPr>
      <w:rFonts w:ascii="Calibri" w:hAnsi="Calibri" w:eastAsia="宋体"/>
      <w:b/>
      <w:w w:val="100"/>
      <w:sz w:val="21"/>
      <w:szCs w:val="21"/>
      <w:shd w:val="clear"/>
    </w:rPr>
  </w:style>
  <w:style w:type="paragraph" w:styleId="8">
    <w:name w:val="heading 7"/>
    <w:next w:val="1"/>
    <w:qFormat/>
    <w:uiPriority w:val="13"/>
    <w:pPr>
      <w:widowControl/>
      <w:wordWrap/>
      <w:autoSpaceDE/>
      <w:autoSpaceDN/>
      <w:ind w:left="1800" w:hanging="400"/>
      <w:jc w:val="both"/>
    </w:pPr>
    <w:rPr>
      <w:rFonts w:ascii="Calibri" w:hAnsi="Calibri" w:eastAsia="宋体"/>
      <w:w w:val="100"/>
      <w:sz w:val="21"/>
      <w:szCs w:val="21"/>
      <w:shd w:val="clear"/>
    </w:rPr>
  </w:style>
  <w:style w:type="paragraph" w:styleId="9">
    <w:name w:val="heading 8"/>
    <w:next w:val="1"/>
    <w:qFormat/>
    <w:uiPriority w:val="14"/>
    <w:pPr>
      <w:widowControl/>
      <w:wordWrap/>
      <w:autoSpaceDE/>
      <w:autoSpaceDN/>
      <w:ind w:left="2000" w:hanging="400"/>
      <w:jc w:val="both"/>
    </w:pPr>
    <w:rPr>
      <w:rFonts w:ascii="Calibri" w:hAnsi="Calibri" w:eastAsia="宋体"/>
      <w:w w:val="100"/>
      <w:sz w:val="21"/>
      <w:szCs w:val="21"/>
      <w:shd w:val="clear"/>
    </w:rPr>
  </w:style>
  <w:style w:type="paragraph" w:styleId="10">
    <w:name w:val="heading 9"/>
    <w:next w:val="1"/>
    <w:qFormat/>
    <w:uiPriority w:val="15"/>
    <w:pPr>
      <w:widowControl/>
      <w:wordWrap/>
      <w:autoSpaceDE/>
      <w:autoSpaceDN/>
      <w:ind w:left="2200" w:hanging="400"/>
      <w:jc w:val="both"/>
    </w:pPr>
    <w:rPr>
      <w:rFonts w:ascii="Calibri" w:hAnsi="Calibri" w:eastAsia="宋体"/>
      <w:w w:val="100"/>
      <w:sz w:val="21"/>
      <w:szCs w:val="21"/>
      <w:shd w:val="clear"/>
    </w:rPr>
  </w:style>
  <w:style w:type="character" w:default="1" w:styleId="25">
    <w:name w:val="Default Paragraph Font"/>
    <w:semiHidden/>
    <w:unhideWhenUsed/>
    <w:qFormat/>
    <w:uiPriority w:val="2"/>
  </w:style>
  <w:style w:type="table" w:default="1" w:styleId="28">
    <w:name w:val="Normal Table"/>
    <w:uiPriority w:val="37"/>
    <w:tblPr>
      <w:tblLayout w:type="fixed"/>
      <w:tblCellMar>
        <w:top w:w="0" w:type="dxa"/>
        <w:left w:w="108" w:type="dxa"/>
        <w:bottom w:w="0" w:type="dxa"/>
        <w:right w:w="108" w:type="dxa"/>
      </w:tblCellMar>
    </w:tblPr>
  </w:style>
  <w:style w:type="paragraph" w:styleId="11">
    <w:name w:val="toc 7"/>
    <w:next w:val="1"/>
    <w:unhideWhenUsed/>
    <w:qFormat/>
    <w:uiPriority w:val="34"/>
    <w:pPr>
      <w:widowControl/>
      <w:wordWrap/>
      <w:autoSpaceDE/>
      <w:autoSpaceDN/>
      <w:ind w:left="2550" w:firstLine="0"/>
      <w:jc w:val="both"/>
    </w:pPr>
    <w:rPr>
      <w:rFonts w:ascii="Calibri" w:hAnsi="Calibri" w:eastAsia="宋体"/>
      <w:w w:val="100"/>
      <w:sz w:val="21"/>
      <w:szCs w:val="21"/>
      <w:shd w:val="clear"/>
    </w:rPr>
  </w:style>
  <w:style w:type="paragraph" w:styleId="12">
    <w:name w:val="Document Map"/>
    <w:basedOn w:val="1"/>
    <w:link w:val="39"/>
    <w:semiHidden/>
    <w:unhideWhenUsed/>
    <w:uiPriority w:val="152"/>
    <w:rPr>
      <w:rFonts w:ascii="宋体" w:hAnsi="宋体" w:eastAsia="宋体"/>
      <w:w w:val="100"/>
      <w:sz w:val="18"/>
      <w:szCs w:val="18"/>
      <w:shd w:val="clear"/>
    </w:rPr>
  </w:style>
  <w:style w:type="paragraph" w:styleId="13">
    <w:name w:val="toc 5"/>
    <w:next w:val="1"/>
    <w:unhideWhenUsed/>
    <w:qFormat/>
    <w:uiPriority w:val="32"/>
    <w:pPr>
      <w:widowControl/>
      <w:wordWrap/>
      <w:autoSpaceDE/>
      <w:autoSpaceDN/>
      <w:ind w:left="1700" w:firstLine="0"/>
      <w:jc w:val="both"/>
    </w:pPr>
    <w:rPr>
      <w:rFonts w:ascii="Calibri" w:hAnsi="Calibri" w:eastAsia="宋体"/>
      <w:w w:val="100"/>
      <w:sz w:val="21"/>
      <w:szCs w:val="21"/>
      <w:shd w:val="clear"/>
    </w:rPr>
  </w:style>
  <w:style w:type="paragraph" w:styleId="14">
    <w:name w:val="toc 3"/>
    <w:next w:val="1"/>
    <w:unhideWhenUsed/>
    <w:qFormat/>
    <w:uiPriority w:val="30"/>
    <w:pPr>
      <w:widowControl/>
      <w:wordWrap/>
      <w:autoSpaceDE/>
      <w:autoSpaceDN/>
      <w:ind w:left="850" w:firstLine="0"/>
      <w:jc w:val="both"/>
    </w:pPr>
    <w:rPr>
      <w:rFonts w:ascii="Calibri" w:hAnsi="Calibri" w:eastAsia="宋体"/>
      <w:w w:val="100"/>
      <w:sz w:val="21"/>
      <w:szCs w:val="21"/>
      <w:shd w:val="clear"/>
    </w:rPr>
  </w:style>
  <w:style w:type="paragraph" w:styleId="15">
    <w:name w:val="toc 8"/>
    <w:next w:val="1"/>
    <w:unhideWhenUsed/>
    <w:qFormat/>
    <w:uiPriority w:val="35"/>
    <w:pPr>
      <w:widowControl/>
      <w:wordWrap/>
      <w:autoSpaceDE/>
      <w:autoSpaceDN/>
      <w:ind w:left="2975" w:firstLine="0"/>
      <w:jc w:val="both"/>
    </w:pPr>
    <w:rPr>
      <w:rFonts w:ascii="Calibri" w:hAnsi="Calibri" w:eastAsia="宋体"/>
      <w:w w:val="100"/>
      <w:sz w:val="21"/>
      <w:szCs w:val="21"/>
      <w:shd w:val="clear"/>
    </w:rPr>
  </w:style>
  <w:style w:type="paragraph" w:styleId="16">
    <w:name w:val="footer"/>
    <w:basedOn w:val="1"/>
    <w:link w:val="42"/>
    <w:semiHidden/>
    <w:unhideWhenUsed/>
    <w:uiPriority w:val="157"/>
    <w:pPr>
      <w:widowControl/>
      <w:tabs>
        <w:tab w:val="center" w:pos="4153"/>
        <w:tab w:val="right" w:pos="8306"/>
      </w:tabs>
      <w:wordWrap/>
      <w:autoSpaceDE/>
      <w:autoSpaceDN/>
    </w:pPr>
    <w:rPr>
      <w:w w:val="100"/>
      <w:sz w:val="18"/>
      <w:szCs w:val="18"/>
      <w:shd w:val="clear"/>
    </w:rPr>
  </w:style>
  <w:style w:type="paragraph" w:styleId="17">
    <w:name w:val="header"/>
    <w:basedOn w:val="1"/>
    <w:link w:val="41"/>
    <w:semiHidden/>
    <w:unhideWhenUsed/>
    <w:uiPriority w:val="155"/>
    <w:pPr>
      <w:widowControl/>
      <w:tabs>
        <w:tab w:val="center" w:pos="4153"/>
        <w:tab w:val="right" w:pos="8306"/>
      </w:tabs>
      <w:wordWrap/>
      <w:autoSpaceDE/>
      <w:autoSpaceDN/>
      <w:jc w:val="center"/>
    </w:pPr>
    <w:rPr>
      <w:w w:val="100"/>
      <w:sz w:val="18"/>
      <w:szCs w:val="18"/>
      <w:shd w:val="clear"/>
    </w:rPr>
  </w:style>
  <w:style w:type="paragraph" w:styleId="18">
    <w:name w:val="toc 1"/>
    <w:next w:val="1"/>
    <w:unhideWhenUsed/>
    <w:qFormat/>
    <w:uiPriority w:val="28"/>
    <w:pPr>
      <w:widowControl/>
      <w:wordWrap/>
      <w:autoSpaceDE/>
      <w:autoSpaceDN/>
      <w:ind w:left="200" w:firstLine="0"/>
      <w:jc w:val="both"/>
    </w:pPr>
    <w:rPr>
      <w:rFonts w:ascii="Calibri" w:hAnsi="Calibri" w:eastAsia="宋体"/>
      <w:w w:val="100"/>
      <w:sz w:val="21"/>
      <w:szCs w:val="21"/>
      <w:shd w:val="clear"/>
    </w:rPr>
  </w:style>
  <w:style w:type="paragraph" w:styleId="19">
    <w:name w:val="toc 4"/>
    <w:next w:val="1"/>
    <w:unhideWhenUsed/>
    <w:qFormat/>
    <w:uiPriority w:val="31"/>
    <w:pPr>
      <w:widowControl/>
      <w:wordWrap/>
      <w:autoSpaceDE/>
      <w:autoSpaceDN/>
      <w:ind w:left="1275" w:firstLine="0"/>
      <w:jc w:val="both"/>
    </w:pPr>
    <w:rPr>
      <w:rFonts w:ascii="Calibri" w:hAnsi="Calibri" w:eastAsia="宋体"/>
      <w:w w:val="100"/>
      <w:sz w:val="21"/>
      <w:szCs w:val="21"/>
      <w:shd w:val="clear"/>
    </w:rPr>
  </w:style>
  <w:style w:type="paragraph" w:styleId="20">
    <w:name w:val="Subtitle"/>
    <w:qFormat/>
    <w:uiPriority w:val="16"/>
    <w:pPr>
      <w:widowControl/>
      <w:wordWrap/>
      <w:autoSpaceDE/>
      <w:autoSpaceDN/>
      <w:ind w:left="200" w:firstLine="0"/>
      <w:jc w:val="center"/>
    </w:pPr>
    <w:rPr>
      <w:rFonts w:ascii="Calibri" w:hAnsi="Calibri" w:eastAsia="宋体"/>
      <w:w w:val="100"/>
      <w:sz w:val="24"/>
      <w:szCs w:val="24"/>
      <w:shd w:val="clear"/>
    </w:rPr>
  </w:style>
  <w:style w:type="paragraph" w:styleId="21">
    <w:name w:val="toc 6"/>
    <w:next w:val="1"/>
    <w:unhideWhenUsed/>
    <w:qFormat/>
    <w:uiPriority w:val="33"/>
    <w:pPr>
      <w:widowControl/>
      <w:wordWrap/>
      <w:autoSpaceDE/>
      <w:autoSpaceDN/>
      <w:ind w:left="2125" w:firstLine="0"/>
      <w:jc w:val="both"/>
    </w:pPr>
    <w:rPr>
      <w:rFonts w:ascii="Calibri" w:hAnsi="Calibri" w:eastAsia="宋体"/>
      <w:w w:val="100"/>
      <w:sz w:val="21"/>
      <w:szCs w:val="21"/>
      <w:shd w:val="clear"/>
    </w:rPr>
  </w:style>
  <w:style w:type="paragraph" w:styleId="22">
    <w:name w:val="toc 2"/>
    <w:next w:val="1"/>
    <w:unhideWhenUsed/>
    <w:qFormat/>
    <w:uiPriority w:val="29"/>
    <w:pPr>
      <w:widowControl/>
      <w:wordWrap/>
      <w:autoSpaceDE/>
      <w:autoSpaceDN/>
      <w:ind w:left="425" w:firstLine="0"/>
      <w:jc w:val="both"/>
    </w:pPr>
    <w:rPr>
      <w:rFonts w:ascii="Calibri" w:hAnsi="Calibri" w:eastAsia="宋体"/>
      <w:w w:val="100"/>
      <w:sz w:val="21"/>
      <w:szCs w:val="21"/>
      <w:shd w:val="clear"/>
    </w:rPr>
  </w:style>
  <w:style w:type="paragraph" w:styleId="23">
    <w:name w:val="toc 9"/>
    <w:next w:val="1"/>
    <w:unhideWhenUsed/>
    <w:qFormat/>
    <w:uiPriority w:val="36"/>
    <w:pPr>
      <w:widowControl/>
      <w:wordWrap/>
      <w:autoSpaceDE/>
      <w:autoSpaceDN/>
      <w:ind w:left="3400" w:firstLine="0"/>
      <w:jc w:val="both"/>
    </w:pPr>
    <w:rPr>
      <w:rFonts w:ascii="Calibri" w:hAnsi="Calibri" w:eastAsia="宋体"/>
      <w:w w:val="100"/>
      <w:sz w:val="21"/>
      <w:szCs w:val="21"/>
      <w:shd w:val="clear"/>
    </w:rPr>
  </w:style>
  <w:style w:type="paragraph" w:styleId="24">
    <w:name w:val="Title"/>
    <w:qFormat/>
    <w:uiPriority w:val="6"/>
    <w:pPr>
      <w:widowControl/>
      <w:wordWrap/>
      <w:autoSpaceDE/>
      <w:autoSpaceDN/>
      <w:ind w:left="200" w:firstLine="0"/>
      <w:jc w:val="center"/>
    </w:pPr>
    <w:rPr>
      <w:rFonts w:ascii="Calibri" w:hAnsi="Calibri" w:eastAsia="宋体"/>
      <w:b/>
      <w:w w:val="100"/>
      <w:sz w:val="32"/>
      <w:szCs w:val="32"/>
      <w:shd w:val="clear"/>
    </w:rPr>
  </w:style>
  <w:style w:type="character" w:styleId="26">
    <w:name w:val="Strong"/>
    <w:qFormat/>
    <w:uiPriority w:val="20"/>
    <w:rPr>
      <w:b/>
      <w:w w:val="100"/>
      <w:sz w:val="21"/>
      <w:szCs w:val="21"/>
      <w:shd w:val="clear"/>
    </w:rPr>
  </w:style>
  <w:style w:type="character" w:styleId="27">
    <w:name w:val="Emphasis"/>
    <w:qFormat/>
    <w:uiPriority w:val="18"/>
    <w:rPr>
      <w:i/>
      <w:w w:val="100"/>
      <w:sz w:val="21"/>
      <w:szCs w:val="21"/>
      <w:shd w:val="clear"/>
    </w:rPr>
  </w:style>
  <w:style w:type="paragraph" w:styleId="29">
    <w:name w:val="No Spacing"/>
    <w:qFormat/>
    <w:uiPriority w:val="5"/>
    <w:pPr>
      <w:widowControl/>
      <w:wordWrap/>
      <w:autoSpaceDE/>
      <w:autoSpaceDN/>
      <w:ind w:left="200" w:firstLine="0"/>
      <w:jc w:val="both"/>
    </w:pPr>
    <w:rPr>
      <w:rFonts w:ascii="Calibri" w:hAnsi="Calibri" w:eastAsia="宋体"/>
      <w:w w:val="100"/>
      <w:sz w:val="21"/>
      <w:szCs w:val="21"/>
      <w:shd w:val="clear"/>
    </w:rPr>
  </w:style>
  <w:style w:type="character" w:customStyle="1" w:styleId="30">
    <w:name w:val="Subtle Emphasis"/>
    <w:qFormat/>
    <w:uiPriority w:val="17"/>
    <w:rPr>
      <w:i/>
      <w:color w:val="404040"/>
      <w:w w:val="100"/>
      <w:sz w:val="21"/>
      <w:szCs w:val="21"/>
      <w:shd w:val="clear"/>
    </w:rPr>
  </w:style>
  <w:style w:type="character" w:customStyle="1" w:styleId="31">
    <w:name w:val="Intense Emphasis"/>
    <w:qFormat/>
    <w:uiPriority w:val="19"/>
    <w:rPr>
      <w:i/>
      <w:color w:val="5B9BD5"/>
      <w:w w:val="100"/>
      <w:sz w:val="21"/>
      <w:szCs w:val="21"/>
      <w:shd w:val="clear"/>
    </w:rPr>
  </w:style>
  <w:style w:type="paragraph" w:styleId="32">
    <w:name w:val="Quote"/>
    <w:qFormat/>
    <w:uiPriority w:val="21"/>
    <w:pPr>
      <w:widowControl/>
      <w:wordWrap/>
      <w:autoSpaceDE/>
      <w:autoSpaceDN/>
      <w:ind w:left="864" w:right="864" w:firstLine="0"/>
      <w:jc w:val="center"/>
    </w:pPr>
    <w:rPr>
      <w:rFonts w:ascii="Calibri" w:hAnsi="Calibri" w:eastAsia="宋体"/>
      <w:i/>
      <w:color w:val="404040"/>
      <w:w w:val="100"/>
      <w:sz w:val="21"/>
      <w:szCs w:val="21"/>
      <w:shd w:val="clear"/>
    </w:rPr>
  </w:style>
  <w:style w:type="paragraph" w:styleId="33">
    <w:name w:val="Intense Quote"/>
    <w:qFormat/>
    <w:uiPriority w:val="22"/>
    <w:pPr>
      <w:widowControl/>
      <w:wordWrap/>
      <w:autoSpaceDE/>
      <w:autoSpaceDN/>
      <w:ind w:left="950" w:right="950" w:firstLine="0"/>
      <w:jc w:val="center"/>
    </w:pPr>
    <w:rPr>
      <w:rFonts w:ascii="Calibri" w:hAnsi="Calibri" w:eastAsia="宋体"/>
      <w:i/>
      <w:color w:val="5B9BD5"/>
      <w:w w:val="100"/>
      <w:sz w:val="21"/>
      <w:szCs w:val="21"/>
      <w:shd w:val="clear"/>
    </w:rPr>
  </w:style>
  <w:style w:type="character" w:customStyle="1" w:styleId="34">
    <w:name w:val="Subtle Reference"/>
    <w:qFormat/>
    <w:uiPriority w:val="23"/>
    <w:rPr>
      <w:smallCaps/>
      <w:color w:val="5A5A5A"/>
      <w:w w:val="100"/>
      <w:sz w:val="21"/>
      <w:szCs w:val="21"/>
      <w:shd w:val="clear"/>
    </w:rPr>
  </w:style>
  <w:style w:type="character" w:customStyle="1" w:styleId="35">
    <w:name w:val="Intense Reference"/>
    <w:qFormat/>
    <w:uiPriority w:val="24"/>
    <w:rPr>
      <w:b/>
      <w:smallCaps/>
      <w:color w:val="5B9BD5"/>
      <w:w w:val="100"/>
      <w:sz w:val="21"/>
      <w:szCs w:val="21"/>
      <w:shd w:val="clear"/>
    </w:rPr>
  </w:style>
  <w:style w:type="character" w:customStyle="1" w:styleId="36">
    <w:name w:val="Book Title"/>
    <w:qFormat/>
    <w:uiPriority w:val="25"/>
    <w:rPr>
      <w:b/>
      <w:i/>
      <w:w w:val="100"/>
      <w:sz w:val="21"/>
      <w:szCs w:val="21"/>
      <w:shd w:val="clear"/>
    </w:rPr>
  </w:style>
  <w:style w:type="paragraph" w:styleId="37">
    <w:name w:val="List Paragraph"/>
    <w:qFormat/>
    <w:uiPriority w:val="26"/>
    <w:pPr>
      <w:widowControl/>
      <w:wordWrap/>
      <w:autoSpaceDE/>
      <w:autoSpaceDN/>
      <w:ind w:left="850" w:firstLine="0"/>
      <w:jc w:val="both"/>
    </w:pPr>
    <w:rPr>
      <w:rFonts w:ascii="Calibri" w:hAnsi="Calibri" w:eastAsia="宋体"/>
      <w:w w:val="100"/>
      <w:sz w:val="21"/>
      <w:szCs w:val="21"/>
      <w:shd w:val="clear"/>
    </w:rPr>
  </w:style>
  <w:style w:type="paragraph" w:customStyle="1" w:styleId="38">
    <w:name w:val="TOC Heading"/>
    <w:unhideWhenUsed/>
    <w:qFormat/>
    <w:uiPriority w:val="27"/>
    <w:pPr>
      <w:widowControl/>
      <w:wordWrap/>
      <w:autoSpaceDE/>
      <w:autoSpaceDN/>
      <w:ind w:left="200" w:firstLine="0"/>
      <w:jc w:val="both"/>
    </w:pPr>
    <w:rPr>
      <w:rFonts w:ascii="Calibri" w:hAnsi="Calibri" w:eastAsia="宋体"/>
      <w:color w:val="2E74B5"/>
      <w:w w:val="100"/>
      <w:sz w:val="32"/>
      <w:szCs w:val="32"/>
      <w:shd w:val="clear"/>
    </w:rPr>
  </w:style>
  <w:style w:type="character" w:customStyle="1" w:styleId="39">
    <w:name w:val="文档结构图 Char"/>
    <w:basedOn w:val="25"/>
    <w:link w:val="12"/>
    <w:semiHidden/>
    <w:uiPriority w:val="153"/>
    <w:rPr>
      <w:rFonts w:ascii="宋体" w:hAnsi="宋体" w:eastAsia="宋体"/>
      <w:w w:val="100"/>
      <w:sz w:val="18"/>
      <w:szCs w:val="18"/>
      <w:shd w:val="clear"/>
    </w:rPr>
  </w:style>
  <w:style w:type="paragraph" w:customStyle="1" w:styleId="40">
    <w:name w:val="列出段落1"/>
    <w:basedOn w:val="1"/>
    <w:uiPriority w:val="154"/>
    <w:pPr>
      <w:widowControl/>
      <w:wordWrap/>
      <w:autoSpaceDE/>
      <w:autoSpaceDN/>
      <w:ind w:firstLine="420"/>
    </w:pPr>
    <w:rPr>
      <w:rFonts w:ascii="Calibri" w:hAnsi="Calibri" w:eastAsia="Calibri"/>
      <w:w w:val="100"/>
      <w:sz w:val="20"/>
      <w:szCs w:val="20"/>
      <w:shd w:val="clear"/>
    </w:rPr>
  </w:style>
  <w:style w:type="character" w:customStyle="1" w:styleId="41">
    <w:name w:val="页眉 Char"/>
    <w:basedOn w:val="25"/>
    <w:link w:val="17"/>
    <w:semiHidden/>
    <w:uiPriority w:val="156"/>
    <w:rPr>
      <w:w w:val="100"/>
      <w:sz w:val="18"/>
      <w:szCs w:val="18"/>
      <w:shd w:val="clear"/>
    </w:rPr>
  </w:style>
  <w:style w:type="character" w:customStyle="1" w:styleId="42">
    <w:name w:val="页脚 Char"/>
    <w:basedOn w:val="25"/>
    <w:link w:val="16"/>
    <w:semiHidden/>
    <w:uiPriority w:val="158"/>
    <w:rPr>
      <w:w w:val="100"/>
      <w:sz w:val="18"/>
      <w:szCs w:val="18"/>
      <w:shd w:val="clear"/>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7</Pages>
  <Words>563</Words>
  <Characters>3767</Characters>
  <Lines>26</Lines>
  <Paragraphs>7</Paragraphs>
  <TotalTime>5</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2018-07-20T02:49:31Z</dcterms:created>
  <dc:creator>Administrator</dc:creator>
  <cp:lastModifiedBy>D</cp:lastModifiedBy>
  <dcterms:modified xsi:type="dcterms:W3CDTF">2018-07-20T02:55:14Z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