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Times New Roman" w:hAnsi="Times New Roman" w:eastAsia="仿宋_GB2312" w:cs="Times New Roman"/>
          <w:b/>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柳州高新区大中小融通特色载体中央资金拨付明细表</w:t>
      </w:r>
    </w:p>
    <w:tbl>
      <w:tblPr>
        <w:tblStyle w:val="5"/>
        <w:tblW w:w="906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147"/>
        <w:gridCol w:w="117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rPr>
            </w:pPr>
            <w:r>
              <w:rPr>
                <w:rFonts w:hint="eastAsia" w:ascii="黑体" w:hAnsi="黑体" w:eastAsia="黑体" w:cs="黑体"/>
                <w:b w:val="0"/>
                <w:bCs/>
                <w:kern w:val="0"/>
              </w:rPr>
              <w:t>工作名称</w:t>
            </w:r>
          </w:p>
        </w:tc>
        <w:tc>
          <w:tcPr>
            <w:tcW w:w="51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rPr>
            </w:pPr>
            <w:r>
              <w:rPr>
                <w:rFonts w:hint="eastAsia" w:ascii="黑体" w:hAnsi="黑体" w:eastAsia="黑体" w:cs="黑体"/>
                <w:b w:val="0"/>
                <w:bCs/>
                <w:kern w:val="0"/>
              </w:rPr>
              <w:t>具体内容</w:t>
            </w:r>
          </w:p>
        </w:tc>
        <w:tc>
          <w:tcPr>
            <w:tcW w:w="117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rPr>
            </w:pPr>
            <w:r>
              <w:rPr>
                <w:rFonts w:hint="eastAsia" w:ascii="黑体" w:hAnsi="黑体" w:eastAsia="黑体" w:cs="黑体"/>
                <w:b w:val="0"/>
                <w:bCs/>
                <w:kern w:val="0"/>
              </w:rPr>
              <w:t>总金额（万元）</w:t>
            </w:r>
          </w:p>
        </w:tc>
        <w:tc>
          <w:tcPr>
            <w:tcW w:w="13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rPr>
            </w:pPr>
            <w:r>
              <w:rPr>
                <w:rFonts w:hint="eastAsia" w:ascii="黑体" w:hAnsi="黑体" w:eastAsia="黑体" w:cs="黑体"/>
                <w:b w:val="0"/>
                <w:bCs/>
                <w:kern w:val="0"/>
              </w:rPr>
              <w:t>中央计划拨付资金（万元）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广西汽车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8"/>
                <w:szCs w:val="32"/>
                <w14:textFill>
                  <w14:solidFill>
                    <w14:schemeClr w14:val="tx1"/>
                  </w14:solidFill>
                </w14:textFill>
              </w:rPr>
            </w:pPr>
            <w:r>
              <w:rPr>
                <w:rFonts w:hint="eastAsia" w:ascii="黑体" w:hAnsi="黑体" w:eastAsia="黑体" w:cs="黑体"/>
                <w:b w:val="0"/>
                <w:bCs/>
                <w:kern w:val="0"/>
                <w:sz w:val="24"/>
                <w:szCs w:val="24"/>
              </w:rPr>
              <w:t>研究院</w:t>
            </w:r>
          </w:p>
        </w:tc>
        <w:tc>
          <w:tcPr>
            <w:tcW w:w="514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基于产业、技术、人才融通的大中小企业融通发展模式，结合知名高校在汽车、材料、交通等行业领域的科研优势，与柳州本地重点企业建立深度合作关系，重点围绕汽车相关产业、新材料、大数据等领域，开展重大技术攻关和重大新产品研发，人才培养，产业链企业的资源整合，实现上下游企业对研发平台的共享，为柳州新增千亿级高新技术产业提供强力支撑。研究院计划5年共投入资金近1亿元，用于试验试制设备购置、材料采购、场地改造、运营支出、人员费、各类创新创业活动费用等。</w:t>
            </w:r>
          </w:p>
        </w:tc>
        <w:tc>
          <w:tcPr>
            <w:tcW w:w="11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10000</w:t>
            </w:r>
          </w:p>
        </w:tc>
        <w:tc>
          <w:tcPr>
            <w:tcW w:w="13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rPr>
            </w:pPr>
            <w:r>
              <w:rPr>
                <w:rFonts w:hint="eastAsia" w:ascii="黑体" w:hAnsi="黑体" w:eastAsia="黑体" w:cs="黑体"/>
                <w:b w:val="0"/>
                <w:bCs/>
                <w:color w:val="000000" w:themeColor="text1"/>
                <w:kern w:val="0"/>
                <w14:textFill>
                  <w14:solidFill>
                    <w14:schemeClr w14:val="tx1"/>
                  </w14:solidFill>
                </w14:textFill>
              </w:rPr>
              <w:t>柳州高新</w:t>
            </w:r>
            <w:r>
              <w:rPr>
                <w:rFonts w:hint="eastAsia" w:ascii="黑体" w:hAnsi="黑体" w:eastAsia="黑体" w:cs="黑体"/>
                <w:b w:val="0"/>
                <w:bCs/>
                <w:color w:val="000000" w:themeColor="text1"/>
                <w:kern w:val="0"/>
                <w:lang w:val="en-US" w:eastAsia="zh-CN"/>
                <w14:textFill>
                  <w14:solidFill>
                    <w14:schemeClr w14:val="tx1"/>
                  </w14:solidFill>
                </w14:textFill>
              </w:rPr>
              <w:t>技术</w:t>
            </w:r>
            <w:r>
              <w:rPr>
                <w:rFonts w:hint="eastAsia" w:ascii="黑体" w:hAnsi="黑体" w:eastAsia="黑体" w:cs="黑体"/>
                <w:b w:val="0"/>
                <w:bCs/>
                <w:color w:val="000000" w:themeColor="text1"/>
                <w:kern w:val="0"/>
                <w14:textFill>
                  <w14:solidFill>
                    <w14:schemeClr w14:val="tx1"/>
                  </w14:solidFill>
                </w14:textFill>
              </w:rPr>
              <w:t>创业服务中心双创升级孵化服务公共平台</w:t>
            </w:r>
          </w:p>
        </w:tc>
        <w:tc>
          <w:tcPr>
            <w:tcW w:w="514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为满足柳</w:t>
            </w:r>
            <w:r>
              <w:rPr>
                <w:rFonts w:hint="eastAsia" w:ascii="黑体" w:hAnsi="黑体" w:eastAsia="黑体" w:cs="黑体"/>
                <w:b w:val="0"/>
                <w:bCs/>
                <w:color w:val="000000" w:themeColor="text1"/>
                <w:kern w:val="0"/>
                <w:lang w:val="en-US" w:eastAsia="zh-CN"/>
                <w14:textFill>
                  <w14:solidFill>
                    <w14:schemeClr w14:val="tx1"/>
                  </w14:solidFill>
                </w14:textFill>
              </w:rPr>
              <w:t>州高</w:t>
            </w:r>
            <w:r>
              <w:rPr>
                <w:rFonts w:hint="eastAsia" w:ascii="黑体" w:hAnsi="黑体" w:eastAsia="黑体" w:cs="黑体"/>
                <w:b w:val="0"/>
                <w:bCs/>
                <w:color w:val="000000" w:themeColor="text1"/>
                <w:kern w:val="0"/>
                <w14:textFill>
                  <w14:solidFill>
                    <w14:schemeClr w14:val="tx1"/>
                  </w14:solidFill>
                </w14:textFill>
              </w:rPr>
              <w:t>新区大、中、小以及各领域孵化载体内的孵化企业与项目数量多少各异、以及规模层次不齐的孵化服务需求，打包服务以形成规模化，打造高品质的“大孵化”“大服务”的公共“大平台”，充分发挥柳州高新技术创业服务中心作为柳州市唯一一家国家级孵化器的带头作用，计划牵头打造“双创升级孵化服务公共平台”，为</w:t>
            </w:r>
            <w:r>
              <w:rPr>
                <w:rFonts w:hint="eastAsia" w:ascii="黑体" w:hAnsi="黑体" w:eastAsia="黑体" w:cs="黑体"/>
                <w:b w:val="0"/>
                <w:bCs/>
                <w:color w:val="000000" w:themeColor="text1"/>
                <w:kern w:val="0"/>
                <w:lang w:val="en-US" w:eastAsia="zh-CN"/>
                <w14:textFill>
                  <w14:solidFill>
                    <w14:schemeClr w14:val="tx1"/>
                  </w14:solidFill>
                </w14:textFill>
              </w:rPr>
              <w:t>高</w:t>
            </w:r>
            <w:r>
              <w:rPr>
                <w:rFonts w:hint="eastAsia" w:ascii="黑体" w:hAnsi="黑体" w:eastAsia="黑体" w:cs="黑体"/>
                <w:b w:val="0"/>
                <w:bCs/>
                <w:color w:val="000000" w:themeColor="text1"/>
                <w:kern w:val="0"/>
                <w14:textFill>
                  <w14:solidFill>
                    <w14:schemeClr w14:val="tx1"/>
                  </w14:solidFill>
                </w14:textFill>
              </w:rPr>
              <w:t>新区各孵化载体提供创业培训活动、创业创新人才培育、投融资服务、汽车质量检测中心、大数据服务中心等等专业技术服务、基础企业服务等。申请双创升级资金200万，以建立双创升级孵化服务公共平台，为</w:t>
            </w:r>
            <w:r>
              <w:rPr>
                <w:rFonts w:hint="eastAsia" w:ascii="黑体" w:hAnsi="黑体" w:eastAsia="黑体" w:cs="黑体"/>
                <w:b w:val="0"/>
                <w:bCs/>
                <w:color w:val="000000" w:themeColor="text1"/>
                <w:kern w:val="0"/>
                <w:lang w:val="en-US" w:eastAsia="zh-CN"/>
                <w14:textFill>
                  <w14:solidFill>
                    <w14:schemeClr w14:val="tx1"/>
                  </w14:solidFill>
                </w14:textFill>
              </w:rPr>
              <w:t>高</w:t>
            </w:r>
            <w:r>
              <w:rPr>
                <w:rFonts w:hint="eastAsia" w:ascii="黑体" w:hAnsi="黑体" w:eastAsia="黑体" w:cs="黑体"/>
                <w:b w:val="0"/>
                <w:bCs/>
                <w:color w:val="000000" w:themeColor="text1"/>
                <w:kern w:val="0"/>
                <w14:textFill>
                  <w14:solidFill>
                    <w14:schemeClr w14:val="tx1"/>
                  </w14:solidFill>
                </w14:textFill>
              </w:rPr>
              <w:t>新区双创载体内企业与创客团队提供以下孵化服务：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1.创新创业平台服务能力升级经费补贴530万（上海漕河泾园区品牌使用费及顾问服务费用250万元、孵化器场地改造费用250万元）；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2.园区企业创新创业奖励、补贴100万（设立双创服务券，每家企业1-2万元，服务企业60家，制定相关管理办法与实施细则）；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3.创新创业大赛、交流沙龙、双创讲堂、培训活动等各类创新创业活动相关费用65万元。</w:t>
            </w:r>
          </w:p>
        </w:tc>
        <w:tc>
          <w:tcPr>
            <w:tcW w:w="11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695</w:t>
            </w:r>
          </w:p>
        </w:tc>
        <w:tc>
          <w:tcPr>
            <w:tcW w:w="13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8"/>
                <w:szCs w:val="32"/>
                <w14:textFill>
                  <w14:solidFill>
                    <w14:schemeClr w14:val="tx1"/>
                  </w14:solidFill>
                </w14:textFill>
              </w:rPr>
            </w:pPr>
            <w:r>
              <w:rPr>
                <w:rFonts w:hint="eastAsia" w:ascii="黑体" w:hAnsi="黑体" w:eastAsia="黑体" w:cs="黑体"/>
                <w:b w:val="0"/>
                <w:bCs/>
                <w:kern w:val="0"/>
              </w:rPr>
              <w:t>柳州上汽汽车变速器有限公司</w:t>
            </w:r>
            <w:r>
              <w:rPr>
                <w:rFonts w:hint="eastAsia" w:ascii="黑体" w:hAnsi="黑体" w:eastAsia="黑体" w:cs="黑体"/>
                <w:b w:val="0"/>
                <w:bCs/>
                <w:color w:val="000000" w:themeColor="text1"/>
                <w:kern w:val="0"/>
                <w14:textFill>
                  <w14:solidFill>
                    <w14:schemeClr w14:val="tx1"/>
                  </w14:solidFill>
                </w14:textFill>
              </w:rPr>
              <w:t>双创升级孵化服务公共平台</w:t>
            </w:r>
          </w:p>
        </w:tc>
        <w:tc>
          <w:tcPr>
            <w:tcW w:w="514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基于创新资源共享的公共服务平台，先后被认定为自治区级工程技术研究中心和自治区级研发中心，以创新、研究、培训、学习为主旨，通过创新方法、创新工具在产品开发、问题攻关、工艺装备升级、效率提升、管理模式中的应用，攻关和解决产品开发、生产等遇到的实际问题，集聚孵化中小型企业，帮助中小企业解决技术难题、新产品推向市场，强化产业集群核心竞争力。目前平台投入400万元，用于试验试制设备购置，材料采购，场地改造，运营支出等，开展了基于取消SUBROM方案的技术研究台架自动标定系统开发等研发，节约成本达800万元；定期开展“导师带徒、技能比赛”等活动，计划成立装配车间创新工作室、E-Drive创新工作室。</w:t>
            </w:r>
          </w:p>
        </w:tc>
        <w:tc>
          <w:tcPr>
            <w:tcW w:w="11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400</w:t>
            </w:r>
          </w:p>
        </w:tc>
        <w:tc>
          <w:tcPr>
            <w:tcW w:w="13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8"/>
                <w:szCs w:val="32"/>
                <w14:textFill>
                  <w14:solidFill>
                    <w14:schemeClr w14:val="tx1"/>
                  </w14:solidFill>
                </w14:textFill>
              </w:rPr>
            </w:pPr>
            <w:r>
              <w:rPr>
                <w:rFonts w:hint="eastAsia" w:ascii="黑体" w:hAnsi="黑体" w:eastAsia="黑体" w:cs="黑体"/>
                <w:b w:val="0"/>
                <w:bCs/>
                <w:kern w:val="0"/>
              </w:rPr>
              <w:t>柳州职业技术学院区域（集群）的大中小企业融通平台</w:t>
            </w:r>
          </w:p>
        </w:tc>
        <w:tc>
          <w:tcPr>
            <w:tcW w:w="514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基于区域（集群）的大中小企业融通平台，平台被评定为自治区级技术转移示范机构，平台依靠自身丰富的龙头企业、高校资源和自身在产业内积累了丰富的经验，直接将技术成果的需求和成果相匹配，进一</w:t>
            </w:r>
            <w:bookmarkStart w:id="0" w:name="_GoBack"/>
            <w:bookmarkEnd w:id="0"/>
            <w:r>
              <w:rPr>
                <w:rFonts w:hint="eastAsia" w:ascii="黑体" w:hAnsi="黑体" w:eastAsia="黑体" w:cs="黑体"/>
                <w:b w:val="0"/>
                <w:bCs/>
                <w:color w:val="000000" w:themeColor="text1"/>
                <w:kern w:val="0"/>
                <w14:textFill>
                  <w14:solidFill>
                    <w14:schemeClr w14:val="tx1"/>
                  </w14:solidFill>
                </w14:textFill>
              </w:rPr>
              <w:t>步创新高校技术成果的孵化机制。平台投入达1600万元，用于场地改造，试验设备购置、运营支出等方面，开展市级科技项目7项，开展技术服务项目突破100项，已入驻企业达11家， 其中5家市级工程技术研究中心。</w:t>
            </w:r>
          </w:p>
        </w:tc>
        <w:tc>
          <w:tcPr>
            <w:tcW w:w="11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1600</w:t>
            </w:r>
          </w:p>
        </w:tc>
        <w:tc>
          <w:tcPr>
            <w:tcW w:w="13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2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32"/>
                <w:szCs w:val="32"/>
              </w:rPr>
            </w:pPr>
          </w:p>
        </w:tc>
        <w:tc>
          <w:tcPr>
            <w:tcW w:w="514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14:textFill>
                  <w14:solidFill>
                    <w14:schemeClr w14:val="tx1"/>
                  </w14:solidFill>
                </w14:textFill>
              </w:rPr>
            </w:pPr>
            <w:r>
              <w:rPr>
                <w:rFonts w:hint="eastAsia" w:ascii="黑体" w:hAnsi="黑体" w:eastAsia="黑体" w:cs="黑体"/>
                <w:b w:val="0"/>
                <w:bCs/>
                <w:color w:val="000000" w:themeColor="text1"/>
                <w:kern w:val="0"/>
                <w14:textFill>
                  <w14:solidFill>
                    <w14:schemeClr w14:val="tx1"/>
                  </w14:solidFill>
                </w14:textFill>
              </w:rPr>
              <w:t>合计</w:t>
            </w:r>
          </w:p>
        </w:tc>
        <w:tc>
          <w:tcPr>
            <w:tcW w:w="117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12695</w:t>
            </w:r>
          </w:p>
        </w:tc>
        <w:tc>
          <w:tcPr>
            <w:tcW w:w="13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kern w:val="0"/>
                <w:sz w:val="28"/>
                <w:szCs w:val="32"/>
              </w:rPr>
            </w:pPr>
            <w:r>
              <w:rPr>
                <w:rFonts w:hint="eastAsia" w:ascii="黑体" w:hAnsi="黑体" w:eastAsia="黑体" w:cs="黑体"/>
                <w:b w:val="0"/>
                <w:bCs/>
                <w:kern w:val="0"/>
                <w:sz w:val="28"/>
                <w:szCs w:val="32"/>
              </w:rPr>
              <w:t>1017</w:t>
            </w:r>
          </w:p>
        </w:tc>
      </w:tr>
    </w:tbl>
    <w:p>
      <w:pPr>
        <w:rPr>
          <w:rFonts w:ascii="仿宋_GB2312" w:hAnsi="Calibri" w:eastAsia="仿宋_GB2312" w:cs="Times New Roman"/>
          <w:sz w:val="32"/>
        </w:rPr>
      </w:pPr>
    </w:p>
    <w:p/>
    <w:sectPr>
      <w:footerReference r:id="rId3" w:type="default"/>
      <w:pgSz w:w="11900" w:h="16840"/>
      <w:pgMar w:top="1440" w:right="1800" w:bottom="1440" w:left="1800" w:header="851" w:footer="992" w:gutter="0"/>
      <w:pgNumType w:fmt="decimal"/>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-141605</wp:posOffset>
              </wp:positionV>
              <wp:extent cx="587375"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7375" cy="2876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15pt;height:22.65pt;width:46.25pt;mso-position-horizontal:outside;mso-position-horizontal-relative:margin;z-index:251658240;mso-width-relative:page;mso-height-relative:page;" filled="f" stroked="f" coordsize="21600,21600" o:gfxdata="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aHwDG2QAA&#10;AAoBAAAPAAAAAAAAAAEAIAAAACIAAABkcnMvZG93bnJldi54bWxQSwECFAAUAAAACACHTuJAOld4&#10;bcgCAADWBQAADgAAAAAAAAABACAAAAAoAQAAZHJzL2Uyb0RvYy54bWxQSwUGAAAAAAYABgBZAQAA&#10;YgYAAA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50B51"/>
    <w:rsid w:val="62497BF8"/>
    <w:rsid w:val="76054B62"/>
    <w:rsid w:val="7F55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2021-02-09T08:19:00Z</dcterms:created>
  <dc:creator>潘叙里</dc:creator>
  <cp:lastModifiedBy>潘叙里</cp:lastModifiedBy>
  <dcterms:modified xsi:type="dcterms:W3CDTF">2021-02-09T08:23:11Z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